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framePr w:hSpace="0" w:vSpace="0" w:wrap="auto" w:vAnchor="margin" w:hAnchor="text" w:yAlign="inline"/>
        <w:spacing w:after="156"/>
        <w:rPr>
          <w:szCs w:val="21"/>
        </w:rPr>
      </w:pPr>
      <w:bookmarkStart w:id="0" w:name="OLE_LINK1"/>
      <w:r>
        <w:rPr>
          <w:szCs w:val="21"/>
        </w:rPr>
        <w:t>ICS 号</w:t>
      </w:r>
    </w:p>
    <w:p>
      <w:pPr>
        <w:pStyle w:val="33"/>
        <w:framePr w:hSpace="0" w:vSpace="0" w:wrap="auto" w:vAnchor="margin" w:hAnchor="text" w:yAlign="inline"/>
        <w:spacing w:after="156"/>
        <w:rPr>
          <w:szCs w:val="21"/>
        </w:rPr>
      </w:pPr>
      <w:r>
        <w:rPr>
          <w:rFonts w:hint="eastAsia"/>
          <w:szCs w:val="21"/>
        </w:rPr>
        <w:t>CCS</w:t>
      </w:r>
      <w:r>
        <w:rPr>
          <w:szCs w:val="21"/>
        </w:rPr>
        <w:t>号</w:t>
      </w:r>
    </w:p>
    <w:p>
      <w:pPr>
        <w:kinsoku/>
        <w:spacing w:line="14" w:lineRule="auto"/>
        <w:rPr>
          <w:sz w:val="2"/>
          <w:lang w:eastAsia="zh-CN"/>
        </w:rPr>
      </w:pPr>
      <w:r>
        <w:rPr>
          <w:rFonts w:eastAsia="Arial"/>
          <w:sz w:val="2"/>
          <w:szCs w:val="2"/>
          <w:lang w:eastAsia="zh-CN"/>
        </w:rPr>
        <w:br w:type="column"/>
      </w:r>
    </w:p>
    <w:p>
      <w:pPr>
        <w:kinsoku/>
        <w:spacing w:line="280" w:lineRule="auto"/>
        <w:rPr>
          <w:lang w:eastAsia="zh-CN"/>
        </w:rPr>
      </w:pPr>
    </w:p>
    <w:p>
      <w:pPr>
        <w:kinsoku/>
        <w:spacing w:line="281" w:lineRule="auto"/>
        <w:rPr>
          <w:lang w:eastAsia="zh-CN"/>
        </w:rPr>
      </w:pPr>
    </w:p>
    <w:p>
      <w:pPr>
        <w:kinsoku/>
        <w:ind w:firstLine="871" w:firstLineChars="100"/>
        <w:rPr>
          <w:rFonts w:ascii="Times New Roman" w:hAnsi="Times New Roman" w:cs="Times New Roman"/>
          <w:sz w:val="72"/>
          <w:szCs w:val="72"/>
          <w:lang w:eastAsia="zh-CN"/>
        </w:rPr>
      </w:pPr>
      <w:bookmarkStart w:id="1" w:name="_Toc216513390"/>
      <w:r>
        <w:rPr>
          <w:rFonts w:ascii="Times New Roman" w:hAnsi="Times New Roman" w:cs="Times New Roman"/>
          <w:w w:val="121"/>
          <w:sz w:val="72"/>
          <w:szCs w:val="72"/>
          <w:lang w:eastAsia="zh-CN"/>
        </w:rPr>
        <w:t>T/CAB</w:t>
      </w:r>
      <w:bookmarkEnd w:id="1"/>
    </w:p>
    <w:p>
      <w:pPr>
        <w:kinsoku/>
        <w:spacing w:line="177" w:lineRule="auto"/>
        <w:rPr>
          <w:rFonts w:ascii="Times New Roman" w:hAnsi="Times New Roman" w:eastAsia="Times New Roman" w:cs="Times New Roman"/>
          <w:sz w:val="72"/>
          <w:szCs w:val="72"/>
          <w:lang w:eastAsia="zh-CN"/>
        </w:rPr>
        <w:sectPr>
          <w:headerReference r:id="rId3" w:type="even"/>
          <w:pgSz w:w="11907" w:h="16839"/>
          <w:pgMar w:top="1416" w:right="1141" w:bottom="0" w:left="1334" w:header="0" w:footer="0" w:gutter="0"/>
          <w:cols w:equalWidth="0" w:num="2">
            <w:col w:w="5646" w:space="100"/>
            <w:col w:w="3685"/>
          </w:cols>
        </w:sectPr>
      </w:pPr>
    </w:p>
    <w:p>
      <w:pPr>
        <w:kinsoku/>
        <w:spacing w:line="460" w:lineRule="auto"/>
        <w:rPr>
          <w:lang w:eastAsia="zh-CN"/>
        </w:rPr>
      </w:pPr>
    </w:p>
    <w:p>
      <w:pPr>
        <w:pStyle w:val="8"/>
        <w:kinsoku/>
        <w:spacing w:before="169" w:line="218" w:lineRule="auto"/>
        <w:jc w:val="right"/>
        <w:rPr>
          <w:rFonts w:hint="eastAsia"/>
          <w:lang w:eastAsia="zh-CN"/>
        </w:rPr>
      </w:pPr>
      <w:r>
        <w:rPr>
          <w:spacing w:val="-28"/>
          <w:lang w:eastAsia="zh-CN"/>
        </w:rPr>
        <w:t>中 国</w:t>
      </w:r>
      <w:r>
        <w:rPr>
          <w:spacing w:val="-75"/>
          <w:lang w:eastAsia="zh-CN"/>
        </w:rPr>
        <w:t xml:space="preserve"> </w:t>
      </w:r>
      <w:r>
        <w:rPr>
          <w:spacing w:val="-28"/>
          <w:lang w:eastAsia="zh-CN"/>
        </w:rPr>
        <w:t>产</w:t>
      </w:r>
      <w:r>
        <w:rPr>
          <w:spacing w:val="-63"/>
          <w:lang w:eastAsia="zh-CN"/>
        </w:rPr>
        <w:t xml:space="preserve"> </w:t>
      </w:r>
      <w:r>
        <w:rPr>
          <w:spacing w:val="-28"/>
          <w:lang w:eastAsia="zh-CN"/>
        </w:rPr>
        <w:t>学</w:t>
      </w:r>
      <w:r>
        <w:rPr>
          <w:spacing w:val="-88"/>
          <w:lang w:eastAsia="zh-CN"/>
        </w:rPr>
        <w:t xml:space="preserve"> </w:t>
      </w:r>
      <w:r>
        <w:rPr>
          <w:spacing w:val="-28"/>
          <w:lang w:eastAsia="zh-CN"/>
        </w:rPr>
        <w:t>研</w:t>
      </w:r>
      <w:r>
        <w:rPr>
          <w:spacing w:val="-80"/>
          <w:lang w:eastAsia="zh-CN"/>
        </w:rPr>
        <w:t xml:space="preserve"> </w:t>
      </w:r>
      <w:r>
        <w:rPr>
          <w:spacing w:val="-28"/>
          <w:lang w:eastAsia="zh-CN"/>
        </w:rPr>
        <w:t>合</w:t>
      </w:r>
      <w:r>
        <w:rPr>
          <w:spacing w:val="-84"/>
          <w:lang w:eastAsia="zh-CN"/>
        </w:rPr>
        <w:t xml:space="preserve"> </w:t>
      </w:r>
      <w:r>
        <w:rPr>
          <w:spacing w:val="-28"/>
          <w:lang w:eastAsia="zh-CN"/>
        </w:rPr>
        <w:t>作</w:t>
      </w:r>
      <w:r>
        <w:rPr>
          <w:spacing w:val="-86"/>
          <w:lang w:eastAsia="zh-CN"/>
        </w:rPr>
        <w:t xml:space="preserve"> </w:t>
      </w:r>
      <w:r>
        <w:rPr>
          <w:spacing w:val="-28"/>
          <w:lang w:eastAsia="zh-CN"/>
        </w:rPr>
        <w:t>促</w:t>
      </w:r>
      <w:r>
        <w:rPr>
          <w:spacing w:val="-86"/>
          <w:lang w:eastAsia="zh-CN"/>
        </w:rPr>
        <w:t xml:space="preserve"> </w:t>
      </w:r>
      <w:r>
        <w:rPr>
          <w:spacing w:val="-28"/>
          <w:lang w:eastAsia="zh-CN"/>
        </w:rPr>
        <w:t>进</w:t>
      </w:r>
      <w:r>
        <w:rPr>
          <w:spacing w:val="-83"/>
          <w:lang w:eastAsia="zh-CN"/>
        </w:rPr>
        <w:t xml:space="preserve"> </w:t>
      </w:r>
      <w:r>
        <w:rPr>
          <w:spacing w:val="-28"/>
          <w:lang w:eastAsia="zh-CN"/>
        </w:rPr>
        <w:t>会</w:t>
      </w:r>
      <w:r>
        <w:rPr>
          <w:spacing w:val="-45"/>
          <w:lang w:eastAsia="zh-CN"/>
        </w:rPr>
        <w:t xml:space="preserve"> </w:t>
      </w:r>
      <w:r>
        <w:rPr>
          <w:spacing w:val="-28"/>
          <w:lang w:eastAsia="zh-CN"/>
        </w:rPr>
        <w:t>团</w:t>
      </w:r>
      <w:r>
        <w:rPr>
          <w:spacing w:val="-84"/>
          <w:lang w:eastAsia="zh-CN"/>
        </w:rPr>
        <w:t xml:space="preserve"> </w:t>
      </w:r>
      <w:r>
        <w:rPr>
          <w:spacing w:val="-28"/>
          <w:lang w:eastAsia="zh-CN"/>
        </w:rPr>
        <w:t>体</w:t>
      </w:r>
      <w:r>
        <w:rPr>
          <w:spacing w:val="-88"/>
          <w:lang w:eastAsia="zh-CN"/>
        </w:rPr>
        <w:t xml:space="preserve"> </w:t>
      </w:r>
      <w:r>
        <w:rPr>
          <w:spacing w:val="-28"/>
          <w:lang w:eastAsia="zh-CN"/>
        </w:rPr>
        <w:t>标</w:t>
      </w:r>
      <w:r>
        <w:rPr>
          <w:spacing w:val="-79"/>
          <w:lang w:eastAsia="zh-CN"/>
        </w:rPr>
        <w:t xml:space="preserve"> </w:t>
      </w:r>
      <w:r>
        <w:rPr>
          <w:spacing w:val="-28"/>
          <w:lang w:eastAsia="zh-CN"/>
        </w:rPr>
        <w:t>准</w:t>
      </w:r>
    </w:p>
    <w:p>
      <w:pPr>
        <w:kinsoku/>
        <w:spacing w:line="244" w:lineRule="auto"/>
        <w:rPr>
          <w:lang w:eastAsia="zh-CN"/>
        </w:rPr>
      </w:pPr>
    </w:p>
    <w:p>
      <w:pPr>
        <w:kinsoku/>
        <w:spacing w:line="245" w:lineRule="auto"/>
        <w:rPr>
          <w:lang w:eastAsia="zh-CN"/>
        </w:rPr>
      </w:pPr>
    </w:p>
    <w:p>
      <w:pPr>
        <w:kinsoku/>
        <w:spacing w:before="81" w:line="190" w:lineRule="auto"/>
        <w:ind w:left="604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T/ CAB XXXX—20XX</w:t>
      </w:r>
    </w:p>
    <w:p>
      <w:pPr>
        <w:kinsoku/>
        <w:spacing w:line="371" w:lineRule="auto"/>
        <w:rPr>
          <w:lang w:eastAsia="zh-CN"/>
        </w:rPr>
      </w:pPr>
    </w:p>
    <w:p>
      <w:pPr>
        <w:kinsoku/>
        <w:spacing w:line="46" w:lineRule="exact"/>
      </w:pPr>
      <w:r>
        <mc:AlternateContent>
          <mc:Choice Requires="wps">
            <w:drawing>
              <wp:inline distT="0" distB="0" distL="0" distR="0">
                <wp:extent cx="5988685" cy="29210"/>
                <wp:effectExtent l="18415" t="7620" r="12700" b="1270"/>
                <wp:docPr id="1774216358" name="Freeform 2"/>
                <wp:cNvGraphicFramePr/>
                <a:graphic xmlns:a="http://schemas.openxmlformats.org/drawingml/2006/main">
                  <a:graphicData uri="http://schemas.microsoft.com/office/word/2010/wordprocessingShape">
                    <wps:wsp>
                      <wps:cNvSpPr>
                        <a:spLocks noChangeArrowheads="1"/>
                      </wps:cNvSpPr>
                      <wps:spPr bwMode="auto">
                        <a:xfrm>
                          <a:off x="0" y="0"/>
                          <a:ext cx="5988685" cy="29210"/>
                        </a:xfrm>
                        <a:custGeom>
                          <a:avLst/>
                          <a:gdLst>
                            <a:gd name="T0" fmla="*/ 0 w 9430"/>
                            <a:gd name="T1" fmla="*/ 15 h 45"/>
                            <a:gd name="T2" fmla="*/ 9430 w 9430"/>
                            <a:gd name="T3" fmla="*/ 30 h 45"/>
                          </a:gdLst>
                          <a:ahLst/>
                          <a:cxnLst>
                            <a:cxn ang="0">
                              <a:pos x="T0" y="T1"/>
                            </a:cxn>
                            <a:cxn ang="0">
                              <a:pos x="T2" y="T3"/>
                            </a:cxn>
                          </a:cxnLst>
                          <a:rect l="0" t="0" r="r" b="b"/>
                          <a:pathLst>
                            <a:path w="9430" h="45">
                              <a:moveTo>
                                <a:pt x="0" y="15"/>
                              </a:moveTo>
                              <a:lnTo>
                                <a:pt x="9430" y="30"/>
                              </a:lnTo>
                            </a:path>
                          </a:pathLst>
                        </a:custGeom>
                        <a:noFill/>
                        <a:ln w="19050">
                          <a:solidFill>
                            <a:srgbClr val="000000"/>
                          </a:solidFill>
                          <a:round/>
                        </a:ln>
                      </wps:spPr>
                      <wps:bodyPr rot="0" vert="horz" wrap="square" lIns="91440" tIns="45720" rIns="91440" bIns="45720" anchor="t" anchorCtr="0" upright="1">
                        <a:noAutofit/>
                      </wps:bodyPr>
                    </wps:wsp>
                  </a:graphicData>
                </a:graphic>
              </wp:inline>
            </w:drawing>
          </mc:Choice>
          <mc:Fallback>
            <w:pict>
              <v:shape id="Freeform 2" o:spid="_x0000_s1026" o:spt="100" style="height:2.3pt;width:471.55pt;" filled="f" stroked="t" coordsize="9430,45" o:gfxdata="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gBVVx1AAAAAMBAAAPAAAAAAAAAAEAIAAAACIAAABkcnMvZG93bnJl&#10;di54bWxQSwECFAAUAAAACACHTuJAnsHnLqwCAACxBQAADgAAAAAAAAABACAAAAAjAQAAZHJzL2Uy&#10;b0RvYy54bWxQSwUGAAAAAAYABgBZAQAAQQYAAAAA&#10;" path="m0,15l9430,30e">
                <v:path o:connectlocs="0,9736;5988685,19473" o:connectangles="0,0"/>
                <v:fill on="f" focussize="0,0"/>
                <v:stroke weight="1.5pt" color="#000000" joinstyle="round"/>
                <v:imagedata o:title=""/>
                <o:lock v:ext="edit" aspectratio="f"/>
                <w10:wrap type="none"/>
                <w10:anchorlock/>
              </v:shape>
            </w:pict>
          </mc:Fallback>
        </mc:AlternateContent>
      </w:r>
    </w:p>
    <w:p>
      <w:pPr>
        <w:kinsoku/>
        <w:spacing w:line="356" w:lineRule="auto"/>
        <w:rPr>
          <w:lang w:eastAsia="zh-CN"/>
        </w:rPr>
      </w:pPr>
    </w:p>
    <w:p>
      <w:pPr>
        <w:kinsoku/>
        <w:spacing w:line="357" w:lineRule="auto"/>
        <w:jc w:val="center"/>
        <w:rPr>
          <w:rFonts w:ascii="黑体" w:hAnsi="黑体" w:eastAsia="黑体"/>
          <w:sz w:val="52"/>
          <w:szCs w:val="52"/>
          <w:lang w:eastAsia="zh-CN"/>
        </w:rPr>
      </w:pPr>
      <w:r>
        <w:rPr>
          <w:rFonts w:ascii="黑体" w:hAnsi="黑体" w:eastAsia="黑体"/>
          <w:sz w:val="52"/>
          <w:szCs w:val="52"/>
          <w:lang w:eastAsia="zh-CN"/>
        </w:rPr>
        <w:t>牙体牙髓</w:t>
      </w:r>
      <w:r>
        <w:rPr>
          <w:rFonts w:hint="eastAsia" w:ascii="黑体" w:hAnsi="黑体" w:eastAsia="黑体"/>
          <w:sz w:val="52"/>
          <w:szCs w:val="52"/>
          <w:lang w:eastAsia="zh-CN"/>
        </w:rPr>
        <w:t xml:space="preserve"> </w:t>
      </w:r>
      <w:r>
        <w:rPr>
          <w:rFonts w:ascii="黑体" w:hAnsi="黑体" w:eastAsia="黑体"/>
          <w:sz w:val="52"/>
          <w:szCs w:val="52"/>
          <w:lang w:eastAsia="zh-CN"/>
        </w:rPr>
        <w:t>数字化临床病例教学系统</w:t>
      </w:r>
    </w:p>
    <w:p>
      <w:pPr>
        <w:kinsoku/>
        <w:spacing w:line="357" w:lineRule="auto"/>
        <w:jc w:val="center"/>
        <w:rPr>
          <w:sz w:val="52"/>
          <w:szCs w:val="52"/>
          <w:lang w:eastAsia="zh-CN"/>
        </w:rPr>
      </w:pPr>
      <w:r>
        <w:rPr>
          <w:rFonts w:ascii="黑体" w:hAnsi="黑体" w:eastAsia="黑体"/>
          <w:sz w:val="52"/>
          <w:szCs w:val="52"/>
          <w:lang w:eastAsia="zh-CN"/>
        </w:rPr>
        <w:t>建设技术规范</w:t>
      </w:r>
    </w:p>
    <w:p>
      <w:pPr>
        <w:kinsoku/>
        <w:spacing w:after="0" w:line="360" w:lineRule="auto"/>
        <w:jc w:val="center"/>
        <w:rPr>
          <w:rFonts w:hint="eastAsia" w:ascii="宋体" w:hAnsi="宋体" w:eastAsia="宋体" w:cs="宋体"/>
          <w:spacing w:val="15"/>
          <w:sz w:val="28"/>
          <w:szCs w:val="28"/>
        </w:rPr>
      </w:pPr>
      <w:r>
        <w:rPr>
          <w:rFonts w:hint="eastAsia" w:ascii="宋体" w:hAnsi="宋体" w:eastAsia="宋体" w:cs="宋体"/>
          <w:spacing w:val="15"/>
          <w:sz w:val="28"/>
          <w:szCs w:val="28"/>
        </w:rPr>
        <w:t xml:space="preserve">Technical </w:t>
      </w:r>
      <w:r>
        <w:rPr>
          <w:rFonts w:hint="eastAsia" w:ascii="宋体" w:hAnsi="宋体" w:eastAsia="宋体" w:cs="宋体"/>
          <w:spacing w:val="15"/>
          <w:sz w:val="28"/>
          <w:szCs w:val="28"/>
          <w:lang w:val="en-US" w:eastAsia="zh-CN"/>
        </w:rPr>
        <w:t>s</w:t>
      </w:r>
      <w:r>
        <w:rPr>
          <w:rFonts w:hint="eastAsia" w:ascii="宋体" w:hAnsi="宋体" w:eastAsia="宋体" w:cs="宋体"/>
          <w:spacing w:val="15"/>
          <w:sz w:val="28"/>
          <w:szCs w:val="28"/>
        </w:rPr>
        <w:t xml:space="preserve">pecifications for </w:t>
      </w:r>
      <w:r>
        <w:rPr>
          <w:rFonts w:hint="eastAsia" w:ascii="宋体" w:hAnsi="宋体" w:eastAsia="宋体" w:cs="宋体"/>
          <w:spacing w:val="15"/>
          <w:sz w:val="28"/>
          <w:szCs w:val="28"/>
          <w:lang w:val="en-US" w:eastAsia="zh-CN"/>
        </w:rPr>
        <w:t>d</w:t>
      </w:r>
      <w:r>
        <w:rPr>
          <w:rFonts w:hint="eastAsia" w:ascii="宋体" w:hAnsi="宋体" w:eastAsia="宋体" w:cs="宋体"/>
          <w:spacing w:val="15"/>
          <w:sz w:val="28"/>
          <w:szCs w:val="28"/>
        </w:rPr>
        <w:t xml:space="preserve">evelopment of </w:t>
      </w:r>
      <w:r>
        <w:rPr>
          <w:rFonts w:hint="eastAsia" w:ascii="宋体" w:hAnsi="宋体" w:eastAsia="宋体" w:cs="宋体"/>
          <w:spacing w:val="15"/>
          <w:sz w:val="28"/>
          <w:szCs w:val="28"/>
          <w:lang w:val="en-US" w:eastAsia="zh-CN"/>
        </w:rPr>
        <w:t>d</w:t>
      </w:r>
      <w:r>
        <w:rPr>
          <w:rFonts w:hint="eastAsia" w:ascii="宋体" w:hAnsi="宋体" w:eastAsia="宋体" w:cs="宋体"/>
          <w:spacing w:val="15"/>
          <w:sz w:val="28"/>
          <w:szCs w:val="28"/>
        </w:rPr>
        <w:t>igital</w:t>
      </w:r>
    </w:p>
    <w:p>
      <w:pPr>
        <w:kinsoku/>
        <w:spacing w:after="0" w:line="360" w:lineRule="auto"/>
        <w:jc w:val="center"/>
        <w:rPr>
          <w:rFonts w:hint="eastAsia" w:ascii="宋体" w:hAnsi="宋体" w:eastAsia="宋体" w:cs="宋体"/>
          <w:spacing w:val="15"/>
          <w:sz w:val="28"/>
          <w:szCs w:val="28"/>
        </w:rPr>
      </w:pPr>
      <w:r>
        <w:rPr>
          <w:rFonts w:hint="eastAsia" w:ascii="宋体" w:hAnsi="宋体" w:eastAsia="宋体" w:cs="宋体"/>
          <w:spacing w:val="15"/>
          <w:sz w:val="28"/>
          <w:szCs w:val="28"/>
        </w:rPr>
        <w:t xml:space="preserve"> </w:t>
      </w:r>
      <w:r>
        <w:rPr>
          <w:rFonts w:hint="eastAsia" w:ascii="宋体" w:hAnsi="宋体" w:eastAsia="宋体" w:cs="宋体"/>
          <w:spacing w:val="15"/>
          <w:sz w:val="28"/>
          <w:szCs w:val="28"/>
          <w:lang w:val="en-US" w:eastAsia="zh-CN"/>
        </w:rPr>
        <w:t>c</w:t>
      </w:r>
      <w:r>
        <w:rPr>
          <w:rFonts w:hint="eastAsia" w:ascii="宋体" w:hAnsi="宋体" w:eastAsia="宋体" w:cs="宋体"/>
          <w:spacing w:val="15"/>
          <w:sz w:val="28"/>
          <w:szCs w:val="28"/>
        </w:rPr>
        <w:t xml:space="preserve">linical </w:t>
      </w:r>
      <w:r>
        <w:rPr>
          <w:rFonts w:hint="eastAsia" w:ascii="宋体" w:hAnsi="宋体" w:eastAsia="宋体" w:cs="宋体"/>
          <w:spacing w:val="15"/>
          <w:sz w:val="28"/>
          <w:szCs w:val="28"/>
          <w:lang w:val="en-US" w:eastAsia="zh-CN"/>
        </w:rPr>
        <w:t>c</w:t>
      </w:r>
      <w:r>
        <w:rPr>
          <w:rFonts w:hint="eastAsia" w:ascii="宋体" w:hAnsi="宋体" w:eastAsia="宋体" w:cs="宋体"/>
          <w:spacing w:val="15"/>
          <w:sz w:val="28"/>
          <w:szCs w:val="28"/>
        </w:rPr>
        <w:t xml:space="preserve">ase </w:t>
      </w:r>
      <w:r>
        <w:rPr>
          <w:rFonts w:hint="eastAsia" w:ascii="宋体" w:hAnsi="宋体" w:eastAsia="宋体" w:cs="宋体"/>
          <w:spacing w:val="15"/>
          <w:sz w:val="28"/>
          <w:szCs w:val="28"/>
          <w:lang w:val="en-US" w:eastAsia="zh-CN"/>
        </w:rPr>
        <w:t>t</w:t>
      </w:r>
      <w:r>
        <w:rPr>
          <w:rFonts w:hint="eastAsia" w:ascii="宋体" w:hAnsi="宋体" w:eastAsia="宋体" w:cs="宋体"/>
          <w:spacing w:val="15"/>
          <w:sz w:val="28"/>
          <w:szCs w:val="28"/>
        </w:rPr>
        <w:t xml:space="preserve">eaching </w:t>
      </w:r>
      <w:r>
        <w:rPr>
          <w:rFonts w:hint="eastAsia" w:ascii="宋体" w:hAnsi="宋体" w:eastAsia="宋体" w:cs="宋体"/>
          <w:spacing w:val="15"/>
          <w:sz w:val="28"/>
          <w:szCs w:val="28"/>
          <w:lang w:val="en-US" w:eastAsia="zh-CN"/>
        </w:rPr>
        <w:t>s</w:t>
      </w:r>
      <w:r>
        <w:rPr>
          <w:rFonts w:hint="eastAsia" w:ascii="宋体" w:hAnsi="宋体" w:eastAsia="宋体" w:cs="宋体"/>
          <w:spacing w:val="15"/>
          <w:sz w:val="28"/>
          <w:szCs w:val="28"/>
        </w:rPr>
        <w:t xml:space="preserve">ystem in </w:t>
      </w:r>
      <w:r>
        <w:rPr>
          <w:rFonts w:hint="eastAsia" w:ascii="宋体" w:hAnsi="宋体" w:eastAsia="宋体" w:cs="宋体"/>
          <w:spacing w:val="15"/>
          <w:sz w:val="28"/>
          <w:szCs w:val="28"/>
          <w:lang w:val="en-US" w:eastAsia="zh-CN"/>
        </w:rPr>
        <w:t>o</w:t>
      </w:r>
      <w:r>
        <w:rPr>
          <w:rFonts w:hint="eastAsia" w:ascii="宋体" w:hAnsi="宋体" w:eastAsia="宋体" w:cs="宋体"/>
          <w:spacing w:val="15"/>
          <w:sz w:val="28"/>
          <w:szCs w:val="28"/>
        </w:rPr>
        <w:t xml:space="preserve">perative </w:t>
      </w:r>
    </w:p>
    <w:p>
      <w:pPr>
        <w:kinsoku/>
        <w:spacing w:after="0" w:line="360" w:lineRule="auto"/>
        <w:jc w:val="center"/>
        <w:rPr>
          <w:rFonts w:hint="eastAsia" w:ascii="宋体" w:hAnsi="宋体" w:eastAsia="宋体" w:cs="宋体"/>
          <w:spacing w:val="15"/>
          <w:sz w:val="28"/>
          <w:szCs w:val="28"/>
          <w:lang w:eastAsia="zh-CN"/>
        </w:rPr>
      </w:pPr>
      <w:r>
        <w:rPr>
          <w:rFonts w:hint="eastAsia" w:ascii="宋体" w:hAnsi="宋体" w:eastAsia="宋体" w:cs="宋体"/>
          <w:spacing w:val="15"/>
          <w:sz w:val="28"/>
          <w:szCs w:val="28"/>
          <w:lang w:val="en-US" w:eastAsia="zh-CN"/>
        </w:rPr>
        <w:t>d</w:t>
      </w:r>
      <w:r>
        <w:rPr>
          <w:rFonts w:hint="eastAsia" w:ascii="宋体" w:hAnsi="宋体" w:eastAsia="宋体" w:cs="宋体"/>
          <w:spacing w:val="15"/>
          <w:sz w:val="28"/>
          <w:szCs w:val="28"/>
        </w:rPr>
        <w:t xml:space="preserve">entistry and </w:t>
      </w:r>
      <w:r>
        <w:rPr>
          <w:rFonts w:hint="eastAsia" w:ascii="宋体" w:hAnsi="宋体" w:eastAsia="宋体" w:cs="宋体"/>
          <w:spacing w:val="15"/>
          <w:sz w:val="28"/>
          <w:szCs w:val="28"/>
          <w:lang w:val="en-US" w:eastAsia="zh-CN"/>
        </w:rPr>
        <w:t>e</w:t>
      </w:r>
      <w:r>
        <w:rPr>
          <w:rFonts w:hint="eastAsia" w:ascii="宋体" w:hAnsi="宋体" w:eastAsia="宋体" w:cs="宋体"/>
          <w:spacing w:val="15"/>
          <w:sz w:val="28"/>
          <w:szCs w:val="28"/>
        </w:rPr>
        <w:t>ndodontics</w:t>
      </w:r>
    </w:p>
    <w:p>
      <w:pPr>
        <w:pStyle w:val="8"/>
        <w:spacing w:before="68" w:line="219" w:lineRule="auto"/>
        <w:jc w:val="center"/>
        <w:rPr>
          <w:rFonts w:hint="eastAsia" w:ascii="宋体" w:hAnsi="宋体" w:eastAsia="宋体" w:cs="宋体"/>
          <w:spacing w:val="0"/>
          <w:sz w:val="21"/>
          <w:szCs w:val="21"/>
          <w:lang w:eastAsia="zh-CN"/>
        </w:rPr>
      </w:pPr>
    </w:p>
    <w:p>
      <w:pPr>
        <w:pStyle w:val="8"/>
        <w:spacing w:before="68" w:line="219" w:lineRule="auto"/>
        <w:jc w:val="center"/>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 xml:space="preserve">( </w:t>
      </w:r>
      <w:r>
        <w:rPr>
          <w:rFonts w:hint="eastAsia" w:ascii="宋体" w:hAnsi="宋体" w:eastAsia="宋体" w:cs="宋体"/>
          <w:spacing w:val="0"/>
          <w:sz w:val="21"/>
          <w:szCs w:val="21"/>
          <w:lang w:val="en-US" w:eastAsia="zh-CN"/>
        </w:rPr>
        <w:t>征求意见</w:t>
      </w:r>
      <w:r>
        <w:rPr>
          <w:rFonts w:hint="eastAsia" w:ascii="宋体" w:hAnsi="宋体" w:eastAsia="宋体" w:cs="宋体"/>
          <w:spacing w:val="0"/>
          <w:sz w:val="21"/>
          <w:szCs w:val="21"/>
          <w:lang w:eastAsia="zh-CN"/>
        </w:rPr>
        <w:t>稿 )</w:t>
      </w:r>
    </w:p>
    <w:p>
      <w:pPr>
        <w:pStyle w:val="8"/>
        <w:spacing w:before="68" w:line="219" w:lineRule="auto"/>
        <w:jc w:val="center"/>
        <w:rPr>
          <w:rFonts w:hint="eastAsia" w:asciiTheme="majorEastAsia" w:hAnsiTheme="majorEastAsia" w:eastAsiaTheme="majorEastAsia" w:cstheme="majorEastAsia"/>
          <w:spacing w:val="0"/>
          <w:sz w:val="21"/>
          <w:szCs w:val="21"/>
          <w:lang w:eastAsia="zh-CN"/>
        </w:rPr>
      </w:pPr>
    </w:p>
    <w:p>
      <w:pPr>
        <w:ind w:firstLine="1470" w:firstLineChars="700"/>
        <w:rPr>
          <w:rFonts w:hint="eastAsia" w:ascii="宋体" w:hAnsi="宋体" w:eastAsia="宋体" w:cs="宋体"/>
          <w:sz w:val="21"/>
          <w:szCs w:val="21"/>
        </w:rPr>
      </w:pPr>
      <w:r>
        <w:rPr>
          <w:rFonts w:hint="eastAsia" w:ascii="宋体" w:hAnsi="宋体" w:eastAsia="宋体" w:cs="宋体"/>
          <w:sz w:val="21"/>
          <w:szCs w:val="21"/>
        </w:rPr>
        <w:t>(在提交反馈意见时，请将您提交的专利连同政策性文件一并附上)</w:t>
      </w:r>
    </w:p>
    <w:p>
      <w:pPr>
        <w:kinsoku/>
        <w:spacing w:line="261" w:lineRule="auto"/>
        <w:rPr>
          <w:lang w:eastAsia="zh-CN"/>
        </w:rPr>
      </w:pPr>
    </w:p>
    <w:p>
      <w:pPr>
        <w:kinsoku/>
        <w:spacing w:line="261" w:lineRule="auto"/>
        <w:rPr>
          <w:lang w:eastAsia="zh-CN"/>
        </w:rPr>
      </w:pPr>
    </w:p>
    <w:p>
      <w:pPr>
        <w:kinsoku/>
        <w:spacing w:line="261" w:lineRule="auto"/>
        <w:rPr>
          <w:lang w:eastAsia="zh-CN"/>
        </w:rPr>
      </w:pPr>
    </w:p>
    <w:p>
      <w:pPr>
        <w:kinsoku/>
        <w:spacing w:line="261" w:lineRule="auto"/>
        <w:rPr>
          <w:lang w:eastAsia="zh-CN"/>
        </w:rPr>
      </w:pPr>
    </w:p>
    <w:p>
      <w:pPr>
        <w:pStyle w:val="8"/>
        <w:kinsoku/>
        <w:spacing w:before="92" w:line="232" w:lineRule="auto"/>
        <w:ind w:left="613"/>
        <w:rPr>
          <w:rFonts w:hint="eastAsia"/>
          <w:sz w:val="28"/>
          <w:szCs w:val="28"/>
          <w:lang w:eastAsia="zh-CN"/>
        </w:rPr>
      </w:pPr>
      <w:r>
        <w:rPr>
          <w:rFonts w:ascii="Times New Roman" w:hAnsi="Times New Roman" w:eastAsia="Times New Roman" w:cs="Times New Roman"/>
          <w:sz w:val="28"/>
          <w:szCs w:val="28"/>
          <w:lang w:eastAsia="zh-CN"/>
        </w:rPr>
        <w:t xml:space="preserve">20XX-XX-XX </w:t>
      </w:r>
      <w:r>
        <w:rPr>
          <w:sz w:val="28"/>
          <w:szCs w:val="28"/>
          <w:lang w:eastAsia="zh-CN"/>
        </w:rPr>
        <w:t>发布</w:t>
      </w:r>
      <w:r>
        <w:rPr>
          <w:spacing w:val="2"/>
          <w:sz w:val="28"/>
          <w:szCs w:val="28"/>
          <w:lang w:eastAsia="zh-CN"/>
        </w:rPr>
        <w:t xml:space="preserve">                        </w:t>
      </w:r>
      <w:r>
        <w:rPr>
          <w:rFonts w:ascii="Times New Roman" w:hAnsi="Times New Roman" w:eastAsia="Times New Roman" w:cs="Times New Roman"/>
          <w:sz w:val="28"/>
          <w:szCs w:val="28"/>
          <w:lang w:eastAsia="zh-CN"/>
        </w:rPr>
        <w:t>20XX-XX-X</w:t>
      </w:r>
      <w:r>
        <w:rPr>
          <w:rFonts w:ascii="Times New Roman" w:hAnsi="Times New Roman" w:eastAsia="Times New Roman" w:cs="Times New Roman"/>
          <w:spacing w:val="-1"/>
          <w:sz w:val="28"/>
          <w:szCs w:val="28"/>
          <w:lang w:eastAsia="zh-CN"/>
        </w:rPr>
        <w:t xml:space="preserve">X </w:t>
      </w:r>
      <w:r>
        <w:rPr>
          <w:spacing w:val="-1"/>
          <w:sz w:val="28"/>
          <w:szCs w:val="28"/>
          <w:lang w:eastAsia="zh-CN"/>
        </w:rPr>
        <w:t>实施</w:t>
      </w:r>
    </w:p>
    <w:p>
      <w:pPr>
        <w:kinsoku/>
        <w:spacing w:line="308" w:lineRule="auto"/>
        <w:rPr>
          <w:lang w:eastAsia="zh-CN"/>
        </w:rPr>
      </w:pPr>
      <w:r>
        <mc:AlternateContent>
          <mc:Choice Requires="wps">
            <w:drawing>
              <wp:anchor distT="0" distB="0" distL="114300" distR="114300" simplePos="0" relativeHeight="251658240" behindDoc="0" locked="0" layoutInCell="1" allowOverlap="1">
                <wp:simplePos x="0" y="0"/>
                <wp:positionH relativeFrom="column">
                  <wp:posOffset>179705</wp:posOffset>
                </wp:positionH>
                <wp:positionV relativeFrom="paragraph">
                  <wp:posOffset>36195</wp:posOffset>
                </wp:positionV>
                <wp:extent cx="5486400" cy="9525"/>
                <wp:effectExtent l="7620" t="6985" r="11430" b="2540"/>
                <wp:wrapNone/>
                <wp:docPr id="120360509" name="Freeform -1020"/>
                <wp:cNvGraphicFramePr/>
                <a:graphic xmlns:a="http://schemas.openxmlformats.org/drawingml/2006/main">
                  <a:graphicData uri="http://schemas.microsoft.com/office/word/2010/wordprocessingShape">
                    <wps:wsp>
                      <wps:cNvSpPr>
                        <a:spLocks noChangeArrowheads="1"/>
                      </wps:cNvSpPr>
                      <wps:spPr bwMode="auto">
                        <a:xfrm>
                          <a:off x="0" y="0"/>
                          <a:ext cx="5486400" cy="9525"/>
                        </a:xfrm>
                        <a:custGeom>
                          <a:avLst/>
                          <a:gdLst>
                            <a:gd name="T0" fmla="*/ 0 w 8640"/>
                            <a:gd name="T1" fmla="*/ 7 h 15"/>
                            <a:gd name="T2" fmla="*/ 8640 w 8640"/>
                            <a:gd name="T3" fmla="*/ 7 h 15"/>
                          </a:gdLst>
                          <a:ahLst/>
                          <a:cxnLst>
                            <a:cxn ang="0">
                              <a:pos x="T0" y="T1"/>
                            </a:cxn>
                            <a:cxn ang="0">
                              <a:pos x="T2" y="T3"/>
                            </a:cxn>
                          </a:cxnLst>
                          <a:rect l="0" t="0" r="r" b="b"/>
                          <a:pathLst>
                            <a:path w="8640" h="15">
                              <a:moveTo>
                                <a:pt x="0" y="7"/>
                              </a:moveTo>
                              <a:lnTo>
                                <a:pt x="8640" y="7"/>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Freeform -1020" o:spid="_x0000_s1026" o:spt="100" style="position:absolute;left:0pt;margin-left:14.15pt;margin-top:2.85pt;height:0.75pt;width:432pt;z-index:251658240;mso-width-relative:page;mso-height-relative:page;" filled="f" stroked="t" coordsize="8640,15" o:gfxdata="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RpsTW1gAAAAYBAAAPAAAAAAAAAAEAIAAAACIAAABkcnMvZG93bnJl&#10;di54bWxQSwECFAAUAAAACACHTuJAitlIT6oCAACuBQAADgAAAAAAAAABACAAAAAlAQAAZHJzL2Uy&#10;b0RvYy54bWxQSwUGAAAAAAYABgBZAQAAQQYAAAAA&#10;" path="m0,7l8640,7e">
                <v:path o:connectlocs="0,4445;5486400,4445" o:connectangles="0,0"/>
                <v:fill on="f" focussize="0,0"/>
                <v:stroke color="#000000" joinstyle="round"/>
                <v:imagedata o:title=""/>
                <o:lock v:ext="edit" aspectratio="f"/>
              </v:shape>
            </w:pict>
          </mc:Fallback>
        </mc:AlternateContent>
      </w:r>
    </w:p>
    <w:p>
      <w:pPr>
        <w:pStyle w:val="8"/>
        <w:kinsoku/>
        <w:spacing w:before="101" w:line="190" w:lineRule="auto"/>
        <w:ind w:left="1923"/>
        <w:rPr>
          <w:rFonts w:hint="eastAsia"/>
          <w:sz w:val="28"/>
          <w:szCs w:val="28"/>
          <w:lang w:eastAsia="zh-CN"/>
        </w:rPr>
        <w:sectPr>
          <w:type w:val="continuous"/>
          <w:pgSz w:w="11907" w:h="16839"/>
          <w:pgMar w:top="1416" w:right="1141" w:bottom="0" w:left="1334" w:header="0" w:footer="0" w:gutter="0"/>
          <w:cols w:equalWidth="0" w:num="1">
            <w:col w:w="9431"/>
          </w:cols>
        </w:sectPr>
      </w:pPr>
      <w:r>
        <w:rPr>
          <w:rFonts w:ascii="宋体" w:hAnsi="宋体" w:eastAsia="宋体" w:cs="宋体"/>
          <w:b/>
          <w:bCs/>
          <w:spacing w:val="-12"/>
          <w:sz w:val="31"/>
          <w:szCs w:val="31"/>
          <w:lang w:eastAsia="zh-CN"/>
        </w:rPr>
        <w:t>中</w:t>
      </w:r>
      <w:r>
        <w:rPr>
          <w:rFonts w:ascii="宋体" w:hAnsi="宋体" w:eastAsia="宋体" w:cs="宋体"/>
          <w:spacing w:val="-12"/>
          <w:sz w:val="31"/>
          <w:szCs w:val="31"/>
          <w:lang w:eastAsia="zh-CN"/>
        </w:rPr>
        <w:t xml:space="preserve"> </w:t>
      </w:r>
      <w:r>
        <w:rPr>
          <w:rFonts w:ascii="宋体" w:hAnsi="宋体" w:eastAsia="宋体" w:cs="宋体"/>
          <w:b/>
          <w:bCs/>
          <w:spacing w:val="-12"/>
          <w:sz w:val="31"/>
          <w:szCs w:val="31"/>
          <w:lang w:eastAsia="zh-CN"/>
        </w:rPr>
        <w:t>国</w:t>
      </w:r>
      <w:r>
        <w:rPr>
          <w:rFonts w:ascii="宋体" w:hAnsi="宋体" w:eastAsia="宋体" w:cs="宋体"/>
          <w:spacing w:val="-12"/>
          <w:sz w:val="31"/>
          <w:szCs w:val="31"/>
          <w:lang w:eastAsia="zh-CN"/>
        </w:rPr>
        <w:t xml:space="preserve"> </w:t>
      </w:r>
      <w:r>
        <w:rPr>
          <w:rFonts w:ascii="宋体" w:hAnsi="宋体" w:eastAsia="宋体" w:cs="宋体"/>
          <w:b/>
          <w:bCs/>
          <w:spacing w:val="-12"/>
          <w:sz w:val="31"/>
          <w:szCs w:val="31"/>
          <w:lang w:eastAsia="zh-CN"/>
        </w:rPr>
        <w:t>产</w:t>
      </w:r>
      <w:r>
        <w:rPr>
          <w:rFonts w:ascii="宋体" w:hAnsi="宋体" w:eastAsia="宋体" w:cs="宋体"/>
          <w:spacing w:val="-12"/>
          <w:sz w:val="31"/>
          <w:szCs w:val="31"/>
          <w:lang w:eastAsia="zh-CN"/>
        </w:rPr>
        <w:t xml:space="preserve"> </w:t>
      </w:r>
      <w:r>
        <w:rPr>
          <w:rFonts w:ascii="宋体" w:hAnsi="宋体" w:eastAsia="宋体" w:cs="宋体"/>
          <w:b/>
          <w:bCs/>
          <w:spacing w:val="-12"/>
          <w:sz w:val="31"/>
          <w:szCs w:val="31"/>
          <w:lang w:eastAsia="zh-CN"/>
        </w:rPr>
        <w:t>学</w:t>
      </w:r>
      <w:r>
        <w:rPr>
          <w:rFonts w:ascii="宋体" w:hAnsi="宋体" w:eastAsia="宋体" w:cs="宋体"/>
          <w:spacing w:val="-12"/>
          <w:sz w:val="31"/>
          <w:szCs w:val="31"/>
          <w:lang w:eastAsia="zh-CN"/>
        </w:rPr>
        <w:t xml:space="preserve"> </w:t>
      </w:r>
      <w:r>
        <w:rPr>
          <w:rFonts w:ascii="宋体" w:hAnsi="宋体" w:eastAsia="宋体" w:cs="宋体"/>
          <w:b/>
          <w:bCs/>
          <w:spacing w:val="-12"/>
          <w:sz w:val="31"/>
          <w:szCs w:val="31"/>
          <w:lang w:eastAsia="zh-CN"/>
        </w:rPr>
        <w:t>研</w:t>
      </w:r>
      <w:r>
        <w:rPr>
          <w:rFonts w:ascii="宋体" w:hAnsi="宋体" w:eastAsia="宋体" w:cs="宋体"/>
          <w:spacing w:val="-21"/>
          <w:sz w:val="31"/>
          <w:szCs w:val="31"/>
          <w:lang w:eastAsia="zh-CN"/>
        </w:rPr>
        <w:t xml:space="preserve"> </w:t>
      </w:r>
      <w:r>
        <w:rPr>
          <w:rFonts w:ascii="宋体" w:hAnsi="宋体" w:eastAsia="宋体" w:cs="宋体"/>
          <w:b/>
          <w:bCs/>
          <w:spacing w:val="-12"/>
          <w:sz w:val="31"/>
          <w:szCs w:val="31"/>
          <w:lang w:eastAsia="zh-CN"/>
        </w:rPr>
        <w:t>合</w:t>
      </w:r>
      <w:r>
        <w:rPr>
          <w:rFonts w:ascii="宋体" w:hAnsi="宋体" w:eastAsia="宋体" w:cs="宋体"/>
          <w:spacing w:val="-19"/>
          <w:sz w:val="31"/>
          <w:szCs w:val="31"/>
          <w:lang w:eastAsia="zh-CN"/>
        </w:rPr>
        <w:t xml:space="preserve"> </w:t>
      </w:r>
      <w:r>
        <w:rPr>
          <w:rFonts w:ascii="宋体" w:hAnsi="宋体" w:eastAsia="宋体" w:cs="宋体"/>
          <w:b/>
          <w:bCs/>
          <w:spacing w:val="-12"/>
          <w:sz w:val="31"/>
          <w:szCs w:val="31"/>
          <w:lang w:eastAsia="zh-CN"/>
        </w:rPr>
        <w:t>作</w:t>
      </w:r>
      <w:r>
        <w:rPr>
          <w:rFonts w:ascii="宋体" w:hAnsi="宋体" w:eastAsia="宋体" w:cs="宋体"/>
          <w:spacing w:val="-20"/>
          <w:sz w:val="31"/>
          <w:szCs w:val="31"/>
          <w:lang w:eastAsia="zh-CN"/>
        </w:rPr>
        <w:t xml:space="preserve"> </w:t>
      </w:r>
      <w:r>
        <w:rPr>
          <w:rFonts w:ascii="宋体" w:hAnsi="宋体" w:eastAsia="宋体" w:cs="宋体"/>
          <w:b/>
          <w:bCs/>
          <w:spacing w:val="-12"/>
          <w:sz w:val="31"/>
          <w:szCs w:val="31"/>
          <w:lang w:eastAsia="zh-CN"/>
        </w:rPr>
        <w:t>促</w:t>
      </w:r>
      <w:r>
        <w:rPr>
          <w:rFonts w:ascii="宋体" w:hAnsi="宋体" w:eastAsia="宋体" w:cs="宋体"/>
          <w:spacing w:val="-23"/>
          <w:sz w:val="31"/>
          <w:szCs w:val="31"/>
          <w:lang w:eastAsia="zh-CN"/>
        </w:rPr>
        <w:t xml:space="preserve"> </w:t>
      </w:r>
      <w:r>
        <w:rPr>
          <w:rFonts w:ascii="宋体" w:hAnsi="宋体" w:eastAsia="宋体" w:cs="宋体"/>
          <w:b/>
          <w:bCs/>
          <w:spacing w:val="-12"/>
          <w:sz w:val="31"/>
          <w:szCs w:val="31"/>
          <w:lang w:eastAsia="zh-CN"/>
        </w:rPr>
        <w:t>进</w:t>
      </w:r>
      <w:r>
        <w:rPr>
          <w:rFonts w:ascii="宋体" w:hAnsi="宋体" w:eastAsia="宋体" w:cs="宋体"/>
          <w:spacing w:val="-22"/>
          <w:sz w:val="31"/>
          <w:szCs w:val="31"/>
          <w:lang w:eastAsia="zh-CN"/>
        </w:rPr>
        <w:t xml:space="preserve"> </w:t>
      </w:r>
      <w:r>
        <w:rPr>
          <w:rFonts w:ascii="宋体" w:hAnsi="宋体" w:eastAsia="宋体" w:cs="宋体"/>
          <w:b/>
          <w:bCs/>
          <w:spacing w:val="-12"/>
          <w:sz w:val="31"/>
          <w:szCs w:val="31"/>
          <w:lang w:eastAsia="zh-CN"/>
        </w:rPr>
        <w:t>会</w:t>
      </w:r>
      <w:r>
        <w:rPr>
          <w:rFonts w:ascii="宋体" w:hAnsi="宋体" w:eastAsia="宋体" w:cs="宋体"/>
          <w:spacing w:val="144"/>
          <w:sz w:val="31"/>
          <w:szCs w:val="31"/>
          <w:lang w:eastAsia="zh-CN"/>
        </w:rPr>
        <w:t xml:space="preserve"> </w:t>
      </w:r>
      <w:r>
        <w:rPr>
          <w:spacing w:val="-12"/>
          <w:position w:val="2"/>
          <w:sz w:val="28"/>
          <w:szCs w:val="28"/>
          <w:lang w:eastAsia="zh-CN"/>
        </w:rPr>
        <w:t>发</w:t>
      </w:r>
      <w:r>
        <w:rPr>
          <w:spacing w:val="37"/>
          <w:position w:val="2"/>
          <w:sz w:val="28"/>
          <w:szCs w:val="28"/>
          <w:lang w:eastAsia="zh-CN"/>
        </w:rPr>
        <w:t xml:space="preserve"> </w:t>
      </w:r>
      <w:r>
        <w:rPr>
          <w:spacing w:val="-12"/>
          <w:position w:val="2"/>
          <w:sz w:val="28"/>
          <w:szCs w:val="28"/>
          <w:lang w:eastAsia="zh-CN"/>
        </w:rPr>
        <w:t>布</w:t>
      </w:r>
      <w:bookmarkEnd w:id="0"/>
    </w:p>
    <w:p>
      <w:pPr>
        <w:kinsoku/>
        <w:rPr>
          <w:lang w:eastAsia="zh-CN"/>
        </w:rPr>
        <w:sectPr>
          <w:headerReference r:id="rId4" w:type="default"/>
          <w:footerReference r:id="rId5" w:type="default"/>
          <w:pgSz w:w="11907" w:h="16839"/>
          <w:pgMar w:top="0" w:right="0" w:bottom="0" w:left="0" w:header="0" w:footer="0" w:gutter="0"/>
          <w:cols w:space="720" w:num="1"/>
        </w:sectPr>
      </w:pPr>
    </w:p>
    <w:p>
      <w:pPr>
        <w:kinsoku/>
        <w:spacing w:line="287" w:lineRule="auto"/>
        <w:rPr>
          <w:lang w:eastAsia="zh-CN"/>
        </w:rPr>
      </w:pPr>
    </w:p>
    <w:p>
      <w:pPr>
        <w:kinsoku/>
        <w:spacing w:line="287" w:lineRule="auto"/>
        <w:rPr>
          <w:lang w:eastAsia="zh-CN"/>
        </w:rPr>
      </w:pPr>
    </w:p>
    <w:p>
      <w:pPr>
        <w:kinsoku/>
        <w:spacing w:line="288" w:lineRule="auto"/>
        <w:rPr>
          <w:lang w:eastAsia="zh-CN"/>
        </w:rPr>
      </w:pPr>
    </w:p>
    <w:p>
      <w:pPr>
        <w:kinsoku/>
        <w:spacing w:before="78" w:line="1280" w:lineRule="exact"/>
        <w:ind w:left="14"/>
        <w:rPr>
          <w:rFonts w:hint="eastAsia" w:ascii="宋体" w:hAnsi="宋体" w:eastAsia="宋体" w:cs="宋体"/>
          <w:sz w:val="24"/>
          <w:szCs w:val="24"/>
          <w:lang w:eastAsia="zh-CN"/>
        </w:rPr>
      </w:pPr>
      <w:r>
        <w:rPr>
          <w:rFonts w:ascii="宋体" w:hAnsi="宋体" w:eastAsia="宋体" w:cs="宋体"/>
          <w:position w:val="-20"/>
          <w:sz w:val="24"/>
          <w:szCs w:val="24"/>
        </w:rPr>
        <w:drawing>
          <wp:inline distT="0" distB="0" distL="0" distR="0">
            <wp:extent cx="803275" cy="7620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803275" cy="762634"/>
                    </a:xfrm>
                    <a:prstGeom prst="rect">
                      <a:avLst/>
                    </a:prstGeom>
                  </pic:spPr>
                </pic:pic>
              </a:graphicData>
            </a:graphic>
          </wp:inline>
        </w:drawing>
      </w:r>
      <w:r>
        <w:rPr>
          <w:rFonts w:ascii="宋体" w:hAnsi="宋体" w:eastAsia="宋体" w:cs="宋体"/>
          <w:spacing w:val="12"/>
          <w:position w:val="-20"/>
          <w:sz w:val="24"/>
          <w:szCs w:val="24"/>
          <w:lang w:eastAsia="zh-CN"/>
        </w:rPr>
        <w:t xml:space="preserve"> </w:t>
      </w:r>
      <w:r>
        <w:rPr>
          <w:rFonts w:ascii="宋体" w:hAnsi="宋体" w:eastAsia="宋体" w:cs="宋体"/>
          <w:spacing w:val="-2"/>
          <w:position w:val="-20"/>
          <w:sz w:val="24"/>
          <w:szCs w:val="24"/>
          <w:lang w:eastAsia="zh-CN"/>
        </w:rPr>
        <w:t>版权保护文件</w:t>
      </w:r>
    </w:p>
    <w:p>
      <w:pPr>
        <w:kinsoku/>
        <w:spacing w:line="278" w:lineRule="auto"/>
        <w:rPr>
          <w:lang w:eastAsia="zh-CN"/>
        </w:rPr>
      </w:pPr>
    </w:p>
    <w:p>
      <w:pPr>
        <w:kinsoku/>
        <w:spacing w:before="78" w:line="279" w:lineRule="auto"/>
        <w:ind w:left="22" w:right="12" w:firstLine="1"/>
        <w:jc w:val="both"/>
        <w:rPr>
          <w:rFonts w:hint="eastAsia" w:ascii="宋体" w:hAnsi="宋体" w:eastAsia="宋体" w:cs="宋体"/>
          <w:sz w:val="24"/>
          <w:szCs w:val="24"/>
          <w:lang w:eastAsia="zh-CN"/>
        </w:rPr>
      </w:pPr>
      <w:r>
        <w:rPr>
          <w:rFonts w:ascii="宋体" w:hAnsi="宋体" w:eastAsia="宋体" w:cs="宋体"/>
          <w:spacing w:val="-6"/>
          <w:sz w:val="24"/>
          <w:szCs w:val="24"/>
          <w:lang w:eastAsia="zh-CN"/>
        </w:rPr>
        <w:t>版权所有归属于该标准的发布机构。除非有其他规定</w:t>
      </w:r>
      <w:r>
        <w:rPr>
          <w:rFonts w:hint="eastAsia" w:ascii="宋体" w:hAnsi="宋体" w:eastAsia="宋体" w:cs="宋体"/>
          <w:spacing w:val="-6"/>
          <w:sz w:val="24"/>
          <w:szCs w:val="24"/>
          <w:lang w:eastAsia="zh-CN"/>
        </w:rPr>
        <w:t>，</w:t>
      </w:r>
      <w:r>
        <w:rPr>
          <w:rFonts w:ascii="宋体" w:hAnsi="宋体" w:eastAsia="宋体" w:cs="宋体"/>
          <w:spacing w:val="-6"/>
          <w:sz w:val="24"/>
          <w:szCs w:val="24"/>
          <w:lang w:eastAsia="zh-CN"/>
        </w:rPr>
        <w:t>否则未</w:t>
      </w:r>
      <w:r>
        <w:rPr>
          <w:rFonts w:ascii="宋体" w:hAnsi="宋体" w:eastAsia="宋体" w:cs="宋体"/>
          <w:spacing w:val="-7"/>
          <w:sz w:val="24"/>
          <w:szCs w:val="24"/>
          <w:lang w:eastAsia="zh-CN"/>
        </w:rPr>
        <w:t>经许可，此发行物</w:t>
      </w:r>
      <w:r>
        <w:rPr>
          <w:rFonts w:ascii="宋体" w:hAnsi="宋体" w:eastAsia="宋体" w:cs="宋体"/>
          <w:spacing w:val="-6"/>
          <w:sz w:val="24"/>
          <w:szCs w:val="24"/>
          <w:lang w:eastAsia="zh-CN"/>
        </w:rPr>
        <w:t>及其章节不得以其他形式或任何手段进行复制、再版或使用</w:t>
      </w:r>
      <w:r>
        <w:rPr>
          <w:rFonts w:hint="eastAsia" w:ascii="宋体" w:hAnsi="宋体" w:eastAsia="宋体" w:cs="宋体"/>
          <w:spacing w:val="-6"/>
          <w:sz w:val="24"/>
          <w:szCs w:val="24"/>
          <w:lang w:eastAsia="zh-CN"/>
        </w:rPr>
        <w:t>，</w:t>
      </w:r>
      <w:r>
        <w:rPr>
          <w:rFonts w:ascii="宋体" w:hAnsi="宋体" w:eastAsia="宋体" w:cs="宋体"/>
          <w:spacing w:val="-6"/>
          <w:sz w:val="24"/>
          <w:szCs w:val="24"/>
          <w:lang w:eastAsia="zh-CN"/>
        </w:rPr>
        <w:t>包</w:t>
      </w:r>
      <w:r>
        <w:rPr>
          <w:rFonts w:ascii="宋体" w:hAnsi="宋体" w:eastAsia="宋体" w:cs="宋体"/>
          <w:spacing w:val="-7"/>
          <w:sz w:val="24"/>
          <w:szCs w:val="24"/>
          <w:lang w:eastAsia="zh-CN"/>
        </w:rPr>
        <w:t>括电子版，影印</w:t>
      </w:r>
      <w:r>
        <w:rPr>
          <w:rFonts w:ascii="宋体" w:hAnsi="宋体" w:eastAsia="宋体" w:cs="宋体"/>
          <w:spacing w:val="-1"/>
          <w:sz w:val="24"/>
          <w:szCs w:val="24"/>
          <w:lang w:eastAsia="zh-CN"/>
        </w:rPr>
        <w:t>件，或发布在互联网及内部网络等。使用许可可于发布机构获取</w:t>
      </w:r>
    </w:p>
    <w:p>
      <w:pPr>
        <w:kinsoku/>
        <w:spacing w:line="279" w:lineRule="auto"/>
        <w:rPr>
          <w:rFonts w:hint="eastAsia" w:ascii="宋体" w:hAnsi="宋体" w:eastAsia="宋体" w:cs="宋体"/>
          <w:spacing w:val="-1"/>
          <w:sz w:val="24"/>
          <w:szCs w:val="24"/>
          <w:lang w:eastAsia="zh-CN"/>
        </w:rPr>
      </w:pPr>
    </w:p>
    <w:p>
      <w:pPr>
        <w:kinsoku/>
        <w:rPr>
          <w:rFonts w:hint="eastAsia" w:ascii="宋体" w:hAnsi="宋体" w:eastAsia="宋体" w:cs="宋体"/>
          <w:sz w:val="24"/>
          <w:szCs w:val="24"/>
          <w:lang w:eastAsia="zh-CN"/>
        </w:rPr>
      </w:pPr>
    </w:p>
    <w:p>
      <w:pPr>
        <w:kinsoku/>
        <w:rPr>
          <w:rFonts w:hint="eastAsia" w:ascii="宋体" w:hAnsi="宋体" w:eastAsia="宋体" w:cs="宋体"/>
          <w:sz w:val="24"/>
          <w:szCs w:val="24"/>
          <w:lang w:eastAsia="zh-CN"/>
        </w:rPr>
        <w:sectPr>
          <w:headerReference r:id="rId6" w:type="default"/>
          <w:footerReference r:id="rId7" w:type="default"/>
          <w:pgSz w:w="11907" w:h="16839"/>
          <w:pgMar w:top="1160" w:right="1785" w:bottom="1781" w:left="1785" w:header="835" w:footer="1553" w:gutter="0"/>
          <w:cols w:space="720" w:num="1"/>
        </w:sectPr>
      </w:pPr>
    </w:p>
    <w:p>
      <w:pPr>
        <w:kinsoku/>
        <w:rPr>
          <w:rFonts w:hint="eastAsia" w:ascii="宋体" w:hAnsi="宋体" w:eastAsia="宋体" w:cs="宋体"/>
          <w:sz w:val="24"/>
          <w:szCs w:val="24"/>
          <w:lang w:eastAsia="zh-CN"/>
        </w:rPr>
        <w:sectPr>
          <w:headerReference r:id="rId8" w:type="default"/>
          <w:pgSz w:w="11907" w:h="16839"/>
          <w:pgMar w:top="1160" w:right="1785" w:bottom="1781" w:left="1785" w:header="835" w:footer="1553" w:gutter="0"/>
          <w:cols w:space="720" w:num="1"/>
        </w:sectPr>
      </w:pPr>
    </w:p>
    <w:p>
      <w:pPr>
        <w:kinsoku/>
        <w:spacing w:line="299" w:lineRule="auto"/>
        <w:rPr>
          <w:lang w:eastAsia="zh-CN"/>
        </w:rPr>
      </w:pPr>
    </w:p>
    <w:p>
      <w:pPr>
        <w:pStyle w:val="14"/>
        <w:kinsoku/>
        <w:rPr>
          <w:rFonts w:hint="eastAsia"/>
        </w:rPr>
      </w:pPr>
      <w:r>
        <w:rPr>
          <w:rFonts w:hint="eastAsia"/>
          <w:sz w:val="31"/>
          <w:szCs w:val="31"/>
        </w:rPr>
        <w:t>目  次</w:t>
      </w:r>
      <w:r>
        <w:rPr>
          <w:rFonts w:hint="eastAsia" w:ascii="Times New Roman" w:hAnsi="Times New Roman" w:eastAsia="宋体"/>
          <w:sz w:val="31"/>
          <w:szCs w:val="31"/>
        </w:rPr>
        <w:fldChar w:fldCharType="begin"/>
      </w:r>
      <w:r>
        <w:rPr>
          <w:rFonts w:hint="eastAsia" w:ascii="Times New Roman" w:hAnsi="Times New Roman" w:eastAsia="宋体"/>
          <w:sz w:val="31"/>
          <w:szCs w:val="31"/>
        </w:rPr>
        <w:instrText xml:space="preserve"> TOC \o "1-2" \h \z \u </w:instrText>
      </w:r>
      <w:r>
        <w:rPr>
          <w:rFonts w:hint="eastAsia" w:ascii="Times New Roman" w:hAnsi="Times New Roman" w:eastAsia="宋体"/>
          <w:sz w:val="31"/>
          <w:szCs w:val="31"/>
        </w:rPr>
        <w:fldChar w:fldCharType="separate"/>
      </w:r>
    </w:p>
    <w:p>
      <w:pPr>
        <w:pStyle w:val="14"/>
        <w:rPr>
          <w:rFonts w:hint="eastAsia" w:ascii="宋体" w:hAnsi="宋体" w:eastAsia="宋体" w:cs="宋体"/>
          <w:snapToGrid/>
          <w:color w:val="auto"/>
          <w:kern w:val="2"/>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"_Toc221108819"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rPr>
        <w:t>前</w:t>
      </w:r>
      <w:r>
        <w:rPr>
          <w:rStyle w:val="22"/>
          <w:rFonts w:hint="eastAsia" w:ascii="宋体" w:hAnsi="宋体" w:eastAsia="宋体" w:cs="宋体"/>
          <w:spacing w:val="18"/>
          <w:sz w:val="21"/>
          <w:szCs w:val="21"/>
        </w:rPr>
        <w:t xml:space="preserve">  </w:t>
      </w:r>
      <w:r>
        <w:rPr>
          <w:rStyle w:val="22"/>
          <w:rFonts w:hint="eastAsia" w:ascii="宋体" w:hAnsi="宋体" w:eastAsia="宋体" w:cs="宋体"/>
          <w:sz w:val="21"/>
          <w:szCs w:val="21"/>
        </w:rPr>
        <w:t>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_Toc221108819 \h </w:instrText>
      </w:r>
      <w:r>
        <w:rPr>
          <w:rFonts w:hint="eastAsia" w:ascii="宋体" w:hAnsi="宋体" w:eastAsia="宋体" w:cs="宋体"/>
          <w:sz w:val="21"/>
          <w:szCs w:val="21"/>
        </w:rPr>
        <w:fldChar w:fldCharType="separate"/>
      </w:r>
      <w:r>
        <w:rPr>
          <w:rFonts w:hint="eastAsia" w:ascii="宋体" w:hAnsi="宋体" w:eastAsia="宋体" w:cs="宋体"/>
          <w:sz w:val="21"/>
          <w:szCs w:val="21"/>
        </w:rPr>
        <w:t>III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rPr>
          <w:rFonts w:hint="eastAsia" w:ascii="宋体" w:hAnsi="宋体" w:eastAsia="宋体" w:cs="宋体"/>
          <w:snapToGrid/>
          <w:color w:val="auto"/>
          <w:kern w:val="2"/>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"_Toc221108820"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rPr>
        <w:t>引  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_Toc221108820 \h </w:instrText>
      </w:r>
      <w:r>
        <w:rPr>
          <w:rFonts w:hint="eastAsia" w:ascii="宋体" w:hAnsi="宋体" w:eastAsia="宋体" w:cs="宋体"/>
          <w:sz w:val="21"/>
          <w:szCs w:val="21"/>
        </w:rPr>
        <w:fldChar w:fldCharType="separate"/>
      </w:r>
      <w:r>
        <w:rPr>
          <w:rFonts w:hint="eastAsia" w:ascii="宋体" w:hAnsi="宋体" w:eastAsia="宋体" w:cs="宋体"/>
          <w:sz w:val="21"/>
          <w:szCs w:val="21"/>
        </w:rPr>
        <w:t>IV</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rPr>
          <w:rFonts w:hint="eastAsia" w:ascii="宋体" w:hAnsi="宋体" w:eastAsia="宋体" w:cs="宋体"/>
          <w:snapToGrid/>
          <w:color w:val="auto"/>
          <w:kern w:val="2"/>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"_Toc221108821"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rPr>
        <w:t>1</w:t>
      </w:r>
      <w:r>
        <w:rPr>
          <w:rStyle w:val="22"/>
          <w:rFonts w:hint="eastAsia" w:ascii="宋体" w:hAnsi="宋体" w:eastAsia="宋体" w:cs="宋体"/>
          <w:spacing w:val="7"/>
          <w:sz w:val="21"/>
          <w:szCs w:val="21"/>
        </w:rPr>
        <w:t xml:space="preserve">  </w:t>
      </w:r>
      <w:r>
        <w:rPr>
          <w:rStyle w:val="22"/>
          <w:rFonts w:hint="eastAsia" w:ascii="宋体" w:hAnsi="宋体" w:eastAsia="宋体" w:cs="宋体"/>
          <w:sz w:val="21"/>
          <w:szCs w:val="21"/>
        </w:rPr>
        <w:t>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_Toc221108821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rPr>
          <w:rFonts w:hint="eastAsia" w:ascii="宋体" w:hAnsi="宋体" w:eastAsia="宋体" w:cs="宋体"/>
          <w:snapToGrid/>
          <w:color w:val="auto"/>
          <w:kern w:val="2"/>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"_Toc221108822"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rPr>
        <w:t>2  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_Toc221108822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rPr>
          <w:rFonts w:hint="eastAsia" w:ascii="宋体" w:hAnsi="宋体" w:eastAsia="宋体" w:cs="宋体"/>
          <w:snapToGrid/>
          <w:color w:val="auto"/>
          <w:kern w:val="2"/>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"_Toc221108823"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rPr>
        <w:t>3  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_Toc221108823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rPr>
          <w:rFonts w:hint="eastAsia" w:ascii="宋体" w:hAnsi="宋体" w:eastAsia="宋体" w:cs="宋体"/>
          <w:snapToGrid/>
          <w:color w:val="auto"/>
          <w:kern w:val="2"/>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"_Toc221108828"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rPr>
        <w:t>4  总体原则和要求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_Toc221108828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7"/>
        <w:tabs>
          <w:tab w:val="right" w:leader="dot" w:pos="8400"/>
        </w:tabs>
        <w:rPr>
          <w:rFonts w:hint="eastAsia" w:ascii="宋体" w:hAnsi="宋体" w:eastAsia="宋体" w:cs="宋体"/>
          <w:snapToGrid/>
          <w:color w:val="auto"/>
          <w:kern w:val="2"/>
          <w:sz w:val="21"/>
          <w:szCs w:val="21"/>
          <w:lang w:eastAsia="zh-CN"/>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"_Toc221108829"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lang w:eastAsia="zh-CN"/>
        </w:rPr>
        <w:t>4.1  总体原则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_Toc221108829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7"/>
        <w:tabs>
          <w:tab w:val="right" w:leader="dot" w:pos="8400"/>
        </w:tabs>
        <w:rPr>
          <w:rFonts w:hint="eastAsia" w:ascii="宋体" w:hAnsi="宋体" w:eastAsia="宋体" w:cs="宋体"/>
          <w:snapToGrid/>
          <w:color w:val="auto"/>
          <w:kern w:val="2"/>
          <w:sz w:val="21"/>
          <w:szCs w:val="21"/>
          <w:lang w:eastAsia="zh-CN"/>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"_Toc221108834"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lang w:eastAsia="zh-CN"/>
        </w:rPr>
        <w:t>4.2  总体要求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_Toc221108834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rPr>
          <w:rFonts w:hint="eastAsia" w:ascii="宋体" w:hAnsi="宋体" w:eastAsia="宋体" w:cs="宋体"/>
          <w:snapToGrid/>
          <w:color w:val="auto"/>
          <w:kern w:val="2"/>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"_Toc221108838"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rPr>
        <w:t>5  数字化病例库建设要求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_Toc221108838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7"/>
        <w:tabs>
          <w:tab w:val="right" w:leader="dot" w:pos="8400"/>
        </w:tabs>
        <w:rPr>
          <w:rFonts w:hint="eastAsia" w:ascii="宋体" w:hAnsi="宋体" w:eastAsia="宋体" w:cs="宋体"/>
          <w:snapToGrid/>
          <w:color w:val="auto"/>
          <w:kern w:val="2"/>
          <w:sz w:val="21"/>
          <w:szCs w:val="21"/>
          <w:lang w:eastAsia="zh-CN"/>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"_Toc221108839"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lang w:eastAsia="zh-CN"/>
        </w:rPr>
        <w:t>5.1  资源构建分类与总体策略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_Toc221108839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7"/>
        <w:tabs>
          <w:tab w:val="right" w:leader="dot" w:pos="8400"/>
        </w:tabs>
        <w:rPr>
          <w:rFonts w:hint="eastAsia" w:ascii="宋体" w:hAnsi="宋体" w:eastAsia="宋体" w:cs="宋体"/>
          <w:snapToGrid/>
          <w:color w:val="auto"/>
          <w:kern w:val="2"/>
          <w:sz w:val="21"/>
          <w:szCs w:val="21"/>
          <w:lang w:eastAsia="zh-CN"/>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"_Toc221108840"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lang w:eastAsia="zh-CN"/>
        </w:rPr>
        <w:t>5.2  病例筛选与伦理准入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_Toc221108840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7"/>
        <w:tabs>
          <w:tab w:val="right" w:leader="dot" w:pos="8400"/>
        </w:tabs>
        <w:rPr>
          <w:rFonts w:hint="eastAsia" w:ascii="宋体" w:hAnsi="宋体" w:eastAsia="宋体" w:cs="宋体"/>
          <w:snapToGrid/>
          <w:color w:val="auto"/>
          <w:kern w:val="2"/>
          <w:sz w:val="21"/>
          <w:szCs w:val="21"/>
          <w:lang w:eastAsia="zh-CN"/>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"_Toc221108843"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lang w:eastAsia="zh-CN"/>
        </w:rPr>
        <w:t>5.3  数据加工要求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_Toc221108843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7"/>
        <w:tabs>
          <w:tab w:val="right" w:leader="dot" w:pos="8400"/>
        </w:tabs>
        <w:rPr>
          <w:rFonts w:hint="eastAsia" w:ascii="宋体" w:hAnsi="宋体" w:eastAsia="宋体" w:cs="宋体"/>
          <w:snapToGrid/>
          <w:color w:val="auto"/>
          <w:kern w:val="2"/>
          <w:sz w:val="21"/>
          <w:szCs w:val="21"/>
          <w:lang w:eastAsia="zh-CN"/>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"_Toc221108847"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lang w:eastAsia="zh-CN"/>
        </w:rPr>
        <w:t>5.4  数字化病例生成要求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_Toc221108847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rPr>
          <w:rFonts w:hint="eastAsia" w:ascii="宋体" w:hAnsi="宋体" w:eastAsia="宋体" w:cs="宋体"/>
          <w:snapToGrid/>
          <w:color w:val="auto"/>
          <w:kern w:val="2"/>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"_Toc221108850"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rPr>
        <w:t>6  虚拟仿真平台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_Toc221108850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7"/>
        <w:tabs>
          <w:tab w:val="right" w:leader="dot" w:pos="8400"/>
        </w:tabs>
        <w:rPr>
          <w:rFonts w:hint="eastAsia" w:ascii="宋体" w:hAnsi="宋体" w:eastAsia="宋体" w:cs="宋体"/>
          <w:snapToGrid/>
          <w:color w:val="auto"/>
          <w:kern w:val="2"/>
          <w:sz w:val="21"/>
          <w:szCs w:val="21"/>
          <w:lang w:eastAsia="zh-CN"/>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"_Toc221108851"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lang w:eastAsia="zh-CN"/>
        </w:rPr>
        <w:t>6.1  虚拟仿真平台总体技术要求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_Toc221108851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7"/>
        <w:tabs>
          <w:tab w:val="right" w:leader="dot" w:pos="8400"/>
        </w:tabs>
        <w:rPr>
          <w:rFonts w:hint="eastAsia" w:ascii="宋体" w:hAnsi="宋体" w:eastAsia="宋体" w:cs="宋体"/>
          <w:snapToGrid/>
          <w:color w:val="auto"/>
          <w:kern w:val="2"/>
          <w:sz w:val="21"/>
          <w:szCs w:val="21"/>
          <w:lang w:eastAsia="zh-CN"/>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"_Toc221108852"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lang w:eastAsia="zh-CN"/>
        </w:rPr>
        <w:t>6.2  虚拟仿真平台训练过程要求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_Toc221108852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7"/>
        <w:tabs>
          <w:tab w:val="right" w:leader="dot" w:pos="8400"/>
        </w:tabs>
        <w:rPr>
          <w:rFonts w:hint="eastAsia" w:ascii="宋体" w:hAnsi="宋体" w:eastAsia="宋体" w:cs="宋体"/>
          <w:snapToGrid/>
          <w:color w:val="auto"/>
          <w:kern w:val="2"/>
          <w:sz w:val="21"/>
          <w:szCs w:val="21"/>
          <w:lang w:eastAsia="zh-CN"/>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"_Toc221108857"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lang w:eastAsia="zh-CN"/>
        </w:rPr>
        <w:t>6.3  分层实施策略技术要求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_Toc221108857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7"/>
        <w:tabs>
          <w:tab w:val="right" w:leader="dot" w:pos="8400"/>
        </w:tabs>
        <w:rPr>
          <w:rFonts w:hint="eastAsia" w:ascii="宋体" w:hAnsi="宋体" w:eastAsia="宋体" w:cs="宋体"/>
          <w:snapToGrid/>
          <w:color w:val="auto"/>
          <w:kern w:val="2"/>
          <w:sz w:val="21"/>
          <w:szCs w:val="21"/>
          <w:lang w:eastAsia="zh-CN"/>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"_Toc221108860"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lang w:eastAsia="zh-CN"/>
        </w:rPr>
        <w:t>6.4  虚拟仿真训练评价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_Toc221108860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rPr>
          <w:rFonts w:hint="eastAsia" w:ascii="宋体" w:hAnsi="宋体" w:eastAsia="宋体" w:cs="宋体"/>
          <w:snapToGrid/>
          <w:color w:val="auto"/>
          <w:kern w:val="2"/>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"_Toc221108862"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rPr>
        <w:t>7  3D打印辅助教学模型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_Toc221108862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7"/>
        <w:tabs>
          <w:tab w:val="right" w:leader="dot" w:pos="8400"/>
        </w:tabs>
        <w:rPr>
          <w:rFonts w:hint="eastAsia" w:ascii="宋体" w:hAnsi="宋体" w:eastAsia="宋体" w:cs="宋体"/>
          <w:snapToGrid/>
          <w:color w:val="auto"/>
          <w:kern w:val="2"/>
          <w:sz w:val="21"/>
          <w:szCs w:val="21"/>
          <w:lang w:eastAsia="zh-CN"/>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"_Toc221108863"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lang w:eastAsia="zh-CN"/>
        </w:rPr>
        <w:t>7.1  总体技术要求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_Toc221108863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7"/>
        <w:tabs>
          <w:tab w:val="right" w:leader="dot" w:pos="8400"/>
        </w:tabs>
        <w:rPr>
          <w:rFonts w:hint="eastAsia" w:ascii="宋体" w:hAnsi="宋体" w:eastAsia="宋体" w:cs="宋体"/>
          <w:snapToGrid/>
          <w:color w:val="auto"/>
          <w:kern w:val="2"/>
          <w:sz w:val="21"/>
          <w:szCs w:val="21"/>
          <w:lang w:eastAsia="zh-CN"/>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"_Toc221108864"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lang w:eastAsia="zh-CN"/>
        </w:rPr>
        <w:t>7.2  数据处理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_Toc221108864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7"/>
        <w:tabs>
          <w:tab w:val="right" w:leader="dot" w:pos="8400"/>
        </w:tabs>
        <w:rPr>
          <w:rFonts w:hint="eastAsia" w:ascii="宋体" w:hAnsi="宋体" w:eastAsia="宋体" w:cs="宋体"/>
          <w:snapToGrid/>
          <w:color w:val="auto"/>
          <w:kern w:val="2"/>
          <w:sz w:val="21"/>
          <w:szCs w:val="21"/>
          <w:lang w:eastAsia="zh-CN"/>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"_Toc221108868"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lang w:eastAsia="zh-CN"/>
        </w:rPr>
        <w:t>7.3  打印制备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_Toc221108868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rPr>
          <w:rFonts w:hint="eastAsia" w:ascii="宋体" w:hAnsi="宋体" w:eastAsia="宋体" w:cs="宋体"/>
          <w:snapToGrid/>
          <w:color w:val="auto"/>
          <w:kern w:val="2"/>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"_Toc221108874"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rPr>
        <w:t>附 录 A</w:t>
      </w:r>
      <w:r>
        <w:rPr>
          <w:rStyle w:val="22"/>
          <w:rFonts w:hint="eastAsia" w:ascii="宋体" w:hAnsi="宋体" w:eastAsia="宋体" w:cs="宋体"/>
          <w:sz w:val="21"/>
          <w:szCs w:val="21"/>
          <w:lang w:eastAsia="zh-CN"/>
        </w:rPr>
        <w:t>（资料性）《病例数据用于教学科研知情同意书》示例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_Toc221108874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"_Toc221108875" </w:instrText>
      </w:r>
      <w:r>
        <w:rPr>
          <w:rFonts w:hint="eastAsia" w:ascii="宋体" w:hAnsi="宋体" w:eastAsia="宋体" w:cs="宋体"/>
          <w:sz w:val="21"/>
          <w:szCs w:val="21"/>
        </w:rPr>
        <w:fldChar w:fldCharType="separate"/>
      </w:r>
      <w:r>
        <w:rPr>
          <w:rStyle w:val="22"/>
          <w:rFonts w:hint="eastAsia" w:ascii="宋体" w:hAnsi="宋体" w:eastAsia="宋体" w:cs="宋体"/>
          <w:sz w:val="21"/>
          <w:szCs w:val="21"/>
        </w:rPr>
        <w:t>参 考 文 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_Toc221108875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rPr>
          <w:rFonts w:hint="eastAsia"/>
        </w:rPr>
      </w:pPr>
    </w:p>
    <w:p>
      <w:pPr>
        <w:pStyle w:val="8"/>
        <w:kinsoku/>
        <w:spacing w:before="100" w:line="225" w:lineRule="auto"/>
        <w:rPr>
          <w:lang w:eastAsia="zh-CN"/>
        </w:rPr>
        <w:sectPr>
          <w:headerReference r:id="rId9" w:type="default"/>
          <w:footerReference r:id="rId11" w:type="default"/>
          <w:headerReference r:id="rId10" w:type="even"/>
          <w:pgSz w:w="11907" w:h="16839"/>
          <w:pgMar w:top="1160" w:right="1712" w:bottom="1761" w:left="1785" w:header="835" w:footer="1598" w:gutter="0"/>
          <w:cols w:space="720" w:num="1"/>
          <w:docGrid w:linePitch="286" w:charSpace="0"/>
        </w:sectPr>
      </w:pPr>
      <w:r>
        <w:rPr>
          <w:rFonts w:hint="eastAsia" w:ascii="Times New Roman" w:hAnsi="Times New Roman" w:eastAsia="宋体" w:cs="宋体"/>
          <w:lang w:eastAsia="zh-CN"/>
        </w:rPr>
        <w:fldChar w:fldCharType="end"/>
      </w:r>
    </w:p>
    <w:p>
      <w:pPr>
        <w:pStyle w:val="2"/>
        <w:kinsoku/>
        <w:jc w:val="center"/>
        <w:rPr>
          <w:rFonts w:hint="eastAsia" w:ascii="黑体" w:hAnsi="黑体" w:eastAsia="黑体"/>
          <w:b w:val="0"/>
          <w:bCs w:val="0"/>
          <w:sz w:val="32"/>
          <w:szCs w:val="32"/>
          <w:lang w:eastAsia="zh-CN"/>
        </w:rPr>
      </w:pPr>
      <w:bookmarkStart w:id="115" w:name="_GoBack"/>
      <w:bookmarkStart w:id="2" w:name="_Toc221108819"/>
      <w:r>
        <w:rPr>
          <w:rFonts w:ascii="黑体" w:hAnsi="黑体" w:eastAsia="黑体"/>
          <w:b w:val="0"/>
          <w:bCs w:val="0"/>
          <w:sz w:val="32"/>
          <w:szCs w:val="32"/>
          <w:lang w:eastAsia="zh-CN"/>
        </w:rPr>
        <w:t>前</w:t>
      </w:r>
      <w:r>
        <w:rPr>
          <w:rFonts w:ascii="黑体" w:hAnsi="黑体" w:eastAsia="黑体"/>
          <w:b w:val="0"/>
          <w:bCs w:val="0"/>
          <w:spacing w:val="18"/>
          <w:sz w:val="32"/>
          <w:szCs w:val="32"/>
          <w:lang w:eastAsia="zh-CN"/>
        </w:rPr>
        <w:t xml:space="preserve">  </w:t>
      </w:r>
      <w:r>
        <w:rPr>
          <w:rFonts w:ascii="黑体" w:hAnsi="黑体" w:eastAsia="黑体"/>
          <w:b w:val="0"/>
          <w:bCs w:val="0"/>
          <w:sz w:val="32"/>
          <w:szCs w:val="32"/>
          <w:lang w:eastAsia="zh-CN"/>
        </w:rPr>
        <w:t>言</w:t>
      </w:r>
      <w:bookmarkEnd w:id="2"/>
    </w:p>
    <w:bookmarkEnd w:id="115"/>
    <w:p>
      <w:pPr>
        <w:kinsoku/>
        <w:spacing w:before="78" w:line="361" w:lineRule="auto"/>
        <w:ind w:left="26" w:right="12" w:firstLine="478"/>
        <w:rPr>
          <w:rFonts w:hint="eastAsia" w:ascii="宋体" w:hAnsi="宋体" w:eastAsia="宋体" w:cs="宋体"/>
          <w:sz w:val="21"/>
          <w:szCs w:val="21"/>
          <w:lang w:eastAsia="zh-CN"/>
        </w:rPr>
      </w:pPr>
      <w:r>
        <w:rPr>
          <w:rFonts w:hint="eastAsia" w:ascii="宋体" w:hAnsi="宋体" w:eastAsia="宋体" w:cs="宋体"/>
          <w:spacing w:val="-4"/>
          <w:sz w:val="21"/>
          <w:szCs w:val="21"/>
          <w:lang w:eastAsia="zh-CN"/>
        </w:rPr>
        <w:t>本文件按照</w:t>
      </w:r>
      <w:bookmarkStart w:id="3" w:name="OLE_LINK32"/>
      <w:r>
        <w:rPr>
          <w:rFonts w:hint="eastAsia" w:ascii="宋体" w:hAnsi="宋体" w:eastAsia="宋体" w:cs="宋体"/>
          <w:spacing w:val="-4"/>
          <w:sz w:val="21"/>
          <w:szCs w:val="21"/>
          <w:lang w:eastAsia="zh-CN"/>
        </w:rPr>
        <w:t xml:space="preserve"> GB/T 1.1─2020</w:t>
      </w:r>
      <w:bookmarkEnd w:id="3"/>
      <w:r>
        <w:rPr>
          <w:rFonts w:hint="eastAsia" w:ascii="宋体" w:hAnsi="宋体" w:eastAsia="宋体" w:cs="宋体"/>
          <w:spacing w:val="-4"/>
          <w:sz w:val="21"/>
          <w:szCs w:val="21"/>
          <w:lang w:eastAsia="zh-CN"/>
        </w:rPr>
        <w:t>《标准化工作导则</w:t>
      </w:r>
      <w:r>
        <w:rPr>
          <w:rFonts w:hint="eastAsia" w:ascii="宋体" w:hAnsi="宋体" w:eastAsia="宋体" w:cs="宋体"/>
          <w:spacing w:val="35"/>
          <w:sz w:val="21"/>
          <w:szCs w:val="21"/>
          <w:lang w:eastAsia="zh-CN"/>
        </w:rPr>
        <w:t xml:space="preserve"> </w:t>
      </w:r>
      <w:r>
        <w:rPr>
          <w:rFonts w:hint="eastAsia" w:ascii="宋体" w:hAnsi="宋体" w:eastAsia="宋体" w:cs="宋体"/>
          <w:spacing w:val="-4"/>
          <w:sz w:val="21"/>
          <w:szCs w:val="21"/>
          <w:lang w:eastAsia="zh-CN"/>
        </w:rPr>
        <w:t>第1部分：标准化文件的结构和起草规则》及</w:t>
      </w:r>
      <w:bookmarkStart w:id="4" w:name="OLE_LINK33"/>
      <w:r>
        <w:rPr>
          <w:rFonts w:hint="eastAsia" w:ascii="宋体" w:hAnsi="宋体" w:eastAsia="宋体" w:cs="宋体"/>
          <w:spacing w:val="-4"/>
          <w:sz w:val="21"/>
          <w:szCs w:val="21"/>
          <w:lang w:eastAsia="zh-CN"/>
        </w:rPr>
        <w:t>GB/T 20001.5-2017</w:t>
      </w:r>
      <w:bookmarkEnd w:id="4"/>
      <w:r>
        <w:rPr>
          <w:rFonts w:hint="eastAsia" w:ascii="宋体" w:hAnsi="宋体" w:eastAsia="宋体" w:cs="宋体"/>
          <w:spacing w:val="-4"/>
          <w:sz w:val="21"/>
          <w:szCs w:val="21"/>
          <w:lang w:eastAsia="zh-CN"/>
        </w:rPr>
        <w:t>《标准编写规则 第5部分：规范标准》的规定起草。</w:t>
      </w:r>
    </w:p>
    <w:p>
      <w:pPr>
        <w:kinsoku/>
        <w:spacing w:before="181" w:line="371" w:lineRule="auto"/>
        <w:ind w:left="24" w:right="13" w:firstLine="477"/>
        <w:rPr>
          <w:rFonts w:hint="eastAsia" w:ascii="宋体" w:hAnsi="宋体" w:eastAsia="宋体" w:cs="宋体"/>
          <w:sz w:val="21"/>
          <w:szCs w:val="21"/>
          <w:lang w:eastAsia="zh-CN"/>
        </w:rPr>
      </w:pPr>
      <w:r>
        <w:rPr>
          <w:rFonts w:hint="eastAsia" w:ascii="宋体" w:hAnsi="宋体" w:eastAsia="宋体" w:cs="宋体"/>
          <w:spacing w:val="-3"/>
          <w:sz w:val="21"/>
          <w:szCs w:val="21"/>
          <w:lang w:eastAsia="zh-CN"/>
        </w:rPr>
        <w:t>请注意本文件的某些内容可能涉及专利。本文件的发布机构不承担</w:t>
      </w:r>
      <w:r>
        <w:rPr>
          <w:rFonts w:hint="eastAsia" w:ascii="宋体" w:hAnsi="宋体" w:eastAsia="宋体" w:cs="宋体"/>
          <w:spacing w:val="-4"/>
          <w:sz w:val="21"/>
          <w:szCs w:val="21"/>
          <w:lang w:eastAsia="zh-CN"/>
        </w:rPr>
        <w:t>识别这些</w:t>
      </w:r>
      <w:r>
        <w:rPr>
          <w:rFonts w:hint="eastAsia" w:ascii="宋体" w:hAnsi="宋体" w:eastAsia="宋体" w:cs="宋体"/>
          <w:spacing w:val="-7"/>
          <w:sz w:val="21"/>
          <w:szCs w:val="21"/>
          <w:lang w:eastAsia="zh-CN"/>
        </w:rPr>
        <w:t>专利的责任。</w:t>
      </w:r>
    </w:p>
    <w:p>
      <w:pPr>
        <w:kinsoku/>
        <w:spacing w:before="181" w:line="371" w:lineRule="auto"/>
        <w:ind w:left="24" w:right="13" w:firstLine="477"/>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本文件由四川大学华西口腔医院提出。</w:t>
      </w:r>
    </w:p>
    <w:p>
      <w:pPr>
        <w:kinsoku/>
        <w:spacing w:before="181" w:line="371" w:lineRule="auto"/>
        <w:ind w:left="24" w:right="13" w:firstLine="477"/>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本文件由中国产学研合作促进会归口。</w:t>
      </w:r>
    </w:p>
    <w:p>
      <w:pPr>
        <w:kinsoku/>
        <w:spacing w:before="181" w:line="371" w:lineRule="auto"/>
        <w:ind w:left="24" w:right="13" w:firstLine="477"/>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本文件起草单位：四川大学华西口腔医院、北京航空航天大学、北京众绘虚拟现实技术研究院有限公司。</w:t>
      </w:r>
    </w:p>
    <w:p>
      <w:pPr>
        <w:kinsoku/>
        <w:spacing w:before="181" w:line="371" w:lineRule="auto"/>
        <w:ind w:left="24" w:right="13" w:firstLine="477"/>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本文件主要起草人：叶玲、郑庆华、郝爱民、赵永涛、杨静、孙一民、白明茹、李波儿、余钒源。</w:t>
      </w:r>
    </w:p>
    <w:p>
      <w:pPr>
        <w:kinsoku/>
        <w:autoSpaceDE/>
        <w:autoSpaceDN/>
        <w:adjustRightInd/>
        <w:snapToGrid/>
        <w:spacing w:line="278" w:lineRule="auto"/>
        <w:textAlignment w:val="auto"/>
        <w:rPr>
          <w:lang w:eastAsia="zh-CN"/>
        </w:rPr>
      </w:pPr>
      <w:r>
        <w:rPr>
          <w:lang w:eastAsia="zh-CN"/>
        </w:rPr>
        <w:br w:type="page"/>
      </w:r>
    </w:p>
    <w:p>
      <w:pPr>
        <w:pStyle w:val="2"/>
        <w:kinsoku/>
        <w:jc w:val="center"/>
        <w:rPr>
          <w:rFonts w:hint="eastAsia" w:ascii="黑体" w:hAnsi="黑体" w:eastAsia="黑体"/>
          <w:b w:val="0"/>
          <w:bCs w:val="0"/>
          <w:sz w:val="32"/>
          <w:szCs w:val="32"/>
          <w:lang w:eastAsia="zh-CN"/>
        </w:rPr>
      </w:pPr>
      <w:bookmarkStart w:id="5" w:name="bookmark2"/>
      <w:bookmarkEnd w:id="5"/>
      <w:bookmarkStart w:id="6" w:name="_Toc221108820"/>
      <w:r>
        <w:rPr>
          <w:rFonts w:ascii="黑体" w:hAnsi="黑体" w:eastAsia="黑体"/>
          <w:b w:val="0"/>
          <w:bCs w:val="0"/>
          <w:sz w:val="32"/>
          <w:szCs w:val="32"/>
          <w:lang w:eastAsia="zh-CN"/>
        </w:rPr>
        <w:t>引  言</w:t>
      </w:r>
      <w:bookmarkEnd w:id="6"/>
    </w:p>
    <w:p>
      <w:pPr>
        <w:kinsoku/>
        <w:spacing w:before="78" w:line="368" w:lineRule="auto"/>
        <w:ind w:left="21" w:firstLine="482"/>
        <w:jc w:val="both"/>
        <w:rPr>
          <w:rFonts w:hint="eastAsia" w:ascii="宋体" w:hAnsi="宋体" w:eastAsia="宋体" w:cs="宋体"/>
          <w:spacing w:val="-3"/>
          <w:sz w:val="21"/>
          <w:szCs w:val="21"/>
          <w:lang w:eastAsia="zh-CN"/>
        </w:rPr>
      </w:pPr>
      <w:bookmarkStart w:id="7" w:name="OLE_LINK35"/>
      <w:r>
        <w:rPr>
          <w:rFonts w:hint="eastAsia" w:ascii="宋体" w:hAnsi="宋体" w:eastAsia="宋体" w:cs="宋体"/>
          <w:spacing w:val="-3"/>
          <w:sz w:val="21"/>
          <w:szCs w:val="21"/>
          <w:lang w:eastAsia="zh-CN"/>
        </w:rPr>
        <w:t>口腔医学是一门理论与实践高度结合的学科，其教学核心在于培养学习者的临床思维、实操技能及医患沟通能力。牙体牙髓病学是口腔医学的重要分支，具有患病广泛、发病率高的特点。然而，当前传统教学模式存在显著局限：一方面，理论教学与临床实践的联系尚不够紧密，学生多依赖标准化模拟模型进行基础操作训练，对复杂病例的处理经验匮乏，导致临床信心不足；另一方面，传统病例教学多依赖较少数量的案例展示，临床场景有限，难以系统提升疾病诊断、治疗方案制定及并发症应对等综合能力。</w:t>
      </w:r>
    </w:p>
    <w:p>
      <w:pPr>
        <w:kinsoku/>
        <w:spacing w:before="78" w:line="368" w:lineRule="auto"/>
        <w:ind w:left="21" w:firstLine="482"/>
        <w:jc w:val="both"/>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在此背景下，构建牙体牙髓病学数字化临床病例教学系统具有重要意义。该系统以数字化技术为支撑，整合虚拟仿真训练、实体模型实操和真实临床病例，形成从临床病例到实验室教学再到临床实操的闭环教学体系，提升学生综合运用理论知识解决临床问题的能力，推动口腔医学教育向标准化、精准化、高效化转型的核心支撑，对提升口腔专科人才培养质量、保障临床诊疗安全具有不可替代的价值。</w:t>
      </w:r>
    </w:p>
    <w:p>
      <w:pPr>
        <w:kinsoku/>
        <w:spacing w:before="78" w:line="368" w:lineRule="auto"/>
        <w:ind w:left="21" w:firstLine="482"/>
        <w:jc w:val="both"/>
        <w:rPr>
          <w:rFonts w:hint="eastAsia" w:ascii="宋体" w:hAnsi="宋体" w:eastAsia="宋体" w:cs="宋体"/>
          <w:sz w:val="21"/>
          <w:szCs w:val="21"/>
          <w:lang w:eastAsia="zh-CN"/>
        </w:rPr>
        <w:sectPr>
          <w:footerReference r:id="rId12" w:type="default"/>
          <w:footerReference r:id="rId13" w:type="even"/>
          <w:pgSz w:w="11907" w:h="16839"/>
          <w:pgMar w:top="1160" w:right="1712" w:bottom="1761" w:left="1785" w:header="835" w:footer="1598" w:gutter="0"/>
          <w:pgNumType w:fmt="upperRoman" w:start="3"/>
          <w:cols w:space="720" w:num="1"/>
          <w:docGrid w:linePitch="286" w:charSpace="0"/>
        </w:sectPr>
      </w:pPr>
      <w:r>
        <w:rPr>
          <w:rFonts w:hint="eastAsia" w:ascii="宋体" w:hAnsi="宋体" w:eastAsia="宋体" w:cs="宋体"/>
          <w:spacing w:val="-3"/>
          <w:sz w:val="21"/>
          <w:szCs w:val="21"/>
          <w:lang w:eastAsia="zh-CN"/>
        </w:rPr>
        <w:t>为规范牙体牙髓病学数字化临床病例教学系统的实施，保障其技术路径的科学性，特制定本标准。本标准围绕牙体牙髓病学临床教学特点，规范了临床病例采集、虚拟仿真教学平台与3D打印辅助教学模型建设的技术标准，旨在为口腔医学院校、医疗机构及相关从业人员提供统一、可操作的技术依据，推动牙体牙髓病学教学的数字化、规范化与高质量发展。</w:t>
      </w:r>
      <w:bookmarkEnd w:id="7"/>
    </w:p>
    <w:p>
      <w:pPr>
        <w:kinsoku/>
        <w:spacing w:line="286" w:lineRule="auto"/>
        <w:rPr>
          <w:b w:val="0"/>
          <w:bCs w:val="0"/>
          <w:sz w:val="32"/>
          <w:szCs w:val="32"/>
          <w:lang w:eastAsia="zh-CN"/>
        </w:rPr>
      </w:pPr>
    </w:p>
    <w:p>
      <w:pPr>
        <w:pStyle w:val="8"/>
        <w:kinsoku/>
        <w:spacing w:line="360" w:lineRule="auto"/>
        <w:jc w:val="center"/>
        <w:rPr>
          <w:rFonts w:hint="eastAsia"/>
          <w:b w:val="0"/>
          <w:bCs w:val="0"/>
          <w:sz w:val="32"/>
          <w:szCs w:val="32"/>
          <w:lang w:eastAsia="zh-CN"/>
        </w:rPr>
      </w:pPr>
      <w:r>
        <w:rPr>
          <w:rFonts w:hint="eastAsia"/>
          <w:b w:val="0"/>
          <w:bCs w:val="0"/>
          <w:spacing w:val="5"/>
          <w:sz w:val="32"/>
          <w:szCs w:val="32"/>
          <w:lang w:eastAsia="zh-CN"/>
        </w:rPr>
        <w:t>牙体牙髓 数字化临床病例教学系统建设技术规范</w:t>
      </w:r>
    </w:p>
    <w:p>
      <w:pPr>
        <w:kinsoku/>
        <w:spacing w:line="375" w:lineRule="auto"/>
        <w:rPr>
          <w:lang w:eastAsia="zh-CN"/>
        </w:rPr>
      </w:pPr>
    </w:p>
    <w:p>
      <w:pPr>
        <w:pStyle w:val="2"/>
        <w:kinsoku/>
        <w:spacing w:before="240" w:beforeLines="100" w:after="240" w:afterLines="100" w:line="360" w:lineRule="auto"/>
        <w:rPr>
          <w:rFonts w:hint="eastAsia" w:ascii="黑体" w:hAnsi="黑体" w:eastAsia="黑体"/>
          <w:b w:val="0"/>
          <w:bCs w:val="0"/>
          <w:sz w:val="21"/>
          <w:szCs w:val="21"/>
          <w:lang w:eastAsia="zh-CN"/>
        </w:rPr>
      </w:pPr>
      <w:bookmarkStart w:id="8" w:name="bookmark31"/>
      <w:bookmarkEnd w:id="8"/>
      <w:bookmarkStart w:id="9" w:name="_Toc221108821"/>
      <w:r>
        <w:rPr>
          <w:rFonts w:ascii="黑体" w:hAnsi="黑体" w:eastAsia="黑体"/>
          <w:b w:val="0"/>
          <w:bCs w:val="0"/>
          <w:sz w:val="21"/>
          <w:szCs w:val="21"/>
          <w:lang w:eastAsia="zh-CN"/>
        </w:rPr>
        <w:t>1</w:t>
      </w:r>
      <w:r>
        <w:rPr>
          <w:rFonts w:ascii="黑体" w:hAnsi="黑体" w:eastAsia="黑体"/>
          <w:b w:val="0"/>
          <w:bCs w:val="0"/>
          <w:spacing w:val="7"/>
          <w:sz w:val="21"/>
          <w:szCs w:val="21"/>
          <w:lang w:eastAsia="zh-CN"/>
        </w:rPr>
        <w:t xml:space="preserve">  </w:t>
      </w:r>
      <w:r>
        <w:rPr>
          <w:rFonts w:ascii="黑体" w:hAnsi="黑体" w:eastAsia="黑体"/>
          <w:b w:val="0"/>
          <w:bCs w:val="0"/>
          <w:sz w:val="21"/>
          <w:szCs w:val="21"/>
          <w:lang w:eastAsia="zh-CN"/>
        </w:rPr>
        <w:t>范围</w:t>
      </w:r>
      <w:bookmarkEnd w:id="9"/>
    </w:p>
    <w:p>
      <w:pPr>
        <w:kinsoku/>
        <w:spacing w:after="0" w:line="360" w:lineRule="auto"/>
        <w:ind w:firstLine="432" w:firstLineChars="200"/>
        <w:jc w:val="both"/>
        <w:rPr>
          <w:rFonts w:hint="eastAsia" w:ascii="宋体" w:hAnsi="宋体" w:eastAsia="宋体" w:cs="宋体"/>
          <w:spacing w:val="3"/>
          <w:lang w:eastAsia="zh-CN"/>
        </w:rPr>
      </w:pPr>
      <w:bookmarkStart w:id="10" w:name="OLE_LINK23"/>
      <w:r>
        <w:rPr>
          <w:rFonts w:hint="eastAsia" w:ascii="宋体" w:hAnsi="宋体" w:eastAsia="宋体" w:cs="宋体"/>
          <w:spacing w:val="3"/>
          <w:lang w:eastAsia="zh-CN"/>
        </w:rPr>
        <w:t>本文件规定了牙体牙髓数字化临床病例教学系统建设的总体要求、教学系统架构与功能、数据规范与隐私安全、技术实现方面的技术要求。</w:t>
      </w:r>
    </w:p>
    <w:p>
      <w:pPr>
        <w:kinsoku/>
        <w:spacing w:after="0" w:line="360" w:lineRule="auto"/>
        <w:ind w:firstLine="432"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本文件适用于各级口腔医学院校、附属医院及口腔医学培训机构开展的牙体牙髓教学活动，覆盖去龋、窝洞充填、开髓、根管治疗、根尖周手术等各教学场景。</w:t>
      </w:r>
    </w:p>
    <w:p>
      <w:pPr>
        <w:kinsoku/>
        <w:spacing w:after="0" w:line="360" w:lineRule="auto"/>
        <w:ind w:firstLine="432" w:firstLineChars="200"/>
        <w:jc w:val="both"/>
        <w:rPr>
          <w:lang w:eastAsia="zh-CN"/>
        </w:rPr>
      </w:pPr>
      <w:r>
        <w:rPr>
          <w:rFonts w:hint="eastAsia" w:ascii="宋体" w:hAnsi="宋体" w:eastAsia="宋体" w:cs="宋体"/>
          <w:spacing w:val="3"/>
          <w:lang w:eastAsia="zh-CN"/>
        </w:rPr>
        <w:t>本文件适用于各级口腔医学院校、附属医院及口腔医学培训机构进行数字化临床病例教学系统的研发、部署、验收和应用，为教学机构、技术服务商及监管部门提供统一标准。</w:t>
      </w:r>
    </w:p>
    <w:bookmarkEnd w:id="10"/>
    <w:p>
      <w:pPr>
        <w:pStyle w:val="2"/>
        <w:kinsoku/>
        <w:spacing w:before="240" w:beforeLines="100" w:after="240" w:afterLines="100" w:line="360" w:lineRule="auto"/>
        <w:rPr>
          <w:rFonts w:hint="eastAsia" w:ascii="黑体" w:hAnsi="黑体" w:eastAsia="黑体"/>
          <w:b w:val="0"/>
          <w:bCs w:val="0"/>
          <w:sz w:val="21"/>
          <w:szCs w:val="21"/>
          <w:lang w:eastAsia="zh-CN"/>
        </w:rPr>
      </w:pPr>
      <w:bookmarkStart w:id="11" w:name="bookmark32"/>
      <w:bookmarkEnd w:id="11"/>
      <w:bookmarkStart w:id="12" w:name="_Toc221108822"/>
      <w:r>
        <w:rPr>
          <w:rFonts w:ascii="黑体" w:hAnsi="黑体" w:eastAsia="黑体"/>
          <w:b w:val="0"/>
          <w:bCs w:val="0"/>
          <w:sz w:val="21"/>
          <w:szCs w:val="21"/>
          <w:lang w:eastAsia="zh-CN"/>
        </w:rPr>
        <w:t>2  规范性引用文件</w:t>
      </w:r>
      <w:bookmarkEnd w:id="12"/>
    </w:p>
    <w:p>
      <w:pPr>
        <w:kinsoku/>
        <w:spacing w:after="0" w:line="360" w:lineRule="auto"/>
        <w:ind w:firstLine="432"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下列文件对于本文件的应用是必不可少的。凡是注日期的引用文件，仅注日期的版本适用于本文件。凡是不注日期的引用文件，其最新版本（包括所有的修改单）适用于本文件。</w:t>
      </w:r>
    </w:p>
    <w:p>
      <w:pPr>
        <w:kinsoku/>
        <w:spacing w:after="0" w:line="360" w:lineRule="auto"/>
        <w:ind w:firstLine="432"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GB/T 39111-2020 牙颌模型三维扫描仪技术要求</w:t>
      </w:r>
    </w:p>
    <w:p>
      <w:pPr>
        <w:kinsoku/>
        <w:spacing w:after="0" w:line="360" w:lineRule="auto"/>
        <w:ind w:firstLine="432"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GB/T 9937-2020 牙科学 名词术语</w:t>
      </w:r>
    </w:p>
    <w:p>
      <w:pPr>
        <w:kinsoku/>
        <w:spacing w:after="0" w:line="360" w:lineRule="auto"/>
        <w:ind w:firstLine="432"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GB/T 37698-2019 增材制造设计要求、指南和建议</w:t>
      </w:r>
    </w:p>
    <w:p>
      <w:pPr>
        <w:kinsoku/>
        <w:spacing w:after="0" w:line="360" w:lineRule="auto"/>
        <w:ind w:firstLine="432"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WS 818—2023 锥形束X射线计算机体层成像（CBCT）设备质量控制检测标准</w:t>
      </w:r>
    </w:p>
    <w:p>
      <w:pPr>
        <w:pStyle w:val="34"/>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T/CHSA 077—2024 牙体及牙列缺损固定修复的口内数字化印模制取专家共识</w:t>
      </w:r>
    </w:p>
    <w:p>
      <w:pPr>
        <w:pStyle w:val="34"/>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T/SHDSGY 178-2022 光固化3D打印机技术规范</w:t>
      </w:r>
    </w:p>
    <w:p>
      <w:pPr>
        <w:pStyle w:val="34"/>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JB/T 14716-2023 增材制造装备 面曝光光固化三维打印机</w:t>
      </w:r>
    </w:p>
    <w:p>
      <w:pPr>
        <w:pStyle w:val="2"/>
        <w:kinsoku/>
        <w:spacing w:before="240" w:beforeLines="100" w:after="240" w:afterLines="100" w:line="360" w:lineRule="auto"/>
        <w:rPr>
          <w:rFonts w:hint="eastAsia" w:ascii="黑体" w:hAnsi="黑体" w:eastAsia="黑体"/>
          <w:b w:val="0"/>
          <w:bCs w:val="0"/>
          <w:sz w:val="21"/>
          <w:szCs w:val="21"/>
          <w:lang w:eastAsia="zh-CN"/>
        </w:rPr>
      </w:pPr>
      <w:bookmarkStart w:id="13" w:name="bookmark33"/>
      <w:bookmarkEnd w:id="13"/>
      <w:bookmarkStart w:id="14" w:name="_Toc221108823"/>
      <w:r>
        <w:rPr>
          <w:rFonts w:ascii="黑体" w:hAnsi="黑体" w:eastAsia="黑体"/>
          <w:b w:val="0"/>
          <w:bCs w:val="0"/>
          <w:sz w:val="21"/>
          <w:szCs w:val="21"/>
          <w:lang w:eastAsia="zh-CN"/>
        </w:rPr>
        <w:t>3  术语和定义</w:t>
      </w:r>
      <w:bookmarkEnd w:id="14"/>
    </w:p>
    <w:p>
      <w:pPr>
        <w:kinsoku/>
        <w:spacing w:after="0" w:line="360" w:lineRule="auto"/>
        <w:ind w:firstLine="432"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GB/T 39111-2020、GB/T 9937-2020、GB/T 37698-2019、WS 818-2023、</w:t>
      </w:r>
      <w:r>
        <w:rPr>
          <w:rFonts w:ascii="宋体" w:hAnsi="宋体" w:eastAsia="宋体" w:cs="宋体"/>
          <w:spacing w:val="3"/>
          <w:lang w:eastAsia="zh-CN"/>
        </w:rPr>
        <w:t>T/CHSA 077—2024</w:t>
      </w:r>
      <w:r>
        <w:rPr>
          <w:rFonts w:hint="eastAsia" w:ascii="宋体" w:hAnsi="宋体" w:eastAsia="宋体" w:cs="宋体"/>
          <w:spacing w:val="3"/>
          <w:lang w:eastAsia="zh-CN"/>
        </w:rPr>
        <w:t>、</w:t>
      </w:r>
      <w:r>
        <w:rPr>
          <w:rFonts w:ascii="宋体" w:hAnsi="宋体" w:eastAsia="宋体" w:cs="宋体"/>
          <w:spacing w:val="3"/>
          <w:lang w:eastAsia="zh-CN"/>
        </w:rPr>
        <w:t>T/SHDSGY 178-2022</w:t>
      </w:r>
      <w:r>
        <w:rPr>
          <w:rFonts w:hint="eastAsia" w:ascii="宋体" w:hAnsi="宋体" w:eastAsia="宋体" w:cs="宋体"/>
          <w:spacing w:val="3"/>
          <w:lang w:eastAsia="zh-CN"/>
        </w:rPr>
        <w:t>、</w:t>
      </w:r>
      <w:r>
        <w:rPr>
          <w:rFonts w:ascii="宋体" w:hAnsi="宋体" w:eastAsia="宋体" w:cs="宋体"/>
          <w:spacing w:val="3"/>
          <w:lang w:eastAsia="zh-CN"/>
        </w:rPr>
        <w:t>JB/T 14716-2023</w:t>
      </w:r>
      <w:r>
        <w:rPr>
          <w:rFonts w:hint="eastAsia" w:ascii="宋体" w:hAnsi="宋体" w:eastAsia="宋体" w:cs="宋体"/>
          <w:spacing w:val="3"/>
          <w:lang w:eastAsia="zh-CN"/>
        </w:rPr>
        <w:t>界定的以及下列术语和定义适用于本文件。</w:t>
      </w:r>
    </w:p>
    <w:p>
      <w:pPr>
        <w:pStyle w:val="8"/>
        <w:kinsoku/>
        <w:spacing w:after="0" w:line="360" w:lineRule="auto"/>
        <w:outlineLvl w:val="0"/>
        <w:rPr>
          <w:rFonts w:hint="eastAsia" w:ascii="黑体" w:hAnsi="黑体" w:eastAsia="黑体" w:cs="黑体"/>
          <w:b w:val="0"/>
          <w:bCs w:val="0"/>
          <w:spacing w:val="-1"/>
          <w:sz w:val="21"/>
          <w:szCs w:val="21"/>
          <w:lang w:eastAsia="zh-CN"/>
        </w:rPr>
      </w:pPr>
      <w:bookmarkStart w:id="15" w:name="_Toc221108824"/>
      <w:r>
        <w:rPr>
          <w:rFonts w:hint="eastAsia" w:ascii="黑体" w:hAnsi="黑体" w:eastAsia="黑体" w:cs="黑体"/>
          <w:b w:val="0"/>
          <w:bCs w:val="0"/>
          <w:spacing w:val="-1"/>
          <w:sz w:val="21"/>
          <w:szCs w:val="21"/>
          <w:lang w:eastAsia="zh-CN"/>
        </w:rPr>
        <w:t>3.1</w:t>
      </w:r>
      <w:bookmarkEnd w:id="15"/>
    </w:p>
    <w:p>
      <w:pPr>
        <w:kinsoku/>
        <w:spacing w:after="0" w:line="360" w:lineRule="auto"/>
        <w:ind w:firstLine="416" w:firstLineChars="200"/>
        <w:rPr>
          <w:rFonts w:hint="eastAsia" w:ascii="黑体" w:hAnsi="黑体" w:eastAsia="黑体" w:cs="黑体"/>
          <w:b w:val="0"/>
          <w:bCs w:val="0"/>
          <w:spacing w:val="-1"/>
          <w:lang w:eastAsia="zh-CN"/>
        </w:rPr>
      </w:pPr>
      <w:r>
        <w:rPr>
          <w:rFonts w:hint="eastAsia" w:ascii="黑体" w:hAnsi="黑体" w:eastAsia="黑体" w:cs="黑体"/>
          <w:b w:val="0"/>
          <w:bCs w:val="0"/>
          <w:spacing w:val="-1"/>
          <w:lang w:eastAsia="zh-CN"/>
        </w:rPr>
        <w:t>数字化临床病例教学系统 digital clinical case-based teaching system</w:t>
      </w:r>
    </w:p>
    <w:p>
      <w:pPr>
        <w:kinsoku/>
        <w:spacing w:after="0" w:line="360" w:lineRule="auto"/>
        <w:ind w:firstLine="420" w:firstLineChars="200"/>
        <w:rPr>
          <w:rFonts w:hint="eastAsia" w:ascii="宋体" w:hAnsi="宋体" w:eastAsia="宋体"/>
          <w:lang w:val="zh-CN" w:eastAsia="zh-CN"/>
        </w:rPr>
      </w:pPr>
      <w:r>
        <w:rPr>
          <w:rFonts w:hint="eastAsia" w:ascii="宋体" w:hAnsi="宋体" w:eastAsia="宋体"/>
          <w:lang w:val="zh-CN" w:eastAsia="zh-CN"/>
        </w:rPr>
        <w:t>一种基于模块化架构设计的综合性教学系统。由临床病例采集及数字化资源生成、虚拟仿真训练、3D打印辅助教学模型实操、临床应用与评价等核心模块构成，支持通过数据交互实现分层级教学的软硬件集成系统。</w:t>
      </w:r>
    </w:p>
    <w:p>
      <w:pPr>
        <w:pStyle w:val="8"/>
        <w:tabs>
          <w:tab w:val="center" w:pos="4220"/>
        </w:tabs>
        <w:kinsoku/>
        <w:spacing w:after="0" w:line="360" w:lineRule="auto"/>
        <w:outlineLvl w:val="0"/>
        <w:rPr>
          <w:rFonts w:hint="eastAsia" w:ascii="黑体" w:hAnsi="黑体" w:eastAsia="黑体" w:cs="黑体"/>
          <w:b w:val="0"/>
          <w:bCs w:val="0"/>
          <w:spacing w:val="-1"/>
          <w:sz w:val="21"/>
          <w:szCs w:val="21"/>
          <w:lang w:eastAsia="zh-CN"/>
        </w:rPr>
      </w:pPr>
      <w:bookmarkStart w:id="16" w:name="_Toc221108825"/>
      <w:r>
        <w:rPr>
          <w:rFonts w:hint="eastAsia" w:ascii="黑体" w:hAnsi="黑体" w:eastAsia="黑体" w:cs="黑体"/>
          <w:b w:val="0"/>
          <w:bCs w:val="0"/>
          <w:spacing w:val="-1"/>
          <w:sz w:val="21"/>
          <w:szCs w:val="21"/>
          <w:lang w:eastAsia="zh-CN"/>
        </w:rPr>
        <w:t>3.2</w:t>
      </w:r>
      <w:bookmarkEnd w:id="16"/>
    </w:p>
    <w:p>
      <w:pPr>
        <w:kinsoku/>
        <w:spacing w:after="0" w:line="360" w:lineRule="auto"/>
        <w:ind w:firstLine="416" w:firstLineChars="200"/>
        <w:rPr>
          <w:rFonts w:hint="eastAsia" w:ascii="黑体" w:hAnsi="黑体" w:eastAsia="黑体" w:cs="黑体"/>
          <w:b w:val="0"/>
          <w:bCs w:val="0"/>
          <w:lang w:eastAsia="zh-CN"/>
        </w:rPr>
      </w:pPr>
      <w:r>
        <w:rPr>
          <w:rFonts w:hint="eastAsia" w:ascii="黑体" w:hAnsi="黑体" w:eastAsia="黑体" w:cs="黑体"/>
          <w:b w:val="0"/>
          <w:bCs w:val="0"/>
          <w:spacing w:val="-1"/>
          <w:lang w:eastAsia="zh-CN"/>
        </w:rPr>
        <w:t>数字化病例库 digital clinical case repository</w:t>
      </w:r>
    </w:p>
    <w:p>
      <w:pPr>
        <w:kinsoku/>
        <w:spacing w:after="0" w:line="360" w:lineRule="auto"/>
        <w:ind w:firstLine="420" w:firstLineChars="200"/>
        <w:rPr>
          <w:rFonts w:hint="eastAsia" w:ascii="宋体" w:hAnsi="宋体" w:eastAsia="宋体"/>
          <w:lang w:val="zh-CN" w:eastAsia="zh-CN"/>
        </w:rPr>
      </w:pPr>
      <w:r>
        <w:rPr>
          <w:rFonts w:hint="eastAsia" w:ascii="宋体" w:hAnsi="宋体" w:eastAsia="宋体"/>
          <w:lang w:val="zh-CN" w:eastAsia="zh-CN"/>
        </w:rPr>
        <w:t>基于真实临床病例</w:t>
      </w:r>
      <w:r>
        <w:rPr>
          <w:rFonts w:hint="eastAsia" w:ascii="宋体" w:hAnsi="宋体" w:eastAsia="宋体"/>
          <w:lang w:eastAsia="zh-CN"/>
        </w:rPr>
        <w:t>，</w:t>
      </w:r>
      <w:r>
        <w:rPr>
          <w:rFonts w:hint="eastAsia" w:ascii="宋体" w:hAnsi="宋体" w:eastAsia="宋体"/>
          <w:lang w:val="zh-CN" w:eastAsia="zh-CN"/>
        </w:rPr>
        <w:t>经脱敏、结构化处理后构建的标准化病例数据库</w:t>
      </w:r>
      <w:r>
        <w:rPr>
          <w:rFonts w:hint="eastAsia" w:ascii="宋体" w:hAnsi="宋体" w:eastAsia="宋体"/>
          <w:lang w:eastAsia="zh-CN"/>
        </w:rPr>
        <w:t>，</w:t>
      </w:r>
      <w:r>
        <w:rPr>
          <w:rFonts w:hint="eastAsia" w:ascii="宋体" w:hAnsi="宋体" w:eastAsia="宋体"/>
          <w:lang w:val="zh-CN" w:eastAsia="zh-CN"/>
        </w:rPr>
        <w:t>内容包括患者基本信息、病史、体征检查、影像学资料</w:t>
      </w:r>
      <w:r>
        <w:rPr>
          <w:rFonts w:hint="eastAsia" w:ascii="宋体" w:hAnsi="宋体" w:eastAsia="宋体"/>
          <w:lang w:eastAsia="zh-CN"/>
        </w:rPr>
        <w:t>（</w:t>
      </w:r>
      <w:r>
        <w:rPr>
          <w:rFonts w:hint="eastAsia" w:ascii="宋体" w:hAnsi="宋体" w:eastAsia="宋体"/>
          <w:lang w:val="zh-CN" w:eastAsia="zh-CN"/>
        </w:rPr>
        <w:t>如</w:t>
      </w:r>
      <w:r>
        <w:rPr>
          <w:rFonts w:hint="eastAsia" w:ascii="宋体" w:hAnsi="宋体" w:eastAsia="宋体"/>
          <w:lang w:eastAsia="zh-CN"/>
        </w:rPr>
        <w:t xml:space="preserve"> CBCT</w:t>
      </w:r>
      <w:r>
        <w:rPr>
          <w:rFonts w:hint="eastAsia" w:ascii="宋体" w:hAnsi="宋体" w:eastAsia="宋体"/>
          <w:lang w:val="zh-CN" w:eastAsia="zh-CN"/>
        </w:rPr>
        <w:t>、</w:t>
      </w:r>
      <w:r>
        <w:rPr>
          <w:rFonts w:hint="eastAsia" w:ascii="宋体" w:hAnsi="宋体" w:eastAsia="宋体"/>
          <w:lang w:eastAsia="zh-CN"/>
        </w:rPr>
        <w:t xml:space="preserve">X </w:t>
      </w:r>
      <w:r>
        <w:rPr>
          <w:rFonts w:hint="eastAsia" w:ascii="宋体" w:hAnsi="宋体" w:eastAsia="宋体"/>
          <w:lang w:val="zh-CN" w:eastAsia="zh-CN"/>
        </w:rPr>
        <w:t>光片</w:t>
      </w:r>
      <w:r>
        <w:rPr>
          <w:rFonts w:hint="eastAsia" w:ascii="宋体" w:hAnsi="宋体" w:eastAsia="宋体"/>
          <w:lang w:eastAsia="zh-CN"/>
        </w:rPr>
        <w:t>）</w:t>
      </w:r>
      <w:r>
        <w:rPr>
          <w:rFonts w:hint="eastAsia" w:ascii="宋体" w:hAnsi="宋体" w:eastAsia="宋体"/>
          <w:lang w:val="zh-CN" w:eastAsia="zh-CN"/>
        </w:rPr>
        <w:t>、诊断、治疗方案、手术记录和随访资料等。病例库支持多维检索、分级权限管理、病例质量审核及与虚拟仿真平台的数据交互，为病例教学、诊疗模拟和教学评估提供核心数据来源。</w:t>
      </w:r>
    </w:p>
    <w:p>
      <w:pPr>
        <w:pStyle w:val="8"/>
        <w:kinsoku/>
        <w:spacing w:after="0" w:line="360" w:lineRule="auto"/>
        <w:outlineLvl w:val="0"/>
        <w:rPr>
          <w:rFonts w:hint="eastAsia" w:ascii="黑体" w:hAnsi="黑体" w:eastAsia="黑体" w:cs="黑体"/>
          <w:b w:val="0"/>
          <w:bCs w:val="0"/>
          <w:spacing w:val="-1"/>
          <w:sz w:val="21"/>
          <w:szCs w:val="21"/>
          <w:lang w:eastAsia="zh-CN"/>
        </w:rPr>
      </w:pPr>
      <w:bookmarkStart w:id="17" w:name="_Toc216516977"/>
      <w:bookmarkStart w:id="18" w:name="_Toc216513473"/>
      <w:bookmarkStart w:id="19" w:name="_Toc217459835"/>
      <w:bookmarkStart w:id="20" w:name="_Toc221108826"/>
      <w:bookmarkStart w:id="21" w:name="_Toc217370021"/>
      <w:r>
        <w:rPr>
          <w:rFonts w:hint="eastAsia" w:ascii="黑体" w:hAnsi="黑体" w:eastAsia="黑体" w:cs="黑体"/>
          <w:b w:val="0"/>
          <w:bCs w:val="0"/>
          <w:spacing w:val="-1"/>
          <w:sz w:val="21"/>
          <w:szCs w:val="21"/>
          <w:lang w:eastAsia="zh-CN"/>
        </w:rPr>
        <w:t>3.3</w:t>
      </w:r>
      <w:bookmarkEnd w:id="17"/>
      <w:bookmarkEnd w:id="18"/>
      <w:bookmarkEnd w:id="19"/>
      <w:bookmarkEnd w:id="20"/>
      <w:bookmarkEnd w:id="21"/>
    </w:p>
    <w:p>
      <w:pPr>
        <w:kinsoku/>
        <w:spacing w:after="0" w:line="360" w:lineRule="auto"/>
        <w:ind w:firstLine="416" w:firstLineChars="200"/>
        <w:rPr>
          <w:rFonts w:hint="eastAsia" w:ascii="黑体" w:hAnsi="黑体" w:eastAsia="黑体" w:cs="黑体"/>
          <w:b w:val="0"/>
          <w:bCs w:val="0"/>
          <w:spacing w:val="-1"/>
          <w:lang w:eastAsia="zh-CN"/>
        </w:rPr>
      </w:pPr>
      <w:bookmarkStart w:id="22" w:name="_Toc217459836"/>
      <w:bookmarkStart w:id="23" w:name="_Toc216513474"/>
      <w:bookmarkStart w:id="24" w:name="_Toc217370022"/>
      <w:bookmarkStart w:id="25" w:name="_Toc216516978"/>
      <w:r>
        <w:rPr>
          <w:rFonts w:hint="eastAsia" w:ascii="黑体" w:hAnsi="黑体" w:eastAsia="黑体" w:cs="黑体"/>
          <w:b w:val="0"/>
          <w:bCs w:val="0"/>
          <w:spacing w:val="-1"/>
          <w:lang w:eastAsia="zh-CN"/>
        </w:rPr>
        <w:t>虚拟仿真教学平台 virtual simulation teaching platform</w:t>
      </w:r>
    </w:p>
    <w:p>
      <w:pPr>
        <w:kinsoku/>
        <w:spacing w:after="0" w:line="360" w:lineRule="auto"/>
        <w:ind w:firstLine="420" w:firstLineChars="200"/>
        <w:rPr>
          <w:rFonts w:hint="eastAsia" w:ascii="宋体" w:hAnsi="宋体" w:eastAsia="宋体"/>
          <w:lang w:eastAsia="zh-CN"/>
        </w:rPr>
      </w:pPr>
      <w:r>
        <w:rPr>
          <w:rFonts w:ascii="宋体" w:hAnsi="宋体" w:eastAsia="宋体"/>
          <w:lang w:val="zh-CN" w:eastAsia="zh-CN"/>
        </w:rPr>
        <w:t>整合</w:t>
      </w:r>
      <w:r>
        <w:rPr>
          <w:rFonts w:ascii="宋体" w:hAnsi="宋体" w:eastAsia="宋体"/>
          <w:lang w:eastAsia="zh-CN"/>
        </w:rPr>
        <w:t xml:space="preserve"> VR/AR</w:t>
      </w:r>
      <w:r>
        <w:rPr>
          <w:rFonts w:ascii="宋体" w:hAnsi="宋体" w:eastAsia="宋体"/>
          <w:lang w:val="zh-CN" w:eastAsia="zh-CN"/>
        </w:rPr>
        <w:t>、数字成像及人机交互技术</w:t>
      </w:r>
      <w:r>
        <w:rPr>
          <w:rFonts w:ascii="宋体" w:hAnsi="宋体" w:eastAsia="宋体"/>
          <w:lang w:eastAsia="zh-CN"/>
        </w:rPr>
        <w:t>，</w:t>
      </w:r>
      <w:r>
        <w:rPr>
          <w:rFonts w:ascii="宋体" w:hAnsi="宋体" w:eastAsia="宋体"/>
          <w:lang w:val="zh-CN" w:eastAsia="zh-CN"/>
        </w:rPr>
        <w:t>还原口腔诊疗全流程的数字化平台。利用三维重建、人机交互等技术构建的数字化临床教学平台，可在虚拟环境中模拟接诊问诊、体格检查、影像判读、诊断决策、治疗方案设计、手术操作等完整诊疗流程。涵盖医患沟通、检查操作、治疗方案推演及手术模拟等模块，支持学习者反复训练并记录操作数据，用于临床技能预习与强化</w:t>
      </w:r>
      <w:r>
        <w:rPr>
          <w:rFonts w:hint="eastAsia" w:ascii="宋体" w:hAnsi="宋体" w:eastAsia="宋体"/>
          <w:lang w:val="zh-CN" w:eastAsia="zh-CN"/>
        </w:rPr>
        <w:t>。</w:t>
      </w:r>
    </w:p>
    <w:p>
      <w:pPr>
        <w:pStyle w:val="8"/>
        <w:tabs>
          <w:tab w:val="center" w:pos="4220"/>
        </w:tabs>
        <w:kinsoku/>
        <w:spacing w:after="0" w:line="360" w:lineRule="auto"/>
        <w:outlineLvl w:val="0"/>
        <w:rPr>
          <w:rFonts w:hint="eastAsia" w:ascii="黑体" w:hAnsi="黑体" w:eastAsia="黑体" w:cs="黑体"/>
          <w:spacing w:val="-1"/>
          <w:sz w:val="21"/>
          <w:szCs w:val="21"/>
        </w:rPr>
      </w:pPr>
      <w:bookmarkStart w:id="26" w:name="_Toc221108827"/>
      <w:r>
        <w:rPr>
          <w:rFonts w:hint="eastAsia" w:ascii="黑体" w:hAnsi="黑体" w:eastAsia="黑体" w:cs="黑体"/>
          <w:spacing w:val="-1"/>
          <w:sz w:val="21"/>
          <w:szCs w:val="21"/>
        </w:rPr>
        <w:t>3.</w:t>
      </w:r>
      <w:r>
        <w:rPr>
          <w:rFonts w:hint="eastAsia" w:ascii="黑体" w:hAnsi="黑体" w:eastAsia="黑体" w:cs="黑体"/>
          <w:spacing w:val="-1"/>
          <w:sz w:val="21"/>
          <w:szCs w:val="21"/>
          <w:lang w:eastAsia="zh-CN"/>
        </w:rPr>
        <w:t>4</w:t>
      </w:r>
      <w:bookmarkEnd w:id="22"/>
      <w:bookmarkEnd w:id="23"/>
      <w:bookmarkEnd w:id="24"/>
      <w:bookmarkEnd w:id="25"/>
      <w:bookmarkEnd w:id="26"/>
    </w:p>
    <w:p>
      <w:pPr>
        <w:kinsoku/>
        <w:spacing w:after="0" w:line="360" w:lineRule="auto"/>
        <w:ind w:firstLine="416" w:firstLineChars="200"/>
        <w:rPr>
          <w:rFonts w:hint="eastAsia" w:ascii="黑体" w:hAnsi="黑体" w:eastAsia="黑体" w:cs="黑体"/>
          <w:b/>
          <w:bCs/>
          <w:spacing w:val="-1"/>
          <w:lang w:eastAsia="zh-CN"/>
        </w:rPr>
      </w:pPr>
      <w:r>
        <w:rPr>
          <w:rFonts w:hint="eastAsia" w:ascii="黑体" w:hAnsi="黑体" w:eastAsia="黑体" w:cs="黑体"/>
          <w:spacing w:val="-1"/>
          <w:lang w:eastAsia="zh-CN"/>
        </w:rPr>
        <w:t>3D 打印辅助教学模型</w:t>
      </w:r>
      <w:r>
        <w:rPr>
          <w:rFonts w:hint="eastAsia" w:ascii="黑体" w:hAnsi="黑体" w:eastAsia="黑体" w:cs="黑体"/>
          <w:b/>
          <w:bCs/>
          <w:spacing w:val="-1"/>
          <w:lang w:eastAsia="zh-CN"/>
        </w:rPr>
        <w:t xml:space="preserve"> 3D-printed instructional model</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基于数字化病例的三维重建数据，利用增材制造技术制备的实体模型。通过选用不同物理性能的打印材料，模拟牙釉质、牙本质、牙髓及牙槽骨等组织的力学触感，并保留牙根内部根管系统及邻近解剖结构（如神经管、上颌窦），是连接虚拟认知与真实手感的物理载体</w:t>
      </w:r>
      <w:r>
        <w:rPr>
          <w:rFonts w:ascii="宋体" w:hAnsi="宋体" w:eastAsia="宋体"/>
          <w:lang w:eastAsia="zh-CN"/>
        </w:rPr>
        <w:t>。</w:t>
      </w:r>
    </w:p>
    <w:p>
      <w:pPr>
        <w:pStyle w:val="2"/>
        <w:kinsoku/>
        <w:spacing w:before="240" w:beforeLines="100" w:after="240" w:afterLines="100" w:line="360" w:lineRule="auto"/>
        <w:rPr>
          <w:rFonts w:hint="eastAsia" w:ascii="黑体" w:hAnsi="黑体" w:eastAsia="黑体"/>
          <w:b w:val="0"/>
          <w:bCs w:val="0"/>
          <w:sz w:val="21"/>
          <w:szCs w:val="21"/>
          <w:lang w:eastAsia="zh-CN"/>
        </w:rPr>
      </w:pPr>
      <w:bookmarkStart w:id="27" w:name="bookmark36"/>
      <w:bookmarkEnd w:id="27"/>
      <w:bookmarkStart w:id="28" w:name="_Toc221108828"/>
      <w:bookmarkStart w:id="29" w:name="OLE_LINK24"/>
      <w:r>
        <w:rPr>
          <w:rFonts w:hint="eastAsia" w:ascii="黑体" w:hAnsi="黑体" w:eastAsia="黑体"/>
          <w:b w:val="0"/>
          <w:bCs w:val="0"/>
          <w:sz w:val="21"/>
          <w:szCs w:val="21"/>
          <w:lang w:eastAsia="zh-CN"/>
        </w:rPr>
        <w:t>4</w:t>
      </w:r>
      <w:r>
        <w:rPr>
          <w:rFonts w:ascii="黑体" w:hAnsi="黑体" w:eastAsia="黑体"/>
          <w:b w:val="0"/>
          <w:bCs w:val="0"/>
          <w:sz w:val="21"/>
          <w:szCs w:val="21"/>
          <w:lang w:eastAsia="zh-CN"/>
        </w:rPr>
        <w:t xml:space="preserve"> </w:t>
      </w:r>
      <w:r>
        <w:rPr>
          <w:rFonts w:hint="eastAsia" w:ascii="黑体" w:hAnsi="黑体" w:eastAsia="黑体"/>
          <w:b w:val="0"/>
          <w:bCs w:val="0"/>
          <w:sz w:val="21"/>
          <w:szCs w:val="21"/>
          <w:lang w:eastAsia="zh-CN"/>
        </w:rPr>
        <w:t xml:space="preserve"> 总体原则和要求</w:t>
      </w:r>
      <w:bookmarkEnd w:id="28"/>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30" w:name="bookmark8"/>
      <w:bookmarkEnd w:id="30"/>
      <w:bookmarkStart w:id="31" w:name="_Toc221108829"/>
      <w:r>
        <w:rPr>
          <w:rFonts w:hint="eastAsia" w:ascii="黑体" w:hAnsi="黑体" w:eastAsia="黑体"/>
          <w:b w:val="0"/>
          <w:bCs w:val="0"/>
          <w:sz w:val="21"/>
          <w:szCs w:val="21"/>
          <w:lang w:eastAsia="zh-CN"/>
        </w:rPr>
        <w:t>4.1  总体原则</w:t>
      </w:r>
      <w:bookmarkEnd w:id="31"/>
    </w:p>
    <w:p>
      <w:pPr>
        <w:pStyle w:val="8"/>
        <w:kinsoku/>
        <w:spacing w:before="240" w:beforeLines="100" w:after="240" w:afterLines="100" w:line="360" w:lineRule="auto"/>
        <w:outlineLvl w:val="0"/>
        <w:rPr>
          <w:rFonts w:hint="eastAsia"/>
          <w:spacing w:val="-1"/>
          <w:sz w:val="21"/>
          <w:szCs w:val="21"/>
          <w:lang w:eastAsia="zh-CN"/>
        </w:rPr>
      </w:pPr>
      <w:bookmarkStart w:id="32" w:name="_Toc217459842"/>
      <w:bookmarkStart w:id="33" w:name="_Toc217370028"/>
      <w:bookmarkStart w:id="34" w:name="_Toc216513480"/>
      <w:bookmarkStart w:id="35" w:name="_Toc221108830"/>
      <w:bookmarkStart w:id="36" w:name="_Toc216516984"/>
      <w:r>
        <w:rPr>
          <w:rFonts w:hint="eastAsia"/>
          <w:spacing w:val="-1"/>
          <w:sz w:val="21"/>
          <w:szCs w:val="21"/>
          <w:lang w:eastAsia="zh-CN"/>
        </w:rPr>
        <w:t>4.1.1  安全性原则</w:t>
      </w:r>
      <w:bookmarkEnd w:id="32"/>
      <w:bookmarkEnd w:id="33"/>
      <w:bookmarkEnd w:id="34"/>
      <w:bookmarkEnd w:id="35"/>
      <w:bookmarkEnd w:id="36"/>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牙体牙髓数字化临床病例教学系统（以下简称 “系统”）设计</w:t>
      </w:r>
      <w:r>
        <w:rPr>
          <w:rFonts w:hint="eastAsia" w:ascii="宋体" w:hAnsi="宋体" w:eastAsia="宋体"/>
          <w:lang w:eastAsia="zh-CN"/>
        </w:rPr>
        <w:t>应</w:t>
      </w:r>
      <w:r>
        <w:rPr>
          <w:rFonts w:ascii="宋体" w:hAnsi="宋体" w:eastAsia="宋体"/>
          <w:lang w:eastAsia="zh-CN"/>
        </w:rPr>
        <w:t>符合《中华人民共和国个人信息保护法》及GB/T 39725-2020要求，病例数据需脱敏处理，虚拟操作场景无物理安全风险</w:t>
      </w:r>
      <w:r>
        <w:rPr>
          <w:rFonts w:hint="eastAsia" w:ascii="宋体" w:hAnsi="宋体" w:eastAsia="宋体"/>
          <w:lang w:eastAsia="zh-CN"/>
        </w:rPr>
        <w:t>。</w:t>
      </w:r>
    </w:p>
    <w:p>
      <w:pPr>
        <w:pStyle w:val="8"/>
        <w:kinsoku/>
        <w:spacing w:before="240" w:beforeLines="100" w:after="240" w:afterLines="100" w:line="360" w:lineRule="auto"/>
        <w:outlineLvl w:val="0"/>
        <w:rPr>
          <w:rFonts w:hint="eastAsia"/>
          <w:spacing w:val="-1"/>
          <w:sz w:val="21"/>
          <w:szCs w:val="21"/>
          <w:lang w:eastAsia="zh-CN"/>
        </w:rPr>
      </w:pPr>
      <w:bookmarkStart w:id="37" w:name="_Toc217459843"/>
      <w:bookmarkStart w:id="38" w:name="_Toc216516985"/>
      <w:bookmarkStart w:id="39" w:name="_Toc216513481"/>
      <w:bookmarkStart w:id="40" w:name="_Toc217370029"/>
      <w:bookmarkStart w:id="41" w:name="_Toc221108831"/>
      <w:r>
        <w:rPr>
          <w:rFonts w:hint="eastAsia"/>
          <w:spacing w:val="-1"/>
          <w:sz w:val="21"/>
          <w:szCs w:val="21"/>
          <w:lang w:eastAsia="zh-CN"/>
        </w:rPr>
        <w:t>4.1.2  实用性原则</w:t>
      </w:r>
      <w:bookmarkEnd w:id="37"/>
      <w:bookmarkEnd w:id="38"/>
      <w:bookmarkEnd w:id="39"/>
      <w:bookmarkEnd w:id="40"/>
      <w:bookmarkEnd w:id="41"/>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应</w:t>
      </w:r>
      <w:r>
        <w:rPr>
          <w:rFonts w:ascii="宋体" w:hAnsi="宋体" w:eastAsia="宋体"/>
          <w:lang w:eastAsia="zh-CN"/>
        </w:rPr>
        <w:t>匹配牙体牙髓教学实际需求，系统功能覆盖 “采集 - 训练 - 应用 - 评估” 全流程；操作界面简洁直观，支持学习者自主规划学习进度，教师可高效开展教学指导与评估</w:t>
      </w:r>
      <w:r>
        <w:rPr>
          <w:rFonts w:hint="eastAsia" w:ascii="宋体" w:hAnsi="宋体" w:eastAsia="宋体"/>
          <w:lang w:eastAsia="zh-CN"/>
        </w:rPr>
        <w:t xml:space="preserve">。 </w:t>
      </w:r>
    </w:p>
    <w:p>
      <w:pPr>
        <w:pStyle w:val="8"/>
        <w:kinsoku/>
        <w:spacing w:before="240" w:beforeLines="100" w:after="240" w:afterLines="100" w:line="360" w:lineRule="auto"/>
        <w:outlineLvl w:val="0"/>
        <w:rPr>
          <w:rFonts w:hint="eastAsia"/>
          <w:spacing w:val="-1"/>
          <w:sz w:val="21"/>
          <w:szCs w:val="21"/>
          <w:lang w:eastAsia="zh-CN"/>
        </w:rPr>
      </w:pPr>
      <w:bookmarkStart w:id="42" w:name="_Toc216516986"/>
      <w:bookmarkStart w:id="43" w:name="_Toc216513482"/>
      <w:bookmarkStart w:id="44" w:name="_Toc221108832"/>
      <w:bookmarkStart w:id="45" w:name="_Toc217370030"/>
      <w:bookmarkStart w:id="46" w:name="_Toc217459844"/>
      <w:r>
        <w:rPr>
          <w:rFonts w:hint="eastAsia"/>
          <w:spacing w:val="-1"/>
          <w:sz w:val="21"/>
          <w:szCs w:val="21"/>
          <w:lang w:eastAsia="zh-CN"/>
        </w:rPr>
        <w:t>4.1.3  可拓展性原则</w:t>
      </w:r>
      <w:bookmarkEnd w:id="42"/>
      <w:bookmarkEnd w:id="43"/>
      <w:bookmarkEnd w:id="44"/>
      <w:bookmarkEnd w:id="45"/>
      <w:bookmarkEnd w:id="46"/>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系统设计应支持</w:t>
      </w:r>
      <w:r>
        <w:rPr>
          <w:rFonts w:ascii="宋体" w:hAnsi="宋体" w:eastAsia="宋体"/>
          <w:lang w:eastAsia="zh-CN"/>
        </w:rPr>
        <w:t>技术升级（如 VR 设备迭代、AI 辅助诊断集成）及教学内容更新（如新增疾病类型、诊疗指南修订），系统架构支持模块扩展与功能升级，数据库支持容量按需扩容</w:t>
      </w:r>
      <w:r>
        <w:rPr>
          <w:rFonts w:hint="eastAsia" w:ascii="宋体" w:hAnsi="宋体" w:eastAsia="宋体"/>
          <w:lang w:eastAsia="zh-CN"/>
        </w:rPr>
        <w:t>。</w:t>
      </w:r>
    </w:p>
    <w:p>
      <w:pPr>
        <w:pStyle w:val="8"/>
        <w:kinsoku/>
        <w:spacing w:before="240" w:beforeLines="100" w:after="240" w:afterLines="100" w:line="360" w:lineRule="auto"/>
        <w:outlineLvl w:val="0"/>
        <w:rPr>
          <w:rFonts w:hint="eastAsia"/>
          <w:spacing w:val="-1"/>
          <w:sz w:val="21"/>
          <w:szCs w:val="21"/>
          <w:lang w:eastAsia="zh-CN"/>
        </w:rPr>
      </w:pPr>
      <w:bookmarkStart w:id="47" w:name="_Toc221108833"/>
      <w:r>
        <w:rPr>
          <w:rFonts w:hint="eastAsia"/>
          <w:spacing w:val="-1"/>
          <w:sz w:val="21"/>
          <w:szCs w:val="21"/>
          <w:lang w:eastAsia="zh-CN"/>
        </w:rPr>
        <w:t>4.1.4  规范化原则</w:t>
      </w:r>
      <w:bookmarkEnd w:id="47"/>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病例筛选、教学流程、评估指标需符合牙体牙髓诊疗规范及教学标准，确保不同教学机构间的教学质量可对比、可追溯</w:t>
      </w:r>
      <w:r>
        <w:rPr>
          <w:rFonts w:hint="eastAsia"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48" w:name="_Toc221108834"/>
      <w:r>
        <w:rPr>
          <w:rFonts w:hint="eastAsia" w:ascii="黑体" w:hAnsi="黑体" w:eastAsia="黑体"/>
          <w:b w:val="0"/>
          <w:bCs w:val="0"/>
          <w:sz w:val="21"/>
          <w:szCs w:val="21"/>
          <w:lang w:eastAsia="zh-CN"/>
        </w:rPr>
        <w:t>4.2  总体要求</w:t>
      </w:r>
      <w:bookmarkEnd w:id="48"/>
    </w:p>
    <w:p>
      <w:pPr>
        <w:pStyle w:val="8"/>
        <w:kinsoku/>
        <w:spacing w:before="240" w:beforeLines="100" w:after="240" w:afterLines="100" w:line="360" w:lineRule="auto"/>
        <w:outlineLvl w:val="0"/>
        <w:rPr>
          <w:rFonts w:hint="eastAsia"/>
          <w:spacing w:val="-1"/>
          <w:sz w:val="21"/>
          <w:szCs w:val="21"/>
          <w:lang w:eastAsia="zh-CN"/>
        </w:rPr>
      </w:pPr>
      <w:bookmarkStart w:id="49" w:name="_Toc217459846"/>
      <w:bookmarkStart w:id="50" w:name="_Toc217370032"/>
      <w:bookmarkStart w:id="51" w:name="_Toc221108835"/>
      <w:r>
        <w:rPr>
          <w:rFonts w:hint="eastAsia"/>
          <w:spacing w:val="-1"/>
          <w:sz w:val="21"/>
          <w:szCs w:val="21"/>
          <w:lang w:eastAsia="zh-CN"/>
        </w:rPr>
        <w:t xml:space="preserve">4.2.1  </w:t>
      </w:r>
      <w:bookmarkEnd w:id="49"/>
      <w:bookmarkEnd w:id="50"/>
      <w:r>
        <w:rPr>
          <w:rFonts w:hint="eastAsia"/>
          <w:spacing w:val="-1"/>
          <w:sz w:val="21"/>
          <w:szCs w:val="21"/>
          <w:lang w:eastAsia="zh-CN"/>
        </w:rPr>
        <w:t>系统设计要求</w:t>
      </w:r>
      <w:bookmarkEnd w:id="51"/>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系统</w:t>
      </w:r>
      <w:r>
        <w:rPr>
          <w:rFonts w:hint="eastAsia" w:ascii="宋体" w:hAnsi="宋体" w:eastAsia="宋体"/>
          <w:lang w:eastAsia="zh-CN"/>
        </w:rPr>
        <w:t>应以真实病例数据为核心，</w:t>
      </w:r>
      <w:r>
        <w:rPr>
          <w:rFonts w:ascii="宋体" w:hAnsi="宋体" w:eastAsia="宋体"/>
          <w:lang w:eastAsia="zh-CN"/>
        </w:rPr>
        <w:t>由虚拟仿真教学平台模块和3D 打印</w:t>
      </w:r>
      <w:r>
        <w:rPr>
          <w:rFonts w:hint="eastAsia" w:ascii="宋体" w:hAnsi="宋体" w:eastAsia="宋体"/>
          <w:lang w:eastAsia="zh-CN"/>
        </w:rPr>
        <w:t>辅助教学</w:t>
      </w:r>
      <w:r>
        <w:rPr>
          <w:rFonts w:ascii="宋体" w:hAnsi="宋体" w:eastAsia="宋体"/>
          <w:lang w:eastAsia="zh-CN"/>
        </w:rPr>
        <w:t>模型模块构成</w:t>
      </w:r>
      <w:r>
        <w:rPr>
          <w:rFonts w:hint="eastAsia" w:ascii="宋体" w:hAnsi="宋体" w:eastAsia="宋体"/>
          <w:lang w:eastAsia="zh-CN"/>
        </w:rPr>
        <w:t>，形成支持多层级教学与能力培养的技术体系</w:t>
      </w:r>
      <w:bookmarkStart w:id="52" w:name="bookmark24"/>
      <w:bookmarkEnd w:id="52"/>
    </w:p>
    <w:p>
      <w:pPr>
        <w:pStyle w:val="8"/>
        <w:kinsoku/>
        <w:spacing w:before="240" w:beforeLines="100" w:after="240" w:afterLines="100" w:line="360" w:lineRule="auto"/>
        <w:outlineLvl w:val="0"/>
        <w:rPr>
          <w:rFonts w:hint="eastAsia"/>
          <w:spacing w:val="-1"/>
          <w:sz w:val="21"/>
          <w:szCs w:val="21"/>
          <w:lang w:eastAsia="zh-CN"/>
        </w:rPr>
      </w:pPr>
      <w:bookmarkStart w:id="53" w:name="_Toc217370033"/>
      <w:bookmarkStart w:id="54" w:name="_Toc217459847"/>
      <w:bookmarkStart w:id="55" w:name="_Toc221108836"/>
      <w:r>
        <w:rPr>
          <w:rFonts w:hint="eastAsia"/>
          <w:spacing w:val="-1"/>
          <w:sz w:val="21"/>
          <w:szCs w:val="21"/>
          <w:lang w:eastAsia="zh-CN"/>
        </w:rPr>
        <w:t xml:space="preserve">4.2.2  </w:t>
      </w:r>
      <w:bookmarkEnd w:id="53"/>
      <w:bookmarkEnd w:id="54"/>
      <w:r>
        <w:rPr>
          <w:rFonts w:hint="eastAsia"/>
          <w:spacing w:val="-1"/>
          <w:sz w:val="21"/>
          <w:szCs w:val="21"/>
          <w:lang w:eastAsia="zh-CN"/>
        </w:rPr>
        <w:t>虚拟仿真平台模块要求</w:t>
      </w:r>
      <w:bookmarkEnd w:id="55"/>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虚拟仿真平台模块</w:t>
      </w:r>
      <w:r>
        <w:rPr>
          <w:rFonts w:hint="eastAsia" w:ascii="宋体" w:hAnsi="宋体" w:eastAsia="宋体"/>
          <w:lang w:eastAsia="zh-CN"/>
        </w:rPr>
        <w:t>应</w:t>
      </w:r>
      <w:r>
        <w:rPr>
          <w:rFonts w:ascii="宋体" w:hAnsi="宋体" w:eastAsia="宋体"/>
          <w:lang w:eastAsia="zh-CN"/>
        </w:rPr>
        <w:t>包含诊疗全流程模拟（医患沟通、检查操作、治疗推演、手术模拟）及操作记录复盘功能，支持沉浸式训练与数据化评估</w:t>
      </w:r>
      <w:r>
        <w:rPr>
          <w:rFonts w:hint="eastAsia" w:ascii="宋体" w:hAnsi="宋体" w:eastAsia="宋体"/>
          <w:lang w:eastAsia="zh-CN"/>
        </w:rPr>
        <w:t>。</w:t>
      </w:r>
    </w:p>
    <w:p>
      <w:pPr>
        <w:pStyle w:val="8"/>
        <w:kinsoku/>
        <w:spacing w:before="240" w:beforeLines="100" w:after="240" w:afterLines="100" w:line="360" w:lineRule="auto"/>
        <w:outlineLvl w:val="0"/>
        <w:rPr>
          <w:rFonts w:hint="eastAsia"/>
          <w:spacing w:val="-1"/>
          <w:sz w:val="21"/>
          <w:szCs w:val="21"/>
          <w:lang w:eastAsia="zh-CN"/>
        </w:rPr>
      </w:pPr>
      <w:bookmarkStart w:id="56" w:name="_Toc221108837"/>
      <w:r>
        <w:rPr>
          <w:rFonts w:hint="eastAsia"/>
          <w:spacing w:val="-1"/>
          <w:sz w:val="21"/>
          <w:szCs w:val="21"/>
          <w:lang w:eastAsia="zh-CN"/>
        </w:rPr>
        <w:t>4.2.3  3D打印模型模块要求</w:t>
      </w:r>
      <w:bookmarkEnd w:id="56"/>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3D 打印模型模块</w:t>
      </w:r>
      <w:r>
        <w:rPr>
          <w:rFonts w:hint="eastAsia" w:ascii="宋体" w:hAnsi="宋体" w:eastAsia="宋体"/>
          <w:lang w:eastAsia="zh-CN"/>
        </w:rPr>
        <w:t>应具备</w:t>
      </w:r>
      <w:r>
        <w:rPr>
          <w:rFonts w:ascii="宋体" w:hAnsi="宋体" w:eastAsia="宋体"/>
          <w:lang w:eastAsia="zh-CN"/>
        </w:rPr>
        <w:t>数据处理、个性化建模、打印制备及支撑去除功能，生成符合教学需求的高仿真实体模型</w:t>
      </w:r>
      <w:r>
        <w:rPr>
          <w:rFonts w:hint="eastAsia" w:ascii="宋体" w:hAnsi="宋体" w:eastAsia="宋体"/>
          <w:lang w:eastAsia="zh-CN"/>
        </w:rPr>
        <w:t>。</w:t>
      </w:r>
    </w:p>
    <w:p>
      <w:pPr>
        <w:pStyle w:val="2"/>
        <w:kinsoku/>
        <w:spacing w:before="240" w:beforeLines="100" w:after="240" w:afterLines="100" w:line="360" w:lineRule="auto"/>
        <w:rPr>
          <w:rFonts w:hint="eastAsia" w:ascii="黑体" w:hAnsi="黑体" w:eastAsia="黑体"/>
          <w:b w:val="0"/>
          <w:bCs w:val="0"/>
          <w:sz w:val="21"/>
          <w:szCs w:val="21"/>
          <w:lang w:eastAsia="zh-CN"/>
        </w:rPr>
      </w:pPr>
      <w:bookmarkStart w:id="57" w:name="_Toc221108838"/>
      <w:r>
        <w:rPr>
          <w:rFonts w:hint="eastAsia" w:ascii="黑体" w:hAnsi="黑体" w:eastAsia="黑体"/>
          <w:b w:val="0"/>
          <w:bCs w:val="0"/>
          <w:sz w:val="21"/>
          <w:szCs w:val="21"/>
          <w:lang w:eastAsia="zh-CN"/>
        </w:rPr>
        <w:t>5  数字化病例库建设要求</w:t>
      </w:r>
      <w:bookmarkEnd w:id="57"/>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58" w:name="_Toc221108839"/>
      <w:r>
        <w:rPr>
          <w:rFonts w:hint="eastAsia" w:ascii="黑体" w:hAnsi="黑体" w:eastAsia="黑体"/>
          <w:b w:val="0"/>
          <w:bCs w:val="0"/>
          <w:sz w:val="21"/>
          <w:szCs w:val="21"/>
          <w:lang w:eastAsia="zh-CN"/>
        </w:rPr>
        <w:t>5.1  资源构建分类与总体策略</w:t>
      </w:r>
      <w:bookmarkEnd w:id="58"/>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数字化病例库的资源构建应支持“库存标准化病例建设”和“实时临床病例采集”相结合的方式，以满足分层教学和不同教学场景的需求</w:t>
      </w:r>
      <w:r>
        <w:rPr>
          <w:rFonts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a）库存标准化病例：</w:t>
      </w:r>
      <w:r>
        <w:rPr>
          <w:rFonts w:hint="eastAsia" w:ascii="宋体" w:hAnsi="宋体" w:eastAsia="宋体"/>
          <w:lang w:eastAsia="zh-CN"/>
        </w:rPr>
        <w:t>主要面向口腔医学本科生等基础技能训练阶段。应定期从临床诊疗中筛选具有代表性的典型病例，经系统化整理和长期积累，逐步形成覆盖教学大纲核心病种的标准化病例资源库；</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b）实时临床病例：主要面向住院医师规范化培训学员等高阶闭环教学阶段。应建立快速响应机制，在不影响临床诊疗质量和效率的前提下，于临床诊疗间隙完成病例接诊信息采集、数据处理及教学资源转化的全过程</w:t>
      </w:r>
      <w:r>
        <w:rPr>
          <w:rFonts w:hint="eastAsia"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59" w:name="_Toc221108840"/>
      <w:r>
        <w:rPr>
          <w:rFonts w:hint="eastAsia" w:ascii="黑体" w:hAnsi="黑体" w:eastAsia="黑体"/>
          <w:b w:val="0"/>
          <w:bCs w:val="0"/>
          <w:sz w:val="21"/>
          <w:szCs w:val="21"/>
          <w:lang w:eastAsia="zh-CN"/>
        </w:rPr>
        <w:t>5.2  病例筛选与伦理准入</w:t>
      </w:r>
      <w:bookmarkEnd w:id="59"/>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60" w:name="_Toc221108841"/>
      <w:r>
        <w:rPr>
          <w:rFonts w:hint="eastAsia" w:ascii="黑体" w:hAnsi="黑体" w:eastAsia="黑体"/>
          <w:b w:val="0"/>
          <w:bCs w:val="0"/>
          <w:sz w:val="21"/>
          <w:szCs w:val="21"/>
          <w:lang w:eastAsia="zh-CN"/>
        </w:rPr>
        <w:t>5.2.1  筛选标准</w:t>
      </w:r>
      <w:bookmarkEnd w:id="60"/>
      <w:r>
        <w:rPr>
          <w:rFonts w:hint="eastAsia" w:ascii="黑体" w:hAnsi="黑体" w:eastAsia="黑体"/>
          <w:b w:val="0"/>
          <w:bCs w:val="0"/>
          <w:sz w:val="21"/>
          <w:szCs w:val="21"/>
          <w:lang w:eastAsia="zh-CN"/>
        </w:rPr>
        <w:t xml:space="preserve"> </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用于教学实施的病例应具有明确的教学价值，并遵循“典型性服务基础教学、疑难性服务高阶教学”的原则，具体应符合以下要求：</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a）教学适应性：病例诊断应明确，能够覆盖牙体牙髓病学教学大纲中的核心知识点，如深龋、牙髓炎和根尖周炎等，适合开展规范化操作训练；</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b）数据完整性：病例应具备完整的病史资料、清晰且无明显伪影的影像学资料（包括 CBCT 和根尖片等），并具备开展随访的条件；</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 xml:space="preserve">c）难度分级：应根据操作复杂程度对病例进行分级，包括初级病例（如典型单根管、简单Ⅰ类洞等）、中级病例（如多根管、弯曲根管等）和高级病例（如严重钙化根管、C 形根管等），以匹配不同层级学员的教学需求； </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d）排除标准：存在严重全身系统性疾病、无法耐受治疗者，配合度极差者，处于急性炎症扩散期不宜立即操作的病例，以及存在潜在医疗纠纷风险的病例，不应纳入教学实施范围。</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61" w:name="_Toc221108842"/>
      <w:r>
        <w:rPr>
          <w:rFonts w:hint="eastAsia" w:ascii="黑体" w:hAnsi="黑体" w:eastAsia="黑体"/>
          <w:b w:val="0"/>
          <w:bCs w:val="0"/>
          <w:sz w:val="21"/>
          <w:szCs w:val="21"/>
          <w:lang w:eastAsia="zh-CN"/>
        </w:rPr>
        <w:t xml:space="preserve">5.2.2  </w:t>
      </w:r>
      <w:r>
        <w:rPr>
          <w:rFonts w:ascii="黑体" w:hAnsi="黑体" w:eastAsia="黑体"/>
          <w:b w:val="0"/>
          <w:bCs w:val="0"/>
          <w:sz w:val="21"/>
          <w:szCs w:val="21"/>
          <w:lang w:eastAsia="zh-CN"/>
        </w:rPr>
        <w:t>伦理准入流程</w:t>
      </w:r>
      <w:bookmarkEnd w:id="61"/>
      <w:r>
        <w:rPr>
          <w:rFonts w:hint="eastAsia" w:ascii="黑体" w:hAnsi="黑体" w:eastAsia="黑体"/>
          <w:b w:val="0"/>
          <w:bCs w:val="0"/>
          <w:sz w:val="21"/>
          <w:szCs w:val="21"/>
          <w:lang w:eastAsia="zh-CN"/>
        </w:rPr>
        <w:t xml:space="preserve"> </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在采集病例数据并用于教学前，应严格执行伦理审查和知情同意程序，包括以下内容</w:t>
      </w:r>
      <w:r>
        <w:rPr>
          <w:rFonts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a）知情告知：</w:t>
      </w:r>
      <w:r>
        <w:rPr>
          <w:rFonts w:hint="eastAsia" w:ascii="宋体" w:hAnsi="宋体" w:eastAsia="宋体"/>
          <w:lang w:eastAsia="zh-CN"/>
        </w:rPr>
        <w:t>带教医师或学员应向患者（或其法定代理人）充分说明教学项目的目的、实施流程、数据使用范围及隐私保护措施，并明确告知其诊疗质量不因参与教学活动而降低，同时患者享有随时退出教学项目的权利</w:t>
      </w:r>
      <w:r>
        <w:rPr>
          <w:rFonts w:ascii="宋体" w:hAnsi="宋体" w:eastAsia="宋体"/>
          <w:lang w:eastAsia="zh-CN"/>
        </w:rPr>
        <w:t xml:space="preserve">； </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b）签署同意书：</w:t>
      </w:r>
      <w:r>
        <w:rPr>
          <w:rFonts w:hint="eastAsia" w:ascii="宋体" w:hAnsi="宋体" w:eastAsia="宋体"/>
          <w:lang w:eastAsia="zh-CN"/>
        </w:rPr>
        <w:t>在患者充分理解相关内容后，应签署《病例数据用于教学科研知情同意书》（见附录 A），并按照规定进行归档保存</w:t>
      </w:r>
      <w:r>
        <w:rPr>
          <w:rFonts w:ascii="宋体" w:hAnsi="宋体" w:eastAsia="宋体"/>
          <w:lang w:eastAsia="zh-CN"/>
        </w:rPr>
        <w:t xml:space="preserve">； </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c）隐私保护承诺：</w:t>
      </w:r>
      <w:r>
        <w:rPr>
          <w:rFonts w:hint="eastAsia" w:ascii="宋体" w:hAnsi="宋体" w:eastAsia="宋体"/>
          <w:lang w:eastAsia="zh-CN"/>
        </w:rPr>
        <w:t>所有参与教学实施的人员均应签署保密承诺文件，不得向任何与教学活动无关的第三方披露患者个人信息</w:t>
      </w:r>
      <w:r>
        <w:rPr>
          <w:rFonts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62" w:name="_Toc221108843"/>
      <w:r>
        <w:rPr>
          <w:rFonts w:hint="eastAsia" w:ascii="黑体" w:hAnsi="黑体" w:eastAsia="黑体"/>
          <w:b w:val="0"/>
          <w:bCs w:val="0"/>
          <w:sz w:val="21"/>
          <w:szCs w:val="21"/>
          <w:lang w:eastAsia="zh-CN"/>
        </w:rPr>
        <w:t>5.3  数据加工要求</w:t>
      </w:r>
      <w:bookmarkEnd w:id="62"/>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63" w:name="_Toc221108844"/>
      <w:r>
        <w:rPr>
          <w:rFonts w:hint="eastAsia" w:ascii="黑体" w:hAnsi="黑体" w:eastAsia="黑体"/>
          <w:b w:val="0"/>
          <w:bCs w:val="0"/>
          <w:sz w:val="21"/>
          <w:szCs w:val="21"/>
          <w:lang w:eastAsia="zh-CN"/>
        </w:rPr>
        <w:t>5.3.1  多模态数据支持功能</w:t>
      </w:r>
      <w:bookmarkEnd w:id="63"/>
      <w:r>
        <w:rPr>
          <w:rFonts w:hint="eastAsia" w:ascii="黑体" w:hAnsi="黑体" w:eastAsia="黑体"/>
          <w:b w:val="0"/>
          <w:bCs w:val="0"/>
          <w:sz w:val="21"/>
          <w:szCs w:val="21"/>
          <w:lang w:eastAsia="zh-CN"/>
        </w:rPr>
        <w:t xml:space="preserve"> </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系统应支持以下类型的病例数据采集与管理：</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 xml:space="preserve">a）文本数据：包括标准化的门诊病历、检验报告单、手术记录单及随访记录； </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b）影像数据：1） 锥形束CT（CBCT）：应采集高分辨率 DICOM 格式数据，扫描范围应覆盖患牙及邻近解剖结构（如上颌窦、下牙槽神经管），层厚宜不大于0.2 mm，确保三维重建精度；2）口内影像：应采集术前、术中及术后的口内彩色照片或口内扫描数据，以记录软硬组织形态与颜色信息；3）X 线片：应采集术前诊断性根尖片或咬翼片；</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c）音视频数据：宜采集关键医患沟通过程的音频或标准化操作视频，用于教学复盘和教学素材库建设。</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64" w:name="_Toc221108845"/>
      <w:r>
        <w:rPr>
          <w:rFonts w:hint="eastAsia" w:ascii="黑体" w:hAnsi="黑体" w:eastAsia="黑体"/>
          <w:b w:val="0"/>
          <w:bCs w:val="0"/>
          <w:sz w:val="21"/>
          <w:szCs w:val="21"/>
          <w:lang w:eastAsia="zh-CN"/>
        </w:rPr>
        <w:t>5.3.2  数据脱敏处理</w:t>
      </w:r>
      <w:bookmarkEnd w:id="64"/>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在病例数据进入教学系统前，必须进行不可逆的去标识化处理，包括：</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a）文本数据脱敏：应删除或掩盖姓名、身份证号码、联系方式和详细住址等个人敏感信息；</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b）影像数据脱敏：应清除 DICOM 标签中的患者身份信息，必要时对三维重建中涉及的面部软组织特征进行模糊化处理。</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65" w:name="_Toc221108846"/>
      <w:r>
        <w:rPr>
          <w:rFonts w:hint="eastAsia" w:ascii="黑体" w:hAnsi="黑体" w:eastAsia="黑体"/>
          <w:b w:val="0"/>
          <w:bCs w:val="0"/>
          <w:sz w:val="21"/>
          <w:szCs w:val="21"/>
          <w:lang w:eastAsia="zh-CN"/>
        </w:rPr>
        <w:t>5.3.3  结构化与标签化</w:t>
      </w:r>
      <w:bookmarkEnd w:id="65"/>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应依据教学大纲对病例数据进行加工处理：</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a）结构化录入：将病史、检查结果和诊断结论等非结构化文本转化为系统可识别的结构化数据字段；</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b）教学标签标引：由具备相应资质的审核人员对病例进行多维度标签标引，如解剖类型、病变特征和风险等级等，并标注关键知识点和易错点。</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66" w:name="_Toc221108847"/>
      <w:r>
        <w:rPr>
          <w:rFonts w:hint="eastAsia" w:ascii="黑体" w:hAnsi="黑体" w:eastAsia="黑体"/>
          <w:b w:val="0"/>
          <w:bCs w:val="0"/>
          <w:sz w:val="21"/>
          <w:szCs w:val="21"/>
          <w:lang w:eastAsia="zh-CN"/>
        </w:rPr>
        <w:t>5.4  数字化病例生成要求</w:t>
      </w:r>
      <w:bookmarkEnd w:id="66"/>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67" w:name="_Toc221108848"/>
      <w:r>
        <w:rPr>
          <w:rFonts w:hint="eastAsia" w:ascii="黑体" w:hAnsi="黑体" w:eastAsia="黑体"/>
          <w:b w:val="0"/>
          <w:bCs w:val="0"/>
          <w:sz w:val="21"/>
          <w:szCs w:val="21"/>
          <w:lang w:eastAsia="zh-CN"/>
        </w:rPr>
        <w:t>5.4.1  数字化模型构建</w:t>
      </w:r>
      <w:bookmarkEnd w:id="67"/>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应利用采集后的患者原始数据进行虚拟模型构建，具体要求见7.2。</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68" w:name="_Toc221108849"/>
      <w:r>
        <w:rPr>
          <w:rFonts w:hint="eastAsia" w:ascii="黑体" w:hAnsi="黑体" w:eastAsia="黑体"/>
          <w:b w:val="0"/>
          <w:bCs w:val="0"/>
          <w:sz w:val="21"/>
          <w:szCs w:val="21"/>
          <w:lang w:eastAsia="zh-CN"/>
        </w:rPr>
        <w:t>5.4.2  病例纳入虚拟仿真平台</w:t>
      </w:r>
      <w:bookmarkEnd w:id="68"/>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应将生成的数字化模型和结构化病例数据导入虚拟仿真教学系统，通过材质渲染和头模位置校准还原真实临床操作视角，并配置问诊交互逻辑、标准化诊疗流程及自动评分规则，实现完整虚拟教学场景的构建</w:t>
      </w:r>
      <w:r>
        <w:rPr>
          <w:rFonts w:hint="eastAsia" w:ascii="宋体" w:hAnsi="宋体" w:eastAsia="宋体"/>
          <w:lang w:eastAsia="zh-CN"/>
        </w:rPr>
        <w:t>。</w:t>
      </w:r>
    </w:p>
    <w:bookmarkEnd w:id="29"/>
    <w:p>
      <w:pPr>
        <w:pStyle w:val="2"/>
        <w:kinsoku/>
        <w:spacing w:before="240" w:beforeLines="100" w:after="240" w:afterLines="100" w:line="360" w:lineRule="auto"/>
        <w:rPr>
          <w:rFonts w:hint="eastAsia" w:ascii="黑体" w:hAnsi="黑体" w:eastAsia="黑体"/>
          <w:b w:val="0"/>
          <w:bCs w:val="0"/>
          <w:sz w:val="21"/>
          <w:szCs w:val="21"/>
          <w:lang w:eastAsia="zh-CN"/>
        </w:rPr>
      </w:pPr>
      <w:bookmarkStart w:id="69" w:name="_Toc221108850"/>
      <w:bookmarkStart w:id="70" w:name="OLE_LINK26"/>
      <w:r>
        <w:rPr>
          <w:rFonts w:hint="eastAsia" w:ascii="黑体" w:hAnsi="黑体" w:eastAsia="黑体"/>
          <w:b w:val="0"/>
          <w:bCs w:val="0"/>
          <w:sz w:val="21"/>
          <w:szCs w:val="21"/>
          <w:lang w:eastAsia="zh-CN"/>
        </w:rPr>
        <w:t xml:space="preserve">6 </w:t>
      </w:r>
      <w:bookmarkStart w:id="71" w:name="OLE_LINK25"/>
      <w:r>
        <w:rPr>
          <w:rFonts w:hint="eastAsia" w:ascii="黑体" w:hAnsi="黑体" w:eastAsia="黑体"/>
          <w:b w:val="0"/>
          <w:bCs w:val="0"/>
          <w:sz w:val="21"/>
          <w:szCs w:val="21"/>
          <w:lang w:eastAsia="zh-CN"/>
        </w:rPr>
        <w:t xml:space="preserve"> 虚拟仿真平台</w:t>
      </w:r>
      <w:bookmarkEnd w:id="69"/>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72" w:name="_Toc221108851"/>
      <w:r>
        <w:rPr>
          <w:rFonts w:hint="eastAsia" w:ascii="黑体" w:hAnsi="黑体" w:eastAsia="黑体"/>
          <w:b w:val="0"/>
          <w:bCs w:val="0"/>
          <w:sz w:val="21"/>
          <w:szCs w:val="21"/>
          <w:lang w:eastAsia="zh-CN"/>
        </w:rPr>
        <w:t>6.1  虚拟仿真平台总体技术要求</w:t>
      </w:r>
      <w:bookmarkEnd w:id="72"/>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虚拟仿真平台应充分发挥虚拟仿真技术优势，融合科学的教育教学与学习理论，支撑实验教学模式与学习方式的创新，提升课堂教学效率与训练效果。平台以数字化临床病例资源为核心数据基础，通过仿真实验软件实现诊疗流程的可视化与交互化呈现，并支持力反馈模拟器、计算机终端及XR设备等多种交互形态，满足不同培养层级和训练场景下的教学与实训需求</w:t>
      </w:r>
      <w:r>
        <w:rPr>
          <w:rFonts w:hint="eastAsia"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73" w:name="_Toc221108852"/>
      <w:r>
        <w:rPr>
          <w:rFonts w:hint="eastAsia" w:ascii="黑体" w:hAnsi="黑体" w:eastAsia="黑体"/>
          <w:b w:val="0"/>
          <w:bCs w:val="0"/>
          <w:sz w:val="21"/>
          <w:szCs w:val="21"/>
          <w:lang w:eastAsia="zh-CN"/>
        </w:rPr>
        <w:t>6.2  虚拟仿真平台训练过程要求</w:t>
      </w:r>
      <w:bookmarkEnd w:id="73"/>
    </w:p>
    <w:p>
      <w:pPr>
        <w:pStyle w:val="8"/>
        <w:kinsoku/>
        <w:spacing w:before="240" w:beforeLines="100" w:after="240" w:afterLines="100" w:line="360" w:lineRule="auto"/>
        <w:outlineLvl w:val="0"/>
        <w:rPr>
          <w:rFonts w:hint="eastAsia"/>
          <w:spacing w:val="-1"/>
          <w:sz w:val="21"/>
          <w:szCs w:val="21"/>
          <w:lang w:eastAsia="zh-CN"/>
        </w:rPr>
      </w:pPr>
      <w:bookmarkStart w:id="74" w:name="_Toc217459850"/>
      <w:bookmarkStart w:id="75" w:name="_Toc221108853"/>
      <w:r>
        <w:rPr>
          <w:rFonts w:hint="eastAsia"/>
          <w:spacing w:val="-1"/>
          <w:sz w:val="21"/>
          <w:szCs w:val="21"/>
          <w:lang w:eastAsia="zh-CN"/>
        </w:rPr>
        <w:t xml:space="preserve">6.2.1  </w:t>
      </w:r>
      <w:bookmarkEnd w:id="74"/>
      <w:r>
        <w:rPr>
          <w:rFonts w:hint="eastAsia"/>
          <w:spacing w:val="-1"/>
          <w:sz w:val="21"/>
          <w:szCs w:val="21"/>
          <w:lang w:eastAsia="zh-CN"/>
        </w:rPr>
        <w:t>问诊与沟通训练技术要求</w:t>
      </w:r>
      <w:bookmarkEnd w:id="75"/>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问诊与沟通训练模块应基于数字化临床病例和自然语言处理技术，实现学员与虚拟患者之间的多模态交互，支撑病史采集与医患沟通训练的全过程仿真。</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 语音与文本输入处理能力</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支持语音和文本两种问诊输入方式。语音输入应通过语音识别技术将学员语音实时转换为文本信息，支持普通话及外语语种扩展能力；文本输入应支持基于菜单选择与自由文本输入的组合方式，满足不同教学场景下的使用需求。</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 语义理解与问诊逻辑控制</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具备语义识别与语义匹配能力，对学员输入内容进行语义解析，识别问诊意图及关键医学要素，包括但不限于主诉类型、病症位置、时间、疼痛性质、诱因、缓解因素及既往口腔治疗史等。语义解析结果应与病例数据库中的结构化字段或预设的“问题—答案”规则进行匹配，并按照病例设定的问诊逻辑进行响应，支持基于问诊对话树的逐步展开与条件分支控制。</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 病例驱动的交互响应机制</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虚拟患者的应答内容应由病例数据驱动，可采用文本输出或语音合成方式进行反馈。语音反馈应基于语音合成技术生成，与病例设定的患者身份属性保持一致；情绪化语音、表情或动作反馈可作为扩展功能，根据教学需求选配启用。</w:t>
      </w:r>
    </w:p>
    <w:p>
      <w:pPr>
        <w:pStyle w:val="8"/>
        <w:kinsoku/>
        <w:spacing w:before="240" w:beforeLines="100" w:after="240" w:afterLines="100" w:line="360" w:lineRule="auto"/>
        <w:outlineLvl w:val="0"/>
        <w:rPr>
          <w:rFonts w:hint="eastAsia"/>
          <w:spacing w:val="-1"/>
          <w:sz w:val="21"/>
          <w:szCs w:val="21"/>
          <w:lang w:eastAsia="zh-CN"/>
        </w:rPr>
      </w:pPr>
      <w:bookmarkStart w:id="76" w:name="_Toc217459851"/>
      <w:bookmarkStart w:id="77" w:name="_Toc221108854"/>
      <w:r>
        <w:rPr>
          <w:rFonts w:hint="eastAsia"/>
          <w:spacing w:val="-1"/>
          <w:sz w:val="21"/>
          <w:szCs w:val="21"/>
          <w:lang w:eastAsia="zh-CN"/>
        </w:rPr>
        <w:t xml:space="preserve">6.2.2  </w:t>
      </w:r>
      <w:bookmarkEnd w:id="76"/>
      <w:r>
        <w:rPr>
          <w:rFonts w:hint="eastAsia"/>
          <w:spacing w:val="-1"/>
          <w:sz w:val="21"/>
          <w:szCs w:val="21"/>
          <w:lang w:eastAsia="zh-CN"/>
        </w:rPr>
        <w:t>检查与诊断训练技术要求</w:t>
      </w:r>
      <w:bookmarkEnd w:id="77"/>
    </w:p>
    <w:p>
      <w:pPr>
        <w:kinsoku/>
        <w:spacing w:after="0" w:line="360" w:lineRule="auto"/>
        <w:rPr>
          <w:rFonts w:hint="eastAsia" w:ascii="宋体" w:hAnsi="宋体" w:eastAsia="宋体"/>
          <w:lang w:eastAsia="zh-CN"/>
        </w:rPr>
      </w:pPr>
      <w:r>
        <w:rPr>
          <w:rFonts w:hint="eastAsia" w:ascii="黑体" w:hAnsi="黑体" w:eastAsia="黑体" w:cstheme="majorBidi"/>
          <w:lang w:eastAsia="zh-CN"/>
        </w:rPr>
        <w:t>6.2.2.1 口腔检查</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口腔检查训练模块应基于高精度口腔三维模型与交互仿真技术，实现对临床检查流程和操作规范的虚拟训练，其技术要求如下：</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 虚拟检查器械与操作映射系统应提供口镜、探针、镊子等常用口腔检查器械的虚拟模型，并支持通过力反馈手柄、通用交互设备或沉浸式交互设备进行操作映射。虚拟器械的运动、角度和接触位置应与学员操作保持一致，满足临床检查的基本精度要求。</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 检查动作识别与规范性判定</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能够识别学员完成的视诊、探诊、叩诊及松动度检查等操作行为，并根据操作顺序、作用位置、持续时间和力度范围，对其规范性进行判定。对于牙髓活力测试，系统应支持对对照牙与患牙的区分，并依据操作选择的合理性给出对应结果。</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 触觉与动作反馈机制</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在硬件条件支持下，系统宜提供触觉反馈或振动反馈，用于模拟探诊阻力、叩诊反应及松动度差异等临床手感特征。反馈强度和触发条件应与虚拟口腔组织状态相匹配，以增强操作真实感。</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d) 阳性体征触发与可视化反馈</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当学员操作触发预设的阳性体征时，系统应给予相应的动态反馈表现形式，包括但不限于局部出血、溢脓、颜色变化、软组织反应及虚拟人物表情或动作变化等，反馈逻辑应符合临床常识与病例设定。</w:t>
      </w:r>
    </w:p>
    <w:p>
      <w:pPr>
        <w:kinsoku/>
        <w:spacing w:after="0" w:line="360" w:lineRule="auto"/>
        <w:rPr>
          <w:rFonts w:hint="eastAsia" w:ascii="黑体" w:hAnsi="黑体" w:eastAsia="黑体" w:cstheme="majorBidi"/>
          <w:lang w:eastAsia="zh-CN"/>
        </w:rPr>
      </w:pPr>
      <w:r>
        <w:rPr>
          <w:rFonts w:hint="eastAsia" w:ascii="黑体" w:hAnsi="黑体" w:eastAsia="黑体" w:cstheme="majorBidi"/>
          <w:lang w:eastAsia="zh-CN"/>
        </w:rPr>
        <w:t>6.2.2.2 辅助检查与判读</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辅助检查训练模块应支撑学员完成临床辅助检查选择、数据判读与分析，强化影像与实验室数据理解及临床决策能力。</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 检查选择与调用</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基于数字化病例数据，预设与病例匹配的辅助检查类型，包括影像学检查（根尖片、全景片、CBCT）及实验室检查（血常规、炎症指标等）。学员可根据临床判断选择检查项目，系统加载对应数据，并保持与病例状态一致。</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 数据呈现与交互</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影像数据应清晰呈现并支持缩放、平移、旋转、多平面重建及断层切换等操作；实验室数据应以表格或图表形式呈现。系统应确保数据精度和一致性，支持学员进行分析操作。</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 测量与分析工具</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系统应提供测量与分析工具，对影像关键参数（如根管长度、病变范围）进行测量与标注，同时支持实验室指标对比与阈值判断。测量与分析结果应记录操作过程，用于教学回顾与评价。</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d) 异常标注与判读训练</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学员可对影像或实验室数据中异常区域进行标注，如根尖透射影、骨质缺损、异常血项指标等，标注信息与病例数据关联，用于判读准确性与完整性分析。</w:t>
      </w:r>
    </w:p>
    <w:p>
      <w:pPr>
        <w:pStyle w:val="8"/>
        <w:kinsoku/>
        <w:spacing w:before="240" w:beforeLines="100" w:after="240" w:afterLines="100" w:line="360" w:lineRule="auto"/>
        <w:outlineLvl w:val="0"/>
        <w:rPr>
          <w:rFonts w:hint="eastAsia"/>
          <w:spacing w:val="-1"/>
          <w:sz w:val="21"/>
          <w:szCs w:val="21"/>
          <w:lang w:eastAsia="zh-CN"/>
        </w:rPr>
      </w:pPr>
      <w:bookmarkStart w:id="78" w:name="_Toc217459852"/>
      <w:bookmarkStart w:id="79" w:name="_Toc221108855"/>
      <w:r>
        <w:rPr>
          <w:rFonts w:hint="eastAsia"/>
          <w:spacing w:val="-1"/>
          <w:sz w:val="21"/>
          <w:szCs w:val="21"/>
          <w:lang w:eastAsia="zh-CN"/>
        </w:rPr>
        <w:t xml:space="preserve">6.2.3  </w:t>
      </w:r>
      <w:bookmarkEnd w:id="78"/>
      <w:r>
        <w:rPr>
          <w:rFonts w:hint="eastAsia"/>
          <w:spacing w:val="-1"/>
          <w:sz w:val="21"/>
          <w:szCs w:val="21"/>
          <w:lang w:eastAsia="zh-CN"/>
        </w:rPr>
        <w:t>治疗方案制定训练技术要求</w:t>
      </w:r>
      <w:bookmarkEnd w:id="79"/>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治疗方案制定训练模块旨在强化学员临床决策能力、风险评估能力及医患沟通能力，支撑学员在综合病例信息基础上进行诊断确认、治疗方案选择与知情同意模拟，实现完整临床决策闭环。</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 初步诊断与鉴别诊断输入</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学员应通过文本输入、选项选择或结构化诊断表的方式提出初步诊断及可能的鉴别诊断。系统应记录学员诊断过程，包括诊断顺序、依据选择及逻辑关系。</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 诊断依据提示与记录</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系统应要求学员针对每个诊断或鉴别诊断提供诊断依据，包括关键症状、检查指标、影像学特征或实验室异常。学员输入的依据应与病例数据库预设的关键属性值进行匹配和记录，便于后续评价。</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 治疗方案设计与优选</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系统应预设多种治疗路径（如根管治疗、牙周治疗、拔牙及修复等），支持学员根据病例特征选择适用方案。</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系统应提供方案风险与预后模拟功能，包括可能并发症、器械损伤、治疗时间及治疗效果等可视化展示。</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学员应在分析不同方案优劣及风险后进行方案选择，并录入选择依据。</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d) 知情同意模拟与沟通训练</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系统应支持学员通过虚拟病人界面进行病情、治疗步骤、费用及潜在风险的说明。</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学员应完成电子知情同意书签署模拟操作，可通过语音、文字选项或结构化提示方式进行交互，模拟真实医患沟通场景。</w:t>
      </w:r>
    </w:p>
    <w:p>
      <w:pPr>
        <w:pStyle w:val="8"/>
        <w:kinsoku/>
        <w:spacing w:before="240" w:beforeLines="100" w:after="240" w:afterLines="100" w:line="360" w:lineRule="auto"/>
        <w:outlineLvl w:val="0"/>
        <w:rPr>
          <w:rFonts w:hint="eastAsia"/>
          <w:spacing w:val="-1"/>
          <w:sz w:val="21"/>
          <w:szCs w:val="21"/>
          <w:lang w:eastAsia="zh-CN"/>
        </w:rPr>
      </w:pPr>
      <w:bookmarkStart w:id="80" w:name="_Toc217459853"/>
      <w:bookmarkStart w:id="81" w:name="_Toc221108856"/>
      <w:r>
        <w:rPr>
          <w:rFonts w:hint="eastAsia"/>
          <w:spacing w:val="-1"/>
          <w:sz w:val="21"/>
          <w:szCs w:val="21"/>
          <w:lang w:eastAsia="zh-CN"/>
        </w:rPr>
        <w:t xml:space="preserve">6.2.4  </w:t>
      </w:r>
      <w:bookmarkEnd w:id="80"/>
      <w:r>
        <w:rPr>
          <w:rFonts w:hint="eastAsia"/>
          <w:spacing w:val="-1"/>
          <w:sz w:val="21"/>
          <w:szCs w:val="21"/>
          <w:lang w:eastAsia="zh-CN"/>
        </w:rPr>
        <w:t>虚拟治疗操作训练技术要求</w:t>
      </w:r>
      <w:bookmarkEnd w:id="81"/>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虚拟治疗操作训练模块应基于高精度力反馈交互技术，结合典型牙体牙髓病学诊疗场景，提供规范化、可量化的操作训练，支撑学员掌握操作技能、手感辨识能力及临床安全意识。系统应能够区分器械与不同组织类型（如釉质、牙本质、龋坏组织及髓腔）交互时的触觉反馈差异，并提供操作精度与规范性评价。</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 综合要求</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触觉反馈应具备高精度、高响应速度，以确保操作体验流畅、真实。</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所有操作数据应实时记录，用于训练评估、教学反馈及操作轨迹回放。</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系统应与病例数据库保持一致性，确保操作反馈与临床实际解剖及病变状态匹配。</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 牙体损缺与修复治疗模拟</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系统应覆盖窝洞预备、龋坏组织去除、树脂分层充填及抛光等完整操作步骤。</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力反馈模拟器应真实再现软化牙本质与健康牙本质的硬度差异，支持不同钻头及手术器械阻力变化。</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系统应实时监测露髓风险，并在操作超过安全阈值时给予反馈。</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系统应记录充填厚度、光固化时间及抛光规范性，为学员提供可量化评分与操作建议。</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 牙髓根尖周病治疗模拟</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覆盖开髓揭顶、根管疏通、机械预备、冲洗消毒至根管充填全流程。</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系统应模拟钻针穿透髓室顶的“落空感”、镍钛器械在弯曲根管中切削阻力及根管壁触感差异。</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系统应对根管充填密度、器械操作路径及冲洗彻底性进行规范性评分。</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d) 复杂与显微治疗模拟</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覆盖显微根尖手术、根管再治疗等高难度操作，包括根尖切除、倒预备、折断器械或旧充填物取出等。</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力反馈应再现微小器械操作阻力及组织摩擦感，支持微创操作下的手眼协调训练。</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结合虚拟显微镜放大视野，系统应保证操作视角精度及关键解剖结构辨识。</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系统应记录微创操作路径、器械使用时长及对关键结构的保护情况，为学员提供精细化量化反馈。</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82" w:name="_Toc221108857"/>
      <w:r>
        <w:rPr>
          <w:rFonts w:hint="eastAsia" w:ascii="黑体" w:hAnsi="黑体" w:eastAsia="黑体"/>
          <w:b w:val="0"/>
          <w:bCs w:val="0"/>
          <w:sz w:val="21"/>
          <w:szCs w:val="21"/>
          <w:lang w:eastAsia="zh-CN"/>
        </w:rPr>
        <w:t>6.3  分层实施策略技术要求</w:t>
      </w:r>
      <w:bookmarkEnd w:id="82"/>
    </w:p>
    <w:p>
      <w:pPr>
        <w:kinsoku/>
        <w:spacing w:after="0" w:line="360" w:lineRule="auto"/>
        <w:ind w:firstLine="420" w:firstLineChars="200"/>
        <w:rPr>
          <w:rFonts w:hint="eastAsia" w:ascii="宋体" w:hAnsi="宋体" w:eastAsia="宋体"/>
          <w:lang w:eastAsia="zh-CN"/>
        </w:rPr>
      </w:pPr>
      <w:r>
        <w:rPr>
          <w:rFonts w:hint="eastAsia" w:ascii="宋体" w:hAnsi="Times New Roman" w:eastAsia="宋体" w:cs="Times New Roman"/>
          <w:color w:val="000000" w:themeColor="text1"/>
          <w:szCs w:val="20"/>
          <w:lang w:eastAsia="zh-CN"/>
          <w14:textFill>
            <w14:solidFill>
              <w14:schemeClr w14:val="tx1"/>
            </w14:solidFill>
          </w14:textFill>
        </w:rPr>
        <w:t>虚拟仿真平台应支持针对不同学员培养层级实施分层训练，兼顾基础技能规范化训练与术前个性化预演，充分利用数字化病例及多源扫描数据构建高精度虚拟训练场景，实现操作训练、风险预判和方案验证的闭环教学</w:t>
      </w:r>
      <w:r>
        <w:rPr>
          <w:rFonts w:hint="eastAsia" w:ascii="宋体" w:hAnsi="宋体" w:eastAsia="宋体"/>
          <w:lang w:eastAsia="zh-CN"/>
        </w:rPr>
        <w:t>。</w:t>
      </w:r>
    </w:p>
    <w:p>
      <w:pPr>
        <w:pStyle w:val="8"/>
        <w:kinsoku/>
        <w:spacing w:before="240" w:beforeLines="100" w:after="240" w:afterLines="100" w:line="360" w:lineRule="auto"/>
        <w:outlineLvl w:val="0"/>
        <w:rPr>
          <w:rFonts w:hint="eastAsia"/>
          <w:spacing w:val="-1"/>
          <w:sz w:val="21"/>
          <w:szCs w:val="21"/>
          <w:lang w:eastAsia="zh-CN"/>
        </w:rPr>
      </w:pPr>
      <w:bookmarkStart w:id="83" w:name="_Toc217459855"/>
      <w:bookmarkStart w:id="84" w:name="_Toc221108858"/>
      <w:r>
        <w:rPr>
          <w:rFonts w:hint="eastAsia"/>
          <w:spacing w:val="-1"/>
          <w:sz w:val="21"/>
          <w:szCs w:val="21"/>
          <w:lang w:eastAsia="zh-CN"/>
        </w:rPr>
        <w:t xml:space="preserve">6.3.1  </w:t>
      </w:r>
      <w:bookmarkEnd w:id="83"/>
      <w:r>
        <w:rPr>
          <w:rFonts w:hint="eastAsia"/>
          <w:spacing w:val="-1"/>
          <w:sz w:val="21"/>
          <w:szCs w:val="21"/>
          <w:lang w:eastAsia="zh-CN"/>
        </w:rPr>
        <w:t>基础规范化训练</w:t>
      </w:r>
      <w:bookmarkEnd w:id="84"/>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基础规范化训练主要面向口腔医学本科生及初学阶段学员，应基于库存标准化病例实施，强化操作流程规范化训练。系统应支持以下功能：</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 病例调用</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系统应基于数字化病例库，预设典型牙体牙髓病例，可按难度等级进行筛选。学员可选择训练病例，系统加载对应虚拟患者模型及操作场景，保持病例状态与标准化设置一致。</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 操作规范与提示</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学员应严格按照指南推荐操作步骤完成训练，包括检查、诊断及治疗操作等全过程。系统应对跳步、操作顺序错误或规范性不达标行为提供即时提示或阻断。</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 单项技能训练</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系统应支持单一技能点的重复训练，如窝洞预备、开髓、根管测量、充填操作等，并记录操作轨迹与评分，直至达到规定合格阈值。</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d) 自定义病例构建</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系统应支持基于CT、口扫及面扫等数据构建虚拟病例，可生成标准化训练模型，提供操作流程训练所需的解剖精度和触觉特性</w:t>
      </w:r>
      <w:r>
        <w:rPr>
          <w:rFonts w:ascii="宋体" w:hAnsi="宋体" w:eastAsia="宋体"/>
          <w:lang w:eastAsia="zh-CN"/>
        </w:rPr>
        <w:t>。</w:t>
      </w:r>
    </w:p>
    <w:p>
      <w:pPr>
        <w:pStyle w:val="8"/>
        <w:kinsoku/>
        <w:spacing w:before="240" w:beforeLines="100" w:after="240" w:afterLines="100" w:line="360" w:lineRule="auto"/>
        <w:outlineLvl w:val="0"/>
        <w:rPr>
          <w:rFonts w:hint="eastAsia"/>
          <w:spacing w:val="-1"/>
          <w:sz w:val="21"/>
          <w:szCs w:val="21"/>
          <w:lang w:eastAsia="zh-CN"/>
        </w:rPr>
      </w:pPr>
      <w:bookmarkStart w:id="85" w:name="_Toc217459856"/>
      <w:bookmarkStart w:id="86" w:name="_Toc221108859"/>
      <w:r>
        <w:rPr>
          <w:rFonts w:hint="eastAsia"/>
          <w:spacing w:val="-1"/>
          <w:sz w:val="21"/>
          <w:szCs w:val="21"/>
          <w:lang w:eastAsia="zh-CN"/>
        </w:rPr>
        <w:t xml:space="preserve">6.3.2  </w:t>
      </w:r>
      <w:bookmarkEnd w:id="85"/>
      <w:r>
        <w:rPr>
          <w:rFonts w:hint="eastAsia"/>
          <w:spacing w:val="-1"/>
          <w:sz w:val="21"/>
          <w:szCs w:val="21"/>
          <w:lang w:eastAsia="zh-CN"/>
        </w:rPr>
        <w:t>术前个性化预演</w:t>
      </w:r>
      <w:bookmarkEnd w:id="86"/>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术前个性化预演主要面向住院医师规范化培训学员及研究生，训练重点在风险预判和方案验证。系统应支持以下功能：</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 个性化病例导入</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系统应支持导入患者CT、口扫、面扫等多源数据，构建与真实患者解剖特征高度一致的三维虚拟模型，用于个性化训练。</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 风险模拟与反馈</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系统应根据患者解剖特征模拟潜在操作风险，包括邻近组织损伤、穿透髓腔或骨质薄弱区域操作风险，并通过可视化、触觉或力反馈进行提示。</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 方案验证</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学员可在虚拟环境中尝试不同器械配置、操作路径或治疗方案，系统应记录操作轨迹、施力参数及潜在风险，提供方案可行性模拟与反馈。</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87" w:name="_Toc221108860"/>
      <w:r>
        <w:rPr>
          <w:rFonts w:hint="eastAsia" w:ascii="黑体" w:hAnsi="黑体" w:eastAsia="黑体"/>
          <w:b w:val="0"/>
          <w:bCs w:val="0"/>
          <w:sz w:val="21"/>
          <w:szCs w:val="21"/>
          <w:lang w:eastAsia="zh-CN"/>
        </w:rPr>
        <w:t>6.4  虚拟仿真训练评价</w:t>
      </w:r>
      <w:bookmarkEnd w:id="87"/>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虚拟仿真训练评价模块应依托系统记录的操作数据、力反馈设备参数及数字化病例信息，实现过程性评价与最终评价相结合的自动化评分体系，为学员能力提升和教学管理提供量化依据</w:t>
      </w:r>
      <w:r>
        <w:rPr>
          <w:rFonts w:hint="eastAsia" w:ascii="宋体" w:hAnsi="宋体" w:eastAsia="宋体"/>
          <w:lang w:eastAsia="zh-CN"/>
        </w:rPr>
        <w:t>。</w:t>
      </w:r>
    </w:p>
    <w:p>
      <w:pPr>
        <w:pStyle w:val="8"/>
        <w:kinsoku/>
        <w:spacing w:before="240" w:beforeLines="100" w:after="240" w:afterLines="100" w:line="360" w:lineRule="auto"/>
        <w:outlineLvl w:val="0"/>
        <w:rPr>
          <w:rFonts w:hint="eastAsia"/>
          <w:spacing w:val="-1"/>
          <w:sz w:val="21"/>
          <w:szCs w:val="21"/>
          <w:lang w:eastAsia="zh-CN"/>
        </w:rPr>
      </w:pPr>
      <w:bookmarkStart w:id="88" w:name="_Toc217459857"/>
      <w:bookmarkStart w:id="89" w:name="_Toc221108861"/>
      <w:r>
        <w:rPr>
          <w:rFonts w:hint="eastAsia"/>
          <w:spacing w:val="-1"/>
          <w:sz w:val="21"/>
          <w:szCs w:val="21"/>
          <w:lang w:eastAsia="zh-CN"/>
        </w:rPr>
        <w:t xml:space="preserve">6.4.1  </w:t>
      </w:r>
      <w:bookmarkEnd w:id="88"/>
      <w:r>
        <w:rPr>
          <w:rFonts w:hint="eastAsia"/>
          <w:spacing w:val="-1"/>
          <w:sz w:val="21"/>
          <w:szCs w:val="21"/>
          <w:lang w:eastAsia="zh-CN"/>
        </w:rPr>
        <w:t>评价方式</w:t>
      </w:r>
      <w:bookmarkEnd w:id="89"/>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 过程性评价</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系统应实时监控学员操作过程，识别违反医疗原则的关键行为，包括但不限于错误麻醉操作、邻牙或组织损伤、器械超出根尖孔等。</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对严重违规操作，系统应立即触发警报并暂停操作，提供正确操作提示或操作引导。</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系统应记录违规操作次数、操作类型及触发时刻，用于过程性评价统计和反馈。</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 最终评价</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系统应在训练完成后自动生成多维度评分报告，包括临床思维、操作技能及规范执行等维度。</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临床思维评分：基于问诊逻辑完整性、检查规范性及全面性、诊断准确性、鉴别诊断合理性及治疗方案优选依据进行评分。</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操作技能评分：基于力反馈设备或交互设备记录的操作轨迹、力度控制平稳度、组织去除精度（误差范围）、操作时长及关键步骤完成情况等指标评分。</w:t>
      </w:r>
    </w:p>
    <w:p>
      <w:pPr>
        <w:pStyle w:val="2"/>
        <w:kinsoku/>
        <w:spacing w:before="240" w:beforeLines="100" w:after="240" w:afterLines="100" w:line="360" w:lineRule="auto"/>
        <w:rPr>
          <w:rFonts w:hint="eastAsia" w:ascii="黑体" w:hAnsi="黑体" w:eastAsia="黑体"/>
          <w:b w:val="0"/>
          <w:bCs w:val="0"/>
          <w:sz w:val="21"/>
          <w:szCs w:val="21"/>
          <w:lang w:eastAsia="zh-CN"/>
        </w:rPr>
      </w:pPr>
      <w:bookmarkStart w:id="90" w:name="_Toc221108862"/>
      <w:r>
        <w:rPr>
          <w:rFonts w:hint="eastAsia" w:ascii="黑体" w:hAnsi="黑体" w:eastAsia="黑体"/>
          <w:b w:val="0"/>
          <w:bCs w:val="0"/>
          <w:sz w:val="21"/>
          <w:szCs w:val="21"/>
          <w:lang w:eastAsia="zh-CN"/>
        </w:rPr>
        <w:t>7  3D打印辅助教学模型</w:t>
      </w:r>
      <w:bookmarkEnd w:id="90"/>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91" w:name="_Toc221108863"/>
      <w:r>
        <w:rPr>
          <w:rFonts w:hint="eastAsia" w:ascii="黑体" w:hAnsi="黑体" w:eastAsia="黑体"/>
          <w:b w:val="0"/>
          <w:bCs w:val="0"/>
          <w:sz w:val="21"/>
          <w:szCs w:val="21"/>
          <w:lang w:eastAsia="zh-CN"/>
        </w:rPr>
        <w:t>7.1  总体技术要求</w:t>
      </w:r>
      <w:bookmarkEnd w:id="91"/>
    </w:p>
    <w:p>
      <w:pPr>
        <w:kinsoku/>
        <w:spacing w:after="0" w:line="360" w:lineRule="auto"/>
        <w:ind w:firstLine="420" w:firstLineChars="200"/>
        <w:rPr>
          <w:rFonts w:hint="eastAsia" w:ascii="宋体" w:hAnsi="宋体" w:eastAsia="宋体"/>
          <w:b/>
          <w:bCs/>
          <w:lang w:eastAsia="zh-CN"/>
        </w:rPr>
      </w:pPr>
      <w:r>
        <w:rPr>
          <w:rFonts w:ascii="宋体" w:hAnsi="宋体" w:eastAsia="宋体"/>
          <w:lang w:eastAsia="zh-CN"/>
        </w:rPr>
        <w:t>3D 打印辅助教学模型应基于数字化临床病例生成的三维数据进行设计，与虚拟仿真教学平台所使用的数据源保持一致，确保线上虚拟模型与线下实体模型在解剖结构和操作逻辑上的一致性</w:t>
      </w:r>
      <w:r>
        <w:rPr>
          <w:rFonts w:hint="eastAsia" w:ascii="宋体" w:hAnsi="宋体" w:eastAsia="宋体"/>
          <w:lang w:eastAsia="zh-CN"/>
        </w:rPr>
        <w:t>。</w:t>
      </w:r>
      <w:r>
        <w:rPr>
          <w:rFonts w:ascii="宋体" w:hAnsi="宋体" w:eastAsia="宋体"/>
          <w:lang w:eastAsia="zh-CN"/>
        </w:rPr>
        <w:t>模型应能够真实反映牙体、牙髓、根管系统及邻近重要解剖结构的空间关系，用于牙体牙髓病学临床操作训练</w:t>
      </w:r>
      <w:r>
        <w:rPr>
          <w:rFonts w:hint="eastAsia"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92" w:name="_Toc221108864"/>
      <w:r>
        <w:rPr>
          <w:rFonts w:hint="eastAsia" w:ascii="黑体" w:hAnsi="黑体" w:eastAsia="黑体"/>
          <w:b w:val="0"/>
          <w:bCs w:val="0"/>
          <w:sz w:val="21"/>
          <w:szCs w:val="21"/>
          <w:lang w:eastAsia="zh-CN"/>
        </w:rPr>
        <w:t>7.2  数据处理</w:t>
      </w:r>
      <w:bookmarkEnd w:id="92"/>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93" w:name="_Toc221108865"/>
      <w:r>
        <w:rPr>
          <w:rFonts w:hint="eastAsia" w:ascii="黑体" w:hAnsi="黑体" w:eastAsia="黑体"/>
          <w:b w:val="0"/>
          <w:bCs w:val="0"/>
          <w:sz w:val="21"/>
          <w:szCs w:val="21"/>
          <w:lang w:eastAsia="zh-CN"/>
        </w:rPr>
        <w:t>7.2.1  数据来源</w:t>
      </w:r>
      <w:bookmarkEnd w:id="93"/>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3D 打印辅助教学模型应基于数字化病例库信息或临床病例教学过程中采集的患者数据进行制备</w:t>
      </w:r>
      <w:r>
        <w:rPr>
          <w:rFonts w:hint="eastAsia"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94" w:name="_Toc221108866"/>
      <w:r>
        <w:rPr>
          <w:rFonts w:hint="eastAsia" w:ascii="黑体" w:hAnsi="黑体" w:eastAsia="黑体"/>
          <w:b w:val="0"/>
          <w:bCs w:val="0"/>
          <w:sz w:val="21"/>
          <w:szCs w:val="21"/>
          <w:lang w:eastAsia="zh-CN"/>
        </w:rPr>
        <w:t>7.2.2  获取方式</w:t>
      </w:r>
      <w:bookmarkEnd w:id="94"/>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模型原始数据的获取主要依靠口腔扫描及锥形束计算机断层扫描（Cone Beam Computed Tomography，CBCT）2种非接触式扫描方式。口腔扫描标准参见T/CHSA 077—2024《牙体及牙列缺损固定修复的口内数字化印模制取专家共识》。数据参见国际标准（ISO 12052）要求用医学数字成像和通信（DICOM）格式进行保存。设计文件使用STL（Standard Tessellation Language)格式进行数据保存及后续传输</w:t>
      </w:r>
      <w:r>
        <w:rPr>
          <w:rFonts w:hint="eastAsia"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95" w:name="_Toc221108867"/>
      <w:r>
        <w:rPr>
          <w:rFonts w:hint="eastAsia" w:ascii="黑体" w:hAnsi="黑体" w:eastAsia="黑体"/>
          <w:b w:val="0"/>
          <w:bCs w:val="0"/>
          <w:sz w:val="21"/>
          <w:szCs w:val="21"/>
          <w:lang w:eastAsia="zh-CN"/>
        </w:rPr>
        <w:t>7.2.3  三维建模</w:t>
      </w:r>
      <w:bookmarkEnd w:id="95"/>
    </w:p>
    <w:p>
      <w:pPr>
        <w:kinsoku/>
        <w:spacing w:after="0" w:line="360" w:lineRule="auto"/>
        <w:ind w:firstLine="420" w:firstLineChars="200"/>
        <w:rPr>
          <w:rFonts w:hint="eastAsia" w:ascii="宋体" w:hAnsi="宋体" w:eastAsia="宋体"/>
          <w:lang w:eastAsia="zh-CN"/>
        </w:rPr>
      </w:pPr>
      <w:r>
        <w:rPr>
          <w:rFonts w:hint="eastAsia" w:ascii="宋体" w:hAnsi="宋体" w:eastAsia="宋体"/>
          <w:lang w:val="en-US" w:eastAsia="zh-CN"/>
        </w:rPr>
        <w:t xml:space="preserve">7.2.3.1 </w:t>
      </w:r>
      <w:r>
        <w:rPr>
          <w:rFonts w:hint="eastAsia" w:ascii="宋体" w:hAnsi="宋体" w:eastAsia="宋体"/>
          <w:lang w:eastAsia="zh-CN"/>
        </w:rPr>
        <w:t>CBCT断层数据使用影像处理软件（如Mimics）进行三维重建，医学图像处理软件对脱敏后的CBCT数据进行阈值分割和区域生长处理，提取牙齿、牙槽骨及下牙槽神经管等关键解剖结构，生成高精度三维表面模型（STL格式），并保留根管形态及病变细节等解剖结构，确保结构边界清晰。规格尺寸为1:1的原始比例，关键特征尺寸误差应小于0.05mm。</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val="en-US" w:eastAsia="zh-CN"/>
        </w:rPr>
        <w:t xml:space="preserve">7.2.3.2 </w:t>
      </w:r>
      <w:r>
        <w:rPr>
          <w:rFonts w:hint="eastAsia" w:ascii="宋体" w:hAnsi="宋体" w:eastAsia="宋体"/>
          <w:lang w:eastAsia="zh-CN"/>
        </w:rPr>
        <w:t>口腔扫描点云数据进行三维重建后需删除游离孤岛数据（与主体结构不相连的孤立数据）、无关数据（如口腔颊侧黏膜以及舌体数据），将扫描数据保存为STL、PLY或OBJ格式文件。</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val="en-US" w:eastAsia="zh-CN"/>
        </w:rPr>
        <w:t xml:space="preserve">7.2.3.3 </w:t>
      </w:r>
      <w:r>
        <w:rPr>
          <w:rFonts w:hint="eastAsia" w:ascii="宋体" w:hAnsi="宋体" w:eastAsia="宋体"/>
          <w:lang w:eastAsia="zh-CN"/>
        </w:rPr>
        <w:t>通过模型编辑软件（如EXOCAD）进行三维重建，将CBCT断层数据与暴露于口腔内部分的口腔扫描数据进行配准融合，一般可采用基于点配准和全局配准两种方法，也可以先点配准后，再全局配准。对于配准好的牙列，建议做适当裁剪，临床牙冠以及牙龈部分只保留光学扫描信息，其余部分使用CT扫描信息。并进行必要的平滑和去噪处理，以提高模型的精确度。</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96" w:name="_Toc221108868"/>
      <w:r>
        <w:rPr>
          <w:rFonts w:hint="eastAsia" w:ascii="黑体" w:hAnsi="黑体" w:eastAsia="黑体"/>
          <w:b w:val="0"/>
          <w:bCs w:val="0"/>
          <w:sz w:val="21"/>
          <w:szCs w:val="21"/>
          <w:lang w:eastAsia="zh-CN"/>
        </w:rPr>
        <w:t>7.3  打印制备</w:t>
      </w:r>
      <w:bookmarkEnd w:id="96"/>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97" w:name="_Toc221108869"/>
      <w:r>
        <w:rPr>
          <w:rFonts w:hint="eastAsia" w:ascii="黑体" w:hAnsi="黑体" w:eastAsia="黑体"/>
          <w:b w:val="0"/>
          <w:bCs w:val="0"/>
          <w:sz w:val="21"/>
          <w:szCs w:val="21"/>
          <w:lang w:eastAsia="zh-CN"/>
        </w:rPr>
        <w:t>7.2.1  分类制备策略</w:t>
      </w:r>
      <w:bookmarkEnd w:id="97"/>
    </w:p>
    <w:p>
      <w:pPr>
        <w:kinsoku/>
        <w:spacing w:after="0" w:line="360" w:lineRule="auto"/>
        <w:rPr>
          <w:rFonts w:hint="eastAsia" w:ascii="宋体" w:hAnsi="宋体" w:eastAsia="宋体"/>
          <w:lang w:eastAsia="zh-CN"/>
        </w:rPr>
      </w:pPr>
      <w:r>
        <w:rPr>
          <w:rFonts w:hint="eastAsia" w:ascii="黑体" w:hAnsi="黑体" w:eastAsia="黑体"/>
          <w:lang w:eastAsia="zh-CN"/>
        </w:rPr>
        <w:t>7.2.1.1 标准化模型</w:t>
      </w:r>
      <w:r>
        <w:rPr>
          <w:rFonts w:hint="eastAsia" w:ascii="宋体" w:hAnsi="宋体" w:eastAsia="宋体"/>
          <w:lang w:eastAsia="zh-CN"/>
        </w:rPr>
        <w:t xml:space="preserve"> </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基于库存典型病例数据进行批量化预制，建立实体教学模型库，主要用于本科生及初学者的基础技能重复训练</w:t>
      </w:r>
      <w:r>
        <w:rPr>
          <w:rFonts w:hint="eastAsia" w:ascii="宋体" w:hAnsi="宋体" w:eastAsia="宋体"/>
          <w:lang w:eastAsia="zh-CN"/>
        </w:rPr>
        <w:t>。</w:t>
      </w:r>
    </w:p>
    <w:p>
      <w:pPr>
        <w:kinsoku/>
        <w:spacing w:after="0" w:line="360" w:lineRule="auto"/>
        <w:rPr>
          <w:rFonts w:hint="eastAsia" w:ascii="宋体" w:hAnsi="宋体" w:eastAsia="宋体"/>
          <w:lang w:eastAsia="zh-CN"/>
        </w:rPr>
      </w:pPr>
      <w:r>
        <w:rPr>
          <w:rFonts w:hint="eastAsia" w:ascii="黑体" w:hAnsi="黑体" w:eastAsia="黑体"/>
          <w:lang w:eastAsia="zh-CN"/>
        </w:rPr>
        <w:t>7.2.1.2 个性化模型</w:t>
      </w:r>
      <w:r>
        <w:rPr>
          <w:rFonts w:hint="eastAsia" w:ascii="宋体" w:hAnsi="宋体" w:eastAsia="宋体"/>
          <w:lang w:eastAsia="zh-CN"/>
        </w:rPr>
        <w:t xml:space="preserve"> </w:t>
      </w:r>
    </w:p>
    <w:p>
      <w:pPr>
        <w:kinsoku/>
        <w:spacing w:after="0" w:line="360" w:lineRule="auto"/>
        <w:ind w:firstLine="420" w:firstLineChars="200"/>
        <w:rPr>
          <w:rFonts w:hint="eastAsia" w:ascii="宋体" w:hAnsi="宋体" w:eastAsia="宋体"/>
          <w:b/>
          <w:bCs/>
          <w:lang w:eastAsia="zh-CN"/>
        </w:rPr>
      </w:pPr>
      <w:r>
        <w:rPr>
          <w:rFonts w:ascii="宋体" w:hAnsi="宋体" w:eastAsia="宋体"/>
          <w:lang w:eastAsia="zh-CN"/>
        </w:rPr>
        <w:t>基于实时采集的患者数据启动快速制备流程，应在教学窗口期内完成模型打印与后处理，用于住院医师规范化培训学员及研究生</w:t>
      </w:r>
      <w:r>
        <w:rPr>
          <w:rFonts w:hint="eastAsia" w:ascii="宋体" w:hAnsi="宋体" w:eastAsia="宋体"/>
          <w:lang w:eastAsia="zh-CN"/>
        </w:rPr>
        <w:t>进行</w:t>
      </w:r>
      <w:r>
        <w:rPr>
          <w:rFonts w:ascii="宋体" w:hAnsi="宋体" w:eastAsia="宋体"/>
          <w:lang w:eastAsia="zh-CN"/>
        </w:rPr>
        <w:t>术前个性化预演训练</w:t>
      </w:r>
      <w:r>
        <w:rPr>
          <w:rFonts w:hint="eastAsia"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98" w:name="_Toc217459861"/>
      <w:bookmarkStart w:id="99" w:name="_Toc217370037"/>
      <w:bookmarkStart w:id="100" w:name="_Toc221108870"/>
      <w:r>
        <w:rPr>
          <w:rFonts w:hint="eastAsia" w:ascii="黑体" w:hAnsi="黑体" w:eastAsia="黑体"/>
          <w:b w:val="0"/>
          <w:bCs w:val="0"/>
          <w:sz w:val="21"/>
          <w:szCs w:val="21"/>
          <w:lang w:eastAsia="zh-CN"/>
        </w:rPr>
        <w:t xml:space="preserve">7.3.1  </w:t>
      </w:r>
      <w:bookmarkEnd w:id="98"/>
      <w:bookmarkEnd w:id="99"/>
      <w:r>
        <w:rPr>
          <w:rFonts w:hint="eastAsia" w:ascii="黑体" w:hAnsi="黑体" w:eastAsia="黑体"/>
          <w:b w:val="0"/>
          <w:bCs w:val="0"/>
          <w:sz w:val="21"/>
          <w:szCs w:val="21"/>
          <w:lang w:eastAsia="zh-CN"/>
        </w:rPr>
        <w:t>结构</w:t>
      </w:r>
      <w:bookmarkEnd w:id="100"/>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模型采用“底座与个性化疾病模块相结合”的可拆卸设计，单颗牙齿可替换。对于不涉及颌骨病变的疾病，采用通用底座，患牙模块应完整保留牙根形态和内部根管系统；涉及颌骨病变的病例，应同步设计含病变结构的底座模块</w:t>
      </w:r>
      <w:r>
        <w:rPr>
          <w:rFonts w:hint="eastAsia"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01" w:name="_Toc217370038"/>
      <w:bookmarkStart w:id="102" w:name="_Toc217459862"/>
      <w:bookmarkStart w:id="103" w:name="_Toc221108871"/>
      <w:r>
        <w:rPr>
          <w:rFonts w:hint="eastAsia" w:ascii="黑体" w:hAnsi="黑体" w:eastAsia="黑体"/>
          <w:b w:val="0"/>
          <w:bCs w:val="0"/>
          <w:sz w:val="21"/>
          <w:szCs w:val="21"/>
          <w:lang w:eastAsia="zh-CN"/>
        </w:rPr>
        <w:t xml:space="preserve">7.3.2  </w:t>
      </w:r>
      <w:bookmarkEnd w:id="101"/>
      <w:bookmarkEnd w:id="102"/>
      <w:r>
        <w:rPr>
          <w:rFonts w:hint="eastAsia" w:ascii="黑体" w:hAnsi="黑体" w:eastAsia="黑体"/>
          <w:b w:val="0"/>
          <w:bCs w:val="0"/>
          <w:sz w:val="21"/>
          <w:szCs w:val="21"/>
          <w:lang w:eastAsia="zh-CN"/>
        </w:rPr>
        <w:t>材料</w:t>
      </w:r>
      <w:bookmarkEnd w:id="103"/>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患牙部分推荐选用高硬度牙冠专用树脂材料模拟牙釉质和牙本质切削手感。牙槽骨部分选用硬度较低、便于切削的树脂材料。牙龈软组织部分根据需求宜选用柔性树脂材料，以模拟真实的排龈和翻瓣手感。</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04" w:name="_Toc221108872"/>
      <w:r>
        <w:rPr>
          <w:rFonts w:hint="eastAsia" w:ascii="黑体" w:hAnsi="黑体" w:eastAsia="黑体"/>
          <w:b w:val="0"/>
          <w:bCs w:val="0"/>
          <w:sz w:val="21"/>
          <w:szCs w:val="21"/>
          <w:lang w:eastAsia="zh-CN"/>
        </w:rPr>
        <w:t>7.3.3  要求</w:t>
      </w:r>
      <w:bookmarkEnd w:id="104"/>
    </w:p>
    <w:p>
      <w:pPr>
        <w:kinsoku/>
        <w:spacing w:after="0" w:line="360" w:lineRule="auto"/>
        <w:rPr>
          <w:rFonts w:hint="eastAsia" w:ascii="黑体" w:hAnsi="黑体" w:eastAsia="黑体" w:cstheme="majorBidi"/>
          <w:lang w:eastAsia="zh-CN"/>
        </w:rPr>
      </w:pPr>
      <w:r>
        <w:rPr>
          <w:rFonts w:hint="eastAsia" w:ascii="黑体" w:hAnsi="黑体" w:eastAsia="黑体" w:cstheme="majorBidi"/>
          <w:lang w:eastAsia="zh-CN"/>
        </w:rPr>
        <w:t>7.3.3.1 打印设备</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模型制备采用光固化类3D打印技术（SLA、DLP或LCD）。打印设备要求参见T/SHDSGY 178-2022</w:t>
      </w:r>
      <w:r>
        <w:rPr>
          <w:rFonts w:hint="eastAsia" w:ascii="宋体" w:hAnsi="宋体" w:eastAsia="宋体"/>
          <w:lang w:val="en-US" w:eastAsia="zh-CN"/>
        </w:rPr>
        <w:t xml:space="preserve"> </w:t>
      </w:r>
      <w:r>
        <w:rPr>
          <w:rFonts w:ascii="宋体" w:hAnsi="宋体" w:eastAsia="宋体"/>
          <w:lang w:eastAsia="zh-CN"/>
        </w:rPr>
        <w:t>与JB/T 14716-2023</w:t>
      </w:r>
      <w:r>
        <w:rPr>
          <w:rFonts w:hint="eastAsia" w:ascii="宋体" w:hAnsi="宋体" w:eastAsia="宋体"/>
          <w:lang w:eastAsia="zh-CN"/>
        </w:rPr>
        <w:t>。</w:t>
      </w:r>
    </w:p>
    <w:p>
      <w:pPr>
        <w:kinsoku/>
        <w:spacing w:after="0" w:line="360" w:lineRule="auto"/>
        <w:rPr>
          <w:rFonts w:hint="eastAsia" w:ascii="宋体" w:hAnsi="宋体" w:eastAsia="宋体"/>
          <w:lang w:eastAsia="zh-CN"/>
        </w:rPr>
      </w:pPr>
      <w:r>
        <w:rPr>
          <w:rFonts w:hint="eastAsia" w:ascii="黑体" w:hAnsi="黑体" w:eastAsia="黑体" w:cstheme="majorBidi"/>
          <w:lang w:eastAsia="zh-CN"/>
        </w:rPr>
        <w:t>7.3.3.2 外观</w:t>
      </w:r>
    </w:p>
    <w:p>
      <w:pPr>
        <w:kinsoku/>
        <w:spacing w:after="0" w:line="360" w:lineRule="auto"/>
        <w:ind w:firstLine="420" w:firstLineChars="200"/>
        <w:rPr>
          <w:rFonts w:hint="eastAsia" w:ascii="宋体" w:hAnsi="宋体" w:eastAsia="宋体"/>
          <w:lang w:eastAsia="zh-CN"/>
        </w:rPr>
      </w:pPr>
      <w:r>
        <w:rPr>
          <w:rFonts w:hint="eastAsia" w:ascii="黑体" w:hAnsi="黑体" w:eastAsia="黑体" w:cstheme="majorBidi"/>
          <w:lang w:eastAsia="zh-CN"/>
        </w:rPr>
        <w:t>7.3.3.2</w:t>
      </w:r>
      <w:r>
        <w:rPr>
          <w:rFonts w:hint="eastAsia" w:ascii="黑体" w:hAnsi="黑体" w:eastAsia="黑体" w:cstheme="majorBidi"/>
          <w:lang w:val="en-US" w:eastAsia="zh-CN"/>
        </w:rPr>
        <w:t xml:space="preserve">.1 </w:t>
      </w:r>
      <w:r>
        <w:rPr>
          <w:rFonts w:hint="eastAsia" w:ascii="宋体" w:hAnsi="宋体" w:eastAsia="宋体"/>
          <w:lang w:eastAsia="zh-CN"/>
        </w:rPr>
        <w:t>模型内外表面及边缘应无锋棱、毛刺等缺陷。无残存支撑材料、粉末碎屑等附着物。不应有明显缺损或台阶。边缘位置应与软件设计保持一致，边缘应光滑。模型表面应呈现均匀致密的质感，无气泡、裂纹或分层现象。</w:t>
      </w:r>
    </w:p>
    <w:p>
      <w:pPr>
        <w:kinsoku/>
        <w:spacing w:after="0" w:line="360" w:lineRule="auto"/>
        <w:ind w:firstLine="420" w:firstLineChars="200"/>
        <w:rPr>
          <w:rFonts w:hint="eastAsia" w:ascii="宋体" w:hAnsi="宋体" w:eastAsia="宋体"/>
          <w:lang w:eastAsia="zh-CN"/>
        </w:rPr>
      </w:pPr>
      <w:r>
        <w:rPr>
          <w:rFonts w:hint="eastAsia" w:ascii="黑体" w:hAnsi="黑体" w:eastAsia="黑体" w:cstheme="majorBidi"/>
          <w:lang w:eastAsia="zh-CN"/>
        </w:rPr>
        <w:t>7.3.3.2</w:t>
      </w:r>
      <w:r>
        <w:rPr>
          <w:rFonts w:hint="eastAsia" w:ascii="黑体" w:hAnsi="黑体" w:eastAsia="黑体" w:cstheme="majorBidi"/>
          <w:lang w:val="en-US" w:eastAsia="zh-CN"/>
        </w:rPr>
        <w:t>.2</w:t>
      </w:r>
      <w:r>
        <w:rPr>
          <w:rFonts w:hint="eastAsia" w:ascii="宋体" w:hAnsi="宋体" w:eastAsia="宋体"/>
          <w:lang w:eastAsia="zh-CN"/>
        </w:rPr>
        <w:t>牙体解剖形态清晰，细节还原准确，邻接关系及咬合面形态应符合设计要求。柔性牙龈部分应具备适度弹性，与硬质牙体结构结合牢固，无明显缝隙或错位。</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05" w:name="_Toc221108873"/>
      <w:r>
        <w:rPr>
          <w:rFonts w:hint="eastAsia" w:ascii="黑体" w:hAnsi="黑体" w:eastAsia="黑体"/>
          <w:b w:val="0"/>
          <w:bCs w:val="0"/>
          <w:sz w:val="21"/>
          <w:szCs w:val="21"/>
          <w:lang w:eastAsia="zh-CN"/>
        </w:rPr>
        <w:t>7.3.4  后处理</w:t>
      </w:r>
      <w:bookmarkEnd w:id="105"/>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打印完成后应进行后处理，确保支撑去除彻底。可使用超声波清洗机采用95% 酒精对模型进行多次清洗，确保模型表面的残留树脂材料已经被去除干净后再放入光固化箱进行二次固化，以达到最终力学性能与形态稳定性</w:t>
      </w:r>
      <w:r>
        <w:rPr>
          <w:rFonts w:hint="eastAsia" w:ascii="宋体" w:hAnsi="宋体" w:eastAsia="宋体"/>
          <w:lang w:eastAsia="zh-CN"/>
        </w:rPr>
        <w:t>。</w:t>
      </w:r>
    </w:p>
    <w:bookmarkEnd w:id="70"/>
    <w:bookmarkEnd w:id="71"/>
    <w:p>
      <w:pPr>
        <w:pStyle w:val="2"/>
        <w:kinsoku/>
        <w:spacing w:before="240" w:beforeLines="100" w:after="0" w:line="360" w:lineRule="auto"/>
        <w:jc w:val="center"/>
        <w:rPr>
          <w:rFonts w:hint="eastAsia" w:ascii="黑体" w:hAnsi="黑体" w:eastAsia="黑体"/>
          <w:b w:val="0"/>
          <w:bCs w:val="0"/>
          <w:sz w:val="21"/>
          <w:szCs w:val="21"/>
          <w:lang w:eastAsia="zh-CN"/>
        </w:rPr>
      </w:pPr>
      <w:r>
        <w:rPr>
          <w:rFonts w:hint="eastAsia" w:ascii="黑体" w:hAnsi="黑体" w:eastAsia="黑体"/>
          <w:lang w:eastAsia="zh-CN"/>
        </w:rPr>
        <w:br w:type="page"/>
      </w:r>
      <w:bookmarkStart w:id="106" w:name="_Toc221108874"/>
      <w:bookmarkStart w:id="107" w:name="OLE_LINK7"/>
      <w:r>
        <w:rPr>
          <w:rFonts w:hint="eastAsia" w:ascii="黑体" w:hAnsi="黑体" w:eastAsia="黑体"/>
          <w:b w:val="0"/>
          <w:bCs w:val="0"/>
          <w:sz w:val="21"/>
          <w:szCs w:val="21"/>
          <w:lang w:eastAsia="zh-CN"/>
        </w:rPr>
        <w:t>附 录 A</w:t>
      </w:r>
      <w:bookmarkEnd w:id="106"/>
    </w:p>
    <w:p>
      <w:pPr>
        <w:kinsoku/>
        <w:jc w:val="center"/>
        <w:rPr>
          <w:rFonts w:hint="eastAsia" w:ascii="黑体" w:hAnsi="黑体" w:eastAsia="黑体"/>
          <w:lang w:eastAsia="zh-CN"/>
        </w:rPr>
      </w:pPr>
      <w:r>
        <w:rPr>
          <w:rFonts w:hint="eastAsia" w:ascii="黑体" w:hAnsi="黑体" w:eastAsia="黑体"/>
          <w:lang w:eastAsia="zh-CN"/>
        </w:rPr>
        <w:t>（资料性）</w:t>
      </w:r>
    </w:p>
    <w:p>
      <w:pPr>
        <w:kinsoku/>
        <w:jc w:val="center"/>
        <w:rPr>
          <w:rFonts w:hint="eastAsia" w:ascii="黑体" w:hAnsi="黑体" w:eastAsia="黑体"/>
          <w:lang w:eastAsia="zh-CN"/>
        </w:rPr>
      </w:pPr>
      <w:bookmarkStart w:id="108" w:name="OLE_LINK12"/>
      <w:bookmarkStart w:id="109" w:name="OLE_LINK14"/>
      <w:r>
        <w:rPr>
          <w:rFonts w:hint="eastAsia" w:ascii="黑体" w:hAnsi="黑体" w:eastAsia="黑体"/>
          <w:lang w:eastAsia="zh-CN"/>
        </w:rPr>
        <w:t>《病例数据用于教学科研知情同意书》示例</w:t>
      </w:r>
    </w:p>
    <w:bookmarkEnd w:id="107"/>
    <w:bookmarkEnd w:id="108"/>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本附录以标准文本形式给出《病例数据用于教学科研知情同意书》的示例，其目的在于帮助本标准的使用者理解和实施本文件中关于病例数据采集、存储、使用及管理的相关规定。</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本示例仅用于说明本文件相关条款的实施方式，示例内容系为说明目的而编写或参考其他相关文件进行整理，其所选要素及具体表述不保证为唯一、最佳或完全适用于所有应用场景。标准使用者可根据实际情况、法律法规及伦理要求对示例内容进行适当调整。</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示例：</w:t>
      </w:r>
    </w:p>
    <w:tbl>
      <w:tblPr>
        <w:tblStyle w:val="20"/>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0" w:type="dxa"/>
          </w:tcPr>
          <w:p>
            <w:pPr>
              <w:kinsoku/>
              <w:spacing w:after="0" w:line="360" w:lineRule="auto"/>
              <w:jc w:val="center"/>
              <w:rPr>
                <w:rFonts w:hint="eastAsia" w:ascii="宋体" w:hAnsi="宋体" w:eastAsia="宋体"/>
                <w:lang w:eastAsia="zh-CN"/>
              </w:rPr>
            </w:pPr>
            <w:r>
              <w:rPr>
                <w:rFonts w:ascii="宋体" w:hAnsi="宋体" w:eastAsia="宋体"/>
                <w:lang w:eastAsia="zh-CN"/>
              </w:rPr>
              <w:t>《病例数据用于教学科研知情同意书》</w:t>
            </w:r>
          </w:p>
          <w:p>
            <w:pPr>
              <w:kinsoku/>
              <w:spacing w:after="0" w:line="360" w:lineRule="auto"/>
              <w:rPr>
                <w:rFonts w:hint="eastAsia" w:ascii="宋体" w:hAnsi="宋体" w:eastAsia="宋体"/>
                <w:lang w:eastAsia="zh-CN"/>
              </w:rPr>
            </w:pPr>
            <w:r>
              <w:rPr>
                <w:rFonts w:ascii="宋体" w:hAnsi="宋体" w:eastAsia="宋体"/>
                <w:lang w:eastAsia="zh-CN"/>
              </w:rPr>
              <w:t>尊敬的患者（或患者法定代理人）：</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您好！</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感谢您对医疗教学与医学科研工作的理解与支持。为提高口腔医学教学质量、促进医学科学研究发展，拟在充分保护您个人隐私和合法权益的前提下，将您的相关病例资料用于教学与科研活动。现就有关事项向您说明如下，请您在充分了解后自愿决定是否同意。</w:t>
            </w:r>
          </w:p>
          <w:p>
            <w:pPr>
              <w:kinsoku/>
              <w:spacing w:after="0" w:line="360" w:lineRule="auto"/>
              <w:rPr>
                <w:rFonts w:hint="eastAsia" w:ascii="宋体" w:hAnsi="宋体" w:eastAsia="宋体"/>
                <w:lang w:eastAsia="zh-CN"/>
              </w:rPr>
            </w:pPr>
            <w:r>
              <w:rPr>
                <w:rFonts w:hint="eastAsia" w:ascii="宋体" w:hAnsi="宋体" w:eastAsia="宋体"/>
                <w:lang w:eastAsia="zh-CN"/>
              </w:rPr>
              <w:t>一、病例数据使用目的</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您的病例资料将用于以下用途之一或多项：</w:t>
            </w:r>
          </w:p>
          <w:p>
            <w:pPr>
              <w:pStyle w:val="32"/>
              <w:numPr>
                <w:ilvl w:val="0"/>
                <w:numId w:val="1"/>
              </w:numPr>
              <w:kinsoku/>
              <w:spacing w:after="0" w:line="360" w:lineRule="auto"/>
              <w:ind w:firstLineChars="0"/>
              <w:rPr>
                <w:rFonts w:hint="eastAsia" w:ascii="宋体" w:hAnsi="宋体" w:eastAsia="宋体"/>
                <w:lang w:eastAsia="zh-CN"/>
              </w:rPr>
            </w:pPr>
            <w:r>
              <w:rPr>
                <w:rFonts w:hint="eastAsia" w:ascii="宋体" w:hAnsi="宋体" w:eastAsia="宋体"/>
                <w:lang w:eastAsia="zh-CN"/>
              </w:rPr>
              <w:t>口腔医学相关课程的教学示例、病例讨论及教学研究；</w:t>
            </w:r>
          </w:p>
          <w:p>
            <w:pPr>
              <w:pStyle w:val="32"/>
              <w:numPr>
                <w:ilvl w:val="0"/>
                <w:numId w:val="1"/>
              </w:numPr>
              <w:kinsoku/>
              <w:spacing w:after="0" w:line="360" w:lineRule="auto"/>
              <w:ind w:firstLineChars="0"/>
              <w:rPr>
                <w:rFonts w:hint="eastAsia" w:ascii="宋体" w:hAnsi="宋体" w:eastAsia="宋体"/>
                <w:lang w:eastAsia="zh-CN"/>
              </w:rPr>
            </w:pPr>
            <w:r>
              <w:rPr>
                <w:rFonts w:hint="eastAsia" w:ascii="宋体" w:hAnsi="宋体" w:eastAsia="宋体"/>
                <w:lang w:eastAsia="zh-CN"/>
              </w:rPr>
              <w:t>医学科研活动，包括但不限于学术研究、论文发表、教学成果总结等；</w:t>
            </w:r>
          </w:p>
          <w:p>
            <w:pPr>
              <w:pStyle w:val="32"/>
              <w:numPr>
                <w:ilvl w:val="0"/>
                <w:numId w:val="1"/>
              </w:numPr>
              <w:kinsoku/>
              <w:spacing w:after="0" w:line="360" w:lineRule="auto"/>
              <w:ind w:firstLineChars="0"/>
              <w:rPr>
                <w:rFonts w:hint="eastAsia" w:ascii="宋体" w:hAnsi="宋体" w:eastAsia="宋体"/>
                <w:lang w:eastAsia="zh-CN"/>
              </w:rPr>
            </w:pPr>
            <w:r>
              <w:rPr>
                <w:rFonts w:hint="eastAsia" w:ascii="宋体" w:hAnsi="宋体" w:eastAsia="宋体"/>
                <w:lang w:eastAsia="zh-CN"/>
              </w:rPr>
              <w:t>医学教育相关的信息化建设，如数字化病例库、虚拟仿真教学平台等。</w:t>
            </w:r>
          </w:p>
          <w:p>
            <w:pPr>
              <w:pStyle w:val="32"/>
              <w:numPr>
                <w:ilvl w:val="0"/>
                <w:numId w:val="1"/>
              </w:numPr>
              <w:kinsoku/>
              <w:spacing w:after="0" w:line="360" w:lineRule="auto"/>
              <w:ind w:firstLineChars="0"/>
              <w:rPr>
                <w:rFonts w:hint="eastAsia" w:ascii="宋体" w:hAnsi="宋体" w:eastAsia="宋体"/>
                <w:lang w:eastAsia="zh-CN"/>
              </w:rPr>
            </w:pPr>
            <w:r>
              <w:rPr>
                <w:rFonts w:hint="eastAsia" w:ascii="宋体" w:hAnsi="宋体" w:eastAsia="宋体"/>
                <w:lang w:eastAsia="zh-CN"/>
              </w:rPr>
              <w:t>上述用途均不涉及任何商业性开发。</w:t>
            </w:r>
          </w:p>
          <w:p>
            <w:pPr>
              <w:kinsoku/>
              <w:spacing w:after="0" w:line="360" w:lineRule="auto"/>
              <w:rPr>
                <w:rFonts w:hint="eastAsia" w:ascii="宋体" w:hAnsi="宋体" w:eastAsia="宋体"/>
                <w:lang w:eastAsia="zh-CN"/>
              </w:rPr>
            </w:pPr>
            <w:r>
              <w:rPr>
                <w:rFonts w:hint="eastAsia" w:ascii="宋体" w:hAnsi="宋体" w:eastAsia="宋体"/>
                <w:lang w:eastAsia="zh-CN"/>
              </w:rPr>
              <w:t>二、病例数据范围</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在获得您同意的前提下，可能使用的病例资料包括但不限于：</w:t>
            </w:r>
          </w:p>
          <w:p>
            <w:pPr>
              <w:pStyle w:val="32"/>
              <w:numPr>
                <w:ilvl w:val="0"/>
                <w:numId w:val="2"/>
              </w:numPr>
              <w:kinsoku/>
              <w:spacing w:after="0" w:line="360" w:lineRule="auto"/>
              <w:ind w:firstLineChars="0"/>
              <w:rPr>
                <w:rFonts w:hint="eastAsia" w:ascii="宋体" w:hAnsi="宋体" w:eastAsia="宋体"/>
                <w:lang w:eastAsia="zh-CN"/>
              </w:rPr>
            </w:pPr>
            <w:r>
              <w:rPr>
                <w:rFonts w:hint="eastAsia" w:ascii="宋体" w:hAnsi="宋体" w:eastAsia="宋体"/>
                <w:lang w:eastAsia="zh-CN"/>
              </w:rPr>
              <w:t>病史资料、检查记录、诊断结果和治疗过程；</w:t>
            </w:r>
          </w:p>
          <w:p>
            <w:pPr>
              <w:pStyle w:val="32"/>
              <w:numPr>
                <w:ilvl w:val="0"/>
                <w:numId w:val="2"/>
              </w:numPr>
              <w:kinsoku/>
              <w:spacing w:after="0" w:line="360" w:lineRule="auto"/>
              <w:ind w:firstLineChars="0"/>
              <w:rPr>
                <w:rFonts w:hint="eastAsia" w:ascii="宋体" w:hAnsi="宋体" w:eastAsia="宋体"/>
                <w:lang w:eastAsia="zh-CN"/>
              </w:rPr>
            </w:pPr>
            <w:r>
              <w:rPr>
                <w:rFonts w:hint="eastAsia" w:ascii="宋体" w:hAnsi="宋体" w:eastAsia="宋体"/>
                <w:lang w:eastAsia="zh-CN"/>
              </w:rPr>
              <w:t>影像学资料（如口内照片、X 线片、CBCT 图像等）；</w:t>
            </w:r>
          </w:p>
          <w:p>
            <w:pPr>
              <w:pStyle w:val="32"/>
              <w:numPr>
                <w:ilvl w:val="0"/>
                <w:numId w:val="2"/>
              </w:numPr>
              <w:kinsoku/>
              <w:spacing w:after="0" w:line="360" w:lineRule="auto"/>
              <w:ind w:firstLineChars="0"/>
              <w:rPr>
                <w:rFonts w:hint="eastAsia" w:ascii="宋体" w:hAnsi="宋体" w:eastAsia="宋体"/>
                <w:lang w:eastAsia="zh-CN"/>
              </w:rPr>
            </w:pPr>
            <w:r>
              <w:rPr>
                <w:rFonts w:hint="eastAsia" w:ascii="宋体" w:hAnsi="宋体" w:eastAsia="宋体"/>
                <w:lang w:eastAsia="zh-CN"/>
              </w:rPr>
              <w:t>相关检查结果及随访资料；</w:t>
            </w:r>
          </w:p>
          <w:p>
            <w:pPr>
              <w:pStyle w:val="32"/>
              <w:numPr>
                <w:ilvl w:val="0"/>
                <w:numId w:val="2"/>
              </w:numPr>
              <w:kinsoku/>
              <w:spacing w:after="0" w:line="360" w:lineRule="auto"/>
              <w:ind w:firstLineChars="0"/>
              <w:rPr>
                <w:rFonts w:hint="eastAsia" w:ascii="宋体" w:hAnsi="宋体" w:eastAsia="宋体"/>
                <w:lang w:eastAsia="zh-CN"/>
              </w:rPr>
            </w:pPr>
            <w:r>
              <w:rPr>
                <w:rFonts w:hint="eastAsia" w:ascii="宋体" w:hAnsi="宋体" w:eastAsia="宋体"/>
                <w:lang w:eastAsia="zh-CN"/>
              </w:rPr>
              <w:t>医患交流中与诊疗相关的信息。</w:t>
            </w:r>
          </w:p>
          <w:p>
            <w:pPr>
              <w:kinsoku/>
              <w:spacing w:after="0" w:line="360" w:lineRule="auto"/>
              <w:rPr>
                <w:rFonts w:hint="eastAsia" w:ascii="宋体" w:hAnsi="宋体" w:eastAsia="宋体"/>
                <w:lang w:eastAsia="zh-CN"/>
              </w:rPr>
            </w:pPr>
            <w:r>
              <w:rPr>
                <w:rFonts w:hint="eastAsia" w:ascii="宋体" w:hAnsi="宋体" w:eastAsia="宋体"/>
                <w:lang w:eastAsia="zh-CN"/>
              </w:rPr>
              <w:t>三、隐私保护与数据安全</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您的病例资料在使用前将进行严格的去标识化和匿名化处理，删除或隐藏能够直接识别您个人身份的信息，如姓名、身份证号、联系方式、家庭住址等；</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病例数据将存储于具备安全防护措施的信息系统中，仅限经授权的教学或科研人员在必要范围内使用；</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所有使用行为均遵循国家有关法律法规及医学伦理规范。</w:t>
            </w:r>
          </w:p>
          <w:p>
            <w:pPr>
              <w:kinsoku/>
              <w:spacing w:after="0" w:line="360" w:lineRule="auto"/>
              <w:rPr>
                <w:rFonts w:hint="eastAsia" w:ascii="宋体" w:hAnsi="宋体" w:eastAsia="宋体"/>
                <w:lang w:eastAsia="zh-CN"/>
              </w:rPr>
            </w:pPr>
            <w:r>
              <w:rPr>
                <w:rFonts w:hint="eastAsia" w:ascii="宋体" w:hAnsi="宋体" w:eastAsia="宋体"/>
                <w:lang w:eastAsia="zh-CN"/>
              </w:rPr>
              <w:t>四、可能的风险与影响</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本次病例资料的使用不会对您的诊疗过程、治疗效果及个人权益产生不利影响。由于数据已进行匿名化处理，个人隐私泄露风险已降至最低。</w:t>
            </w:r>
          </w:p>
          <w:p>
            <w:pPr>
              <w:kinsoku/>
              <w:spacing w:after="0" w:line="360" w:lineRule="auto"/>
              <w:rPr>
                <w:rFonts w:hint="eastAsia" w:ascii="宋体" w:hAnsi="宋体" w:eastAsia="宋体"/>
                <w:lang w:eastAsia="zh-CN"/>
              </w:rPr>
            </w:pPr>
            <w:r>
              <w:rPr>
                <w:rFonts w:hint="eastAsia" w:ascii="宋体" w:hAnsi="宋体" w:eastAsia="宋体"/>
                <w:lang w:eastAsia="zh-CN"/>
              </w:rPr>
              <w:t>五、您的权利</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您有权自主决定是否同意病例数据用于教学与科研；</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您的决定不会影响您获得正常、平等的医疗服务；</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在法律法规允许范围内，您有权在签署后提出撤回同意的申请，撤回后将停止对新增教学科研活动中使用您的病例数据。</w:t>
            </w:r>
          </w:p>
          <w:p>
            <w:pPr>
              <w:kinsoku/>
              <w:spacing w:after="0" w:line="360" w:lineRule="auto"/>
              <w:rPr>
                <w:rFonts w:hint="eastAsia" w:ascii="宋体" w:hAnsi="宋体" w:eastAsia="宋体"/>
                <w:lang w:eastAsia="zh-CN"/>
              </w:rPr>
            </w:pPr>
            <w:r>
              <w:rPr>
                <w:rFonts w:hint="eastAsia" w:ascii="宋体" w:hAnsi="宋体" w:eastAsia="宋体"/>
                <w:lang w:eastAsia="zh-CN"/>
              </w:rPr>
              <w:t>六、知情同意声明</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本人已充分了解上述关于病例数据用于教学与科研的目的、内容、方式及相关风险，已获得充分解释和说明，并有机会提出问题且已得到满意答复。</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本人系在自愿、无任何强迫的情况下，同意将本人（或被监护人）的相关病例数据用于上述教学与科研用途。</w:t>
            </w:r>
          </w:p>
          <w:p>
            <w:pPr>
              <w:kinsoku/>
              <w:spacing w:after="0" w:line="360" w:lineRule="auto"/>
              <w:rPr>
                <w:rFonts w:hint="eastAsia" w:ascii="宋体" w:hAnsi="宋体" w:eastAsia="宋体"/>
                <w:lang w:eastAsia="zh-CN"/>
              </w:rPr>
            </w:pPr>
          </w:p>
          <w:p>
            <w:pPr>
              <w:kinsoku/>
              <w:spacing w:after="0" w:line="360" w:lineRule="auto"/>
              <w:rPr>
                <w:rFonts w:hint="eastAsia" w:ascii="宋体" w:hAnsi="宋体" w:eastAsia="宋体"/>
                <w:lang w:eastAsia="zh-CN"/>
              </w:rPr>
            </w:pPr>
            <w:r>
              <w:rPr>
                <w:rFonts w:ascii="宋体" w:hAnsi="宋体" w:eastAsia="宋体"/>
                <w:lang w:eastAsia="zh-CN"/>
              </w:rPr>
              <w:t>患者姓名（或法定代理人签名）：_____________</w:t>
            </w:r>
          </w:p>
          <w:p>
            <w:pPr>
              <w:kinsoku/>
              <w:spacing w:after="0" w:line="360" w:lineRule="auto"/>
              <w:rPr>
                <w:rFonts w:hint="eastAsia" w:ascii="宋体" w:hAnsi="宋体" w:eastAsia="宋体"/>
                <w:lang w:eastAsia="zh-CN"/>
              </w:rPr>
            </w:pPr>
            <w:r>
              <w:rPr>
                <w:rFonts w:ascii="宋体" w:hAnsi="宋体" w:eastAsia="宋体"/>
                <w:lang w:eastAsia="zh-CN"/>
              </w:rPr>
              <w:t>患者身份证号（或代理人身份证号）：_____________</w:t>
            </w:r>
          </w:p>
          <w:p>
            <w:pPr>
              <w:kinsoku/>
              <w:spacing w:after="0" w:line="360" w:lineRule="auto"/>
              <w:rPr>
                <w:rFonts w:hint="eastAsia" w:ascii="宋体" w:hAnsi="宋体" w:eastAsia="宋体"/>
                <w:lang w:eastAsia="zh-CN"/>
              </w:rPr>
            </w:pPr>
            <w:r>
              <w:rPr>
                <w:rFonts w:ascii="宋体" w:hAnsi="宋体" w:eastAsia="宋体"/>
                <w:lang w:eastAsia="zh-CN"/>
              </w:rPr>
              <w:t>联系电话：_____________</w:t>
            </w:r>
          </w:p>
          <w:p>
            <w:pPr>
              <w:kinsoku/>
              <w:spacing w:after="0" w:line="360" w:lineRule="auto"/>
              <w:rPr>
                <w:rFonts w:hint="eastAsia" w:ascii="宋体" w:hAnsi="宋体" w:eastAsia="宋体"/>
                <w:lang w:eastAsia="zh-CN"/>
              </w:rPr>
            </w:pPr>
            <w:r>
              <w:rPr>
                <w:rFonts w:ascii="宋体" w:hAnsi="宋体" w:eastAsia="宋体"/>
                <w:lang w:eastAsia="zh-CN"/>
              </w:rPr>
              <w:t>签署日期：______年____月____日</w:t>
            </w:r>
          </w:p>
          <w:p>
            <w:pPr>
              <w:kinsoku/>
              <w:spacing w:after="0" w:line="360" w:lineRule="auto"/>
              <w:rPr>
                <w:rFonts w:hint="eastAsia" w:ascii="宋体" w:hAnsi="宋体" w:eastAsia="宋体"/>
                <w:lang w:eastAsia="zh-CN"/>
              </w:rPr>
            </w:pPr>
          </w:p>
          <w:p>
            <w:pPr>
              <w:kinsoku/>
              <w:spacing w:after="0" w:line="360" w:lineRule="auto"/>
              <w:rPr>
                <w:rFonts w:hint="eastAsia" w:ascii="宋体" w:hAnsi="宋体" w:eastAsia="宋体"/>
                <w:lang w:eastAsia="zh-CN"/>
              </w:rPr>
            </w:pPr>
            <w:r>
              <w:rPr>
                <w:rFonts w:hint="eastAsia" w:ascii="宋体" w:hAnsi="宋体" w:eastAsia="宋体"/>
                <w:lang w:eastAsia="zh-CN"/>
              </w:rPr>
              <w:t>医疗机构名称：_____________</w:t>
            </w:r>
          </w:p>
          <w:p>
            <w:pPr>
              <w:kinsoku/>
              <w:spacing w:after="0" w:line="360" w:lineRule="auto"/>
              <w:rPr>
                <w:rFonts w:hint="eastAsia" w:ascii="宋体" w:hAnsi="宋体" w:eastAsia="宋体"/>
                <w:lang w:eastAsia="zh-CN"/>
              </w:rPr>
            </w:pPr>
            <w:r>
              <w:rPr>
                <w:rFonts w:hint="eastAsia" w:ascii="宋体" w:hAnsi="宋体" w:eastAsia="宋体"/>
                <w:lang w:eastAsia="zh-CN"/>
              </w:rPr>
              <w:t>经办医师（或负责人）签名：_____________</w:t>
            </w:r>
          </w:p>
          <w:p>
            <w:pPr>
              <w:kinsoku/>
              <w:spacing w:after="0" w:line="360" w:lineRule="auto"/>
              <w:rPr>
                <w:rFonts w:hint="eastAsia" w:ascii="宋体" w:hAnsi="宋体" w:eastAsia="宋体"/>
                <w:lang w:eastAsia="zh-CN"/>
              </w:rPr>
            </w:pPr>
            <w:r>
              <w:rPr>
                <w:rFonts w:hint="eastAsia" w:ascii="宋体" w:hAnsi="宋体" w:eastAsia="宋体"/>
                <w:lang w:eastAsia="zh-CN"/>
              </w:rPr>
              <w:t>日期：______年____月____日</w:t>
            </w:r>
          </w:p>
        </w:tc>
      </w:tr>
      <w:bookmarkEnd w:id="109"/>
    </w:tbl>
    <w:p>
      <w:pPr>
        <w:kinsoku/>
        <w:spacing w:after="0" w:line="360" w:lineRule="auto"/>
        <w:ind w:firstLine="420" w:firstLineChars="200"/>
        <w:rPr>
          <w:rFonts w:hint="eastAsia" w:ascii="宋体" w:hAnsi="宋体" w:eastAsia="宋体"/>
          <w:lang w:eastAsia="zh-CN"/>
        </w:rPr>
      </w:pPr>
    </w:p>
    <w:p>
      <w:pPr>
        <w:kinsoku/>
        <w:autoSpaceDE/>
        <w:autoSpaceDN/>
        <w:adjustRightInd/>
        <w:snapToGrid/>
        <w:spacing w:line="278" w:lineRule="auto"/>
        <w:textAlignment w:val="auto"/>
        <w:rPr>
          <w:rFonts w:hint="eastAsia" w:ascii="黑体" w:hAnsi="黑体" w:eastAsia="黑体"/>
          <w:b/>
          <w:bCs/>
          <w:lang w:eastAsia="zh-CN"/>
        </w:rPr>
      </w:pPr>
      <w:r>
        <w:rPr>
          <w:rFonts w:hint="eastAsia" w:ascii="黑体" w:hAnsi="黑体" w:eastAsia="黑体"/>
          <w:b/>
          <w:bCs/>
          <w:lang w:eastAsia="zh-CN"/>
        </w:rPr>
        <w:br w:type="page"/>
      </w:r>
    </w:p>
    <w:p>
      <w:pPr>
        <w:kinsoku/>
        <w:spacing w:after="0" w:line="360" w:lineRule="auto"/>
        <w:rPr>
          <w:rFonts w:hint="eastAsia" w:ascii="黑体" w:hAnsi="黑体" w:eastAsia="黑体"/>
          <w:b/>
          <w:bCs/>
          <w:lang w:eastAsia="zh-CN"/>
        </w:rPr>
      </w:pPr>
    </w:p>
    <w:p>
      <w:pPr>
        <w:pStyle w:val="2"/>
        <w:kinsoku/>
        <w:spacing w:before="240" w:beforeLines="100" w:after="0" w:line="360" w:lineRule="auto"/>
        <w:jc w:val="center"/>
        <w:rPr>
          <w:rFonts w:hint="eastAsia" w:ascii="黑体" w:hAnsi="黑体" w:eastAsia="黑体"/>
          <w:b w:val="0"/>
          <w:bCs w:val="0"/>
          <w:sz w:val="21"/>
          <w:szCs w:val="21"/>
          <w:lang w:eastAsia="zh-CN"/>
        </w:rPr>
      </w:pPr>
      <w:bookmarkStart w:id="110" w:name="_Toc221108875"/>
      <w:r>
        <w:rPr>
          <w:rFonts w:hint="eastAsia" w:ascii="黑体" w:hAnsi="黑体" w:eastAsia="黑体"/>
          <w:b w:val="0"/>
          <w:bCs w:val="0"/>
          <w:sz w:val="21"/>
          <w:szCs w:val="21"/>
          <w:lang w:eastAsia="zh-CN"/>
        </w:rPr>
        <w:t>参 考 文 献</w:t>
      </w:r>
      <w:bookmarkEnd w:id="110"/>
    </w:p>
    <w:p>
      <w:pPr>
        <w:numPr>
          <w:ilvl w:val="0"/>
          <w:numId w:val="3"/>
        </w:numPr>
        <w:kinsoku/>
        <w:spacing w:after="0" w:line="360" w:lineRule="auto"/>
        <w:ind w:left="420" w:hanging="420" w:hangingChars="200"/>
        <w:rPr>
          <w:rFonts w:ascii="宋体" w:hAnsi="宋体" w:eastAsia="宋体"/>
          <w:lang w:eastAsia="zh-CN"/>
        </w:rPr>
      </w:pPr>
      <w:r>
        <w:rPr>
          <w:rFonts w:ascii="宋体" w:hAnsi="宋体" w:eastAsia="宋体"/>
          <w:lang w:eastAsia="zh-CN"/>
        </w:rPr>
        <w:t>全国人民代表大会常务委员会. 中华人民共和国个人信息保护法[S]. 北京: 人民出版社, 2021</w:t>
      </w:r>
      <w:r>
        <w:rPr>
          <w:rFonts w:hint="eastAsia" w:ascii="宋体" w:hAnsi="宋体" w:eastAsia="宋体"/>
          <w:lang w:eastAsia="zh-CN"/>
        </w:rPr>
        <w:t>.</w:t>
      </w:r>
      <w:r>
        <w:rPr>
          <w:rFonts w:ascii="宋体" w:hAnsi="宋体" w:eastAsia="宋体"/>
          <w:lang w:eastAsia="zh-CN"/>
        </w:rPr>
        <w:t>08</w:t>
      </w:r>
      <w:r>
        <w:rPr>
          <w:rFonts w:hint="eastAsia" w:ascii="宋体" w:hAnsi="宋体" w:eastAsia="宋体"/>
          <w:lang w:eastAsia="zh-CN"/>
        </w:rPr>
        <w:t>.</w:t>
      </w:r>
      <w:r>
        <w:rPr>
          <w:rFonts w:ascii="宋体" w:hAnsi="宋体" w:eastAsia="宋体"/>
          <w:lang w:eastAsia="zh-CN"/>
        </w:rPr>
        <w:t>20.</w:t>
      </w:r>
    </w:p>
    <w:p>
      <w:pPr>
        <w:numPr>
          <w:ilvl w:val="0"/>
          <w:numId w:val="0"/>
        </w:numPr>
        <w:kinsoku/>
        <w:spacing w:after="0" w:line="360" w:lineRule="auto"/>
        <w:ind w:leftChars="-200"/>
        <w:rPr>
          <w:rFonts w:hint="eastAsia" w:ascii="宋体" w:hAnsi="宋体" w:eastAsia="宋体"/>
          <w:lang w:eastAsia="zh-CN"/>
        </w:rPr>
      </w:pPr>
    </w:p>
    <w:p>
      <w:pPr>
        <w:numPr>
          <w:ilvl w:val="0"/>
          <w:numId w:val="0"/>
        </w:numPr>
        <w:kinsoku/>
        <w:spacing w:after="0" w:line="360" w:lineRule="auto"/>
        <w:ind w:leftChars="-200"/>
        <w:rPr>
          <w:rFonts w:hint="eastAsia" w:ascii="宋体" w:hAnsi="宋体" w:eastAsia="宋体"/>
          <w:lang w:eastAsia="zh-CN"/>
        </w:rPr>
      </w:pPr>
    </w:p>
    <w:p>
      <w:pPr>
        <w:numPr>
          <w:ilvl w:val="0"/>
          <w:numId w:val="0"/>
        </w:numPr>
        <w:kinsoku/>
        <w:spacing w:after="0" w:line="360" w:lineRule="auto"/>
        <w:ind w:leftChars="-200"/>
        <w:rPr>
          <w:rFonts w:hint="eastAsia" w:ascii="宋体" w:hAnsi="宋体" w:eastAsia="宋体"/>
          <w:lang w:eastAsia="zh-CN"/>
        </w:rPr>
      </w:pPr>
    </w:p>
    <w:p>
      <w:pPr>
        <w:pStyle w:val="34"/>
        <w:ind w:firstLine="420"/>
        <w:rPr>
          <w:rFonts w:ascii="Times New Roman" w:hAnsi="Times New Roman" w:eastAsia="宋体" w:cs="Times New Roman"/>
          <w:szCs w:val="21"/>
        </w:rPr>
      </w:pPr>
      <w:r>
        <w:rPr>
          <w:rFonts w:hint="eastAsia"/>
        </w:rPr>
        <mc:AlternateContent>
          <mc:Choice Requires="wps">
            <w:drawing>
              <wp:anchor distT="0" distB="0" distL="114300" distR="114300" simplePos="0" relativeHeight="251684864" behindDoc="0" locked="0" layoutInCell="1" allowOverlap="1">
                <wp:simplePos x="0" y="0"/>
                <wp:positionH relativeFrom="column">
                  <wp:posOffset>2063750</wp:posOffset>
                </wp:positionH>
                <wp:positionV relativeFrom="paragraph">
                  <wp:posOffset>375920</wp:posOffset>
                </wp:positionV>
                <wp:extent cx="1574800" cy="0"/>
                <wp:effectExtent l="0" t="0" r="0" b="0"/>
                <wp:wrapNone/>
                <wp:docPr id="720006935" name="直接连接符 4"/>
                <wp:cNvGraphicFramePr/>
                <a:graphic xmlns:a="http://schemas.openxmlformats.org/drawingml/2006/main">
                  <a:graphicData uri="http://schemas.microsoft.com/office/word/2010/wordprocessingShape">
                    <wps:wsp>
                      <wps:cNvCnPr/>
                      <wps:spPr>
                        <a:xfrm flipV="1">
                          <a:off x="0" y="0"/>
                          <a:ext cx="157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 o:spid="_x0000_s1026" o:spt="20" style="position:absolute;left:0pt;flip:y;margin-left:162.5pt;margin-top:29.6pt;height:0pt;width:124pt;z-index:251684864;mso-width-relative:page;mso-height-relative:page;" filled="f" stroked="t" coordsize="21600,21600" o:gfxdata="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FilNNYAAAAJAQAADwAAAAAAAAABACAA&#10;AAAiAAAAZHJzL2Rvd25yZXYueG1sUEsBAhQAFAAAAAgAh07iQHbaiNbWAQAAdgMAAA4AAAAAAAAA&#10;AQAgAAAAJQEAAGRycy9lMm9Eb2MueG1sUEsFBgAAAAAGAAYAWQEAAG0FAAAAAA==&#10;">
                <v:fill on="f" focussize="0,0"/>
                <v:stroke weight="1pt" color="#000000 [3200]" miterlimit="8" joinstyle="miter"/>
                <v:imagedata o:title=""/>
                <o:lock v:ext="edit" aspectratio="f"/>
              </v:line>
            </w:pict>
          </mc:Fallback>
        </mc:AlternateContent>
      </w:r>
    </w:p>
    <w:p>
      <w:pPr>
        <w:ind w:firstLine="420" w:firstLineChars="200"/>
        <w:rPr>
          <w:rFonts w:hint="eastAsia" w:ascii="宋体" w:hAnsi="宋体" w:eastAsia="宋体" w:cs="宋体"/>
          <w:sz w:val="21"/>
          <w:szCs w:val="21"/>
        </w:rPr>
      </w:pPr>
    </w:p>
    <w:p>
      <w:pPr>
        <w:numPr>
          <w:ilvl w:val="0"/>
          <w:numId w:val="0"/>
        </w:numPr>
        <w:kinsoku/>
        <w:spacing w:after="0" w:line="360" w:lineRule="auto"/>
        <w:ind w:leftChars="-200"/>
        <w:rPr>
          <w:rFonts w:hint="eastAsia" w:ascii="宋体" w:hAnsi="宋体" w:eastAsia="宋体"/>
          <w:lang w:eastAsia="zh-CN"/>
        </w:rPr>
      </w:pPr>
    </w:p>
    <w:p>
      <w:pPr>
        <w:numPr>
          <w:ilvl w:val="0"/>
          <w:numId w:val="0"/>
        </w:numPr>
        <w:kinsoku/>
        <w:spacing w:after="0" w:line="360" w:lineRule="auto"/>
        <w:ind w:leftChars="-200"/>
        <w:rPr>
          <w:rFonts w:hint="eastAsia" w:ascii="宋体" w:hAnsi="宋体" w:eastAsia="宋体"/>
          <w:lang w:eastAsia="zh-CN"/>
        </w:rPr>
      </w:pPr>
    </w:p>
    <w:sectPr>
      <w:headerReference r:id="rId14" w:type="default"/>
      <w:footerReference r:id="rId15" w:type="default"/>
      <w:pgSz w:w="11907" w:h="16839"/>
      <w:pgMar w:top="1160" w:right="1682" w:bottom="1781" w:left="1785" w:header="835" w:footer="1555"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8" w:lineRule="auto"/>
      <w:ind w:left="4347"/>
      <w:rPr>
        <w:rFonts w:ascii="Calibri" w:hAnsi="Calibri" w:cs="Calibri"/>
        <w:sz w:val="18"/>
        <w:szCs w:val="18"/>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0048704"/>
      <w:docPartObj>
        <w:docPartGallery w:val="autotext"/>
      </w:docPartObj>
    </w:sdtPr>
    <w:sdtContent>
      <w:p>
        <w:pPr>
          <w:pStyle w:val="12"/>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714866"/>
      <w:docPartObj>
        <w:docPartGallery w:val="autotext"/>
      </w:docPartObj>
    </w:sdtPr>
    <w:sdtContent>
      <w:p>
        <w:pPr>
          <w:pStyle w:val="12"/>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0385034"/>
      <w:docPartObj>
        <w:docPartGallery w:val="autotext"/>
      </w:docPartObj>
    </w:sdtPr>
    <w:sdtContent>
      <w:p>
        <w:pPr>
          <w:pStyle w:val="12"/>
          <w:jc w:val="cente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6" w:line="224" w:lineRule="auto"/>
      <w:ind w:left="15"/>
      <w:rPr>
        <w:rFonts w:ascii="Calibri" w:hAnsi="Calibri" w:cs="Calibri"/>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6" w:line="224" w:lineRule="auto"/>
      <w:ind w:right="10"/>
      <w:jc w:val="right"/>
      <w:rPr>
        <w:rFonts w:ascii="Calibri" w:hAnsi="Calibri" w:eastAsia="Calibri" w:cs="Calibri"/>
        <w:color w:val="auto"/>
      </w:rPr>
    </w:pPr>
    <w:r>
      <w:rPr>
        <w:rFonts w:ascii="Calibri" w:hAnsi="Calibri" w:eastAsia="Calibri" w:cs="Calibri"/>
        <w:color w:val="auto"/>
        <w:spacing w:val="-1"/>
      </w:rPr>
      <w:t>T/ CAB XXXX—20XX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6" w:line="224" w:lineRule="auto"/>
      <w:ind w:right="10"/>
      <w:jc w:val="right"/>
      <w:rPr>
        <w:rFonts w:ascii="Calibri" w:hAnsi="Calibri" w:eastAsia="Calibri" w:cs="Calibri"/>
        <w:color w:val="auto"/>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6" w:line="224" w:lineRule="auto"/>
      <w:ind w:left="15"/>
      <w:jc w:val="right"/>
      <w:rPr>
        <w:rFonts w:ascii="Calibri" w:hAnsi="Calibri" w:eastAsia="Calibri" w:cs="Calibri"/>
      </w:rPr>
    </w:pPr>
    <w:bookmarkStart w:id="111" w:name="OLE_LINK36"/>
    <w:bookmarkStart w:id="112" w:name="_Hlk216601054"/>
    <w:r>
      <w:rPr>
        <w:rFonts w:ascii="Calibri" w:hAnsi="Calibri" w:eastAsia="Calibri" w:cs="Calibri"/>
        <w:spacing w:val="-1"/>
      </w:rPr>
      <w:t>T/ CAB XXXX—20XX</w:t>
    </w:r>
    <w:bookmarkEnd w:id="111"/>
    <w:bookmarkEnd w:id="11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6" w:line="224" w:lineRule="auto"/>
      <w:ind w:left="15"/>
      <w:rPr>
        <w:rFonts w:ascii="Calibri" w:hAnsi="Calibri" w:cs="Calibri"/>
        <w:lang w:eastAsia="zh-CN"/>
      </w:rPr>
    </w:pPr>
    <w:r>
      <w:rPr>
        <w:rFonts w:ascii="Calibri" w:hAnsi="Calibri" w:eastAsia="Calibri" w:cs="Calibri"/>
        <w:spacing w:val="-1"/>
      </w:rPr>
      <w:t>T/ CAB XXXX—20XX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6" w:line="224" w:lineRule="auto"/>
      <w:ind w:left="6650"/>
      <w:rPr>
        <w:rFonts w:ascii="Calibri" w:hAnsi="Calibri" w:cs="Calibri"/>
        <w:spacing w:val="-1"/>
        <w:lang w:eastAsia="zh-CN"/>
      </w:rPr>
    </w:pPr>
    <w:bookmarkStart w:id="113" w:name="_Hlk216518365"/>
    <w:bookmarkStart w:id="114" w:name="OLE_LINK22"/>
    <w:r>
      <w:rPr>
        <w:rFonts w:ascii="Calibri" w:hAnsi="Calibri" w:eastAsia="Calibri" w:cs="Calibri"/>
        <w:spacing w:val="-1"/>
      </w:rPr>
      <w:t>T/ CAB XXXX—20XX</w:t>
    </w:r>
    <w:bookmarkEnd w:id="113"/>
    <w:bookmarkEnd w:id="1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2AA97"/>
    <w:multiLevelType w:val="singleLevel"/>
    <w:tmpl w:val="A4C2AA97"/>
    <w:lvl w:ilvl="0" w:tentative="0">
      <w:start w:val="1"/>
      <w:numFmt w:val="decimal"/>
      <w:lvlText w:val="[%1]"/>
      <w:lvlJc w:val="left"/>
      <w:pPr>
        <w:tabs>
          <w:tab w:val="left" w:pos="312"/>
        </w:tabs>
      </w:pPr>
    </w:lvl>
  </w:abstractNum>
  <w:abstractNum w:abstractNumId="1">
    <w:nsid w:val="3D3E4547"/>
    <w:multiLevelType w:val="multilevel"/>
    <w:tmpl w:val="3D3E4547"/>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78E24874"/>
    <w:multiLevelType w:val="multilevel"/>
    <w:tmpl w:val="78E24874"/>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evenAndOddHeaders w:val="1"/>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F2"/>
    <w:rsid w:val="000119DE"/>
    <w:rsid w:val="00024BDC"/>
    <w:rsid w:val="00025975"/>
    <w:rsid w:val="000505B3"/>
    <w:rsid w:val="000763B3"/>
    <w:rsid w:val="0009094D"/>
    <w:rsid w:val="000C7CE4"/>
    <w:rsid w:val="000D6610"/>
    <w:rsid w:val="000E3472"/>
    <w:rsid w:val="000F54D1"/>
    <w:rsid w:val="00151C90"/>
    <w:rsid w:val="001933DC"/>
    <w:rsid w:val="001D15A4"/>
    <w:rsid w:val="002738DF"/>
    <w:rsid w:val="00280557"/>
    <w:rsid w:val="002B4DBA"/>
    <w:rsid w:val="003053BD"/>
    <w:rsid w:val="003139FF"/>
    <w:rsid w:val="003645CA"/>
    <w:rsid w:val="00375A60"/>
    <w:rsid w:val="003860F2"/>
    <w:rsid w:val="00387561"/>
    <w:rsid w:val="003979A3"/>
    <w:rsid w:val="003A1FEF"/>
    <w:rsid w:val="003A53B6"/>
    <w:rsid w:val="003C1598"/>
    <w:rsid w:val="003F190D"/>
    <w:rsid w:val="0041212E"/>
    <w:rsid w:val="004165C3"/>
    <w:rsid w:val="00416BA4"/>
    <w:rsid w:val="00416ED7"/>
    <w:rsid w:val="00424B4D"/>
    <w:rsid w:val="00435186"/>
    <w:rsid w:val="00454F23"/>
    <w:rsid w:val="004D3EBC"/>
    <w:rsid w:val="005175BA"/>
    <w:rsid w:val="00517794"/>
    <w:rsid w:val="005326E5"/>
    <w:rsid w:val="00533746"/>
    <w:rsid w:val="00537541"/>
    <w:rsid w:val="00542639"/>
    <w:rsid w:val="00544FF2"/>
    <w:rsid w:val="00564838"/>
    <w:rsid w:val="00636221"/>
    <w:rsid w:val="00641244"/>
    <w:rsid w:val="00642E80"/>
    <w:rsid w:val="006435ED"/>
    <w:rsid w:val="006727A9"/>
    <w:rsid w:val="006B7C86"/>
    <w:rsid w:val="006F77B4"/>
    <w:rsid w:val="00737067"/>
    <w:rsid w:val="00756C95"/>
    <w:rsid w:val="007A12BB"/>
    <w:rsid w:val="007A27D5"/>
    <w:rsid w:val="007C17CE"/>
    <w:rsid w:val="007D15D2"/>
    <w:rsid w:val="007E63BD"/>
    <w:rsid w:val="007F224C"/>
    <w:rsid w:val="008047F0"/>
    <w:rsid w:val="00806262"/>
    <w:rsid w:val="008123AE"/>
    <w:rsid w:val="008471CA"/>
    <w:rsid w:val="00857D95"/>
    <w:rsid w:val="00872187"/>
    <w:rsid w:val="00882B46"/>
    <w:rsid w:val="008A2CB0"/>
    <w:rsid w:val="008D11CE"/>
    <w:rsid w:val="008E0CFB"/>
    <w:rsid w:val="008F35AC"/>
    <w:rsid w:val="008F48CE"/>
    <w:rsid w:val="00926469"/>
    <w:rsid w:val="009326C5"/>
    <w:rsid w:val="009400B1"/>
    <w:rsid w:val="0094065A"/>
    <w:rsid w:val="00993DCD"/>
    <w:rsid w:val="009E4B38"/>
    <w:rsid w:val="00A154A8"/>
    <w:rsid w:val="00A22C7D"/>
    <w:rsid w:val="00A33277"/>
    <w:rsid w:val="00A42491"/>
    <w:rsid w:val="00A4366E"/>
    <w:rsid w:val="00A73472"/>
    <w:rsid w:val="00AB510E"/>
    <w:rsid w:val="00AB63FC"/>
    <w:rsid w:val="00AE74C0"/>
    <w:rsid w:val="00B028EE"/>
    <w:rsid w:val="00B11C92"/>
    <w:rsid w:val="00B252BD"/>
    <w:rsid w:val="00B44704"/>
    <w:rsid w:val="00B5309C"/>
    <w:rsid w:val="00B54DFE"/>
    <w:rsid w:val="00B73DC0"/>
    <w:rsid w:val="00B76900"/>
    <w:rsid w:val="00B86606"/>
    <w:rsid w:val="00B878B0"/>
    <w:rsid w:val="00BB6BB6"/>
    <w:rsid w:val="00BB79CE"/>
    <w:rsid w:val="00C26D15"/>
    <w:rsid w:val="00C51E46"/>
    <w:rsid w:val="00C56302"/>
    <w:rsid w:val="00CB3530"/>
    <w:rsid w:val="00CD4382"/>
    <w:rsid w:val="00CF215E"/>
    <w:rsid w:val="00D04B93"/>
    <w:rsid w:val="00D20453"/>
    <w:rsid w:val="00D47FFB"/>
    <w:rsid w:val="00D556DC"/>
    <w:rsid w:val="00D846D7"/>
    <w:rsid w:val="00D870DB"/>
    <w:rsid w:val="00D929D6"/>
    <w:rsid w:val="00DB23DA"/>
    <w:rsid w:val="00DE6727"/>
    <w:rsid w:val="00DE7E2A"/>
    <w:rsid w:val="00E03AE4"/>
    <w:rsid w:val="00E06FE7"/>
    <w:rsid w:val="00E37C42"/>
    <w:rsid w:val="00E55BC7"/>
    <w:rsid w:val="00E72CD8"/>
    <w:rsid w:val="00E81D89"/>
    <w:rsid w:val="00EB5AE6"/>
    <w:rsid w:val="00EB6A89"/>
    <w:rsid w:val="00ED111F"/>
    <w:rsid w:val="00EE295E"/>
    <w:rsid w:val="00EF1CC0"/>
    <w:rsid w:val="00F03D49"/>
    <w:rsid w:val="00F16FD8"/>
    <w:rsid w:val="00F55B8C"/>
    <w:rsid w:val="00F74505"/>
    <w:rsid w:val="00F8157E"/>
    <w:rsid w:val="00F860EA"/>
    <w:rsid w:val="00F87D90"/>
    <w:rsid w:val="00F91E4D"/>
    <w:rsid w:val="00FE4D9D"/>
    <w:rsid w:val="00FE7D30"/>
    <w:rsid w:val="00FF0075"/>
    <w:rsid w:val="00FF1338"/>
    <w:rsid w:val="0FAF2A2E"/>
    <w:rsid w:val="29822781"/>
    <w:rsid w:val="451D34DE"/>
    <w:rsid w:val="5F037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1"/>
    <w:semiHidden/>
    <w:unhideWhenUsed/>
    <w:qFormat/>
    <w:uiPriority w:val="9"/>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7">
    <w:name w:val="toc 7"/>
    <w:basedOn w:val="1"/>
    <w:next w:val="1"/>
    <w:unhideWhenUsed/>
    <w:qFormat/>
    <w:uiPriority w:val="39"/>
    <w:pPr>
      <w:widowControl w:val="0"/>
      <w:kinsoku/>
      <w:autoSpaceDE/>
      <w:autoSpaceDN/>
      <w:adjustRightInd/>
      <w:snapToGrid/>
      <w:spacing w:line="278" w:lineRule="auto"/>
      <w:ind w:left="2520" w:leftChars="1200"/>
      <w:textAlignment w:val="auto"/>
    </w:pPr>
    <w:rPr>
      <w:rFonts w:asciiTheme="minorHAnsi" w:hAnsiTheme="minorHAnsi" w:cstheme="minorBidi"/>
      <w:snapToGrid/>
      <w:color w:val="auto"/>
      <w:kern w:val="2"/>
      <w:sz w:val="22"/>
      <w:szCs w:val="24"/>
      <w:lang w:eastAsia="zh-CN"/>
      <w14:ligatures w14:val="standardContextual"/>
    </w:rPr>
  </w:style>
  <w:style w:type="paragraph" w:styleId="8">
    <w:name w:val="Body Text"/>
    <w:basedOn w:val="1"/>
    <w:semiHidden/>
    <w:qFormat/>
    <w:uiPriority w:val="0"/>
    <w:rPr>
      <w:rFonts w:ascii="黑体" w:hAnsi="黑体" w:eastAsia="黑体" w:cs="黑体"/>
      <w:sz w:val="52"/>
      <w:szCs w:val="52"/>
    </w:rPr>
  </w:style>
  <w:style w:type="paragraph" w:styleId="9">
    <w:name w:val="toc 5"/>
    <w:basedOn w:val="1"/>
    <w:next w:val="1"/>
    <w:unhideWhenUsed/>
    <w:qFormat/>
    <w:uiPriority w:val="39"/>
    <w:pPr>
      <w:widowControl w:val="0"/>
      <w:kinsoku/>
      <w:autoSpaceDE/>
      <w:autoSpaceDN/>
      <w:adjustRightInd/>
      <w:snapToGrid/>
      <w:spacing w:line="278" w:lineRule="auto"/>
      <w:ind w:left="1680" w:leftChars="800"/>
      <w:textAlignment w:val="auto"/>
    </w:pPr>
    <w:rPr>
      <w:rFonts w:asciiTheme="minorHAnsi" w:hAnsiTheme="minorHAnsi" w:cstheme="minorBidi"/>
      <w:snapToGrid/>
      <w:color w:val="auto"/>
      <w:kern w:val="2"/>
      <w:sz w:val="22"/>
      <w:szCs w:val="24"/>
      <w:lang w:eastAsia="zh-CN"/>
      <w14:ligatures w14:val="standardContextual"/>
    </w:rPr>
  </w:style>
  <w:style w:type="paragraph" w:styleId="10">
    <w:name w:val="toc 3"/>
    <w:basedOn w:val="1"/>
    <w:next w:val="1"/>
    <w:unhideWhenUsed/>
    <w:qFormat/>
    <w:uiPriority w:val="39"/>
    <w:pPr>
      <w:widowControl w:val="0"/>
      <w:kinsoku/>
      <w:autoSpaceDE/>
      <w:autoSpaceDN/>
      <w:adjustRightInd/>
      <w:snapToGrid/>
      <w:spacing w:line="278" w:lineRule="auto"/>
      <w:ind w:left="840" w:leftChars="400"/>
      <w:textAlignment w:val="auto"/>
    </w:pPr>
    <w:rPr>
      <w:rFonts w:asciiTheme="minorHAnsi" w:hAnsiTheme="minorHAnsi" w:cstheme="minorBidi"/>
      <w:snapToGrid/>
      <w:color w:val="auto"/>
      <w:kern w:val="2"/>
      <w:sz w:val="22"/>
      <w:szCs w:val="24"/>
      <w:lang w:eastAsia="zh-CN"/>
      <w14:ligatures w14:val="standardContextual"/>
    </w:rPr>
  </w:style>
  <w:style w:type="paragraph" w:styleId="11">
    <w:name w:val="toc 8"/>
    <w:basedOn w:val="1"/>
    <w:next w:val="1"/>
    <w:unhideWhenUsed/>
    <w:qFormat/>
    <w:uiPriority w:val="39"/>
    <w:pPr>
      <w:widowControl w:val="0"/>
      <w:kinsoku/>
      <w:autoSpaceDE/>
      <w:autoSpaceDN/>
      <w:adjustRightInd/>
      <w:snapToGrid/>
      <w:spacing w:line="278" w:lineRule="auto"/>
      <w:ind w:left="2940" w:leftChars="1400"/>
      <w:textAlignment w:val="auto"/>
    </w:pPr>
    <w:rPr>
      <w:rFonts w:asciiTheme="minorHAnsi" w:hAnsiTheme="minorHAnsi" w:cstheme="minorBidi"/>
      <w:snapToGrid/>
      <w:color w:val="auto"/>
      <w:kern w:val="2"/>
      <w:sz w:val="22"/>
      <w:szCs w:val="24"/>
      <w:lang w:eastAsia="zh-CN"/>
      <w14:ligatures w14:val="standardContextual"/>
    </w:rPr>
  </w:style>
  <w:style w:type="paragraph" w:styleId="12">
    <w:name w:val="footer"/>
    <w:basedOn w:val="1"/>
    <w:link w:val="27"/>
    <w:unhideWhenUsed/>
    <w:qFormat/>
    <w:uiPriority w:val="99"/>
    <w:pPr>
      <w:tabs>
        <w:tab w:val="center" w:pos="4153"/>
        <w:tab w:val="right" w:pos="8306"/>
      </w:tabs>
    </w:pPr>
    <w:rPr>
      <w:sz w:val="18"/>
      <w:szCs w:val="18"/>
    </w:rPr>
  </w:style>
  <w:style w:type="paragraph" w:styleId="13">
    <w:name w:val="header"/>
    <w:basedOn w:val="1"/>
    <w:link w:val="26"/>
    <w:unhideWhenUsed/>
    <w:qFormat/>
    <w:uiPriority w:val="99"/>
    <w:pPr>
      <w:tabs>
        <w:tab w:val="center" w:pos="4153"/>
        <w:tab w:val="right" w:pos="8306"/>
      </w:tabs>
      <w:jc w:val="center"/>
    </w:pPr>
    <w:rPr>
      <w:sz w:val="18"/>
      <w:szCs w:val="18"/>
    </w:rPr>
  </w:style>
  <w:style w:type="paragraph" w:styleId="14">
    <w:name w:val="toc 1"/>
    <w:basedOn w:val="1"/>
    <w:next w:val="1"/>
    <w:unhideWhenUsed/>
    <w:qFormat/>
    <w:uiPriority w:val="39"/>
    <w:pPr>
      <w:tabs>
        <w:tab w:val="right" w:leader="dot" w:pos="8400"/>
      </w:tabs>
      <w:spacing w:after="240" w:afterLines="100"/>
      <w:jc w:val="center"/>
    </w:pPr>
    <w:rPr>
      <w:rFonts w:ascii="黑体" w:hAnsi="黑体" w:eastAsia="黑体" w:cs="Times New Roman"/>
      <w:lang w:eastAsia="zh-CN"/>
    </w:rPr>
  </w:style>
  <w:style w:type="paragraph" w:styleId="15">
    <w:name w:val="toc 4"/>
    <w:basedOn w:val="1"/>
    <w:next w:val="1"/>
    <w:unhideWhenUsed/>
    <w:qFormat/>
    <w:uiPriority w:val="39"/>
    <w:pPr>
      <w:widowControl w:val="0"/>
      <w:kinsoku/>
      <w:autoSpaceDE/>
      <w:autoSpaceDN/>
      <w:adjustRightInd/>
      <w:snapToGrid/>
      <w:spacing w:line="278" w:lineRule="auto"/>
      <w:ind w:left="1260" w:leftChars="600"/>
      <w:textAlignment w:val="auto"/>
    </w:pPr>
    <w:rPr>
      <w:rFonts w:asciiTheme="minorHAnsi" w:hAnsiTheme="minorHAnsi" w:cstheme="minorBidi"/>
      <w:snapToGrid/>
      <w:color w:val="auto"/>
      <w:kern w:val="2"/>
      <w:sz w:val="22"/>
      <w:szCs w:val="24"/>
      <w:lang w:eastAsia="zh-CN"/>
      <w14:ligatures w14:val="standardContextual"/>
    </w:rPr>
  </w:style>
  <w:style w:type="paragraph" w:styleId="16">
    <w:name w:val="toc 6"/>
    <w:basedOn w:val="1"/>
    <w:next w:val="1"/>
    <w:unhideWhenUsed/>
    <w:qFormat/>
    <w:uiPriority w:val="39"/>
    <w:pPr>
      <w:widowControl w:val="0"/>
      <w:kinsoku/>
      <w:autoSpaceDE/>
      <w:autoSpaceDN/>
      <w:adjustRightInd/>
      <w:snapToGrid/>
      <w:spacing w:line="278" w:lineRule="auto"/>
      <w:ind w:left="2100" w:leftChars="1000"/>
      <w:textAlignment w:val="auto"/>
    </w:pPr>
    <w:rPr>
      <w:rFonts w:asciiTheme="minorHAnsi" w:hAnsiTheme="minorHAnsi" w:cstheme="minorBidi"/>
      <w:snapToGrid/>
      <w:color w:val="auto"/>
      <w:kern w:val="2"/>
      <w:sz w:val="22"/>
      <w:szCs w:val="24"/>
      <w:lang w:eastAsia="zh-CN"/>
      <w14:ligatures w14:val="standardContextual"/>
    </w:r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widowControl w:val="0"/>
      <w:kinsoku/>
      <w:autoSpaceDE/>
      <w:autoSpaceDN/>
      <w:adjustRightInd/>
      <w:snapToGrid/>
      <w:spacing w:line="278" w:lineRule="auto"/>
      <w:ind w:left="3360" w:leftChars="1600"/>
      <w:textAlignment w:val="auto"/>
    </w:pPr>
    <w:rPr>
      <w:rFonts w:asciiTheme="minorHAnsi" w:hAnsiTheme="minorHAnsi" w:cstheme="minorBidi"/>
      <w:snapToGrid/>
      <w:color w:val="auto"/>
      <w:kern w:val="2"/>
      <w:sz w:val="22"/>
      <w:szCs w:val="24"/>
      <w:lang w:eastAsia="zh-CN"/>
      <w14:ligatures w14:val="standardContextual"/>
    </w:rPr>
  </w:style>
  <w:style w:type="table" w:styleId="20">
    <w:name w:val="Table Grid"/>
    <w:basedOn w:val="1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Hyperlink"/>
    <w:basedOn w:val="21"/>
    <w:unhideWhenUsed/>
    <w:qFormat/>
    <w:uiPriority w:val="99"/>
    <w:rPr>
      <w:color w:val="467886" w:themeColor="hyperlink"/>
      <w:u w:val="single"/>
      <w14:textFill>
        <w14:solidFill>
          <w14:schemeClr w14:val="hlink"/>
        </w14:solidFill>
      </w14:textFill>
    </w:rPr>
  </w:style>
  <w:style w:type="table" w:customStyle="1" w:styleId="23">
    <w:name w:val="Table Normal"/>
    <w:semiHidden/>
    <w:unhideWhenUsed/>
    <w:qFormat/>
    <w:uiPriority w:val="0"/>
    <w:tblPr>
      <w:tblLayout w:type="fixed"/>
      <w:tblCellMar>
        <w:top w:w="0" w:type="dxa"/>
        <w:left w:w="0" w:type="dxa"/>
        <w:bottom w:w="0" w:type="dxa"/>
        <w:right w:w="0" w:type="dxa"/>
      </w:tblCellMar>
    </w:tblPr>
  </w:style>
  <w:style w:type="character" w:customStyle="1" w:styleId="24">
    <w:name w:val="标题 1 字符"/>
    <w:basedOn w:val="21"/>
    <w:link w:val="2"/>
    <w:qFormat/>
    <w:uiPriority w:val="9"/>
    <w:rPr>
      <w:b/>
      <w:bCs/>
      <w:kern w:val="44"/>
      <w:sz w:val="44"/>
      <w:szCs w:val="44"/>
    </w:rPr>
  </w:style>
  <w:style w:type="character" w:customStyle="1" w:styleId="25">
    <w:name w:val="标题 2 字符"/>
    <w:basedOn w:val="21"/>
    <w:link w:val="3"/>
    <w:qFormat/>
    <w:uiPriority w:val="9"/>
    <w:rPr>
      <w:rFonts w:asciiTheme="majorHAnsi" w:hAnsiTheme="majorHAnsi" w:eastAsiaTheme="majorEastAsia" w:cstheme="majorBidi"/>
      <w:b/>
      <w:bCs/>
      <w:sz w:val="32"/>
      <w:szCs w:val="32"/>
    </w:rPr>
  </w:style>
  <w:style w:type="character" w:customStyle="1" w:styleId="26">
    <w:name w:val="页眉 字符"/>
    <w:basedOn w:val="21"/>
    <w:link w:val="13"/>
    <w:qFormat/>
    <w:uiPriority w:val="99"/>
    <w:rPr>
      <w:sz w:val="18"/>
      <w:szCs w:val="18"/>
    </w:rPr>
  </w:style>
  <w:style w:type="character" w:customStyle="1" w:styleId="27">
    <w:name w:val="页脚 字符"/>
    <w:basedOn w:val="21"/>
    <w:link w:val="12"/>
    <w:qFormat/>
    <w:uiPriority w:val="99"/>
    <w:rPr>
      <w:sz w:val="18"/>
      <w:szCs w:val="18"/>
    </w:rPr>
  </w:style>
  <w:style w:type="character" w:customStyle="1" w:styleId="28">
    <w:name w:val="Unresolved Mention"/>
    <w:basedOn w:val="21"/>
    <w:semiHidden/>
    <w:unhideWhenUsed/>
    <w:qFormat/>
    <w:uiPriority w:val="99"/>
    <w:rPr>
      <w:color w:val="605E5C"/>
      <w:shd w:val="clear" w:color="auto" w:fill="E1DFDD"/>
    </w:rPr>
  </w:style>
  <w:style w:type="character" w:customStyle="1" w:styleId="29">
    <w:name w:val="标题 3 字符"/>
    <w:basedOn w:val="21"/>
    <w:link w:val="4"/>
    <w:qFormat/>
    <w:uiPriority w:val="9"/>
    <w:rPr>
      <w:b/>
      <w:bCs/>
      <w:sz w:val="32"/>
      <w:szCs w:val="32"/>
    </w:rPr>
  </w:style>
  <w:style w:type="character" w:customStyle="1" w:styleId="30">
    <w:name w:val="标题 4 字符"/>
    <w:basedOn w:val="21"/>
    <w:link w:val="5"/>
    <w:qFormat/>
    <w:uiPriority w:val="9"/>
    <w:rPr>
      <w:rFonts w:asciiTheme="majorHAnsi" w:hAnsiTheme="majorHAnsi" w:eastAsiaTheme="majorEastAsia" w:cstheme="majorBidi"/>
      <w:b/>
      <w:bCs/>
      <w:sz w:val="28"/>
      <w:szCs w:val="28"/>
    </w:rPr>
  </w:style>
  <w:style w:type="character" w:customStyle="1" w:styleId="31">
    <w:name w:val="标题 5 字符"/>
    <w:basedOn w:val="21"/>
    <w:link w:val="6"/>
    <w:semiHidden/>
    <w:qFormat/>
    <w:uiPriority w:val="9"/>
    <w:rPr>
      <w:b/>
      <w:bCs/>
      <w:sz w:val="28"/>
      <w:szCs w:val="28"/>
    </w:rPr>
  </w:style>
  <w:style w:type="paragraph" w:styleId="32">
    <w:name w:val="List Paragraph"/>
    <w:basedOn w:val="1"/>
    <w:qFormat/>
    <w:uiPriority w:val="34"/>
    <w:pPr>
      <w:ind w:firstLine="420" w:firstLineChars="200"/>
    </w:pPr>
  </w:style>
  <w:style w:type="paragraph" w:customStyle="1" w:styleId="33">
    <w:name w:val="文献分类号"/>
    <w:qFormat/>
    <w:uiPriority w:val="99"/>
    <w:pPr>
      <w:framePr w:hSpace="180" w:vSpace="180" w:wrap="around" w:vAnchor="margin" w:hAnchor="margin" w:y="1" w:anchorLock="1"/>
      <w:widowControl w:val="0"/>
      <w:spacing w:after="160" w:line="278" w:lineRule="auto"/>
      <w:textAlignment w:val="center"/>
    </w:pPr>
    <w:rPr>
      <w:rFonts w:ascii="Times New Roman" w:hAnsi="Times New Roman" w:eastAsia="黑体" w:cs="Times New Roman"/>
      <w:snapToGrid/>
      <w:color w:val="auto"/>
      <w:sz w:val="21"/>
      <w:szCs w:val="20"/>
      <w:lang w:val="en-US" w:eastAsia="zh-CN" w:bidi="ar-SA"/>
    </w:rPr>
  </w:style>
  <w:style w:type="paragraph" w:customStyle="1" w:styleId="34">
    <w:name w:val="段"/>
    <w:qFormat/>
    <w:uiPriority w:val="0"/>
    <w:pPr>
      <w:tabs>
        <w:tab w:val="center" w:pos="4201"/>
        <w:tab w:val="right" w:leader="dot" w:pos="9298"/>
      </w:tabs>
      <w:autoSpaceDE w:val="0"/>
      <w:autoSpaceDN w:val="0"/>
      <w:spacing w:after="0" w:line="240" w:lineRule="auto"/>
      <w:ind w:firstLine="420" w:firstLineChars="200"/>
      <w:jc w:val="both"/>
    </w:pPr>
    <w:rPr>
      <w:rFonts w:ascii="宋体" w:hAnsi="Times New Roman" w:eastAsia="宋体" w:cs="Times New Roman"/>
      <w:snapToGrid/>
      <w:color w:val="auto"/>
      <w:sz w:val="21"/>
      <w:szCs w:val="20"/>
      <w:lang w:val="en-US" w:eastAsia="zh-CN" w:bidi="ar-SA"/>
    </w:rPr>
  </w:style>
  <w:style w:type="paragraph" w:customStyle="1" w:styleId="35">
    <w:name w:val="Revision"/>
    <w:hidden/>
    <w:semiHidden/>
    <w:qFormat/>
    <w:uiPriority w:val="99"/>
    <w:pPr>
      <w:spacing w:after="0" w:line="240" w:lineRule="auto"/>
    </w:pPr>
    <w:rPr>
      <w:rFonts w:ascii="Arial" w:hAnsi="Arial" w:cs="Arial" w:eastAsiaTheme="minorEastAsia"/>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B90366-4F26-4B72-82A4-169E2D1742C2}">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2104</Words>
  <Characters>11996</Characters>
  <Lines>99</Lines>
  <Paragraphs>28</Paragraphs>
  <TotalTime>1</TotalTime>
  <ScaleCrop>false</ScaleCrop>
  <LinksUpToDate>false</LinksUpToDate>
  <CharactersWithSpaces>14072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2025-12-22T07:45:00Z</dcterms:created>
  <dc:creator>MNL</dc:creator>
  <cp:lastModifiedBy>1</cp:lastModifiedBy>
  <cp:lastPrinted>2026-02-09T02:56:00Z</cp:lastPrinted>
  <dcterms:modified xsi:type="dcterms:W3CDTF">2026-02-11T03:30:13Z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2025-12-12T10:04:49Z</vt:filetime>
  </property>
  <property fmtid="{D5CDD505-2E9C-101B-9397-08002B2CF9AE}" pid="4" name="KSOProductBuildVer">
    <vt:lpwstr>2052-11.8.2.8555</vt:lpwstr>
  </property>
</Properties>
</file>