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jc w:val="center"/>
        <w:rPr>
          <w:rFonts w:hint="eastAsia" w:cstheme="minorBidi"/>
          <w:color w:val="auto"/>
          <w:sz w:val="32"/>
          <w:szCs w:val="32"/>
        </w:rPr>
      </w:pPr>
      <w:r>
        <w:rPr>
          <w:rFonts w:hint="eastAsia" w:cstheme="minorBidi"/>
          <w:color w:val="auto"/>
          <w:sz w:val="32"/>
          <w:szCs w:val="32"/>
        </w:rPr>
        <w:t>《牙体牙髓 数字化临床病例教学系统建设技术规范》</w:t>
      </w:r>
    </w:p>
    <w:p>
      <w:pPr>
        <w:pStyle w:val="12"/>
        <w:spacing w:line="360" w:lineRule="auto"/>
        <w:jc w:val="center"/>
        <w:rPr>
          <w:rFonts w:cstheme="minorBidi"/>
          <w:color w:val="auto"/>
          <w:sz w:val="32"/>
          <w:szCs w:val="32"/>
        </w:rPr>
      </w:pPr>
      <w:r>
        <w:rPr>
          <w:rFonts w:hint="eastAsia" w:cstheme="minorBidi"/>
          <w:color w:val="auto"/>
          <w:sz w:val="32"/>
          <w:szCs w:val="32"/>
          <w:lang w:eastAsia="zh-CN"/>
        </w:rPr>
        <w:t>（</w:t>
      </w:r>
      <w:r>
        <w:rPr>
          <w:rFonts w:hint="eastAsia" w:cstheme="minorBidi"/>
          <w:color w:val="auto"/>
          <w:sz w:val="32"/>
          <w:szCs w:val="32"/>
          <w:lang w:val="en-US" w:eastAsia="zh-CN"/>
        </w:rPr>
        <w:t>征求意见稿</w:t>
      </w:r>
      <w:r>
        <w:rPr>
          <w:rFonts w:hint="eastAsia" w:cstheme="minorBidi"/>
          <w:color w:val="auto"/>
          <w:sz w:val="32"/>
          <w:szCs w:val="32"/>
          <w:lang w:eastAsia="zh-CN"/>
        </w:rPr>
        <w:t>）</w:t>
      </w:r>
      <w:bookmarkStart w:id="3" w:name="_GoBack"/>
      <w:bookmarkEnd w:id="3"/>
      <w:r>
        <w:rPr>
          <w:rFonts w:hint="eastAsia" w:cstheme="minorBidi"/>
          <w:color w:val="auto"/>
          <w:sz w:val="32"/>
          <w:szCs w:val="32"/>
        </w:rPr>
        <w:t>编制说明</w:t>
      </w:r>
    </w:p>
    <w:p>
      <w:pPr>
        <w:pStyle w:val="2"/>
        <w:spacing w:line="360" w:lineRule="auto"/>
      </w:pPr>
      <w:r>
        <w:rPr>
          <w:rFonts w:hint="eastAsia"/>
        </w:rPr>
        <w:t>一、工作简况</w:t>
      </w:r>
    </w:p>
    <w:p>
      <w:pPr>
        <w:pStyle w:val="3"/>
        <w:spacing w:line="360" w:lineRule="auto"/>
        <w:ind w:firstLine="482"/>
      </w:pPr>
      <w:r>
        <w:rPr>
          <w:rFonts w:hint="eastAsia"/>
        </w:rPr>
        <w:t>1．任务来源</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本项目是根据中国产学研合作促进会“关于征集2025年团体标准制定项目的通知”（产学研函字[2025]第05号）进行制定，项目名称“牙体牙髓 数字化临床病例教学系统建设技术规范”，本标准由四川大学华西口腔医院提出,中国产学研合作促进会归口，起草牵头单位：四川大学华西口腔医院，计划完成时间为2026年9月。</w:t>
      </w:r>
    </w:p>
    <w:p>
      <w:pPr>
        <w:pStyle w:val="3"/>
        <w:spacing w:line="360" w:lineRule="auto"/>
        <w:ind w:firstLine="482"/>
      </w:pPr>
      <w:r>
        <w:rPr>
          <w:rFonts w:hint="eastAsia"/>
        </w:rPr>
        <w:t>2．立项背景</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牙体牙髓病学是口腔医学中理论与实践高度融合的核心临床学科，其教学目标在于系统培养学习者对牙体牙髓疾病的诊断思维、规范化操作能力以及医患沟通与风险告知能力。该学科疾病类型复杂、操作精细，对临床判断准确性和操作规范性要求极高，尤其在复杂根管系统处理、根管再治疗、显微根管治疗及并发症防控等情境中，学习者需在充分理解病变特征的基础上，反复进行标准化、系统化训练。然而，当前以课堂讲授和有限临床带教为主的传统教学模式存在明显不足：一方面，理论教学与临床实操衔接不紧密，学生多依赖标准化训练模型进行基础操作，难以获得复杂牙体牙髓病例的系统训练机会，导致临床操作信心不足、技术掌握不稳定；另一方面，传统病例教学（如 CBL）受病例数量和展示形式限制，临床情境呈现不充分，难以全面训练学生在诊断决策、治疗方案制定及并发症应对等方面的综合能力。</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在此背景下，构建面向牙体牙髓病学的数字化临床病例教学系统具有重要的现实意义。该系统以数字化病例资源为基础，融合虚拟仿真训练、3D 打印辅助教学模型实操与真实临床应用，形成“临床—实验—临床”的闭环教学体系，可有效弥补传统教学模式的不足。其一，通过虚拟仿真平台还原牙体牙髓疾病从初诊、检查、影像判读到治疗实施的完整诊疗流程，并结合3D打印模型开展离线实操训练，使学习者能够在安全、可控的环境中反复练习复杂操作，降低临床试错风险，缓解真实病例资源有限带来的教学瓶颈；其二，系统通过标准化病例筛选、教学流程设计和量化评价指标，促进不同教学机构之间教学质量的统一与可比；其三，数字化教学模式突破时间与空间限制，支持学习者自主安排训练进度，有助于提升学习的主动性和连续性。</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从已有教学实践和应用反馈来看，数字化临床病例教学系统在提升学习者对牙体牙髓疾病诊疗流程理解、操作规范性及临床决策能力方面成效显著，多数学习者和教师均认可其在强化理论—实践结合、提升教学效率和保障教学安全方面的积极作用。综上所述，面向牙体牙髓病学构建和规范数字化临床病例教学系统，不仅是传统教学模式的重要补充，更是推动该学科教学向标准化、精准化和高质量发展转型的关键支撑，对提升牙体牙髓专科人才培养质量和保障临床诊疗安全具有重要价值</w:t>
      </w:r>
      <w:r>
        <w:rPr>
          <w:rFonts w:cs="Times New Roman"/>
          <w:szCs w:val="24"/>
          <w14:ligatures w14:val="none"/>
        </w:rPr>
        <w:t>。</w:t>
      </w:r>
    </w:p>
    <w:p>
      <w:pPr>
        <w:pStyle w:val="3"/>
        <w:spacing w:line="360" w:lineRule="auto"/>
        <w:ind w:firstLine="482"/>
      </w:pPr>
      <w:r>
        <w:rPr>
          <w:rFonts w:hint="eastAsia"/>
        </w:rPr>
        <w:t>3．主要工作过程</w:t>
      </w:r>
    </w:p>
    <w:p>
      <w:pPr>
        <w:autoSpaceDE w:val="0"/>
        <w:autoSpaceDN w:val="0"/>
        <w:adjustRightInd w:val="0"/>
        <w:spacing w:after="0" w:line="360" w:lineRule="auto"/>
        <w:ind w:firstLine="480" w:firstLineChars="200"/>
        <w:rPr>
          <w:rFonts w:cs="Times New Roman"/>
          <w:szCs w:val="24"/>
          <w14:ligatures w14:val="none"/>
        </w:rPr>
      </w:pPr>
      <w:r>
        <w:rPr>
          <w:rFonts w:hint="eastAsia" w:cs="Times New Roman"/>
          <w:szCs w:val="24"/>
          <w14:ligatures w14:val="none"/>
        </w:rPr>
        <w:t>起草阶段：2025年9月，</w:t>
      </w:r>
      <w:bookmarkStart w:id="0" w:name="_Hlk211531320"/>
      <w:r>
        <w:rPr>
          <w:rFonts w:hint="eastAsia" w:cs="Times New Roman"/>
          <w:szCs w:val="24"/>
          <w14:ligatures w14:val="none"/>
        </w:rPr>
        <w:t>四川大学华西口腔医院</w:t>
      </w:r>
      <w:bookmarkEnd w:id="0"/>
      <w:r>
        <w:rPr>
          <w:rFonts w:hint="eastAsia" w:cs="Times New Roman"/>
          <w:szCs w:val="24"/>
          <w14:ligatures w14:val="none"/>
        </w:rPr>
        <w:t>、南京医科大学、北京航空航天大学等成立团体标准《牙体牙髓 数字化临床病例教学系统建设技术规范》与《牙体牙髓 数字化临床病例教学系统实施规程》制定工作组，确定工作方案并提出时间进度安排。工作组对国内外口腔医学数字化教学的现状与发展情况进行了全面调研，广泛收集和检索相关技术文献、政策法规及临床实践指南，结合我国临床应用现状，经过系统研究和多次内部讨论，于2026年2月形成团体标准《牙体牙髓 数字化临床病例教学系统建设技术规范》征求意见稿及编制说明。</w:t>
      </w:r>
    </w:p>
    <w:p>
      <w:pPr>
        <w:spacing w:line="360" w:lineRule="auto"/>
        <w:ind w:firstLine="480" w:firstLineChars="200"/>
      </w:pPr>
      <w:r>
        <w:rPr>
          <w:rFonts w:hint="eastAsia"/>
        </w:rPr>
        <w:t>征求意见阶段：</w:t>
      </w:r>
      <w:r>
        <w:t xml:space="preserve"> </w:t>
      </w:r>
    </w:p>
    <w:p>
      <w:pPr>
        <w:spacing w:line="360" w:lineRule="auto"/>
        <w:ind w:firstLine="480" w:firstLineChars="200"/>
      </w:pPr>
      <w:r>
        <w:rPr>
          <w:rFonts w:hint="eastAsia"/>
        </w:rPr>
        <w:t>审查阶段：</w:t>
      </w:r>
    </w:p>
    <w:p>
      <w:pPr>
        <w:spacing w:line="360" w:lineRule="auto"/>
        <w:ind w:firstLine="480" w:firstLineChars="200"/>
      </w:pPr>
      <w:r>
        <w:rPr>
          <w:rFonts w:hint="eastAsia"/>
        </w:rPr>
        <w:t>报批阶段：</w:t>
      </w:r>
    </w:p>
    <w:p>
      <w:pPr>
        <w:pStyle w:val="3"/>
        <w:spacing w:line="360" w:lineRule="auto"/>
        <w:ind w:firstLine="482"/>
      </w:pPr>
      <w:r>
        <w:rPr>
          <w:rFonts w:hint="eastAsia"/>
        </w:rPr>
        <w:t>4．标准主要起草人及其所做的工作等</w:t>
      </w:r>
    </w:p>
    <w:tbl>
      <w:tblPr>
        <w:tblStyle w:val="9"/>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763"/>
        <w:gridCol w:w="295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7" w:hRule="atLeast"/>
          <w:jc w:val="center"/>
        </w:trPr>
        <w:tc>
          <w:tcPr>
            <w:tcW w:w="653" w:type="dxa"/>
            <w:vAlign w:val="center"/>
          </w:tcPr>
          <w:p>
            <w:pPr>
              <w:autoSpaceDE w:val="0"/>
              <w:autoSpaceDN w:val="0"/>
              <w:adjustRightInd w:val="0"/>
              <w:jc w:val="center"/>
              <w:rPr>
                <w:rFonts w:cs="Times New Roman"/>
                <w:b/>
                <w:bCs/>
                <w:szCs w:val="21"/>
              </w:rPr>
            </w:pPr>
            <w:r>
              <w:rPr>
                <w:rFonts w:hint="eastAsia" w:cs="Times New Roman"/>
                <w:b/>
                <w:bCs/>
                <w:sz w:val="21"/>
                <w:szCs w:val="21"/>
              </w:rPr>
              <w:t>序号</w:t>
            </w:r>
          </w:p>
        </w:tc>
        <w:tc>
          <w:tcPr>
            <w:tcW w:w="2763" w:type="dxa"/>
            <w:vAlign w:val="center"/>
          </w:tcPr>
          <w:p>
            <w:pPr>
              <w:autoSpaceDE w:val="0"/>
              <w:autoSpaceDN w:val="0"/>
              <w:adjustRightInd w:val="0"/>
              <w:jc w:val="center"/>
              <w:rPr>
                <w:rFonts w:cs="Times New Roman"/>
                <w:b/>
                <w:bCs/>
                <w:szCs w:val="21"/>
              </w:rPr>
            </w:pPr>
            <w:r>
              <w:rPr>
                <w:rFonts w:hint="eastAsia" w:cs="Times New Roman"/>
                <w:b/>
                <w:bCs/>
                <w:sz w:val="21"/>
                <w:szCs w:val="21"/>
              </w:rPr>
              <w:t>单位名称</w:t>
            </w:r>
          </w:p>
        </w:tc>
        <w:tc>
          <w:tcPr>
            <w:tcW w:w="2958" w:type="dxa"/>
            <w:vAlign w:val="center"/>
          </w:tcPr>
          <w:p>
            <w:pPr>
              <w:autoSpaceDE w:val="0"/>
              <w:autoSpaceDN w:val="0"/>
              <w:adjustRightInd w:val="0"/>
              <w:jc w:val="center"/>
              <w:rPr>
                <w:rFonts w:cs="Times New Roman"/>
                <w:b/>
                <w:bCs/>
                <w:szCs w:val="21"/>
              </w:rPr>
            </w:pPr>
            <w:r>
              <w:rPr>
                <w:rFonts w:hint="eastAsia" w:cs="Times New Roman"/>
                <w:b/>
                <w:bCs/>
                <w:sz w:val="21"/>
                <w:szCs w:val="21"/>
              </w:rPr>
              <w:t>参编人员</w:t>
            </w:r>
          </w:p>
        </w:tc>
        <w:tc>
          <w:tcPr>
            <w:tcW w:w="2835" w:type="dxa"/>
            <w:vAlign w:val="center"/>
          </w:tcPr>
          <w:p>
            <w:pPr>
              <w:autoSpaceDE w:val="0"/>
              <w:autoSpaceDN w:val="0"/>
              <w:adjustRightInd w:val="0"/>
              <w:jc w:val="center"/>
              <w:rPr>
                <w:rFonts w:cs="Times New Roman"/>
                <w:b/>
                <w:bCs/>
                <w:szCs w:val="21"/>
              </w:rPr>
            </w:pPr>
            <w:r>
              <w:rPr>
                <w:rFonts w:hint="eastAsia" w:cs="Times New Roman"/>
                <w:b/>
                <w:bCs/>
                <w:sz w:val="21"/>
                <w:szCs w:val="21"/>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653" w:type="dxa"/>
            <w:vAlign w:val="center"/>
          </w:tcPr>
          <w:p>
            <w:pPr>
              <w:autoSpaceDE w:val="0"/>
              <w:autoSpaceDN w:val="0"/>
              <w:adjustRightInd w:val="0"/>
              <w:jc w:val="center"/>
              <w:rPr>
                <w:rFonts w:cs="Times New Roman"/>
                <w:szCs w:val="21"/>
              </w:rPr>
            </w:pPr>
            <w:r>
              <w:rPr>
                <w:rFonts w:hint="eastAsia" w:cs="Times New Roman"/>
                <w:sz w:val="21"/>
                <w:szCs w:val="21"/>
              </w:rPr>
              <w:t>1</w:t>
            </w:r>
          </w:p>
        </w:tc>
        <w:tc>
          <w:tcPr>
            <w:tcW w:w="2763" w:type="dxa"/>
            <w:vAlign w:val="center"/>
          </w:tcPr>
          <w:p>
            <w:pPr>
              <w:autoSpaceDE w:val="0"/>
              <w:autoSpaceDN w:val="0"/>
              <w:adjustRightInd w:val="0"/>
              <w:jc w:val="center"/>
              <w:rPr>
                <w:rFonts w:cs="Times New Roman"/>
                <w:szCs w:val="21"/>
              </w:rPr>
            </w:pPr>
            <w:r>
              <w:rPr>
                <w:rFonts w:cs="Times New Roman"/>
                <w:sz w:val="21"/>
                <w:szCs w:val="21"/>
              </w:rPr>
              <w:t>四川大学华西口腔医院</w:t>
            </w:r>
          </w:p>
        </w:tc>
        <w:tc>
          <w:tcPr>
            <w:tcW w:w="2958" w:type="dxa"/>
            <w:vAlign w:val="center"/>
          </w:tcPr>
          <w:p>
            <w:pPr>
              <w:autoSpaceDE w:val="0"/>
              <w:autoSpaceDN w:val="0"/>
              <w:adjustRightInd w:val="0"/>
              <w:jc w:val="center"/>
              <w:rPr>
                <w:rFonts w:cs="Times New Roman"/>
                <w:szCs w:val="21"/>
              </w:rPr>
            </w:pPr>
            <w:r>
              <w:rPr>
                <w:rFonts w:hint="eastAsia" w:cs="Times New Roman"/>
                <w:sz w:val="21"/>
                <w:szCs w:val="21"/>
              </w:rPr>
              <w:t>叶玲、郑庆华、杨静、孙一民、白明茹、李波儿、余钒源</w:t>
            </w:r>
          </w:p>
        </w:tc>
        <w:tc>
          <w:tcPr>
            <w:tcW w:w="2835" w:type="dxa"/>
            <w:vAlign w:val="center"/>
          </w:tcPr>
          <w:p>
            <w:pPr>
              <w:autoSpaceDE w:val="0"/>
              <w:autoSpaceDN w:val="0"/>
              <w:adjustRightInd w:val="0"/>
              <w:jc w:val="center"/>
              <w:rPr>
                <w:rFonts w:cs="Times New Roman"/>
                <w:szCs w:val="21"/>
              </w:rPr>
            </w:pPr>
            <w:r>
              <w:rPr>
                <w:rFonts w:hint="eastAsia" w:cs="Times New Roman"/>
                <w:sz w:val="21"/>
                <w:szCs w:val="21"/>
              </w:rPr>
              <w:t>标准草案编制、统筹协调等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7" w:hRule="atLeast"/>
          <w:jc w:val="center"/>
        </w:trPr>
        <w:tc>
          <w:tcPr>
            <w:tcW w:w="653" w:type="dxa"/>
            <w:vAlign w:val="center"/>
          </w:tcPr>
          <w:p>
            <w:pPr>
              <w:autoSpaceDE w:val="0"/>
              <w:autoSpaceDN w:val="0"/>
              <w:adjustRightInd w:val="0"/>
              <w:jc w:val="center"/>
              <w:rPr>
                <w:rFonts w:cs="Times New Roman"/>
                <w:szCs w:val="21"/>
              </w:rPr>
            </w:pPr>
            <w:r>
              <w:rPr>
                <w:rFonts w:hint="eastAsia" w:cs="Times New Roman"/>
                <w:szCs w:val="21"/>
              </w:rPr>
              <w:t>2</w:t>
            </w:r>
          </w:p>
        </w:tc>
        <w:tc>
          <w:tcPr>
            <w:tcW w:w="2763" w:type="dxa"/>
            <w:vAlign w:val="center"/>
          </w:tcPr>
          <w:p>
            <w:pPr>
              <w:autoSpaceDE w:val="0"/>
              <w:autoSpaceDN w:val="0"/>
              <w:adjustRightInd w:val="0"/>
              <w:jc w:val="center"/>
              <w:rPr>
                <w:rFonts w:cs="Times New Roman"/>
                <w:sz w:val="21"/>
                <w:szCs w:val="21"/>
              </w:rPr>
            </w:pPr>
            <w:r>
              <w:rPr>
                <w:rFonts w:hint="eastAsia" w:cs="Times New Roman"/>
                <w:sz w:val="21"/>
                <w:szCs w:val="21"/>
              </w:rPr>
              <w:t>北京航空航天大学</w:t>
            </w:r>
          </w:p>
        </w:tc>
        <w:tc>
          <w:tcPr>
            <w:tcW w:w="2958" w:type="dxa"/>
            <w:vAlign w:val="center"/>
          </w:tcPr>
          <w:p>
            <w:pPr>
              <w:autoSpaceDE w:val="0"/>
              <w:autoSpaceDN w:val="0"/>
              <w:adjustRightInd w:val="0"/>
              <w:jc w:val="center"/>
              <w:rPr>
                <w:rFonts w:cs="Times New Roman"/>
                <w:sz w:val="21"/>
                <w:szCs w:val="21"/>
              </w:rPr>
            </w:pPr>
            <w:r>
              <w:rPr>
                <w:rFonts w:hint="eastAsia" w:cs="Times New Roman"/>
                <w:sz w:val="21"/>
                <w:szCs w:val="21"/>
              </w:rPr>
              <w:t>郝爱民</w:t>
            </w:r>
          </w:p>
        </w:tc>
        <w:tc>
          <w:tcPr>
            <w:tcW w:w="2835" w:type="dxa"/>
            <w:vAlign w:val="center"/>
          </w:tcPr>
          <w:p>
            <w:pPr>
              <w:autoSpaceDE w:val="0"/>
              <w:autoSpaceDN w:val="0"/>
              <w:adjustRightInd w:val="0"/>
              <w:jc w:val="center"/>
              <w:rPr>
                <w:rFonts w:cs="Times New Roman"/>
                <w:szCs w:val="21"/>
              </w:rPr>
            </w:pPr>
            <w:r>
              <w:rPr>
                <w:rFonts w:hint="eastAsia" w:cs="Times New Roman"/>
                <w:sz w:val="21"/>
                <w:szCs w:val="21"/>
              </w:rPr>
              <w:t>标准草案编制、统筹协调等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7" w:hRule="atLeast"/>
          <w:jc w:val="center"/>
        </w:trPr>
        <w:tc>
          <w:tcPr>
            <w:tcW w:w="653" w:type="dxa"/>
            <w:vAlign w:val="center"/>
          </w:tcPr>
          <w:p>
            <w:pPr>
              <w:autoSpaceDE w:val="0"/>
              <w:autoSpaceDN w:val="0"/>
              <w:adjustRightInd w:val="0"/>
              <w:jc w:val="center"/>
              <w:rPr>
                <w:rFonts w:cs="Times New Roman"/>
                <w:sz w:val="21"/>
                <w:szCs w:val="21"/>
              </w:rPr>
            </w:pPr>
            <w:r>
              <w:rPr>
                <w:rFonts w:hint="eastAsia" w:cs="Times New Roman"/>
                <w:sz w:val="21"/>
                <w:szCs w:val="21"/>
              </w:rPr>
              <w:t>4</w:t>
            </w:r>
          </w:p>
        </w:tc>
        <w:tc>
          <w:tcPr>
            <w:tcW w:w="2763" w:type="dxa"/>
            <w:vAlign w:val="center"/>
          </w:tcPr>
          <w:p>
            <w:pPr>
              <w:autoSpaceDE w:val="0"/>
              <w:autoSpaceDN w:val="0"/>
              <w:adjustRightInd w:val="0"/>
              <w:jc w:val="center"/>
              <w:rPr>
                <w:rFonts w:cs="Times New Roman"/>
                <w:sz w:val="21"/>
                <w:szCs w:val="21"/>
              </w:rPr>
            </w:pPr>
            <w:r>
              <w:rPr>
                <w:rFonts w:hint="eastAsia" w:cs="Times New Roman"/>
                <w:sz w:val="21"/>
                <w:szCs w:val="21"/>
              </w:rPr>
              <w:t>北京众绘虚拟现实技术研究院有限公司</w:t>
            </w:r>
          </w:p>
        </w:tc>
        <w:tc>
          <w:tcPr>
            <w:tcW w:w="2958" w:type="dxa"/>
            <w:vAlign w:val="center"/>
          </w:tcPr>
          <w:p>
            <w:pPr>
              <w:autoSpaceDE w:val="0"/>
              <w:autoSpaceDN w:val="0"/>
              <w:adjustRightInd w:val="0"/>
              <w:jc w:val="center"/>
              <w:rPr>
                <w:rFonts w:cs="Times New Roman"/>
                <w:sz w:val="21"/>
                <w:szCs w:val="21"/>
              </w:rPr>
            </w:pPr>
            <w:r>
              <w:rPr>
                <w:rFonts w:hint="eastAsia" w:cs="Times New Roman"/>
                <w:sz w:val="21"/>
                <w:szCs w:val="21"/>
              </w:rPr>
              <w:t>赵永涛</w:t>
            </w:r>
          </w:p>
        </w:tc>
        <w:tc>
          <w:tcPr>
            <w:tcW w:w="2835" w:type="dxa"/>
            <w:vAlign w:val="center"/>
          </w:tcPr>
          <w:p>
            <w:pPr>
              <w:autoSpaceDE w:val="0"/>
              <w:autoSpaceDN w:val="0"/>
              <w:adjustRightInd w:val="0"/>
              <w:jc w:val="center"/>
              <w:rPr>
                <w:rFonts w:cs="Times New Roman"/>
                <w:szCs w:val="21"/>
              </w:rPr>
            </w:pPr>
            <w:r>
              <w:rPr>
                <w:rFonts w:hint="eastAsia" w:cs="Times New Roman"/>
                <w:sz w:val="21"/>
                <w:szCs w:val="21"/>
              </w:rPr>
              <w:t>提供数据、技术合作等</w:t>
            </w:r>
          </w:p>
        </w:tc>
      </w:tr>
    </w:tbl>
    <w:p>
      <w:pPr>
        <w:pStyle w:val="2"/>
        <w:spacing w:line="360" w:lineRule="auto"/>
      </w:pPr>
      <w:r>
        <w:rPr>
          <w:rFonts w:hint="eastAsia"/>
        </w:rPr>
        <w:t>二、标准编制原则、主要内容和解决的主要问题</w:t>
      </w:r>
    </w:p>
    <w:p>
      <w:pPr>
        <w:pStyle w:val="3"/>
        <w:spacing w:line="360" w:lineRule="auto"/>
        <w:ind w:firstLine="482"/>
      </w:pPr>
      <w:bookmarkStart w:id="1" w:name="OLE_LINK1"/>
      <w:r>
        <w:rPr>
          <w:rFonts w:hint="eastAsia"/>
        </w:rPr>
        <w:t>1．</w:t>
      </w:r>
      <w:bookmarkEnd w:id="1"/>
      <w:r>
        <w:rPr>
          <w:rFonts w:hint="eastAsia"/>
        </w:rPr>
        <w:t>标准编制原则</w:t>
      </w:r>
    </w:p>
    <w:p>
      <w:pPr>
        <w:autoSpaceDE w:val="0"/>
        <w:autoSpaceDN w:val="0"/>
        <w:adjustRightInd w:val="0"/>
        <w:spacing w:line="360" w:lineRule="auto"/>
        <w:ind w:firstLine="480" w:firstLineChars="200"/>
        <w:rPr>
          <w:rFonts w:cs="Times New Roman"/>
          <w:szCs w:val="24"/>
        </w:rPr>
      </w:pPr>
      <w:r>
        <w:rPr>
          <w:rFonts w:cs="Times New Roman"/>
          <w:szCs w:val="24"/>
        </w:rPr>
        <w:t>本标准编制主要依据以下原则：规范性要素的规定、编写结构及格式按GB/T 1.1-2020《标准化工作导则  第1部分：标准化文件的结构和起草规则》及</w:t>
      </w:r>
      <w:r>
        <w:rPr>
          <w:rFonts w:hint="eastAsia" w:cs="Times New Roman"/>
          <w:szCs w:val="24"/>
        </w:rPr>
        <w:t>GB/T 20001.5-2017</w:t>
      </w:r>
      <w:r>
        <w:rPr>
          <w:rFonts w:cs="Times New Roman"/>
          <w:szCs w:val="24"/>
        </w:rPr>
        <w:t>《标准编写编程  第</w:t>
      </w:r>
      <w:r>
        <w:rPr>
          <w:rFonts w:hint="eastAsia" w:cs="Times New Roman"/>
          <w:szCs w:val="24"/>
        </w:rPr>
        <w:t>5</w:t>
      </w:r>
      <w:r>
        <w:rPr>
          <w:rFonts w:cs="Times New Roman"/>
          <w:szCs w:val="24"/>
        </w:rPr>
        <w:t>部分：</w:t>
      </w:r>
      <w:r>
        <w:rPr>
          <w:rFonts w:hint="eastAsia" w:cs="Times New Roman"/>
          <w:szCs w:val="24"/>
        </w:rPr>
        <w:t>规范</w:t>
      </w:r>
      <w:r>
        <w:rPr>
          <w:rFonts w:cs="Times New Roman"/>
          <w:szCs w:val="24"/>
        </w:rPr>
        <w:t>标准》的规定。</w:t>
      </w:r>
    </w:p>
    <w:p>
      <w:pPr>
        <w:pStyle w:val="3"/>
        <w:spacing w:line="360" w:lineRule="auto"/>
        <w:ind w:firstLine="482"/>
      </w:pPr>
      <w:r>
        <w:rPr>
          <w:rFonts w:hint="eastAsia"/>
        </w:rPr>
        <w:t>2．标准主要内容</w:t>
      </w:r>
    </w:p>
    <w:p>
      <w:pPr>
        <w:autoSpaceDE w:val="0"/>
        <w:autoSpaceDN w:val="0"/>
        <w:adjustRightInd w:val="0"/>
        <w:spacing w:line="360" w:lineRule="auto"/>
        <w:ind w:firstLine="480" w:firstLineChars="200"/>
        <w:rPr>
          <w:rFonts w:cs="Times New Roman"/>
          <w:szCs w:val="24"/>
        </w:rPr>
      </w:pPr>
      <w:r>
        <w:rPr>
          <w:rFonts w:hint="eastAsia" w:cs="Times New Roman"/>
          <w:szCs w:val="24"/>
        </w:rPr>
        <w:t>本文件规定了牙体牙髓数字化临床病例教学系统建设的总体要求、教学系统架构与功能、数据规范与隐私安全、技术实现方面的技术要求。</w:t>
      </w:r>
    </w:p>
    <w:p>
      <w:pPr>
        <w:autoSpaceDE w:val="0"/>
        <w:autoSpaceDN w:val="0"/>
        <w:adjustRightInd w:val="0"/>
        <w:spacing w:line="360" w:lineRule="auto"/>
        <w:ind w:firstLine="480" w:firstLineChars="200"/>
        <w:rPr>
          <w:rFonts w:cs="Times New Roman"/>
          <w:szCs w:val="24"/>
        </w:rPr>
      </w:pPr>
      <w:r>
        <w:rPr>
          <w:rFonts w:hint="eastAsia" w:cs="Times New Roman"/>
          <w:szCs w:val="24"/>
        </w:rPr>
        <w:t>本文件适用于各级口腔医学院校、附属医院及口腔医学培训机构开展的牙体牙髓教学活动，覆盖去龋、窝洞充填、开髓、根管治疗、根尖周手术等各教学场景。</w:t>
      </w:r>
    </w:p>
    <w:p>
      <w:pPr>
        <w:autoSpaceDE w:val="0"/>
        <w:autoSpaceDN w:val="0"/>
        <w:adjustRightInd w:val="0"/>
        <w:spacing w:line="360" w:lineRule="auto"/>
        <w:ind w:firstLine="480" w:firstLineChars="200"/>
        <w:rPr>
          <w:rFonts w:cs="Times New Roman"/>
          <w:szCs w:val="24"/>
        </w:rPr>
      </w:pPr>
      <w:r>
        <w:rPr>
          <w:rFonts w:hint="eastAsia" w:cs="Times New Roman"/>
          <w:szCs w:val="24"/>
        </w:rPr>
        <w:t>本文件适用于各级口腔医学院校、附属医院及口腔医学培训机构进行数字化临床病例教学系统的研发、部署、验收和应用，为教学机构、技术服务商及监管部门提供统一标准。</w:t>
      </w:r>
    </w:p>
    <w:p>
      <w:pPr>
        <w:autoSpaceDE w:val="0"/>
        <w:autoSpaceDN w:val="0"/>
        <w:adjustRightInd w:val="0"/>
        <w:spacing w:line="360" w:lineRule="auto"/>
        <w:ind w:firstLine="480" w:firstLineChars="200"/>
        <w:rPr>
          <w:rFonts w:cs="Times New Roman"/>
          <w:szCs w:val="24"/>
        </w:rPr>
      </w:pPr>
      <w:r>
        <w:rPr>
          <w:rFonts w:hint="eastAsia" w:cs="Times New Roman"/>
          <w:szCs w:val="24"/>
        </w:rPr>
        <w:t>标准主要内容包括：</w:t>
      </w:r>
    </w:p>
    <w:p>
      <w:pPr>
        <w:autoSpaceDE w:val="0"/>
        <w:autoSpaceDN w:val="0"/>
        <w:adjustRightInd w:val="0"/>
        <w:spacing w:line="360" w:lineRule="auto"/>
        <w:ind w:firstLine="480" w:firstLineChars="200"/>
        <w:rPr>
          <w:rFonts w:cs="Times New Roman"/>
          <w:szCs w:val="24"/>
        </w:rPr>
      </w:pPr>
      <w:r>
        <w:rPr>
          <w:rFonts w:hint="eastAsia" w:cs="Times New Roman"/>
          <w:szCs w:val="24"/>
        </w:rPr>
        <w:t>（1）术语和定义：明确了数字化临床病例教学系统、数字化病例库、虚拟仿真教学平台等4项关键术语，</w:t>
      </w:r>
      <w:r>
        <w:rPr>
          <w:rFonts w:cs="Times New Roman"/>
          <w:szCs w:val="24"/>
        </w:rPr>
        <w:t>为技术的规范应用提供统一的概念基础</w:t>
      </w:r>
      <w:r>
        <w:rPr>
          <w:rFonts w:hint="eastAsia" w:cs="Times New Roman"/>
          <w:szCs w:val="24"/>
        </w:rPr>
        <w:t>。</w:t>
      </w:r>
    </w:p>
    <w:p>
      <w:pPr>
        <w:autoSpaceDE w:val="0"/>
        <w:autoSpaceDN w:val="0"/>
        <w:adjustRightInd w:val="0"/>
        <w:spacing w:line="360" w:lineRule="auto"/>
        <w:ind w:firstLine="480" w:firstLineChars="200"/>
        <w:rPr>
          <w:rFonts w:hint="eastAsia" w:ascii="宋体" w:hAnsi="宋体" w:cs="宋体"/>
          <w:szCs w:val="24"/>
        </w:rPr>
      </w:pPr>
      <w:r>
        <w:rPr>
          <w:rFonts w:hint="eastAsia" w:cs="Times New Roman"/>
          <w:szCs w:val="24"/>
        </w:rPr>
        <w:t>（2）总体要求：</w:t>
      </w:r>
      <w:r>
        <w:rPr>
          <w:rFonts w:ascii="宋体" w:hAnsi="宋体" w:cs="宋体"/>
          <w:szCs w:val="24"/>
        </w:rPr>
        <w:t>从系统建设的整体层面出发，系统阐述了口腔医学数字化临床病例教学系统的总体要求，明确提出安全性、实用性</w:t>
      </w:r>
      <w:r>
        <w:rPr>
          <w:rFonts w:hint="eastAsia" w:ascii="宋体" w:hAnsi="宋体" w:cs="宋体"/>
          <w:szCs w:val="24"/>
        </w:rPr>
        <w:t>、</w:t>
      </w:r>
      <w:r>
        <w:rPr>
          <w:rFonts w:ascii="宋体" w:hAnsi="宋体" w:cs="宋体"/>
          <w:szCs w:val="24"/>
        </w:rPr>
        <w:t>可拓展性</w:t>
      </w:r>
      <w:r>
        <w:rPr>
          <w:rFonts w:hint="eastAsia" w:ascii="宋体" w:hAnsi="宋体" w:cs="宋体"/>
          <w:szCs w:val="24"/>
        </w:rPr>
        <w:t>和规范化四</w:t>
      </w:r>
      <w:r>
        <w:rPr>
          <w:rFonts w:ascii="宋体" w:hAnsi="宋体" w:cs="宋体"/>
          <w:szCs w:val="24"/>
        </w:rPr>
        <w:t>项核心设计原则，并对闭环教学系统的功能架构进行了整体规范</w:t>
      </w:r>
      <w:r>
        <w:rPr>
          <w:rFonts w:hint="eastAsia" w:ascii="宋体" w:hAnsi="宋体" w:cs="宋体"/>
          <w:szCs w:val="24"/>
        </w:rPr>
        <w:t>和要求</w:t>
      </w:r>
      <w:r>
        <w:rPr>
          <w:rFonts w:hint="eastAsia" w:cs="Times New Roman"/>
          <w:szCs w:val="24"/>
        </w:rPr>
        <w:t>。</w:t>
      </w:r>
    </w:p>
    <w:p>
      <w:pPr>
        <w:autoSpaceDE w:val="0"/>
        <w:autoSpaceDN w:val="0"/>
        <w:adjustRightInd w:val="0"/>
        <w:spacing w:line="360" w:lineRule="auto"/>
        <w:ind w:firstLine="480" w:firstLineChars="200"/>
        <w:rPr>
          <w:rFonts w:cs="Times New Roman"/>
          <w:szCs w:val="24"/>
        </w:rPr>
      </w:pPr>
      <w:r>
        <w:rPr>
          <w:rFonts w:hint="eastAsia" w:cs="Times New Roman"/>
          <w:szCs w:val="24"/>
        </w:rPr>
        <w:t>（3）</w:t>
      </w:r>
      <w:r>
        <w:rPr>
          <w:rFonts w:hint="eastAsia" w:ascii="宋体" w:hAnsi="宋体"/>
        </w:rPr>
        <w:t>数字化病例库建设要求</w:t>
      </w:r>
      <w:r>
        <w:rPr>
          <w:rFonts w:hint="eastAsia" w:cs="Times New Roman"/>
          <w:szCs w:val="24"/>
        </w:rPr>
        <w:t>：</w:t>
      </w:r>
      <w:r>
        <w:rPr>
          <w:rFonts w:hint="eastAsia" w:ascii="宋体" w:hAnsi="宋体" w:cs="宋体"/>
          <w:szCs w:val="24"/>
        </w:rPr>
        <w:t>本部分规定了牙体牙髓数字化病例库建设的要求，包括资源构建的分类与总体策略、病例筛选标准与伦理准入流程、多模态数据的采集、脱敏处理及结构化标引要求，以及基于原始病例数据生成数字化模型并导入虚拟仿真平台以构建完整教学场景的规范，以保障教学资源的安全性、标准化与可教学性</w:t>
      </w:r>
      <w:r>
        <w:rPr>
          <w:rFonts w:ascii="宋体" w:hAnsi="宋体" w:cs="宋体"/>
          <w:szCs w:val="24"/>
        </w:rPr>
        <w:t>。</w:t>
      </w:r>
    </w:p>
    <w:p>
      <w:pPr>
        <w:autoSpaceDE w:val="0"/>
        <w:autoSpaceDN w:val="0"/>
        <w:adjustRightInd w:val="0"/>
        <w:spacing w:line="360" w:lineRule="auto"/>
        <w:ind w:firstLine="480" w:firstLineChars="200"/>
        <w:rPr>
          <w:rFonts w:cs="Times New Roman"/>
          <w:szCs w:val="24"/>
        </w:rPr>
      </w:pPr>
      <w:r>
        <w:rPr>
          <w:rFonts w:hint="eastAsia" w:cs="Times New Roman"/>
          <w:szCs w:val="24"/>
        </w:rPr>
        <w:t>（5）</w:t>
      </w:r>
      <w:r>
        <w:rPr>
          <w:rFonts w:ascii="宋体" w:hAnsi="宋体"/>
        </w:rPr>
        <w:t>虚拟仿真平台</w:t>
      </w:r>
      <w:r>
        <w:rPr>
          <w:rFonts w:hint="eastAsia" w:ascii="宋体" w:hAnsi="宋体"/>
        </w:rPr>
        <w:t>：</w:t>
      </w:r>
      <w:r>
        <w:rPr>
          <w:rFonts w:hint="eastAsia" w:ascii="宋体" w:hAnsi="宋体" w:cs="宋体"/>
          <w:szCs w:val="24"/>
        </w:rPr>
        <w:t>本部分规定了虚拟仿真平台的建设与使用要求，包括平台总体技术标准、基于数字化病例的问诊与沟通训练、口腔检查与辅助检查判读训练、治疗方案制定训练及虚拟治疗操作训练的技术规范，明确了分层实施策略（基础规范化训练与术前个性化预演）的功能要求，并对训练过程中的操作规范性、风险提示及多维度自动化评价提出具体要求，以保障教学效果、操作安全及学员临床能力提升。</w:t>
      </w:r>
    </w:p>
    <w:p>
      <w:pPr>
        <w:autoSpaceDE w:val="0"/>
        <w:autoSpaceDN w:val="0"/>
        <w:adjustRightInd w:val="0"/>
        <w:spacing w:line="360" w:lineRule="auto"/>
        <w:ind w:firstLine="480" w:firstLineChars="200"/>
        <w:rPr>
          <w:rFonts w:hint="eastAsia" w:ascii="宋体" w:hAnsi="宋体"/>
        </w:rPr>
      </w:pPr>
      <w:r>
        <w:rPr>
          <w:rFonts w:hint="eastAsia" w:cs="Times New Roman"/>
          <w:szCs w:val="24"/>
        </w:rPr>
        <w:t>（6）</w:t>
      </w:r>
      <w:r>
        <w:rPr>
          <w:rFonts w:ascii="宋体" w:hAnsi="宋体"/>
        </w:rPr>
        <w:t>3D 打印辅助教学模型</w:t>
      </w:r>
      <w:r>
        <w:rPr>
          <w:rFonts w:hint="eastAsia" w:ascii="宋体" w:hAnsi="宋体"/>
        </w:rPr>
        <w:t>：</w:t>
      </w:r>
      <w:r>
        <w:rPr>
          <w:rFonts w:hint="eastAsia" w:ascii="宋体" w:hAnsi="宋体" w:cs="宋体"/>
          <w:szCs w:val="24"/>
        </w:rPr>
        <w:t>本部分系统规范了3D打印辅助教学模型在牙体牙髓临床操作训练中的数据采集、三维建模、打印制备及后处理等关键技术环节。通过明确口扫与CBCT数据的融合与脱敏处理流程，规范模型的结构化设计、可拆卸模块化布局及材料选择，并对打印精度、表面质量及二次固化工艺提出具体要求，确保模型在解剖结构还原、操作手感和训练一致性方面满足教学需求。同时，通过标准化与个性化模型分类及快速制备策略，为3D打印辅助教学模型的高效应用和可持续教学提供技术保障。</w:t>
      </w:r>
    </w:p>
    <w:p>
      <w:pPr>
        <w:pStyle w:val="3"/>
        <w:spacing w:line="360" w:lineRule="auto"/>
        <w:ind w:firstLine="482"/>
      </w:pPr>
      <w:r>
        <w:rPr>
          <w:rFonts w:hint="eastAsia"/>
        </w:rPr>
        <w:t>3．标准解决的主要问题</w:t>
      </w:r>
    </w:p>
    <w:p>
      <w:pPr>
        <w:autoSpaceDE w:val="0"/>
        <w:autoSpaceDN w:val="0"/>
        <w:adjustRightInd w:val="0"/>
        <w:spacing w:line="360" w:lineRule="auto"/>
        <w:ind w:firstLine="420"/>
        <w:rPr>
          <w:rFonts w:cs="Times New Roman"/>
          <w:szCs w:val="24"/>
        </w:rPr>
      </w:pPr>
      <w:r>
        <w:rPr>
          <w:rFonts w:hint="eastAsia" w:cs="Times New Roman"/>
          <w:szCs w:val="24"/>
        </w:rPr>
        <w:t>通过制定本标准，旨在解决以下主要问题：</w:t>
      </w:r>
    </w:p>
    <w:p>
      <w:pPr>
        <w:autoSpaceDE w:val="0"/>
        <w:autoSpaceDN w:val="0"/>
        <w:adjustRightInd w:val="0"/>
        <w:spacing w:line="360" w:lineRule="auto"/>
        <w:ind w:firstLine="480" w:firstLineChars="200"/>
        <w:rPr>
          <w:rFonts w:cs="Times New Roman"/>
          <w:szCs w:val="24"/>
        </w:rPr>
      </w:pPr>
      <w:r>
        <w:rPr>
          <w:rFonts w:hint="eastAsia" w:cs="Times New Roman"/>
          <w:szCs w:val="24"/>
        </w:rPr>
        <w:t>（1）</w:t>
      </w:r>
      <w:r>
        <w:rPr>
          <w:rFonts w:cs="Times New Roman"/>
          <w:szCs w:val="24"/>
        </w:rPr>
        <w:t>教学资源标准化与一致性不足</w:t>
      </w:r>
      <w:r>
        <w:rPr>
          <w:rFonts w:hint="eastAsia" w:cs="Times New Roman"/>
          <w:szCs w:val="24"/>
        </w:rPr>
        <w:t>的问题，解决不同教学环节（虚拟仿真训练、3D打印模型实操、临床操作）之间病例数据、模型结构和操作流程不一致的问题，确保线上虚拟模型与线下实体模型、临床实操保持高度一致，实现分层教学的连续性和闭环性。</w:t>
      </w:r>
    </w:p>
    <w:p>
      <w:pPr>
        <w:autoSpaceDE w:val="0"/>
        <w:autoSpaceDN w:val="0"/>
        <w:adjustRightInd w:val="0"/>
        <w:spacing w:line="360" w:lineRule="auto"/>
        <w:ind w:firstLine="480" w:firstLineChars="200"/>
        <w:rPr>
          <w:rFonts w:cs="Times New Roman"/>
          <w:szCs w:val="24"/>
        </w:rPr>
      </w:pPr>
      <w:r>
        <w:rPr>
          <w:rFonts w:hint="eastAsia" w:cs="Times New Roman"/>
          <w:szCs w:val="24"/>
        </w:rPr>
        <w:t>（2）解</w:t>
      </w:r>
      <w:r>
        <w:rPr>
          <w:rFonts w:cs="Times New Roman"/>
          <w:szCs w:val="24"/>
        </w:rPr>
        <w:t>教学质量可控性与评价</w:t>
      </w:r>
      <w:r>
        <w:rPr>
          <w:rFonts w:hint="eastAsia" w:cs="Times New Roman"/>
          <w:szCs w:val="24"/>
        </w:rPr>
        <w:t>的难题，</w:t>
      </w:r>
      <w:r>
        <w:rPr>
          <w:rFonts w:ascii="宋体" w:hAnsi="宋体"/>
          <w:szCs w:val="21"/>
        </w:rPr>
        <w:t>解决操作技能训练、临床思维培养及风险预判能力难以量化和评价的问题，通过明确病例数据采集、模型制作、虚拟训练、实操考核及反馈复盘的技术规范，实现多维度、可量化、可追踪的教学评价和持续改进</w:t>
      </w:r>
      <w:r>
        <w:rPr>
          <w:rFonts w:hint="eastAsia" w:ascii="宋体" w:hAnsi="宋体"/>
          <w:szCs w:val="21"/>
        </w:rPr>
        <w:t>。</w:t>
      </w:r>
    </w:p>
    <w:p>
      <w:pPr>
        <w:pStyle w:val="2"/>
        <w:spacing w:line="360" w:lineRule="auto"/>
        <w:rPr>
          <w:color w:val="FF0000"/>
        </w:rPr>
      </w:pPr>
      <w:r>
        <w:rPr>
          <w:rFonts w:hint="eastAsia"/>
        </w:rPr>
        <w:t>三、确定标准主要技术内容的论据</w:t>
      </w:r>
    </w:p>
    <w:p>
      <w:pPr>
        <w:autoSpaceDE w:val="0"/>
        <w:autoSpaceDN w:val="0"/>
        <w:adjustRightInd w:val="0"/>
        <w:spacing w:line="360" w:lineRule="auto"/>
        <w:ind w:firstLine="480" w:firstLineChars="200"/>
        <w:rPr>
          <w:rFonts w:cs="Times New Roman"/>
          <w:szCs w:val="24"/>
        </w:rPr>
      </w:pPr>
      <w:r>
        <w:rPr>
          <w:rFonts w:hint="eastAsia" w:cs="Times New Roman"/>
          <w:szCs w:val="24"/>
        </w:rPr>
        <w:t>本标准主要技术内容的确定，立足于牙体牙髓病学教学规律与临床操作需求，结合数字化病例库建设、虚拟仿真技术和3D打印辅助教学在口腔医学教育中的应用现状，参考国内外相关标准、学术文献及教学实践经验，经多轮专家研讨和论证形成。标准以牙体牙髓疾病诊疗流程与操作规范为核心，遵循“临床—实验—临床”闭环教学理念，系统构建涵盖病例采集与多模态数据处理、数字化病例建模、虚拟仿真平台建设、3D打印模型制作的整体技术框架，重点服务于牙体牙髓病学学员临床思维培养和操作技能提升。各项主要技术内容的论据如下：</w:t>
      </w:r>
    </w:p>
    <w:p>
      <w:pPr>
        <w:pStyle w:val="3"/>
        <w:spacing w:line="360" w:lineRule="auto"/>
        <w:ind w:firstLine="482"/>
      </w:pPr>
      <w:r>
        <w:rPr>
          <w:rFonts w:hint="eastAsia"/>
        </w:rPr>
        <w:t>1．文献论据</w:t>
      </w:r>
    </w:p>
    <w:p>
      <w:pPr>
        <w:autoSpaceDE w:val="0"/>
        <w:autoSpaceDN w:val="0"/>
        <w:adjustRightInd w:val="0"/>
        <w:spacing w:line="360" w:lineRule="auto"/>
        <w:ind w:firstLine="480" w:firstLineChars="200"/>
        <w:rPr>
          <w:rFonts w:cs="Times New Roman"/>
          <w:szCs w:val="24"/>
        </w:rPr>
      </w:pPr>
      <w:r>
        <w:rPr>
          <w:rFonts w:hint="eastAsia" w:cs="Times New Roman"/>
          <w:szCs w:val="24"/>
        </w:rPr>
        <w:t xml:space="preserve">本标准技术内容的制定基于对国内外牙体牙髓病学教学模式、虚拟仿真医学教育、数字化病例教学及 3D 打印技术在牙体牙髓病学教学中应用的系统性文献调研与分析。参考文献涵盖了显微根管治疗教学、复杂根管系统模拟、虚拟仿真教学平台建设、模拟医学教育国际标准与共识（如 ASPiH、INACSL 等）、学习分析与教学评价方法，以及牙体牙髓教学模型设计与精度控制等研究成果。同时在本标准形成中也充分参考了有关的国家及行业标准。标准的编写结构、术语定义遵循 </w:t>
      </w:r>
      <w:r>
        <w:rPr>
          <w:rFonts w:eastAsia="Times New Roman" w:cs="Times New Roman"/>
          <w:spacing w:val="-4"/>
          <w:szCs w:val="24"/>
        </w:rPr>
        <w:t>GB/T 1.1─2020</w:t>
      </w:r>
      <w:r>
        <w:rPr>
          <w:rFonts w:cs="Times New Roman"/>
          <w:spacing w:val="-4"/>
          <w:szCs w:val="24"/>
        </w:rPr>
        <w:t>《标准化工作导则</w:t>
      </w:r>
      <w:r>
        <w:rPr>
          <w:rFonts w:cs="Times New Roman"/>
          <w:spacing w:val="35"/>
          <w:szCs w:val="24"/>
        </w:rPr>
        <w:t xml:space="preserve"> </w:t>
      </w:r>
      <w:r>
        <w:rPr>
          <w:rFonts w:cs="Times New Roman"/>
          <w:spacing w:val="-4"/>
          <w:szCs w:val="24"/>
        </w:rPr>
        <w:t>第</w:t>
      </w:r>
      <w:r>
        <w:rPr>
          <w:rFonts w:eastAsia="Times New Roman" w:cs="Times New Roman"/>
          <w:spacing w:val="-4"/>
          <w:szCs w:val="24"/>
        </w:rPr>
        <w:t>1</w:t>
      </w:r>
      <w:r>
        <w:rPr>
          <w:rFonts w:cs="Times New Roman"/>
          <w:spacing w:val="-4"/>
          <w:szCs w:val="24"/>
        </w:rPr>
        <w:t>部分：标准化文件的结构和起草规则》及</w:t>
      </w:r>
      <w:bookmarkStart w:id="2" w:name="OLE_LINK33"/>
      <w:r>
        <w:rPr>
          <w:rFonts w:eastAsia="Times New Roman" w:cs="Times New Roman"/>
          <w:spacing w:val="-4"/>
          <w:szCs w:val="24"/>
        </w:rPr>
        <w:t>GB/T 20001.</w:t>
      </w:r>
      <w:r>
        <w:rPr>
          <w:rFonts w:hint="eastAsia" w:cs="Times New Roman"/>
          <w:spacing w:val="-4"/>
          <w:szCs w:val="24"/>
        </w:rPr>
        <w:t>5</w:t>
      </w:r>
      <w:r>
        <w:rPr>
          <w:rFonts w:eastAsia="Times New Roman" w:cs="Times New Roman"/>
          <w:spacing w:val="-4"/>
          <w:szCs w:val="24"/>
        </w:rPr>
        <w:t>-2017</w:t>
      </w:r>
      <w:bookmarkEnd w:id="2"/>
      <w:r>
        <w:rPr>
          <w:rFonts w:cs="Times New Roman"/>
          <w:spacing w:val="-4"/>
          <w:szCs w:val="24"/>
        </w:rPr>
        <w:t>《标准编写规则 第</w:t>
      </w:r>
      <w:r>
        <w:rPr>
          <w:rFonts w:hint="eastAsia" w:cs="Times New Roman"/>
          <w:spacing w:val="-4"/>
          <w:szCs w:val="24"/>
        </w:rPr>
        <w:t>5</w:t>
      </w:r>
      <w:r>
        <w:rPr>
          <w:rFonts w:cs="Times New Roman"/>
          <w:spacing w:val="-4"/>
          <w:szCs w:val="24"/>
        </w:rPr>
        <w:t>部分：</w:t>
      </w:r>
      <w:r>
        <w:rPr>
          <w:rFonts w:hint="eastAsia" w:cs="Times New Roman"/>
          <w:spacing w:val="-4"/>
          <w:szCs w:val="24"/>
        </w:rPr>
        <w:t>规范</w:t>
      </w:r>
      <w:r>
        <w:rPr>
          <w:rFonts w:cs="Times New Roman"/>
          <w:spacing w:val="-4"/>
          <w:szCs w:val="24"/>
        </w:rPr>
        <w:t>标准》</w:t>
      </w:r>
      <w:r>
        <w:rPr>
          <w:rFonts w:hint="eastAsia" w:cs="Times New Roman"/>
          <w:szCs w:val="24"/>
        </w:rPr>
        <w:t>的规定起草。相关内容参考了GB/T 39111-2020 《牙颌模型三维扫描仪技术要求》、GB/T 9937-2020 《牙科学 名词术语》、GB/T 37698-2019 《增材制造设计要求、指南和建议》等，通过系统性调研相关文献、指南、标准确保标准的先进性与科学性。</w:t>
      </w:r>
    </w:p>
    <w:p>
      <w:pPr>
        <w:pStyle w:val="3"/>
        <w:spacing w:line="360" w:lineRule="auto"/>
        <w:ind w:firstLine="482"/>
      </w:pPr>
      <w:r>
        <w:rPr>
          <w:rFonts w:hint="eastAsia"/>
        </w:rPr>
        <w:t>2．教学与临床实践论据</w:t>
      </w:r>
    </w:p>
    <w:p>
      <w:pPr>
        <w:autoSpaceDE w:val="0"/>
        <w:autoSpaceDN w:val="0"/>
        <w:adjustRightInd w:val="0"/>
        <w:spacing w:line="360" w:lineRule="auto"/>
        <w:ind w:firstLine="480" w:firstLineChars="200"/>
        <w:rPr>
          <w:rFonts w:cs="Times New Roman"/>
          <w:szCs w:val="24"/>
        </w:rPr>
      </w:pPr>
      <w:r>
        <w:rPr>
          <w:rFonts w:hint="eastAsia" w:cs="Times New Roman"/>
          <w:szCs w:val="24"/>
        </w:rPr>
        <w:t>本标准中关于牙体牙髓病例采集与筛选、虚拟仿真诊疗流程构建、操作技能量化评估指标以及 3D 打印辅助教学模型制备与应用等技术要求，均来源于多家口腔医学院校及其附属医院在牙体牙髓病学教学与临床实践中的长期应用经验总结。相关教学模式已在牙体牙髓病学本科教学、住院医师规范化培训及继续教育中开展应用，通过对实施前后学习效果的对比分析，证实该技术体系能够有效规范教学流程、提高根管治疗等关键操作的一致性与可重复性，降低初学者在真实临床操作中的风险，并增强教学评价结果的客观性与可追溯性。部分实践成果已通过教学研究论文公开发表，为本标准技术内容的可行性、适用性与有效性提供了坚实的实践支撑。</w:t>
      </w:r>
    </w:p>
    <w:p>
      <w:pPr>
        <w:pStyle w:val="2"/>
        <w:spacing w:line="360" w:lineRule="auto"/>
      </w:pPr>
      <w:r>
        <w:rPr>
          <w:rFonts w:hint="eastAsia"/>
        </w:rPr>
        <w:t>四、预期效益</w:t>
      </w:r>
    </w:p>
    <w:p>
      <w:pPr>
        <w:autoSpaceDE w:val="0"/>
        <w:autoSpaceDN w:val="0"/>
        <w:adjustRightInd w:val="0"/>
        <w:spacing w:line="360" w:lineRule="auto"/>
        <w:ind w:firstLine="480" w:firstLineChars="200"/>
      </w:pPr>
      <w:r>
        <w:rPr>
          <w:rFonts w:ascii="宋体" w:hAnsi="宋体" w:cs="宋体"/>
          <w:szCs w:val="24"/>
        </w:rPr>
        <w:t>本标准的制定与实施，旨在系统提升口腔医学生的人才培养质量，推动教学实验成果向真实临床诊疗能力的有效转化。通过构建规范化、数字化、可重复的临床病例教学体系，促进学生在真实或高度仿真的教学场景中不断强化操作技能与诊疗流程认知，显著提升其临床实践能力和综合专业素养。在此过程中，标准强调以病例为核心、以问题为导向的教学模式，系统培养学生的临床思维能力、医患沟通能力及团队协作意识，使其逐步形成符合临床实际的诊疗决策能力。同时，依托虚拟仿真、实体模型实操及多维互动评价等多样化教学手段，营造沉浸式、互动式的学习环境，激发学生的学习兴趣和内在动力，推动其由被动接受知识向主动探索与持续学习转变，从而为高质量口腔临床人才培养和口腔医学教育的长期发展奠定坚实基础</w:t>
      </w:r>
      <w:r>
        <w:rPr>
          <w:rFonts w:hint="eastAsia" w:cs="Times New Roman"/>
          <w:szCs w:val="24"/>
        </w:rPr>
        <w:t>。</w:t>
      </w:r>
    </w:p>
    <w:p>
      <w:pPr>
        <w:pStyle w:val="2"/>
        <w:spacing w:line="360" w:lineRule="auto"/>
      </w:pPr>
      <w:r>
        <w:rPr>
          <w:rFonts w:hint="eastAsia"/>
        </w:rPr>
        <w:t>五、</w:t>
      </w:r>
      <w:r>
        <w:t>采用国际标准或国外文件</w:t>
      </w:r>
    </w:p>
    <w:p>
      <w:pPr>
        <w:spacing w:line="360" w:lineRule="auto"/>
        <w:ind w:firstLine="420"/>
        <w:rPr>
          <w:lang w:val="en-GB"/>
        </w:rPr>
      </w:pPr>
      <w:r>
        <w:rPr>
          <w:rFonts w:hint="eastAsia"/>
          <w:lang w:val="en-GB"/>
        </w:rPr>
        <w:t>本标准没有对应的国家标准或行业标准。</w:t>
      </w:r>
    </w:p>
    <w:p>
      <w:pPr>
        <w:pStyle w:val="2"/>
        <w:spacing w:line="360" w:lineRule="auto"/>
      </w:pPr>
      <w:r>
        <w:rPr>
          <w:rFonts w:hint="eastAsia"/>
        </w:rPr>
        <w:t>六</w:t>
      </w:r>
      <w:r>
        <w:t>、重大分歧意见的处理经过和依据</w:t>
      </w:r>
    </w:p>
    <w:p>
      <w:pPr>
        <w:spacing w:line="360" w:lineRule="auto"/>
        <w:ind w:firstLine="420"/>
        <w:rPr>
          <w:lang w:val="en-GB"/>
        </w:rPr>
      </w:pPr>
      <w:r>
        <w:rPr>
          <w:lang w:val="en-GB"/>
        </w:rPr>
        <w:t>无重大分歧意见。</w:t>
      </w:r>
    </w:p>
    <w:p>
      <w:pPr>
        <w:pStyle w:val="2"/>
        <w:spacing w:line="360" w:lineRule="auto"/>
      </w:pPr>
      <w:r>
        <w:rPr>
          <w:rFonts w:hint="eastAsia"/>
        </w:rPr>
        <w:t>七</w:t>
      </w:r>
      <w:r>
        <w:t>、贯彻促进会团体标准的要求和措施建议</w:t>
      </w:r>
    </w:p>
    <w:p>
      <w:pPr>
        <w:pStyle w:val="3"/>
        <w:spacing w:line="360" w:lineRule="auto"/>
        <w:ind w:firstLine="482"/>
      </w:pPr>
      <w:r>
        <w:rPr>
          <w:rFonts w:hint="eastAsia"/>
        </w:rPr>
        <w:t>1．组织保障措施</w:t>
      </w:r>
    </w:p>
    <w:p>
      <w:pPr>
        <w:autoSpaceDE w:val="0"/>
        <w:autoSpaceDN w:val="0"/>
        <w:adjustRightInd w:val="0"/>
        <w:spacing w:line="360" w:lineRule="auto"/>
        <w:ind w:firstLine="480" w:firstLineChars="200"/>
        <w:rPr>
          <w:rFonts w:cs="Times New Roman"/>
          <w:szCs w:val="24"/>
        </w:rPr>
      </w:pPr>
      <w:r>
        <w:rPr>
          <w:rFonts w:hint="eastAsia" w:cs="Times New Roman"/>
          <w:szCs w:val="24"/>
        </w:rPr>
        <w:t>建议由中国产学研合作促进会牵头，联合本标准主要起草单位、相关口腔医学院校、附属医院及技术企业成立标准贯彻实施工作组，负责标准的宣贯、培训、实施指导及效果评估等工作。</w:t>
      </w:r>
    </w:p>
    <w:p>
      <w:pPr>
        <w:autoSpaceDE w:val="0"/>
        <w:autoSpaceDN w:val="0"/>
        <w:adjustRightInd w:val="0"/>
        <w:spacing w:line="360" w:lineRule="auto"/>
        <w:ind w:firstLine="480" w:firstLineChars="200"/>
        <w:rPr>
          <w:rFonts w:cs="Times New Roman"/>
          <w:szCs w:val="24"/>
        </w:rPr>
      </w:pPr>
      <w:r>
        <w:rPr>
          <w:rFonts w:hint="eastAsia" w:cs="Times New Roman"/>
          <w:szCs w:val="24"/>
        </w:rPr>
        <w:t>应围绕标准核心技术内容和关键条款，分层次、分对象组织系统化培训，可通过专题培训班、学术会议解读、线上课程及案例示范等多种形式开展，重点提升口腔医学教师、临床带教医师及信息化技术人员对标准内涵、实施路径和操作要求的理解与掌握程度，推动标准在教学与实践中的规范应用。</w:t>
      </w:r>
    </w:p>
    <w:p>
      <w:pPr>
        <w:pStyle w:val="3"/>
        <w:spacing w:line="360" w:lineRule="auto"/>
        <w:ind w:firstLine="482"/>
      </w:pPr>
      <w:r>
        <w:rPr>
          <w:rFonts w:hint="eastAsia"/>
        </w:rPr>
        <w:t>2．技术实施与支撑措施</w:t>
      </w:r>
    </w:p>
    <w:p>
      <w:pPr>
        <w:autoSpaceDE w:val="0"/>
        <w:autoSpaceDN w:val="0"/>
        <w:adjustRightInd w:val="0"/>
        <w:spacing w:line="360" w:lineRule="auto"/>
        <w:ind w:firstLine="480" w:firstLineChars="200"/>
        <w:rPr>
          <w:rFonts w:cs="Times New Roman"/>
          <w:szCs w:val="24"/>
        </w:rPr>
      </w:pPr>
      <w:r>
        <w:rPr>
          <w:rFonts w:hint="eastAsia" w:cs="Times New Roman"/>
          <w:szCs w:val="24"/>
        </w:rPr>
        <w:t>鼓励各级口腔医学院校和医疗机构在牙体牙髓病学临床教学体系建设中参照本标准要求，系统规划并逐步完善病例采集、虚拟仿真教学、3D打印实操训练、教学评估及数据管理等关键环节，建立覆盖“临床—实验—临床”全过程的标准化教学技术体系。</w:t>
      </w:r>
    </w:p>
    <w:p>
      <w:pPr>
        <w:autoSpaceDE w:val="0"/>
        <w:autoSpaceDN w:val="0"/>
        <w:adjustRightInd w:val="0"/>
        <w:spacing w:line="360" w:lineRule="auto"/>
        <w:ind w:firstLine="480" w:firstLineChars="200"/>
        <w:rPr>
          <w:rFonts w:cs="Times New Roman"/>
          <w:szCs w:val="24"/>
        </w:rPr>
      </w:pPr>
      <w:r>
        <w:rPr>
          <w:rFonts w:hint="eastAsia" w:cs="Times New Roman"/>
          <w:szCs w:val="24"/>
        </w:rPr>
        <w:t>支持产学研协同推进标准实施，鼓励教学机构与相关企业按照本标准统一技术接口、数据格式、评价指标及质量控制要求，提升虚拟仿真平台与3D打印辅助教学模型在不同院校间的通用性与可复制性。通过标准化流程和量化指标，保障数字化教学系统在教学质量、安全性和可持续运行方面的规范性与一致性。</w:t>
      </w:r>
      <w:r>
        <w:rPr>
          <w:rFonts w:cs="Times New Roman"/>
          <w:szCs w:val="24"/>
        </w:rPr>
        <w:t>。</w:t>
      </w:r>
    </w:p>
    <w:p>
      <w:pPr>
        <w:pStyle w:val="3"/>
        <w:spacing w:line="360" w:lineRule="auto"/>
        <w:ind w:firstLine="482"/>
      </w:pPr>
      <w:r>
        <w:rPr>
          <w:rFonts w:hint="eastAsia"/>
        </w:rPr>
        <w:t>3．推广应用与过渡实施措施</w:t>
      </w:r>
    </w:p>
    <w:p>
      <w:pPr>
        <w:autoSpaceDE w:val="0"/>
        <w:autoSpaceDN w:val="0"/>
        <w:adjustRightInd w:val="0"/>
        <w:spacing w:line="360" w:lineRule="auto"/>
        <w:ind w:firstLine="480" w:firstLineChars="200"/>
        <w:rPr>
          <w:rFonts w:cs="Times New Roman"/>
          <w:szCs w:val="24"/>
        </w:rPr>
      </w:pPr>
      <w:r>
        <w:rPr>
          <w:rFonts w:hint="eastAsia" w:cs="Times New Roman"/>
          <w:szCs w:val="24"/>
        </w:rPr>
        <w:t>建议在本标准正式发布后，设置合理的过渡实施期。过渡期间，可优先在具备一定信息化基础和教学条件的院校及附属医院开展试点应用，探索标准在不同教学层级和专科领域中的适用模式。</w:t>
      </w:r>
    </w:p>
    <w:p>
      <w:pPr>
        <w:autoSpaceDE w:val="0"/>
        <w:autoSpaceDN w:val="0"/>
        <w:adjustRightInd w:val="0"/>
        <w:spacing w:line="360" w:lineRule="auto"/>
        <w:ind w:firstLine="480" w:firstLineChars="200"/>
        <w:rPr>
          <w:rFonts w:cs="Times New Roman"/>
          <w:szCs w:val="24"/>
        </w:rPr>
      </w:pPr>
      <w:r>
        <w:rPr>
          <w:rFonts w:hint="eastAsia" w:cs="Times New Roman"/>
          <w:szCs w:val="24"/>
        </w:rPr>
        <w:t>应建立实施反馈与评估机制，系统收集标准应用过程中存在的问题和改进建议，由工作组定期进行汇总分析和技术指导。对共性问题和实施难点，可通过发布技术解读文件、补充说明或应用指南等方式加以解决，并作为后续标准修订和完善的重要依据，推动本团体标准的持续优化与动态更新。</w:t>
      </w:r>
    </w:p>
    <w:p>
      <w:pPr>
        <w:pStyle w:val="2"/>
        <w:spacing w:line="360" w:lineRule="auto"/>
      </w:pPr>
      <w:r>
        <w:rPr>
          <w:rFonts w:hint="eastAsia"/>
          <w:sz w:val="28"/>
        </w:rPr>
        <w:t>七</w:t>
      </w:r>
      <w:r>
        <w:rPr>
          <w:sz w:val="28"/>
        </w:rPr>
        <w:t>、</w:t>
      </w:r>
      <w:r>
        <w:t>其他应予说明的事项</w:t>
      </w:r>
    </w:p>
    <w:p>
      <w:pPr>
        <w:autoSpaceDE w:val="0"/>
        <w:autoSpaceDN w:val="0"/>
        <w:adjustRightInd w:val="0"/>
        <w:spacing w:line="360" w:lineRule="auto"/>
        <w:ind w:firstLine="420"/>
      </w:pPr>
      <w:r>
        <w:rPr>
          <w:rFonts w:hint="eastAsia" w:cs="Times New Roman"/>
          <w:szCs w:val="24"/>
        </w:rPr>
        <w:t>无其他应予说明的事项。</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79"/>
    <w:rsid w:val="000811EC"/>
    <w:rsid w:val="001D7A08"/>
    <w:rsid w:val="003070CC"/>
    <w:rsid w:val="00497017"/>
    <w:rsid w:val="005175BA"/>
    <w:rsid w:val="00790C08"/>
    <w:rsid w:val="00AB63FC"/>
    <w:rsid w:val="00B44680"/>
    <w:rsid w:val="00C42779"/>
    <w:rsid w:val="00DD676B"/>
    <w:rsid w:val="00EF165B"/>
    <w:rsid w:val="00F6383B"/>
    <w:rsid w:val="08DB1887"/>
    <w:rsid w:val="1F5E01E2"/>
    <w:rsid w:val="21EA7F94"/>
    <w:rsid w:val="2D4E4A4B"/>
    <w:rsid w:val="2D750387"/>
    <w:rsid w:val="2D8868B3"/>
    <w:rsid w:val="40A32B51"/>
    <w:rsid w:val="4C1645A3"/>
    <w:rsid w:val="5D467C43"/>
    <w:rsid w:val="6BF51F56"/>
    <w:rsid w:val="7D172435"/>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88" w:lineRule="auto"/>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qFormat/>
    <w:uiPriority w:val="9"/>
    <w:pPr>
      <w:keepNext/>
      <w:keepLines/>
      <w:jc w:val="left"/>
      <w:outlineLvl w:val="0"/>
    </w:pPr>
    <w:rPr>
      <w:b/>
      <w:bCs/>
      <w:kern w:val="44"/>
      <w:szCs w:val="44"/>
    </w:rPr>
  </w:style>
  <w:style w:type="paragraph" w:styleId="3">
    <w:name w:val="heading 2"/>
    <w:basedOn w:val="1"/>
    <w:next w:val="1"/>
    <w:unhideWhenUsed/>
    <w:qFormat/>
    <w:uiPriority w:val="9"/>
    <w:pPr>
      <w:keepNext/>
      <w:keepLines/>
      <w:ind w:firstLine="200" w:firstLineChars="200"/>
      <w:jc w:val="left"/>
      <w:outlineLvl w:val="1"/>
    </w:pPr>
    <w:rPr>
      <w:rFonts w:cstheme="majorBidi"/>
      <w:b/>
      <w:bCs/>
      <w:szCs w:val="32"/>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footer"/>
    <w:basedOn w:val="1"/>
    <w:link w:val="14"/>
    <w:qFormat/>
    <w:uiPriority w:val="0"/>
    <w:pPr>
      <w:tabs>
        <w:tab w:val="center" w:pos="4153"/>
        <w:tab w:val="right" w:pos="8306"/>
      </w:tabs>
      <w:snapToGrid w:val="0"/>
      <w:spacing w:line="240" w:lineRule="auto"/>
      <w:jc w:val="left"/>
    </w:pPr>
    <w:rPr>
      <w:sz w:val="18"/>
      <w:szCs w:val="18"/>
    </w:rPr>
  </w:style>
  <w:style w:type="paragraph" w:styleId="6">
    <w:name w:val="header"/>
    <w:basedOn w:val="1"/>
    <w:link w:val="13"/>
    <w:uiPriority w:val="0"/>
    <w:pPr>
      <w:tabs>
        <w:tab w:val="center" w:pos="4153"/>
        <w:tab w:val="right" w:pos="8306"/>
      </w:tabs>
      <w:snapToGrid w:val="0"/>
      <w:spacing w:line="240" w:lineRule="auto"/>
      <w:jc w:val="center"/>
    </w:pPr>
    <w:rPr>
      <w:sz w:val="18"/>
      <w:szCs w:val="18"/>
    </w:rPr>
  </w:style>
  <w:style w:type="paragraph" w:styleId="7">
    <w:name w:val="Normal (Web)"/>
    <w:basedOn w:val="1"/>
    <w:uiPriority w:val="0"/>
    <w:pPr>
      <w:spacing w:beforeAutospacing="1" w:after="0" w:afterAutospacing="1"/>
      <w:jc w:val="left"/>
    </w:pPr>
    <w:rPr>
      <w:rFonts w:cs="Times New Roman"/>
      <w:kern w:val="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qFormat/>
    <w:uiPriority w:val="0"/>
    <w:rPr>
      <w:color w:val="0000FF"/>
      <w:u w:val="single"/>
    </w:rPr>
  </w:style>
  <w:style w:type="paragraph" w:customStyle="1" w:styleId="12">
    <w:name w:val="Default"/>
    <w:qFormat/>
    <w:uiPriority w:val="0"/>
    <w:pPr>
      <w:widowControl w:val="0"/>
      <w:autoSpaceDE w:val="0"/>
      <w:autoSpaceDN w:val="0"/>
      <w:adjustRightInd w:val="0"/>
      <w:spacing w:after="160" w:line="278" w:lineRule="auto"/>
    </w:pPr>
    <w:rPr>
      <w:rFonts w:ascii="黑体" w:eastAsia="黑体" w:cs="黑体" w:hAnsiTheme="minorHAnsi"/>
      <w:color w:val="000000"/>
      <w:sz w:val="24"/>
      <w:szCs w:val="24"/>
      <w:lang w:val="en-US" w:eastAsia="zh-CN" w:bidi="ar-SA"/>
      <w14:ligatures w14:val="standardContextual"/>
    </w:rPr>
  </w:style>
  <w:style w:type="character" w:customStyle="1" w:styleId="13">
    <w:name w:val="页眉 字符"/>
    <w:basedOn w:val="10"/>
    <w:link w:val="6"/>
    <w:qFormat/>
    <w:uiPriority w:val="0"/>
    <w:rPr>
      <w:rFonts w:cstheme="minorBidi"/>
      <w:kern w:val="2"/>
      <w:sz w:val="18"/>
      <w:szCs w:val="18"/>
      <w14:ligatures w14:val="standardContextual"/>
    </w:rPr>
  </w:style>
  <w:style w:type="character" w:customStyle="1" w:styleId="14">
    <w:name w:val="页脚 字符"/>
    <w:basedOn w:val="10"/>
    <w:link w:val="5"/>
    <w:qFormat/>
    <w:uiPriority w:val="0"/>
    <w:rPr>
      <w:rFonts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757</Words>
  <Characters>4317</Characters>
  <Lines>35</Lines>
  <Paragraphs>10</Paragraphs>
  <TotalTime>21</TotalTime>
  <ScaleCrop>false</ScaleCrop>
  <LinksUpToDate>false</LinksUpToDate>
  <CharactersWithSpaces>5064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2025-12-08T03:58:00Z</dcterms:created>
  <dc:creator>th920</dc:creator>
  <cp:lastModifiedBy>1</cp:lastModifiedBy>
  <dcterms:modified xsi:type="dcterms:W3CDTF">2026-02-11T01:56:17Z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eyJoZGlkIjoiMGUxY2Y0MmVmMzM4YjFkNzljN2JjMGVhODczNTliZWYiLCJ1c2VySWQiOiI3NDMwMjkyODkifQ==</vt:lpwstr>
  </property>
  <property fmtid="{D5CDD505-2E9C-101B-9397-08002B2CF9AE}" pid="4" name="ICV">
    <vt:lpwstr>0E5335DB61AA46679922D35869BD8D0A_12</vt:lpwstr>
  </property>
</Properties>
</file>