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733914" w:rsidRDefault="00000000">
      <w:pPr>
        <w:adjustRightInd w:val="0"/>
        <w:snapToGrid w:val="0"/>
        <w:spacing w:line="360" w:lineRule="auto"/>
        <w:jc w:val="center"/>
        <w:rPr>
          <w:rFonts w:ascii="Times New Roman" w:eastAsia="黑体" w:hAnsi="Times New Roman" w:cs="Times New Roman"/>
          <w:b/>
          <w:sz w:val="48"/>
          <w:szCs w:val="48"/>
        </w:rPr>
      </w:pPr>
      <w:r w:rsidRPr="00733914">
        <w:rPr>
          <w:rFonts w:ascii="Times New Roman" w:eastAsia="黑体" w:hAnsi="Times New Roman" w:cs="Times New Roman"/>
          <w:b/>
          <w:sz w:val="48"/>
          <w:szCs w:val="48"/>
        </w:rPr>
        <w:t>团</w:t>
      </w:r>
      <w:r w:rsidRPr="00733914">
        <w:rPr>
          <w:rFonts w:ascii="Times New Roman" w:eastAsia="黑体" w:hAnsi="Times New Roman" w:cs="Times New Roman"/>
          <w:b/>
          <w:sz w:val="48"/>
          <w:szCs w:val="48"/>
        </w:rPr>
        <w:t xml:space="preserve"> </w:t>
      </w:r>
      <w:r w:rsidRPr="00733914">
        <w:rPr>
          <w:rFonts w:ascii="Times New Roman" w:eastAsia="黑体" w:hAnsi="Times New Roman" w:cs="Times New Roman"/>
          <w:b/>
          <w:sz w:val="48"/>
          <w:szCs w:val="48"/>
        </w:rPr>
        <w:t>体</w:t>
      </w:r>
      <w:r w:rsidRPr="00733914">
        <w:rPr>
          <w:rFonts w:ascii="Times New Roman" w:eastAsia="黑体" w:hAnsi="Times New Roman" w:cs="Times New Roman"/>
          <w:b/>
          <w:sz w:val="48"/>
          <w:szCs w:val="48"/>
        </w:rPr>
        <w:t xml:space="preserve"> </w:t>
      </w:r>
      <w:r w:rsidRPr="00733914">
        <w:rPr>
          <w:rFonts w:ascii="Times New Roman" w:eastAsia="黑体" w:hAnsi="Times New Roman" w:cs="Times New Roman"/>
          <w:b/>
          <w:sz w:val="48"/>
          <w:szCs w:val="48"/>
        </w:rPr>
        <w:t>标</w:t>
      </w:r>
      <w:r w:rsidRPr="00733914">
        <w:rPr>
          <w:rFonts w:ascii="Times New Roman" w:eastAsia="黑体" w:hAnsi="Times New Roman" w:cs="Times New Roman"/>
          <w:b/>
          <w:sz w:val="48"/>
          <w:szCs w:val="48"/>
        </w:rPr>
        <w:t xml:space="preserve"> </w:t>
      </w:r>
      <w:r w:rsidRPr="00733914">
        <w:rPr>
          <w:rFonts w:ascii="Times New Roman" w:eastAsia="黑体" w:hAnsi="Times New Roman" w:cs="Times New Roman"/>
          <w:b/>
          <w:sz w:val="48"/>
          <w:szCs w:val="48"/>
        </w:rPr>
        <w:t>准</w:t>
      </w:r>
    </w:p>
    <w:p w14:paraId="564BAE4E" w14:textId="77777777" w:rsidR="00505FBC" w:rsidRPr="00733914" w:rsidRDefault="00505FBC">
      <w:pPr>
        <w:adjustRightInd w:val="0"/>
        <w:snapToGrid w:val="0"/>
        <w:spacing w:line="360" w:lineRule="auto"/>
        <w:jc w:val="center"/>
        <w:rPr>
          <w:rFonts w:ascii="Times New Roman" w:eastAsia="黑体" w:hAnsi="Times New Roman" w:cs="Times New Roman"/>
          <w:b/>
          <w:sz w:val="48"/>
          <w:szCs w:val="48"/>
        </w:rPr>
      </w:pPr>
    </w:p>
    <w:p w14:paraId="306ABD1B" w14:textId="0BFE8236" w:rsidR="00505FBC" w:rsidRPr="00733914" w:rsidRDefault="00E543B8">
      <w:pPr>
        <w:adjustRightInd w:val="0"/>
        <w:snapToGrid w:val="0"/>
        <w:spacing w:line="360" w:lineRule="auto"/>
        <w:jc w:val="center"/>
        <w:rPr>
          <w:rFonts w:ascii="Times New Roman" w:eastAsia="黑体" w:hAnsi="Times New Roman" w:cs="Times New Roman"/>
          <w:b/>
          <w:sz w:val="52"/>
          <w:szCs w:val="52"/>
        </w:rPr>
      </w:pPr>
      <w:r w:rsidRPr="00733914">
        <w:rPr>
          <w:rFonts w:ascii="Times New Roman" w:eastAsia="黑体" w:hAnsi="Times New Roman" w:cs="Times New Roman"/>
          <w:b/>
          <w:sz w:val="52"/>
          <w:szCs w:val="52"/>
        </w:rPr>
        <w:t>绿色建筑规划及设计规范</w:t>
      </w:r>
    </w:p>
    <w:p w14:paraId="09E57553" w14:textId="77777777" w:rsidR="00505FBC" w:rsidRPr="00733914"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733914" w:rsidRDefault="00000000">
      <w:pPr>
        <w:spacing w:line="480" w:lineRule="auto"/>
        <w:jc w:val="center"/>
        <w:rPr>
          <w:rFonts w:ascii="Times New Roman" w:eastAsia="黑体" w:hAnsi="Times New Roman" w:cs="Times New Roman"/>
          <w:b/>
          <w:sz w:val="52"/>
          <w:szCs w:val="52"/>
        </w:rPr>
      </w:pPr>
      <w:r w:rsidRPr="00733914">
        <w:rPr>
          <w:rFonts w:ascii="Times New Roman" w:eastAsia="黑体" w:hAnsi="Times New Roman" w:cs="Times New Roman"/>
          <w:b/>
          <w:sz w:val="52"/>
          <w:szCs w:val="52"/>
        </w:rPr>
        <w:t>编</w:t>
      </w:r>
      <w:r w:rsidRPr="00733914">
        <w:rPr>
          <w:rFonts w:ascii="Times New Roman" w:eastAsia="黑体" w:hAnsi="Times New Roman" w:cs="Times New Roman"/>
          <w:b/>
          <w:sz w:val="52"/>
          <w:szCs w:val="52"/>
        </w:rPr>
        <w:t xml:space="preserve"> </w:t>
      </w:r>
      <w:r w:rsidRPr="00733914">
        <w:rPr>
          <w:rFonts w:ascii="Times New Roman" w:eastAsia="黑体" w:hAnsi="Times New Roman" w:cs="Times New Roman"/>
          <w:b/>
          <w:sz w:val="52"/>
          <w:szCs w:val="52"/>
        </w:rPr>
        <w:t>制</w:t>
      </w:r>
      <w:r w:rsidRPr="00733914">
        <w:rPr>
          <w:rFonts w:ascii="Times New Roman" w:eastAsia="黑体" w:hAnsi="Times New Roman" w:cs="Times New Roman"/>
          <w:b/>
          <w:sz w:val="52"/>
          <w:szCs w:val="52"/>
        </w:rPr>
        <w:t xml:space="preserve"> </w:t>
      </w:r>
      <w:r w:rsidRPr="00733914">
        <w:rPr>
          <w:rFonts w:ascii="Times New Roman" w:eastAsia="黑体" w:hAnsi="Times New Roman" w:cs="Times New Roman"/>
          <w:b/>
          <w:sz w:val="52"/>
          <w:szCs w:val="52"/>
        </w:rPr>
        <w:t>说</w:t>
      </w:r>
      <w:r w:rsidRPr="00733914">
        <w:rPr>
          <w:rFonts w:ascii="Times New Roman" w:eastAsia="黑体" w:hAnsi="Times New Roman" w:cs="Times New Roman"/>
          <w:b/>
          <w:sz w:val="52"/>
          <w:szCs w:val="52"/>
        </w:rPr>
        <w:t xml:space="preserve"> </w:t>
      </w:r>
      <w:r w:rsidRPr="00733914">
        <w:rPr>
          <w:rFonts w:ascii="Times New Roman" w:eastAsia="黑体" w:hAnsi="Times New Roman" w:cs="Times New Roman"/>
          <w:b/>
          <w:sz w:val="52"/>
          <w:szCs w:val="52"/>
        </w:rPr>
        <w:t>明</w:t>
      </w:r>
    </w:p>
    <w:p w14:paraId="28444C2B"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733914" w:rsidRDefault="00505FBC">
      <w:pPr>
        <w:adjustRightInd w:val="0"/>
        <w:snapToGrid w:val="0"/>
        <w:spacing w:line="360" w:lineRule="auto"/>
        <w:rPr>
          <w:rFonts w:ascii="Times New Roman" w:eastAsia="仿宋" w:hAnsi="Times New Roman" w:cs="Times New Roman"/>
          <w:b/>
          <w:sz w:val="24"/>
          <w:szCs w:val="24"/>
        </w:rPr>
      </w:pPr>
    </w:p>
    <w:p w14:paraId="7A8D1626" w14:textId="6087F898" w:rsidR="00505FBC" w:rsidRDefault="00000000">
      <w:pPr>
        <w:spacing w:line="480" w:lineRule="auto"/>
        <w:jc w:val="center"/>
        <w:rPr>
          <w:rFonts w:ascii="Times New Roman" w:eastAsia="楷体_GB2312" w:hAnsi="Times New Roman" w:cs="Times New Roman"/>
          <w:b/>
          <w:sz w:val="36"/>
          <w:szCs w:val="36"/>
        </w:rPr>
      </w:pPr>
      <w:r w:rsidRPr="00733914">
        <w:rPr>
          <w:rFonts w:ascii="Times New Roman" w:eastAsia="楷体_GB2312" w:hAnsi="Times New Roman" w:cs="Times New Roman"/>
          <w:b/>
          <w:sz w:val="36"/>
          <w:szCs w:val="36"/>
        </w:rPr>
        <w:t>《</w:t>
      </w:r>
      <w:r w:rsidR="00E543B8" w:rsidRPr="00733914">
        <w:rPr>
          <w:rFonts w:ascii="Times New Roman" w:eastAsia="楷体_GB2312" w:hAnsi="Times New Roman" w:cs="Times New Roman"/>
          <w:b/>
          <w:sz w:val="36"/>
          <w:szCs w:val="36"/>
        </w:rPr>
        <w:t>绿色建筑规划及设计规范</w:t>
      </w:r>
      <w:r w:rsidRPr="00733914">
        <w:rPr>
          <w:rFonts w:ascii="Times New Roman" w:eastAsia="楷体_GB2312" w:hAnsi="Times New Roman" w:cs="Times New Roman"/>
          <w:b/>
          <w:sz w:val="36"/>
          <w:szCs w:val="36"/>
        </w:rPr>
        <w:t>》小组</w:t>
      </w:r>
    </w:p>
    <w:p w14:paraId="1197A080" w14:textId="232072AD"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C756A">
        <w:rPr>
          <w:rFonts w:ascii="Times New Roman" w:eastAsia="楷体_GB2312" w:hAnsi="Times New Roman" w:cs="Times New Roman" w:hint="eastAsia"/>
          <w:b/>
          <w:sz w:val="36"/>
          <w:szCs w:val="36"/>
        </w:rPr>
        <w:t>六</w:t>
      </w:r>
      <w:r>
        <w:rPr>
          <w:rFonts w:ascii="Times New Roman" w:eastAsia="楷体_GB2312" w:hAnsi="Times New Roman" w:cs="Times New Roman"/>
          <w:b/>
          <w:sz w:val="36"/>
          <w:szCs w:val="36"/>
        </w:rPr>
        <w:t>年</w:t>
      </w:r>
      <w:r w:rsidR="008C756A">
        <w:rPr>
          <w:rFonts w:ascii="Times New Roman" w:eastAsia="楷体_GB2312" w:hAnsi="Times New Roman" w:cs="Times New Roman" w:hint="eastAsia"/>
          <w:b/>
          <w:sz w:val="36"/>
          <w:szCs w:val="36"/>
        </w:rPr>
        <w:t>一</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F9F443E"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D9823F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C9A14F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34A15783" w14:textId="0D293FB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2CA70CFD" w14:textId="0D1DE03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1FAA1BEE" w14:textId="1BE3C3A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5BFE4104" w14:textId="720D0D3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44112233" w14:textId="3A02590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6059E002" w14:textId="45ECA02A"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72F392A0" w14:textId="2D454A6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24</w:t>
            </w:r>
            <w:r>
              <w:rPr>
                <w:rFonts w:ascii="Times New Roman" w:eastAsia="黑体" w:hAnsi="Times New Roman" w:cs="Times New Roman"/>
                <w:noProof/>
                <w:sz w:val="28"/>
                <w:szCs w:val="32"/>
              </w:rPr>
              <w:fldChar w:fldCharType="end"/>
            </w:r>
          </w:hyperlink>
        </w:p>
        <w:p w14:paraId="054D0588" w14:textId="4FA36A88"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B22635">
              <w:rPr>
                <w:rFonts w:ascii="Times New Roman" w:eastAsia="黑体" w:hAnsi="Times New Roman" w:cs="Times New Roman"/>
                <w:noProof/>
                <w:sz w:val="28"/>
                <w:szCs w:val="32"/>
              </w:rPr>
              <w:t>25</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756FE0BE" w:rsidR="00505FBC" w:rsidRPr="00E543B8" w:rsidRDefault="00000000">
      <w:pPr>
        <w:spacing w:line="360" w:lineRule="auto"/>
        <w:jc w:val="center"/>
        <w:outlineLvl w:val="1"/>
        <w:rPr>
          <w:rFonts w:ascii="Times New Roman" w:eastAsia="黑体" w:hAnsi="Times New Roman" w:cs="Times New Roman"/>
          <w:b/>
          <w:sz w:val="36"/>
          <w:szCs w:val="36"/>
        </w:rPr>
      </w:pPr>
      <w:r w:rsidRPr="00E543B8">
        <w:rPr>
          <w:rFonts w:ascii="Times New Roman" w:eastAsia="黑体" w:hAnsi="Times New Roman" w:cs="Times New Roman"/>
          <w:b/>
          <w:sz w:val="36"/>
          <w:szCs w:val="36"/>
        </w:rPr>
        <w:lastRenderedPageBreak/>
        <w:t>《</w:t>
      </w:r>
      <w:r w:rsidR="00E543B8" w:rsidRPr="00E543B8">
        <w:rPr>
          <w:rFonts w:ascii="Times New Roman" w:eastAsia="黑体" w:hAnsi="Times New Roman" w:cs="Times New Roman"/>
          <w:b/>
          <w:sz w:val="36"/>
          <w:szCs w:val="36"/>
        </w:rPr>
        <w:t>绿色建筑规划及设计规范</w:t>
      </w:r>
      <w:r w:rsidRPr="00E543B8">
        <w:rPr>
          <w:rFonts w:ascii="Times New Roman" w:eastAsia="黑体" w:hAnsi="Times New Roman" w:cs="Times New Roman"/>
          <w:b/>
          <w:sz w:val="36"/>
          <w:szCs w:val="36"/>
        </w:rPr>
        <w:t>》团体标准</w:t>
      </w:r>
    </w:p>
    <w:p w14:paraId="1E9474F3" w14:textId="77777777" w:rsidR="00505FBC" w:rsidRPr="00E543B8" w:rsidRDefault="00000000">
      <w:pPr>
        <w:spacing w:line="360" w:lineRule="auto"/>
        <w:jc w:val="center"/>
        <w:outlineLvl w:val="1"/>
        <w:rPr>
          <w:rFonts w:ascii="Times New Roman" w:eastAsia="黑体" w:hAnsi="Times New Roman" w:cs="Times New Roman"/>
          <w:b/>
          <w:sz w:val="36"/>
          <w:szCs w:val="36"/>
        </w:rPr>
      </w:pPr>
      <w:r w:rsidRPr="00E543B8">
        <w:rPr>
          <w:rFonts w:ascii="Times New Roman" w:eastAsia="黑体" w:hAnsi="Times New Roman" w:cs="Times New Roman"/>
          <w:b/>
          <w:sz w:val="36"/>
          <w:szCs w:val="36"/>
        </w:rPr>
        <w:t>编制说明</w:t>
      </w:r>
    </w:p>
    <w:p w14:paraId="40575E87" w14:textId="77777777" w:rsidR="00505FBC" w:rsidRPr="00E543B8"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E543B8">
        <w:rPr>
          <w:rFonts w:ascii="Times New Roman" w:eastAsia="黑体" w:hAnsi="Times New Roman" w:cs="Times New Roman"/>
          <w:b/>
          <w:sz w:val="30"/>
          <w:szCs w:val="30"/>
        </w:rPr>
        <w:t>一、工作简况</w:t>
      </w:r>
      <w:bookmarkEnd w:id="0"/>
    </w:p>
    <w:p w14:paraId="72D2291F" w14:textId="77777777" w:rsidR="00505FBC" w:rsidRPr="00E543B8" w:rsidRDefault="00000000">
      <w:pPr>
        <w:spacing w:line="360" w:lineRule="auto"/>
        <w:outlineLvl w:val="2"/>
        <w:rPr>
          <w:rFonts w:ascii="Times New Roman" w:hAnsi="Times New Roman" w:cs="Times New Roman"/>
          <w:b/>
          <w:color w:val="000000" w:themeColor="text1"/>
          <w:sz w:val="28"/>
          <w:szCs w:val="28"/>
        </w:rPr>
      </w:pPr>
      <w:r w:rsidRPr="00E543B8">
        <w:rPr>
          <w:rFonts w:ascii="Times New Roman" w:hAnsi="Times New Roman" w:cs="Times New Roman"/>
          <w:b/>
          <w:color w:val="000000" w:themeColor="text1"/>
          <w:sz w:val="28"/>
          <w:szCs w:val="28"/>
        </w:rPr>
        <w:t>（一）任务来源</w:t>
      </w:r>
    </w:p>
    <w:p w14:paraId="50883F05" w14:textId="77777777" w:rsidR="002E0C4B" w:rsidRPr="002E0C4B" w:rsidRDefault="002E0C4B" w:rsidP="002E0C4B">
      <w:pPr>
        <w:snapToGrid w:val="0"/>
        <w:spacing w:line="360" w:lineRule="auto"/>
        <w:ind w:firstLineChars="200" w:firstLine="560"/>
        <w:rPr>
          <w:rFonts w:ascii="Times New Roman" w:hAnsi="Times New Roman" w:cs="Times New Roman"/>
          <w:kern w:val="0"/>
          <w:sz w:val="28"/>
          <w:szCs w:val="28"/>
        </w:rPr>
      </w:pPr>
      <w:r w:rsidRPr="002E0C4B">
        <w:rPr>
          <w:rFonts w:ascii="Times New Roman" w:hAnsi="Times New Roman" w:cs="Times New Roman" w:hint="eastAsia"/>
          <w:kern w:val="0"/>
          <w:sz w:val="28"/>
          <w:szCs w:val="28"/>
        </w:rPr>
        <w:t>绿色建筑的推广与发展对规划与设计环节提出了系统性、整体性的更高要求，然而当前在绿色理念落地过程中，普遍存在规划与设计脱节、生态评估方法不统一、多专业协同机制缺失、技术集成可操作性弱等关键问题。这导致绿色目标往往停留在概念层面，难以形成可量化、可验证、可复制的设计方案。本规范旨在建立覆盖“总体策划</w:t>
      </w:r>
      <w:r w:rsidRPr="002E0C4B">
        <w:rPr>
          <w:rFonts w:ascii="Times New Roman" w:hAnsi="Times New Roman" w:cs="Times New Roman" w:hint="eastAsia"/>
          <w:kern w:val="0"/>
          <w:sz w:val="28"/>
          <w:szCs w:val="28"/>
        </w:rPr>
        <w:t>-</w:t>
      </w:r>
      <w:r w:rsidRPr="002E0C4B">
        <w:rPr>
          <w:rFonts w:ascii="Times New Roman" w:hAnsi="Times New Roman" w:cs="Times New Roman" w:hint="eastAsia"/>
          <w:kern w:val="0"/>
          <w:sz w:val="28"/>
          <w:szCs w:val="28"/>
        </w:rPr>
        <w:t>场地规划</w:t>
      </w:r>
      <w:r w:rsidRPr="002E0C4B">
        <w:rPr>
          <w:rFonts w:ascii="Times New Roman" w:hAnsi="Times New Roman" w:cs="Times New Roman" w:hint="eastAsia"/>
          <w:kern w:val="0"/>
          <w:sz w:val="28"/>
          <w:szCs w:val="28"/>
        </w:rPr>
        <w:t>-</w:t>
      </w:r>
      <w:r w:rsidRPr="002E0C4B">
        <w:rPr>
          <w:rFonts w:ascii="Times New Roman" w:hAnsi="Times New Roman" w:cs="Times New Roman" w:hint="eastAsia"/>
          <w:kern w:val="0"/>
          <w:sz w:val="28"/>
          <w:szCs w:val="28"/>
        </w:rPr>
        <w:t>建筑设计</w:t>
      </w:r>
      <w:r w:rsidRPr="002E0C4B">
        <w:rPr>
          <w:rFonts w:ascii="Times New Roman" w:hAnsi="Times New Roman" w:cs="Times New Roman" w:hint="eastAsia"/>
          <w:kern w:val="0"/>
          <w:sz w:val="28"/>
          <w:szCs w:val="28"/>
        </w:rPr>
        <w:t>-</w:t>
      </w:r>
      <w:r w:rsidRPr="002E0C4B">
        <w:rPr>
          <w:rFonts w:ascii="Times New Roman" w:hAnsi="Times New Roman" w:cs="Times New Roman" w:hint="eastAsia"/>
          <w:kern w:val="0"/>
          <w:sz w:val="28"/>
          <w:szCs w:val="28"/>
        </w:rPr>
        <w:t>技术集成</w:t>
      </w:r>
      <w:r w:rsidRPr="002E0C4B">
        <w:rPr>
          <w:rFonts w:ascii="Times New Roman" w:hAnsi="Times New Roman" w:cs="Times New Roman" w:hint="eastAsia"/>
          <w:kern w:val="0"/>
          <w:sz w:val="28"/>
          <w:szCs w:val="28"/>
        </w:rPr>
        <w:t>-</w:t>
      </w:r>
      <w:r w:rsidRPr="002E0C4B">
        <w:rPr>
          <w:rFonts w:ascii="Times New Roman" w:hAnsi="Times New Roman" w:cs="Times New Roman" w:hint="eastAsia"/>
          <w:kern w:val="0"/>
          <w:sz w:val="28"/>
          <w:szCs w:val="28"/>
        </w:rPr>
        <w:t>性能验证”全过程的协同设计框架，明确绿色目标导向的规划原则、生态环境敏感性分析方法、被动式与主动式技术协同整合逻辑、以及多专业协同设计流程与管理机制，为绿色建筑从理念到实体的高质量转化提供系统化的方法指引与技术要求，确保绿色性能在规划设计源头得以科学确立与有效承载。</w:t>
      </w:r>
    </w:p>
    <w:p w14:paraId="73CB9A4E" w14:textId="499EC44B" w:rsidR="00505FBC" w:rsidRPr="00E543B8" w:rsidRDefault="002E0C4B" w:rsidP="002E0C4B">
      <w:pPr>
        <w:snapToGrid w:val="0"/>
        <w:spacing w:line="360" w:lineRule="auto"/>
        <w:ind w:firstLineChars="200" w:firstLine="560"/>
        <w:rPr>
          <w:rFonts w:ascii="Times New Roman" w:hAnsi="Times New Roman" w:cs="Times New Roman"/>
          <w:kern w:val="0"/>
          <w:sz w:val="28"/>
          <w:szCs w:val="28"/>
        </w:rPr>
      </w:pPr>
      <w:r w:rsidRPr="002E0C4B">
        <w:rPr>
          <w:rFonts w:ascii="Times New Roman" w:hAnsi="Times New Roman" w:cs="Times New Roman" w:hint="eastAsia"/>
          <w:kern w:val="0"/>
          <w:sz w:val="28"/>
          <w:szCs w:val="28"/>
        </w:rPr>
        <w:t>制定绿色建筑规划与设计专项规范是实现城乡建设绿色低碳转型、系统性提升建筑环境品质与资源利用效率的必然要求与核心抓手。随着“双碳”目标的深入推进与人民群众对</w:t>
      </w:r>
      <w:proofErr w:type="gramStart"/>
      <w:r w:rsidRPr="002E0C4B">
        <w:rPr>
          <w:rFonts w:ascii="Times New Roman" w:hAnsi="Times New Roman" w:cs="Times New Roman" w:hint="eastAsia"/>
          <w:kern w:val="0"/>
          <w:sz w:val="28"/>
          <w:szCs w:val="28"/>
        </w:rPr>
        <w:t>健康宜</w:t>
      </w:r>
      <w:proofErr w:type="gramEnd"/>
      <w:r w:rsidRPr="002E0C4B">
        <w:rPr>
          <w:rFonts w:ascii="Times New Roman" w:hAnsi="Times New Roman" w:cs="Times New Roman" w:hint="eastAsia"/>
          <w:kern w:val="0"/>
          <w:sz w:val="28"/>
          <w:szCs w:val="28"/>
        </w:rPr>
        <w:t>居环境需求的日益增长，传统“叠加技术”式的绿色设计模式已无法适应高质量发展的要求，亟需通过标准化手段重塑整体性的规划与设计方法论。本规范通过构建目标导向、专业协同、过程闭环的规划设计体系，将有效解决当前绿色建筑设计深度不足、技术堆砌、实际运行效果偏离预期等突出问题，引导行业从单一技术应用转向全系统性能优化。它不仅为设计机构提供权威、统一的技术遵循，促进规划、建筑、结构、机电等多专业深度融合，更将推动绿色建筑从示范项目走向规模化普及，为提升我国城乡建设的绿</w:t>
      </w:r>
      <w:r w:rsidRPr="002E0C4B">
        <w:rPr>
          <w:rFonts w:ascii="Times New Roman" w:hAnsi="Times New Roman" w:cs="Times New Roman" w:hint="eastAsia"/>
          <w:kern w:val="0"/>
          <w:sz w:val="28"/>
          <w:szCs w:val="28"/>
        </w:rPr>
        <w:lastRenderedPageBreak/>
        <w:t>色化水平、实现人居环境可持续改善提供根本性的技术基础与制度保障</w:t>
      </w:r>
      <w:r>
        <w:rPr>
          <w:rFonts w:ascii="Times New Roman" w:hAnsi="Times New Roman" w:cs="Times New Roman" w:hint="eastAsia"/>
          <w:kern w:val="0"/>
          <w:sz w:val="28"/>
          <w:szCs w:val="28"/>
        </w:rPr>
        <w:t>。</w:t>
      </w:r>
    </w:p>
    <w:p w14:paraId="64EB91D4" w14:textId="77777777" w:rsidR="00505FBC" w:rsidRPr="00E543B8" w:rsidRDefault="00000000">
      <w:pPr>
        <w:spacing w:line="360" w:lineRule="auto"/>
        <w:outlineLvl w:val="2"/>
        <w:rPr>
          <w:rFonts w:ascii="Times New Roman" w:hAnsi="Times New Roman" w:cs="Times New Roman"/>
          <w:b/>
          <w:color w:val="000000" w:themeColor="text1"/>
          <w:sz w:val="28"/>
          <w:szCs w:val="28"/>
        </w:rPr>
      </w:pPr>
      <w:r w:rsidRPr="00E543B8">
        <w:rPr>
          <w:rFonts w:ascii="Times New Roman" w:hAnsi="Times New Roman" w:cs="Times New Roman"/>
          <w:b/>
          <w:color w:val="000000" w:themeColor="text1"/>
          <w:sz w:val="28"/>
          <w:szCs w:val="28"/>
        </w:rPr>
        <w:t>（二）编制过程</w:t>
      </w:r>
    </w:p>
    <w:p w14:paraId="3C4656A5" w14:textId="3E3E9785"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为使本标准在</w:t>
      </w:r>
      <w:r w:rsidR="00E543B8" w:rsidRPr="00E543B8">
        <w:rPr>
          <w:rFonts w:ascii="Times New Roman" w:hAnsi="Times New Roman" w:cs="Times New Roman"/>
          <w:kern w:val="0"/>
          <w:sz w:val="28"/>
          <w:szCs w:val="28"/>
        </w:rPr>
        <w:t>绿色建筑规划及设计</w:t>
      </w:r>
      <w:r w:rsidRPr="00E543B8">
        <w:rPr>
          <w:rFonts w:ascii="Times New Roman" w:hAnsi="Times New Roman" w:cs="Times New Roman"/>
          <w:kern w:val="0"/>
          <w:sz w:val="28"/>
          <w:szCs w:val="28"/>
        </w:rPr>
        <w:t>管理工作中起到规范信息化管理作用，标准起草工作组力求科学性、可操作性，以科学、谨慎的态度，在对我国现有</w:t>
      </w:r>
      <w:r w:rsidR="00E543B8" w:rsidRPr="00E543B8">
        <w:rPr>
          <w:rFonts w:ascii="Times New Roman" w:hAnsi="Times New Roman" w:cs="Times New Roman"/>
          <w:kern w:val="0"/>
          <w:sz w:val="28"/>
          <w:szCs w:val="28"/>
        </w:rPr>
        <w:t>绿色建筑规划及设计</w:t>
      </w:r>
      <w:r w:rsidRPr="00E543B8">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标准起草工作组在标准起草期间主要开展工作情况如下</w:t>
      </w:r>
      <w:r w:rsidRPr="00E543B8">
        <w:rPr>
          <w:rFonts w:ascii="Times New Roman" w:hAnsi="Times New Roman" w:cs="Times New Roman" w:hint="eastAsia"/>
          <w:kern w:val="0"/>
          <w:sz w:val="28"/>
          <w:szCs w:val="28"/>
        </w:rPr>
        <w:t>：</w:t>
      </w:r>
    </w:p>
    <w:p w14:paraId="76075B13" w14:textId="77777777" w:rsidR="00505FBC" w:rsidRPr="00E543B8" w:rsidRDefault="00000000">
      <w:pPr>
        <w:snapToGrid w:val="0"/>
        <w:spacing w:line="360" w:lineRule="auto"/>
        <w:rPr>
          <w:rFonts w:ascii="Times New Roman" w:hAnsi="Times New Roman" w:cs="Times New Roman"/>
          <w:b/>
          <w:bCs/>
          <w:kern w:val="0"/>
          <w:sz w:val="28"/>
          <w:szCs w:val="28"/>
        </w:rPr>
      </w:pPr>
      <w:r w:rsidRPr="00E543B8">
        <w:rPr>
          <w:rFonts w:ascii="Times New Roman" w:hAnsi="Times New Roman" w:cs="Times New Roman"/>
          <w:b/>
          <w:bCs/>
          <w:kern w:val="0"/>
          <w:sz w:val="28"/>
          <w:szCs w:val="28"/>
        </w:rPr>
        <w:t>1</w:t>
      </w:r>
      <w:r w:rsidRPr="00E543B8">
        <w:rPr>
          <w:rFonts w:ascii="Times New Roman" w:hAnsi="Times New Roman" w:cs="Times New Roman"/>
          <w:b/>
          <w:bCs/>
          <w:kern w:val="0"/>
          <w:sz w:val="28"/>
          <w:szCs w:val="28"/>
        </w:rPr>
        <w:t>、项目立项及理论研究阶段</w:t>
      </w:r>
    </w:p>
    <w:p w14:paraId="133DEC27" w14:textId="0AA38F62"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标准起草组成立伊始就对国内外</w:t>
      </w:r>
      <w:r w:rsidR="00E543B8" w:rsidRPr="00E543B8">
        <w:rPr>
          <w:rFonts w:ascii="Times New Roman" w:hAnsi="Times New Roman" w:cs="Times New Roman"/>
          <w:kern w:val="0"/>
          <w:sz w:val="28"/>
          <w:szCs w:val="28"/>
        </w:rPr>
        <w:t>绿色建筑规划及设计</w:t>
      </w:r>
      <w:r w:rsidRPr="00E543B8">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E543B8" w:rsidRPr="00E543B8">
        <w:rPr>
          <w:rFonts w:ascii="Times New Roman" w:hAnsi="Times New Roman" w:cs="Times New Roman"/>
          <w:kern w:val="0"/>
          <w:sz w:val="28"/>
          <w:szCs w:val="28"/>
        </w:rPr>
        <w:t>绿色建筑规划及设计</w:t>
      </w:r>
      <w:r w:rsidRPr="00E543B8">
        <w:rPr>
          <w:rFonts w:ascii="Times New Roman" w:hAnsi="Times New Roman" w:cs="Times New Roman"/>
          <w:kern w:val="0"/>
          <w:sz w:val="28"/>
          <w:szCs w:val="28"/>
        </w:rPr>
        <w:t>标准化管理中现存问题，结合现有产品实际应用经验，为标准起草奠定了基础。</w:t>
      </w:r>
    </w:p>
    <w:p w14:paraId="49995E92" w14:textId="523FBD17"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标准起草组进一步研究了</w:t>
      </w:r>
      <w:r w:rsidR="00E543B8" w:rsidRPr="00E543B8">
        <w:rPr>
          <w:rFonts w:ascii="Times New Roman" w:hAnsi="Times New Roman" w:cs="Times New Roman"/>
          <w:kern w:val="0"/>
          <w:sz w:val="28"/>
          <w:szCs w:val="28"/>
        </w:rPr>
        <w:t>绿色建筑规划及设计</w:t>
      </w:r>
      <w:r w:rsidRPr="00E543B8">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E543B8" w:rsidRDefault="00000000">
      <w:pPr>
        <w:snapToGrid w:val="0"/>
        <w:spacing w:line="360" w:lineRule="auto"/>
        <w:rPr>
          <w:rFonts w:ascii="Times New Roman" w:hAnsi="Times New Roman" w:cs="Times New Roman"/>
          <w:b/>
          <w:bCs/>
          <w:kern w:val="0"/>
          <w:sz w:val="28"/>
          <w:szCs w:val="28"/>
        </w:rPr>
      </w:pPr>
      <w:r w:rsidRPr="00E543B8">
        <w:rPr>
          <w:rFonts w:ascii="Times New Roman" w:hAnsi="Times New Roman" w:cs="Times New Roman"/>
          <w:b/>
          <w:bCs/>
          <w:kern w:val="0"/>
          <w:sz w:val="28"/>
          <w:szCs w:val="28"/>
        </w:rPr>
        <w:t>2</w:t>
      </w:r>
      <w:r w:rsidRPr="00E543B8">
        <w:rPr>
          <w:rFonts w:ascii="Times New Roman" w:hAnsi="Times New Roman" w:cs="Times New Roman"/>
          <w:b/>
          <w:bCs/>
          <w:kern w:val="0"/>
          <w:sz w:val="28"/>
          <w:szCs w:val="28"/>
        </w:rPr>
        <w:t>、标准起草阶段</w:t>
      </w:r>
    </w:p>
    <w:p w14:paraId="465830F8" w14:textId="0CF1C7A7"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E543B8" w:rsidRPr="00E543B8">
        <w:rPr>
          <w:rFonts w:ascii="Times New Roman" w:hAnsi="Times New Roman" w:cs="Times New Roman"/>
          <w:kern w:val="0"/>
          <w:sz w:val="28"/>
          <w:szCs w:val="28"/>
        </w:rPr>
        <w:t>绿色建筑规划及设计规范</w:t>
      </w:r>
      <w:r w:rsidRPr="00E543B8">
        <w:rPr>
          <w:rFonts w:ascii="Times New Roman" w:hAnsi="Times New Roman" w:cs="Times New Roman"/>
          <w:kern w:val="0"/>
          <w:sz w:val="28"/>
          <w:szCs w:val="28"/>
        </w:rPr>
        <w:t>》标准草案。</w:t>
      </w:r>
    </w:p>
    <w:p w14:paraId="405B67DF" w14:textId="77777777" w:rsidR="00505FBC" w:rsidRPr="00E543B8" w:rsidRDefault="00000000">
      <w:pPr>
        <w:snapToGrid w:val="0"/>
        <w:spacing w:line="360" w:lineRule="auto"/>
        <w:rPr>
          <w:rFonts w:ascii="Times New Roman" w:hAnsi="Times New Roman" w:cs="Times New Roman"/>
          <w:b/>
          <w:bCs/>
          <w:kern w:val="0"/>
          <w:sz w:val="28"/>
          <w:szCs w:val="28"/>
        </w:rPr>
      </w:pPr>
      <w:r w:rsidRPr="00E543B8">
        <w:rPr>
          <w:rFonts w:ascii="Times New Roman" w:hAnsi="Times New Roman" w:cs="Times New Roman"/>
          <w:b/>
          <w:bCs/>
          <w:kern w:val="0"/>
          <w:sz w:val="28"/>
          <w:szCs w:val="28"/>
        </w:rPr>
        <w:t>3</w:t>
      </w:r>
      <w:r w:rsidRPr="00E543B8">
        <w:rPr>
          <w:rFonts w:ascii="Times New Roman" w:hAnsi="Times New Roman" w:cs="Times New Roman"/>
          <w:b/>
          <w:bCs/>
          <w:kern w:val="0"/>
          <w:sz w:val="28"/>
          <w:szCs w:val="28"/>
        </w:rPr>
        <w:t>、标准征求意见阶段</w:t>
      </w:r>
    </w:p>
    <w:p w14:paraId="0DAC9E52" w14:textId="354B40CB" w:rsidR="00505FBC" w:rsidRPr="00E543B8" w:rsidRDefault="00000000">
      <w:pPr>
        <w:snapToGrid w:val="0"/>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E543B8" w:rsidRPr="00E543B8">
        <w:rPr>
          <w:rFonts w:ascii="Times New Roman" w:hAnsi="Times New Roman" w:cs="Times New Roman"/>
          <w:kern w:val="0"/>
          <w:sz w:val="28"/>
          <w:szCs w:val="28"/>
        </w:rPr>
        <w:t>绿色建筑规划及设计规范</w:t>
      </w:r>
      <w:r w:rsidRPr="00E543B8">
        <w:rPr>
          <w:rFonts w:ascii="Times New Roman" w:hAnsi="Times New Roman" w:cs="Times New Roman"/>
          <w:kern w:val="0"/>
          <w:sz w:val="28"/>
          <w:szCs w:val="28"/>
        </w:rPr>
        <w:t>》（征求意见稿）。</w:t>
      </w:r>
    </w:p>
    <w:p w14:paraId="32426E21" w14:textId="77777777" w:rsidR="00505FBC" w:rsidRPr="00E543B8" w:rsidRDefault="00000000">
      <w:pPr>
        <w:spacing w:line="360" w:lineRule="auto"/>
        <w:outlineLvl w:val="2"/>
        <w:rPr>
          <w:rFonts w:ascii="Times New Roman" w:hAnsi="Times New Roman" w:cs="Times New Roman"/>
          <w:b/>
          <w:sz w:val="28"/>
          <w:szCs w:val="28"/>
        </w:rPr>
      </w:pPr>
      <w:r w:rsidRPr="00E543B8">
        <w:rPr>
          <w:rFonts w:ascii="Times New Roman" w:hAnsi="Times New Roman" w:cs="Times New Roman"/>
          <w:b/>
          <w:sz w:val="28"/>
          <w:szCs w:val="28"/>
        </w:rPr>
        <w:lastRenderedPageBreak/>
        <w:t>（三）主要起草单位及起草人所做的工作</w:t>
      </w:r>
    </w:p>
    <w:p w14:paraId="3987C6A0" w14:textId="77777777" w:rsidR="00505FBC" w:rsidRPr="00E543B8" w:rsidRDefault="00000000">
      <w:pPr>
        <w:spacing w:line="360" w:lineRule="auto"/>
        <w:rPr>
          <w:rFonts w:ascii="Times New Roman" w:hAnsi="Times New Roman" w:cs="Times New Roman"/>
          <w:b/>
          <w:bCs/>
          <w:kern w:val="0"/>
          <w:sz w:val="28"/>
          <w:szCs w:val="28"/>
        </w:rPr>
      </w:pPr>
      <w:r w:rsidRPr="00E543B8">
        <w:rPr>
          <w:rFonts w:ascii="Times New Roman" w:hAnsi="Times New Roman" w:cs="Times New Roman"/>
          <w:b/>
          <w:bCs/>
          <w:kern w:val="0"/>
          <w:sz w:val="28"/>
          <w:szCs w:val="28"/>
        </w:rPr>
        <w:t>1</w:t>
      </w:r>
      <w:r w:rsidRPr="00E543B8">
        <w:rPr>
          <w:rFonts w:ascii="Times New Roman" w:hAnsi="Times New Roman" w:cs="Times New Roman"/>
          <w:b/>
          <w:bCs/>
          <w:kern w:val="0"/>
          <w:sz w:val="28"/>
          <w:szCs w:val="28"/>
        </w:rPr>
        <w:t>、主要起草单位</w:t>
      </w:r>
    </w:p>
    <w:p w14:paraId="28DBAB6A" w14:textId="77777777" w:rsidR="00505FBC" w:rsidRPr="00E543B8" w:rsidRDefault="00000000">
      <w:pPr>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协会</w:t>
      </w:r>
      <w:r w:rsidRPr="00E543B8">
        <w:rPr>
          <w:rFonts w:ascii="Times New Roman" w:hAnsi="Times New Roman" w:cs="Times New Roman" w:hint="eastAsia"/>
          <w:kern w:val="0"/>
          <w:sz w:val="28"/>
          <w:szCs w:val="28"/>
        </w:rPr>
        <w:t>、企业</w:t>
      </w:r>
      <w:r w:rsidRPr="00E543B8">
        <w:rPr>
          <w:rFonts w:ascii="Times New Roman" w:hAnsi="Times New Roman" w:cs="Times New Roman"/>
          <w:kern w:val="0"/>
          <w:sz w:val="28"/>
          <w:szCs w:val="28"/>
        </w:rPr>
        <w:t>等多家单位的专家成立了规范起草小组，开展标准的编制工作。</w:t>
      </w:r>
    </w:p>
    <w:p w14:paraId="0E4BB955" w14:textId="41A8E604" w:rsidR="00505FBC" w:rsidRPr="00E543B8" w:rsidRDefault="00000000">
      <w:pPr>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经工作组的不懈努力，在</w:t>
      </w:r>
      <w:r w:rsidRPr="00E543B8">
        <w:rPr>
          <w:rFonts w:ascii="Times New Roman" w:hAnsi="Times New Roman" w:cs="Times New Roman"/>
          <w:kern w:val="0"/>
          <w:sz w:val="28"/>
          <w:szCs w:val="28"/>
        </w:rPr>
        <w:t>202</w:t>
      </w:r>
      <w:r w:rsidR="00A8519C" w:rsidRPr="00E543B8">
        <w:rPr>
          <w:rFonts w:ascii="Times New Roman" w:hAnsi="Times New Roman" w:cs="Times New Roman" w:hint="eastAsia"/>
          <w:kern w:val="0"/>
          <w:sz w:val="28"/>
          <w:szCs w:val="28"/>
        </w:rPr>
        <w:t>6</w:t>
      </w:r>
      <w:r w:rsidRPr="00E543B8">
        <w:rPr>
          <w:rFonts w:ascii="Times New Roman" w:hAnsi="Times New Roman" w:cs="Times New Roman"/>
          <w:kern w:val="0"/>
          <w:sz w:val="28"/>
          <w:szCs w:val="28"/>
        </w:rPr>
        <w:t>年</w:t>
      </w:r>
      <w:r w:rsidR="005D56E9" w:rsidRPr="00E543B8">
        <w:rPr>
          <w:rFonts w:ascii="Times New Roman" w:hAnsi="Times New Roman" w:cs="Times New Roman" w:hint="eastAsia"/>
          <w:kern w:val="0"/>
          <w:sz w:val="28"/>
          <w:szCs w:val="28"/>
        </w:rPr>
        <w:t>1</w:t>
      </w:r>
      <w:r w:rsidRPr="00E543B8">
        <w:rPr>
          <w:rFonts w:ascii="Times New Roman" w:hAnsi="Times New Roman" w:cs="Times New Roman"/>
          <w:kern w:val="0"/>
          <w:sz w:val="28"/>
          <w:szCs w:val="28"/>
        </w:rPr>
        <w:t>月，完成了标准征求意见稿的编写工作。</w:t>
      </w:r>
    </w:p>
    <w:p w14:paraId="0A11B1B9" w14:textId="77777777" w:rsidR="00505FBC" w:rsidRPr="00E543B8" w:rsidRDefault="00000000">
      <w:pPr>
        <w:spacing w:line="360" w:lineRule="auto"/>
        <w:rPr>
          <w:rFonts w:ascii="Times New Roman" w:hAnsi="Times New Roman" w:cs="Times New Roman"/>
          <w:b/>
          <w:bCs/>
          <w:kern w:val="0"/>
          <w:sz w:val="28"/>
          <w:szCs w:val="28"/>
        </w:rPr>
      </w:pPr>
      <w:r w:rsidRPr="00E543B8">
        <w:rPr>
          <w:rFonts w:ascii="Times New Roman" w:hAnsi="Times New Roman" w:cs="Times New Roman"/>
          <w:b/>
          <w:bCs/>
          <w:kern w:val="0"/>
          <w:sz w:val="28"/>
          <w:szCs w:val="28"/>
        </w:rPr>
        <w:t>2</w:t>
      </w:r>
      <w:r w:rsidRPr="00E543B8">
        <w:rPr>
          <w:rFonts w:ascii="Times New Roman" w:hAnsi="Times New Roman" w:cs="Times New Roman"/>
          <w:b/>
          <w:bCs/>
          <w:kern w:val="0"/>
          <w:sz w:val="28"/>
          <w:szCs w:val="28"/>
        </w:rPr>
        <w:t>、起草人所做工作</w:t>
      </w:r>
    </w:p>
    <w:p w14:paraId="63DBB064" w14:textId="77777777" w:rsidR="00505FBC" w:rsidRPr="00E543B8" w:rsidRDefault="00000000">
      <w:pPr>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Pr="00E543B8" w:rsidRDefault="00000000">
      <w:pPr>
        <w:spacing w:line="360" w:lineRule="auto"/>
        <w:outlineLvl w:val="0"/>
        <w:rPr>
          <w:rFonts w:ascii="Times New Roman" w:eastAsia="黑体" w:hAnsi="Times New Roman" w:cs="Times New Roman"/>
          <w:b/>
          <w:sz w:val="30"/>
          <w:szCs w:val="30"/>
        </w:rPr>
      </w:pPr>
      <w:bookmarkStart w:id="1" w:name="_Toc16067"/>
      <w:r w:rsidRPr="00E543B8">
        <w:rPr>
          <w:rFonts w:ascii="Times New Roman" w:eastAsia="黑体" w:hAnsi="Times New Roman" w:cs="Times New Roman"/>
          <w:b/>
          <w:sz w:val="30"/>
          <w:szCs w:val="30"/>
        </w:rPr>
        <w:t>二、标准编制原则和主要内容</w:t>
      </w:r>
      <w:bookmarkEnd w:id="1"/>
    </w:p>
    <w:p w14:paraId="7FE53FD5" w14:textId="77777777" w:rsidR="00505FBC" w:rsidRPr="00E543B8" w:rsidRDefault="00000000">
      <w:pPr>
        <w:spacing w:line="360" w:lineRule="auto"/>
        <w:outlineLvl w:val="2"/>
        <w:rPr>
          <w:rFonts w:ascii="Times New Roman" w:hAnsi="Times New Roman" w:cs="Times New Roman"/>
          <w:b/>
          <w:sz w:val="28"/>
          <w:szCs w:val="28"/>
        </w:rPr>
      </w:pPr>
      <w:r w:rsidRPr="00E543B8">
        <w:rPr>
          <w:rFonts w:ascii="Times New Roman" w:hAnsi="Times New Roman" w:cs="Times New Roman"/>
          <w:b/>
          <w:sz w:val="28"/>
          <w:szCs w:val="28"/>
        </w:rPr>
        <w:t>（一）标准编制原则</w:t>
      </w:r>
    </w:p>
    <w:p w14:paraId="18CEBAF4" w14:textId="77777777" w:rsidR="00505FBC" w:rsidRPr="00E543B8" w:rsidRDefault="00000000">
      <w:pPr>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本标准依据相关行业标准，标准编制遵循</w:t>
      </w:r>
      <w:r w:rsidRPr="00E543B8">
        <w:rPr>
          <w:rFonts w:ascii="Times New Roman" w:hAnsi="Times New Roman" w:cs="Times New Roman"/>
          <w:kern w:val="0"/>
          <w:sz w:val="28"/>
          <w:szCs w:val="28"/>
        </w:rPr>
        <w:t>“</w:t>
      </w:r>
      <w:r w:rsidRPr="00E543B8">
        <w:rPr>
          <w:rFonts w:ascii="Times New Roman" w:hAnsi="Times New Roman" w:cs="Times New Roman"/>
          <w:kern w:val="0"/>
          <w:sz w:val="28"/>
          <w:szCs w:val="28"/>
        </w:rPr>
        <w:t>前瞻性、实用性、统一性、规范性</w:t>
      </w:r>
      <w:r w:rsidRPr="00E543B8">
        <w:rPr>
          <w:rFonts w:ascii="Times New Roman" w:hAnsi="Times New Roman" w:cs="Times New Roman"/>
          <w:kern w:val="0"/>
          <w:sz w:val="28"/>
          <w:szCs w:val="28"/>
        </w:rPr>
        <w:t>”</w:t>
      </w:r>
      <w:r w:rsidRPr="00E543B8">
        <w:rPr>
          <w:rFonts w:ascii="Times New Roman" w:hAnsi="Times New Roman" w:cs="Times New Roman"/>
          <w:kern w:val="0"/>
          <w:sz w:val="28"/>
          <w:szCs w:val="28"/>
        </w:rPr>
        <w:t>的原则，注重标准的可操作性，本标准严格按照《标准化工作指南》和</w:t>
      </w:r>
      <w:r w:rsidRPr="00E543B8">
        <w:rPr>
          <w:rFonts w:ascii="Times New Roman" w:hAnsi="Times New Roman" w:cs="Times New Roman"/>
          <w:kern w:val="0"/>
          <w:sz w:val="28"/>
          <w:szCs w:val="28"/>
        </w:rPr>
        <w:t>GB/T 1.1</w:t>
      </w:r>
      <w:r w:rsidRPr="00E543B8">
        <w:rPr>
          <w:rFonts w:ascii="Times New Roman" w:hAnsi="Times New Roman" w:cs="Times New Roman"/>
          <w:kern w:val="0"/>
          <w:sz w:val="28"/>
          <w:szCs w:val="28"/>
        </w:rPr>
        <w:t>《标准化工作导则</w:t>
      </w:r>
      <w:r w:rsidRPr="00E543B8">
        <w:rPr>
          <w:rFonts w:ascii="Times New Roman" w:hAnsi="Times New Roman" w:cs="Times New Roman"/>
          <w:kern w:val="0"/>
          <w:sz w:val="28"/>
          <w:szCs w:val="28"/>
        </w:rPr>
        <w:t xml:space="preserve"> </w:t>
      </w:r>
      <w:r w:rsidRPr="00E543B8">
        <w:rPr>
          <w:rFonts w:ascii="Times New Roman" w:hAnsi="Times New Roman" w:cs="Times New Roman"/>
          <w:kern w:val="0"/>
          <w:sz w:val="28"/>
          <w:szCs w:val="28"/>
        </w:rPr>
        <w:t>第一部分：标准的结构和编写》的要求进行编制。标准文本的编排采用中国标准编写模板</w:t>
      </w:r>
      <w:r w:rsidRPr="00E543B8">
        <w:rPr>
          <w:rFonts w:ascii="Times New Roman" w:hAnsi="Times New Roman" w:cs="Times New Roman"/>
          <w:kern w:val="0"/>
          <w:sz w:val="28"/>
          <w:szCs w:val="28"/>
        </w:rPr>
        <w:t>TCS 2009</w:t>
      </w:r>
      <w:r w:rsidRPr="00E543B8">
        <w:rPr>
          <w:rFonts w:ascii="Times New Roman" w:hAnsi="Times New Roman" w:cs="Times New Roman"/>
          <w:kern w:val="0"/>
          <w:sz w:val="28"/>
          <w:szCs w:val="28"/>
        </w:rPr>
        <w:t>版进行排版，确保标准文本的规范性。</w:t>
      </w:r>
    </w:p>
    <w:p w14:paraId="4DE6DDC2" w14:textId="77777777" w:rsidR="00505FBC" w:rsidRPr="00E543B8" w:rsidRDefault="00000000">
      <w:pPr>
        <w:spacing w:line="360" w:lineRule="auto"/>
        <w:outlineLvl w:val="2"/>
        <w:rPr>
          <w:rFonts w:ascii="Times New Roman" w:hAnsi="Times New Roman" w:cs="Times New Roman"/>
          <w:b/>
          <w:sz w:val="28"/>
          <w:szCs w:val="28"/>
        </w:rPr>
      </w:pPr>
      <w:r w:rsidRPr="00E543B8">
        <w:rPr>
          <w:rFonts w:ascii="Times New Roman" w:hAnsi="Times New Roman" w:cs="Times New Roman"/>
          <w:b/>
          <w:sz w:val="28"/>
          <w:szCs w:val="28"/>
        </w:rPr>
        <w:t>（二）标准主要技术内容</w:t>
      </w:r>
    </w:p>
    <w:p w14:paraId="2CD64161" w14:textId="3A4ED5D9" w:rsidR="00505FBC" w:rsidRPr="00E543B8" w:rsidRDefault="00000000">
      <w:pPr>
        <w:spacing w:line="360" w:lineRule="auto"/>
        <w:ind w:firstLineChars="200" w:firstLine="560"/>
        <w:rPr>
          <w:rFonts w:ascii="Times New Roman" w:hAnsi="Times New Roman" w:cs="Times New Roman"/>
          <w:sz w:val="28"/>
          <w:szCs w:val="28"/>
        </w:rPr>
      </w:pPr>
      <w:r w:rsidRPr="00E543B8">
        <w:rPr>
          <w:rFonts w:ascii="Times New Roman" w:hAnsi="Times New Roman" w:cs="Times New Roman"/>
          <w:sz w:val="28"/>
          <w:szCs w:val="28"/>
        </w:rPr>
        <w:t>本标准报批</w:t>
      </w:r>
      <w:proofErr w:type="gramStart"/>
      <w:r w:rsidRPr="00E543B8">
        <w:rPr>
          <w:rFonts w:ascii="Times New Roman" w:hAnsi="Times New Roman" w:cs="Times New Roman"/>
          <w:sz w:val="28"/>
          <w:szCs w:val="28"/>
        </w:rPr>
        <w:t>稿包括</w:t>
      </w:r>
      <w:proofErr w:type="gramEnd"/>
      <w:r w:rsidR="0068502C">
        <w:rPr>
          <w:rFonts w:ascii="Times New Roman" w:hAnsi="Times New Roman" w:cs="Times New Roman" w:hint="eastAsia"/>
          <w:sz w:val="28"/>
          <w:szCs w:val="28"/>
        </w:rPr>
        <w:t>7</w:t>
      </w:r>
      <w:r w:rsidRPr="00E543B8">
        <w:rPr>
          <w:rFonts w:ascii="Times New Roman" w:hAnsi="Times New Roman" w:cs="Times New Roman"/>
          <w:sz w:val="28"/>
          <w:szCs w:val="28"/>
        </w:rPr>
        <w:t>个部分，主要内容如下：</w:t>
      </w:r>
    </w:p>
    <w:p w14:paraId="2B162C2C"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19987165"/>
      <w:r w:rsidRPr="0068502C">
        <w:rPr>
          <w:rFonts w:ascii="宋体" w:eastAsia="宋体" w:hAnsi="宋体" w:hint="eastAsia"/>
          <w:sz w:val="28"/>
          <w:szCs w:val="24"/>
        </w:rPr>
        <w:t>范围</w:t>
      </w:r>
      <w:bookmarkEnd w:id="2"/>
      <w:bookmarkEnd w:id="3"/>
      <w:bookmarkEnd w:id="4"/>
      <w:bookmarkEnd w:id="5"/>
      <w:bookmarkEnd w:id="6"/>
      <w:bookmarkEnd w:id="7"/>
      <w:bookmarkEnd w:id="8"/>
      <w:bookmarkEnd w:id="9"/>
      <w:bookmarkEnd w:id="10"/>
      <w:bookmarkEnd w:id="11"/>
    </w:p>
    <w:p w14:paraId="0CA96270" w14:textId="77777777" w:rsidR="0068502C" w:rsidRPr="0068502C" w:rsidRDefault="0068502C" w:rsidP="0068502C">
      <w:pPr>
        <w:pStyle w:val="aff2"/>
        <w:spacing w:line="360" w:lineRule="auto"/>
        <w:ind w:firstLine="560"/>
        <w:rPr>
          <w:rFonts w:hAnsi="宋体"/>
          <w:sz w:val="28"/>
          <w:szCs w:val="24"/>
        </w:rPr>
      </w:pPr>
      <w:bookmarkStart w:id="12" w:name="_Toc17233326"/>
      <w:bookmarkStart w:id="13" w:name="_Toc17233334"/>
      <w:bookmarkStart w:id="14" w:name="_Toc24884212"/>
      <w:bookmarkStart w:id="15" w:name="_Toc24884219"/>
      <w:bookmarkStart w:id="16" w:name="_Toc26648466"/>
      <w:r w:rsidRPr="0068502C">
        <w:rPr>
          <w:rFonts w:hAnsi="宋体" w:hint="eastAsia"/>
          <w:sz w:val="28"/>
          <w:szCs w:val="24"/>
        </w:rPr>
        <w:t>本文件规定了绿色建筑规划及设计的基本原则、绿色规划、场地规划、设计。</w:t>
      </w:r>
    </w:p>
    <w:p w14:paraId="59321CFB"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t>本文件适用于绿色建筑规划及设计。</w:t>
      </w:r>
    </w:p>
    <w:p w14:paraId="728EAF29"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17" w:name="_Toc26718931"/>
      <w:bookmarkStart w:id="18" w:name="_Toc26986531"/>
      <w:bookmarkStart w:id="19" w:name="_Toc26986772"/>
      <w:bookmarkStart w:id="20" w:name="_Toc97192965"/>
      <w:bookmarkStart w:id="21" w:name="_Toc219987166"/>
      <w:r w:rsidRPr="0068502C">
        <w:rPr>
          <w:rFonts w:ascii="宋体" w:eastAsia="宋体" w:hAnsi="宋体" w:hint="eastAsia"/>
          <w:sz w:val="28"/>
          <w:szCs w:val="24"/>
        </w:rPr>
        <w:t>规范性引用文件</w:t>
      </w:r>
      <w:bookmarkEnd w:id="12"/>
      <w:bookmarkEnd w:id="13"/>
      <w:bookmarkEnd w:id="14"/>
      <w:bookmarkEnd w:id="15"/>
      <w:bookmarkEnd w:id="16"/>
      <w:bookmarkEnd w:id="17"/>
      <w:bookmarkEnd w:id="18"/>
      <w:bookmarkEnd w:id="19"/>
      <w:bookmarkEnd w:id="20"/>
      <w:bookmarkEnd w:id="21"/>
    </w:p>
    <w:sdt>
      <w:sdtPr>
        <w:rPr>
          <w:rFonts w:hAnsi="宋体" w:hint="eastAsia"/>
          <w:sz w:val="28"/>
          <w:szCs w:val="24"/>
        </w:rPr>
        <w:id w:val="715848253"/>
        <w:placeholder>
          <w:docPart w:val="DC095C82F9C94ABCB60EEDA3E90003F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6E299E6"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36FCE0"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hint="eastAsia"/>
          <w:sz w:val="28"/>
          <w:szCs w:val="24"/>
        </w:rPr>
        <w:t>GB 3096 声环境质量标准</w:t>
      </w:r>
    </w:p>
    <w:p w14:paraId="3E8FDB91"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GB/T 18091</w:t>
      </w:r>
      <w:r w:rsidRPr="0068502C">
        <w:rPr>
          <w:rFonts w:hAnsi="宋体" w:hint="eastAsia"/>
          <w:sz w:val="28"/>
          <w:szCs w:val="24"/>
        </w:rPr>
        <w:t xml:space="preserve"> 玻璃幕墙光热性能</w:t>
      </w:r>
    </w:p>
    <w:p w14:paraId="2FE71A60"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t>GB 50033 建筑采光设计标准</w:t>
      </w:r>
    </w:p>
    <w:p w14:paraId="4FEBA067"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 50096</w:t>
      </w:r>
      <w:r w:rsidRPr="0068502C">
        <w:rPr>
          <w:rFonts w:hAnsi="宋体" w:hint="eastAsia"/>
          <w:sz w:val="28"/>
          <w:szCs w:val="24"/>
        </w:rPr>
        <w:t xml:space="preserve"> 住宅设计规范</w:t>
      </w:r>
    </w:p>
    <w:p w14:paraId="1D756CDB"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hint="eastAsia"/>
          <w:sz w:val="28"/>
          <w:szCs w:val="24"/>
        </w:rPr>
        <w:t>GB 50118 民用建筑隔声设计规范</w:t>
      </w:r>
    </w:p>
    <w:p w14:paraId="3CDDD471"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t>GB 50180 城市居住区规划设计标准</w:t>
      </w:r>
    </w:p>
    <w:p w14:paraId="252BC673"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 50325</w:t>
      </w:r>
      <w:r w:rsidRPr="0068502C">
        <w:rPr>
          <w:rFonts w:hAnsi="宋体" w:hint="eastAsia"/>
          <w:sz w:val="28"/>
          <w:szCs w:val="24"/>
        </w:rPr>
        <w:t xml:space="preserve"> 民用建筑工程室内环境污染控制标准</w:t>
      </w:r>
    </w:p>
    <w:p w14:paraId="1B68E3A0"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hint="eastAsia"/>
          <w:sz w:val="28"/>
          <w:szCs w:val="24"/>
        </w:rPr>
        <w:t>GB 50352 民用建筑设计统一标准</w:t>
      </w:r>
    </w:p>
    <w:p w14:paraId="21F12D4B"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GB/T 50378</w:t>
      </w:r>
      <w:r w:rsidRPr="0068502C">
        <w:rPr>
          <w:rFonts w:hAnsi="宋体" w:hint="eastAsia"/>
          <w:sz w:val="28"/>
          <w:szCs w:val="24"/>
        </w:rPr>
        <w:t xml:space="preserve"> 绿色建筑评价标准</w:t>
      </w:r>
    </w:p>
    <w:p w14:paraId="3C636A9E"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 50400</w:t>
      </w:r>
      <w:r w:rsidRPr="0068502C">
        <w:rPr>
          <w:rFonts w:hAnsi="宋体" w:hint="eastAsia"/>
          <w:sz w:val="28"/>
          <w:szCs w:val="24"/>
        </w:rPr>
        <w:t xml:space="preserve"> 建筑与小区雨水控制及利用工程技术规范</w:t>
      </w:r>
    </w:p>
    <w:p w14:paraId="4CFDF71B"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t>GB 50736 民用建筑供暖通风与空气调节设计规范</w:t>
      </w:r>
    </w:p>
    <w:p w14:paraId="45FD9A21"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GB/T 51161</w:t>
      </w:r>
      <w:r w:rsidRPr="0068502C">
        <w:rPr>
          <w:rFonts w:hAnsi="宋体" w:hint="eastAsia"/>
          <w:sz w:val="28"/>
          <w:szCs w:val="24"/>
        </w:rPr>
        <w:t xml:space="preserve"> 民用建筑能耗标准</w:t>
      </w:r>
    </w:p>
    <w:p w14:paraId="2D0EBD3B"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GB/T 51313</w:t>
      </w:r>
      <w:r w:rsidRPr="0068502C">
        <w:rPr>
          <w:rFonts w:hAnsi="宋体" w:hint="eastAsia"/>
          <w:sz w:val="28"/>
          <w:szCs w:val="24"/>
        </w:rPr>
        <w:t xml:space="preserve"> 电动汽车分散充电设施工程技术标准</w:t>
      </w:r>
    </w:p>
    <w:p w14:paraId="297E40B9"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GB/T 51366</w:t>
      </w:r>
      <w:r w:rsidRPr="0068502C">
        <w:rPr>
          <w:rFonts w:hAnsi="宋体" w:hint="eastAsia"/>
          <w:sz w:val="28"/>
          <w:szCs w:val="24"/>
        </w:rPr>
        <w:t xml:space="preserve"> 建筑碳排放计算标准</w:t>
      </w:r>
    </w:p>
    <w:p w14:paraId="6B85CD33" w14:textId="77777777" w:rsidR="0068502C" w:rsidRPr="0068502C" w:rsidRDefault="0068502C" w:rsidP="0068502C">
      <w:pPr>
        <w:pStyle w:val="aff2"/>
        <w:spacing w:line="360" w:lineRule="auto"/>
        <w:ind w:firstLine="560"/>
        <w:rPr>
          <w:rFonts w:hAnsi="宋体" w:hint="eastAsia"/>
          <w:sz w:val="28"/>
          <w:szCs w:val="24"/>
        </w:rPr>
      </w:pPr>
      <w:r w:rsidRPr="0068502C">
        <w:rPr>
          <w:rFonts w:hAnsi="宋体"/>
          <w:sz w:val="28"/>
          <w:szCs w:val="24"/>
        </w:rPr>
        <w:t>JGJ/T 163</w:t>
      </w:r>
      <w:r w:rsidRPr="0068502C">
        <w:rPr>
          <w:rFonts w:hAnsi="宋体" w:hint="eastAsia"/>
          <w:sz w:val="28"/>
          <w:szCs w:val="24"/>
        </w:rPr>
        <w:t xml:space="preserve"> 城市夜景照明设计规范</w:t>
      </w:r>
    </w:p>
    <w:p w14:paraId="071E0F1F"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2" w:name="_Toc97192966"/>
      <w:bookmarkStart w:id="23" w:name="_Toc219987167"/>
      <w:r w:rsidRPr="0068502C">
        <w:rPr>
          <w:rFonts w:ascii="宋体" w:eastAsia="宋体" w:hAnsi="宋体" w:hint="eastAsia"/>
          <w:sz w:val="28"/>
          <w:szCs w:val="28"/>
        </w:rPr>
        <w:t>术语和定义</w:t>
      </w:r>
      <w:bookmarkEnd w:id="22"/>
      <w:bookmarkEnd w:id="23"/>
    </w:p>
    <w:bookmarkStart w:id="24" w:name="_Toc26986532" w:displacedByCustomXml="next"/>
    <w:bookmarkEnd w:id="24" w:displacedByCustomXml="next"/>
    <w:sdt>
      <w:sdtPr>
        <w:rPr>
          <w:rFonts w:hAnsi="宋体"/>
          <w:sz w:val="28"/>
          <w:szCs w:val="24"/>
        </w:rPr>
        <w:id w:val="-1909835108"/>
        <w:placeholder>
          <w:docPart w:val="316BF004B9C9446EB23F6E051E5C45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36D9D3" w14:textId="77777777" w:rsidR="0068502C" w:rsidRPr="0068502C" w:rsidRDefault="0068502C" w:rsidP="0068502C">
          <w:pPr>
            <w:pStyle w:val="aff2"/>
            <w:spacing w:line="360" w:lineRule="auto"/>
            <w:ind w:firstLine="560"/>
            <w:rPr>
              <w:rFonts w:hAnsi="宋体"/>
              <w:sz w:val="28"/>
              <w:szCs w:val="24"/>
            </w:rPr>
          </w:pPr>
          <w:r w:rsidRPr="0068502C">
            <w:rPr>
              <w:rFonts w:hAnsi="宋体"/>
              <w:sz w:val="28"/>
              <w:szCs w:val="24"/>
            </w:rPr>
            <w:t>下列术语和定义适用于本文件。</w:t>
          </w:r>
        </w:p>
      </w:sdtContent>
    </w:sdt>
    <w:p w14:paraId="7E4F4B04" w14:textId="77777777" w:rsidR="0068502C" w:rsidRPr="0068502C" w:rsidRDefault="0068502C" w:rsidP="0068502C">
      <w:pPr>
        <w:pStyle w:val="aff5"/>
        <w:numPr>
          <w:ilvl w:val="2"/>
          <w:numId w:val="3"/>
        </w:numPr>
        <w:spacing w:line="360" w:lineRule="auto"/>
        <w:ind w:left="560" w:hangingChars="200" w:hanging="560"/>
        <w:rPr>
          <w:rFonts w:hAnsi="宋体" w:hint="eastAsia"/>
          <w:sz w:val="28"/>
          <w:szCs w:val="24"/>
        </w:rPr>
      </w:pPr>
      <w:r w:rsidRPr="0068502C">
        <w:rPr>
          <w:rFonts w:hAnsi="宋体"/>
          <w:sz w:val="28"/>
          <w:szCs w:val="24"/>
        </w:rPr>
        <w:br/>
      </w:r>
      <w:r w:rsidRPr="0068502C">
        <w:rPr>
          <w:rFonts w:hAnsi="宋体" w:hint="eastAsia"/>
          <w:sz w:val="28"/>
          <w:szCs w:val="24"/>
        </w:rPr>
        <w:t>绿色建筑 green building</w:t>
      </w:r>
    </w:p>
    <w:p w14:paraId="42FDD0B7" w14:textId="77777777" w:rsidR="0068502C" w:rsidRPr="0068502C" w:rsidRDefault="0068502C" w:rsidP="0068502C">
      <w:pPr>
        <w:pStyle w:val="aff2"/>
        <w:spacing w:line="360" w:lineRule="auto"/>
        <w:ind w:firstLine="560"/>
        <w:rPr>
          <w:rFonts w:hAnsi="宋体"/>
          <w:sz w:val="28"/>
          <w:szCs w:val="24"/>
        </w:rPr>
      </w:pPr>
      <w:r w:rsidRPr="0068502C">
        <w:rPr>
          <w:rFonts w:hAnsi="宋体" w:hint="eastAsia"/>
          <w:sz w:val="28"/>
          <w:szCs w:val="24"/>
        </w:rPr>
        <w:lastRenderedPageBreak/>
        <w:t>在全寿命期内，节约资源、保护环境、减少污染，为人们提供健康、适用、高效的使用空间，最大限度地实现人与自然和谐共生的高质量建筑。</w:t>
      </w:r>
    </w:p>
    <w:p w14:paraId="1E3CC47D"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5" w:name="_Toc219987168"/>
      <w:r w:rsidRPr="0068502C">
        <w:rPr>
          <w:rFonts w:ascii="宋体" w:eastAsia="宋体" w:hAnsi="宋体" w:hint="eastAsia"/>
          <w:sz w:val="28"/>
          <w:szCs w:val="24"/>
        </w:rPr>
        <w:t>基本原则</w:t>
      </w:r>
      <w:bookmarkEnd w:id="25"/>
    </w:p>
    <w:p w14:paraId="1C4AB83E"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一般原则</w:t>
      </w:r>
    </w:p>
    <w:p w14:paraId="798AEB47"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绿色建筑的规划与设计应遵循可持续发展的理念，统筹考虑建筑全寿命期内安全耐久、健康舒适、生活便利、资源节约与环境宜居等方面的协调关系。</w:t>
      </w:r>
    </w:p>
    <w:p w14:paraId="6170EAF1"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绿色建筑的规划与设计应进行系统性整合与优化。规划阶段应为绿色设计创造基础条件，设计阶段应落实并深化规划要求，通过规划与设计的一体化协同，实现整体性能最优。</w:t>
      </w:r>
    </w:p>
    <w:p w14:paraId="43F20BF9"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绿色建筑的规划与设计应积极采用适宜、成熟、可靠的技术、设备和材料，其选择与应用应进行技术经济综合分析，优先采用被动式、低能耗、高效率、可循环的解决方案。</w:t>
      </w:r>
    </w:p>
    <w:p w14:paraId="37C222EE"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与设计过程应采用集成设计方法。应建立跨专业、跨阶段的工作协同机制，确保规划、建筑、结构、暖通空调、给水排水、电气与智能化、室内设计、景观及经济等各专业紧密配合、数据共享，从项目初期即开展综合性</w:t>
      </w:r>
      <w:proofErr w:type="gramStart"/>
      <w:r w:rsidRPr="0068502C">
        <w:rPr>
          <w:rFonts w:hAnsi="宋体" w:hint="eastAsia"/>
          <w:sz w:val="28"/>
          <w:szCs w:val="24"/>
        </w:rPr>
        <w:t>能目标</w:t>
      </w:r>
      <w:proofErr w:type="gramEnd"/>
      <w:r w:rsidRPr="0068502C">
        <w:rPr>
          <w:rFonts w:hAnsi="宋体" w:hint="eastAsia"/>
          <w:sz w:val="28"/>
          <w:szCs w:val="24"/>
        </w:rPr>
        <w:t>分析与方案优化。</w:t>
      </w:r>
    </w:p>
    <w:p w14:paraId="2DC2C546"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规划控制</w:t>
      </w:r>
    </w:p>
    <w:p w14:paraId="2416ECD7"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绿色建筑的规划应符合上位国土空间总体规划及相关专项规划的要求，并与周边生态环境、市政基础设施、公共服务设施相协调。</w:t>
      </w:r>
    </w:p>
    <w:p w14:paraId="1E88C8DA"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场地规划应遵循保护与修复相结合的原则。应对场地内的自然水系、植被、地形地貌等生态要素进行勘察与评估，并采取有效措施予以保护和合理利用；对已被破坏的生态环境，宜进行生态修复。</w:t>
      </w:r>
    </w:p>
    <w:p w14:paraId="008E1762"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lastRenderedPageBreak/>
        <w:t>规划布局应有利于节约集约利用资源。应合</w:t>
      </w:r>
      <w:proofErr w:type="gramStart"/>
      <w:r w:rsidRPr="0068502C">
        <w:rPr>
          <w:rFonts w:hAnsi="宋体" w:hint="eastAsia"/>
          <w:sz w:val="28"/>
          <w:szCs w:val="24"/>
        </w:rPr>
        <w:t>理确定</w:t>
      </w:r>
      <w:proofErr w:type="gramEnd"/>
      <w:r w:rsidRPr="0068502C">
        <w:rPr>
          <w:rFonts w:hAnsi="宋体" w:hint="eastAsia"/>
          <w:sz w:val="28"/>
          <w:szCs w:val="24"/>
        </w:rPr>
        <w:t>开发强度与建设规模，高效利用土地。场地内交通组织、空间布局宜有利于促进绿色出行，减少机动车交通需求。</w:t>
      </w:r>
    </w:p>
    <w:p w14:paraId="6623C951"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规划应充分考虑气候适应性与韧性。应分析场地所在地区的气候特征及自然灾害风险（如洪涝、强风、热浪等），在规划层面制定相应的适应与缓解策略，提升建筑群及社区的气候韧性。</w:t>
      </w:r>
    </w:p>
    <w:p w14:paraId="05EF038B"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设计实施</w:t>
      </w:r>
    </w:p>
    <w:p w14:paraId="3D67A5A4"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绿色建筑设计应以明确的性能目标为导向。设计</w:t>
      </w:r>
      <w:proofErr w:type="gramStart"/>
      <w:r w:rsidRPr="0068502C">
        <w:rPr>
          <w:rFonts w:hAnsi="宋体" w:hint="eastAsia"/>
          <w:sz w:val="28"/>
          <w:szCs w:val="24"/>
        </w:rPr>
        <w:t>前期应</w:t>
      </w:r>
      <w:proofErr w:type="gramEnd"/>
      <w:r w:rsidRPr="0068502C">
        <w:rPr>
          <w:rFonts w:hAnsi="宋体" w:hint="eastAsia"/>
          <w:sz w:val="28"/>
          <w:szCs w:val="24"/>
        </w:rPr>
        <w:t>依据项目定位、相关标准及业主要求，确定资源节约、环境负荷、室内环境质量等关键性能目标，并贯穿各设计阶段予以落实和验证。</w:t>
      </w:r>
    </w:p>
    <w:p w14:paraId="4C4A5C9E"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建筑设计应优先采用被动式设计策略。应通过合理的建筑朝向、空间布局、自然采光与通风设计、围护结构性能优化、遮阳措施等，最大限度降低建筑对主动式机械系统的依赖，降低建筑本体能耗需求。</w:t>
      </w:r>
    </w:p>
    <w:p w14:paraId="5BD003A5"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建筑系统的设计应遵循高效、循环的原则。暖通空调、给水排水、电气与智能化等系统的设计，应选用高效节能设备，优化系统形式与控制策略。宜系统规划水资源循环利用、废弃物分类处理及能源的梯级利用。</w:t>
      </w:r>
    </w:p>
    <w:p w14:paraId="5628C082"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建筑材料与部品的选用应遵循减少环境负荷的原则。在满足性能要求的前提下，应优先选用可再生、可循环、本土化的材料，以及获得绿色建材认证的产品。设计宜考虑建筑部品、材料的易拆解、可再利用性。</w:t>
      </w:r>
    </w:p>
    <w:p w14:paraId="746E26D2"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绿色建筑设计应为施工与运营提供便利。设计文件应包含绿色施工与绿色运营的相关技术要求，设计成果宜便于施工阶段的质量控制与运营阶段的管理优化，实现设计、施工、运营的协同衔接与信息传递。</w:t>
      </w:r>
    </w:p>
    <w:p w14:paraId="40D44033"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lastRenderedPageBreak/>
        <w:t>指标控制</w:t>
      </w:r>
    </w:p>
    <w:p w14:paraId="29AFAC63"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绿色建筑的规划与设计宜通过一套分层次、可量化的指标体系进行引导和控制。指标体系应涵盖场地与生态、资源与能源、环境与健康、管理与创新等方面。</w:t>
      </w:r>
    </w:p>
    <w:p w14:paraId="53750CDC"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指标宜分为约束性要求与提高性要求两个层级。约束性要求是绿色建筑必须达到的基本性能门槛，应符合国家现行相关强制性标准的规定。提高性要求是鼓励实现的更高性能目标，用于引导建筑品质的提升与技术创新。</w:t>
      </w:r>
    </w:p>
    <w:p w14:paraId="4C7B24EB"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指标的设定与评价可参照GB/T 50378等相关评价体系的核心要求，并结合项目具体情况和地域特点进行细化和调整，确保其科学性与可操作性。</w:t>
      </w:r>
    </w:p>
    <w:p w14:paraId="2B4432C6"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6" w:name="_Toc219987169"/>
      <w:r w:rsidRPr="0068502C">
        <w:rPr>
          <w:rFonts w:ascii="宋体" w:eastAsia="宋体" w:hAnsi="宋体" w:hint="eastAsia"/>
          <w:sz w:val="28"/>
          <w:szCs w:val="24"/>
        </w:rPr>
        <w:t>绿色规划</w:t>
      </w:r>
      <w:bookmarkEnd w:id="26"/>
    </w:p>
    <w:p w14:paraId="725CA2E1"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一般规定</w:t>
      </w:r>
    </w:p>
    <w:p w14:paraId="66E1807B"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绿色建筑规划应在项目立项或方案设计阶段同步开展，并与城市规划、场地设计及建筑方案进行全过程协同与迭代。规划应作为指导后续绿色建筑设计与实施的纲领性文件。</w:t>
      </w:r>
    </w:p>
    <w:p w14:paraId="740ADA81"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规划的核心是确立项目在建筑全寿命期内的综合性性能目标。规划应明确项目的绿色建筑总体定位、星级或等级目标、关键性能分项目标（如节能减碳、资源节约、环境健康等），并提出实现目标的核心技术路径与实施策略。</w:t>
      </w:r>
    </w:p>
    <w:p w14:paraId="5F6D6F50"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绿色建筑规划应基于全寿命期视角，对项目的资源消耗、环境影响和</w:t>
      </w:r>
      <w:proofErr w:type="gramStart"/>
      <w:r w:rsidRPr="0068502C">
        <w:rPr>
          <w:rFonts w:hAnsi="宋体" w:hint="eastAsia"/>
          <w:sz w:val="28"/>
          <w:szCs w:val="24"/>
        </w:rPr>
        <w:t>碳排放</w:t>
      </w:r>
      <w:proofErr w:type="gramEnd"/>
      <w:r w:rsidRPr="0068502C">
        <w:rPr>
          <w:rFonts w:hAnsi="宋体" w:hint="eastAsia"/>
          <w:sz w:val="28"/>
          <w:szCs w:val="24"/>
        </w:rPr>
        <w:t>进行定量分析与评估。应依据GB/T 51366及相关标准和方法，计算分析规划方案的预期碳排放强度，并应提出明确的、可验证</w:t>
      </w:r>
      <w:proofErr w:type="gramStart"/>
      <w:r w:rsidRPr="0068502C">
        <w:rPr>
          <w:rFonts w:hAnsi="宋体" w:hint="eastAsia"/>
          <w:sz w:val="28"/>
          <w:szCs w:val="24"/>
        </w:rPr>
        <w:t>的碳减排</w:t>
      </w:r>
      <w:proofErr w:type="gramEnd"/>
      <w:r w:rsidRPr="0068502C">
        <w:rPr>
          <w:rFonts w:hAnsi="宋体" w:hint="eastAsia"/>
          <w:sz w:val="28"/>
          <w:szCs w:val="24"/>
        </w:rPr>
        <w:t>目标与实施路径。</w:t>
      </w:r>
    </w:p>
    <w:p w14:paraId="045431FF"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lastRenderedPageBreak/>
        <w:t>绿色建筑规划内容与深度应满足对应设计阶段的要求，其成果应具有可实施性，并能有效指导下一阶段的设计工作，确保规划目标的层层传递与落实。</w:t>
      </w:r>
    </w:p>
    <w:p w14:paraId="2D0EC6A0"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策划内容</w:t>
      </w:r>
    </w:p>
    <w:p w14:paraId="2AE6AA70"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绿色建筑规划策划应系统、完整，其工作内容应包括以下方面：</w:t>
      </w:r>
    </w:p>
    <w:p w14:paraId="6E255B02"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前期调研与分析；</w:t>
      </w:r>
    </w:p>
    <w:p w14:paraId="2A215124"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项目定位与目标体系构建；</w:t>
      </w:r>
    </w:p>
    <w:p w14:paraId="5B329DD4"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绿色技术策略集成与方案比选；</w:t>
      </w:r>
    </w:p>
    <w:p w14:paraId="3FDDC05B"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全寿命</w:t>
      </w:r>
      <w:proofErr w:type="gramStart"/>
      <w:r w:rsidRPr="0068502C">
        <w:rPr>
          <w:rFonts w:hAnsi="宋体" w:hint="eastAsia"/>
          <w:sz w:val="28"/>
          <w:szCs w:val="24"/>
        </w:rPr>
        <w:t>期技术</w:t>
      </w:r>
      <w:proofErr w:type="gramEnd"/>
      <w:r w:rsidRPr="0068502C">
        <w:rPr>
          <w:rFonts w:hAnsi="宋体" w:hint="eastAsia"/>
          <w:sz w:val="28"/>
          <w:szCs w:val="24"/>
        </w:rPr>
        <w:t>经济可行性分析。</w:t>
      </w:r>
    </w:p>
    <w:p w14:paraId="392943F1"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前期调研应包括场地分析、市场分析和社会环境分析,并应符合下列规定:</w:t>
      </w:r>
    </w:p>
    <w:p w14:paraId="7F204911"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场地与生态环境分析：应对场地的地理区位、气候特征（温度、降水、日照、风玫瑰图等）、地形地貌、水文地质、现有植被与生态系统、土壤状况、声光热物理环境、周边交通与市政基础设施（特别是能源、水资源、废弃物处理条件）以及可利用的再生资源（如太阳能、浅层地热、雨水等）进行详细调查与评估。</w:t>
      </w:r>
    </w:p>
    <w:p w14:paraId="14A00D2F"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社会与人文环境分析：宜对项目所在区域的社会经济发展水平、地方文化特色、城市文脉、主要用户群体特征与行为模式、社区服务设施配置及未来发展规划进行调研，使绿色建筑规划与区域发展相协调。</w:t>
      </w:r>
    </w:p>
    <w:p w14:paraId="5B268F3A"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市场与政策条件分析：应调研项目的功能需求、市场定位、运营管理模式、适用的国家及行业绿色建筑与节能</w:t>
      </w:r>
      <w:proofErr w:type="gramStart"/>
      <w:r w:rsidRPr="0068502C">
        <w:rPr>
          <w:rFonts w:hAnsi="宋体" w:hint="eastAsia"/>
          <w:sz w:val="28"/>
          <w:szCs w:val="24"/>
        </w:rPr>
        <w:t>减碳相关</w:t>
      </w:r>
      <w:proofErr w:type="gramEnd"/>
      <w:r w:rsidRPr="0068502C">
        <w:rPr>
          <w:rFonts w:hAnsi="宋体" w:hint="eastAsia"/>
          <w:sz w:val="28"/>
          <w:szCs w:val="24"/>
        </w:rPr>
        <w:t>法律法规、政策导向、标准规范及可能的激励措施。</w:t>
      </w:r>
    </w:p>
    <w:p w14:paraId="71518506"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项目定位与目标分析应包括下列内容:</w:t>
      </w:r>
    </w:p>
    <w:p w14:paraId="5F693907"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lastRenderedPageBreak/>
        <w:t>明确项目特点与核心需求：结合业主要求、使用功能、投资规模等因素，明确项目的个性化特征与核心绿色诉求。</w:t>
      </w:r>
    </w:p>
    <w:p w14:paraId="62BDB980"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确定绿色建筑等级目标：依据GB/T 50378或其他适用的评价体系，确定项目拟达到的绿色建筑星级或等级目标。</w:t>
      </w:r>
    </w:p>
    <w:p w14:paraId="23825C49"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构建关键性能指标体系：应分解总体目标，制定覆盖安全耐久、健康舒适、生活便利、资源节约、环境宜居等维度的定量与定性关键性能指标。指标可分为约束性要求（必须达到的基本门槛）和提高性要求（鼓励实现的更高目标）。指标值应参照国家及行业现行相关标准设定。</w:t>
      </w:r>
    </w:p>
    <w:p w14:paraId="5B1B2EDD"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制定实施路线图：明确实现各项目标指标的主要阶段、责任分工和技术与管理保障措施。</w:t>
      </w:r>
    </w:p>
    <w:p w14:paraId="3CE1C607"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绿色建筑设计方案与实施策略分析应包括下列内容:</w:t>
      </w:r>
    </w:p>
    <w:p w14:paraId="3C76CA0B"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贯彻被动优先原则：应优先规划和评估通过场地规划、建筑布局、朝向、形体、空间、围护结构性能优化等被动式设计手段降低建筑用能需求、改善室内环境的潜力。</w:t>
      </w:r>
    </w:p>
    <w:p w14:paraId="3431D71F"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优化主动技术系统：在被动设计基础上，应对暖通空调、照明、给排水、电气及可再生能源系统等进行集成设计与能效优化比选。鼓励采用高效设备、智能控制、复合能源系统及资源循环利用技术。</w:t>
      </w:r>
    </w:p>
    <w:p w14:paraId="771692E8"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进行多方案比选：</w:t>
      </w:r>
      <w:proofErr w:type="gramStart"/>
      <w:r w:rsidRPr="0068502C">
        <w:rPr>
          <w:rFonts w:hAnsi="宋体" w:hint="eastAsia"/>
          <w:sz w:val="28"/>
          <w:szCs w:val="24"/>
        </w:rPr>
        <w:t>宜针对</w:t>
      </w:r>
      <w:proofErr w:type="gramEnd"/>
      <w:r w:rsidRPr="0068502C">
        <w:rPr>
          <w:rFonts w:hAnsi="宋体" w:hint="eastAsia"/>
          <w:sz w:val="28"/>
          <w:szCs w:val="24"/>
        </w:rPr>
        <w:t>主要技术策略（如能源系统形式、水资源利用方案、围护结构构造等）提出两个及以上可比方案，并从技术适应性、性能提升效果、初投资、运行费用、环境影响（</w:t>
      </w:r>
      <w:proofErr w:type="gramStart"/>
      <w:r w:rsidRPr="0068502C">
        <w:rPr>
          <w:rFonts w:hAnsi="宋体" w:hint="eastAsia"/>
          <w:sz w:val="28"/>
          <w:szCs w:val="24"/>
        </w:rPr>
        <w:t>碳减排</w:t>
      </w:r>
      <w:proofErr w:type="gramEnd"/>
      <w:r w:rsidRPr="0068502C">
        <w:rPr>
          <w:rFonts w:hAnsi="宋体" w:hint="eastAsia"/>
          <w:sz w:val="28"/>
          <w:szCs w:val="24"/>
        </w:rPr>
        <w:t>潜力）等方面进行综合比较分析。</w:t>
      </w:r>
    </w:p>
    <w:p w14:paraId="380EB589"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lastRenderedPageBreak/>
        <w:t>材料与部品规划：提出建筑材料、装修材料及主要设备部品的绿色选用原则，鼓励选用获得绿色建材认证、高强耐久、可循环利用的本土化产品。</w:t>
      </w:r>
    </w:p>
    <w:p w14:paraId="275707F0" w14:textId="77777777" w:rsidR="0068502C" w:rsidRPr="0068502C" w:rsidRDefault="0068502C" w:rsidP="0068502C">
      <w:pPr>
        <w:pStyle w:val="aff4"/>
        <w:spacing w:line="360" w:lineRule="auto"/>
        <w:rPr>
          <w:rFonts w:hAnsi="宋体"/>
          <w:sz w:val="28"/>
          <w:szCs w:val="24"/>
        </w:rPr>
      </w:pPr>
      <w:r w:rsidRPr="0068502C">
        <w:rPr>
          <w:rFonts w:hAnsi="宋体" w:hint="eastAsia"/>
          <w:sz w:val="28"/>
          <w:szCs w:val="24"/>
        </w:rPr>
        <w:t>技术经济可行性分析应包括下列内容：</w:t>
      </w:r>
    </w:p>
    <w:p w14:paraId="50D83A62"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技术可行性分析；</w:t>
      </w:r>
    </w:p>
    <w:p w14:paraId="1244A449"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效益分析；</w:t>
      </w:r>
    </w:p>
    <w:p w14:paraId="6E5F4076"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风险分析。</w:t>
      </w:r>
    </w:p>
    <w:p w14:paraId="5738D4B2"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主要指标</w:t>
      </w:r>
    </w:p>
    <w:p w14:paraId="3A4484CF" w14:textId="77777777" w:rsidR="0068502C" w:rsidRPr="0068502C" w:rsidRDefault="0068502C" w:rsidP="0068502C">
      <w:pPr>
        <w:pStyle w:val="aff2"/>
        <w:spacing w:line="360" w:lineRule="auto"/>
        <w:ind w:firstLine="560"/>
        <w:rPr>
          <w:rFonts w:hAnsi="宋体"/>
          <w:sz w:val="28"/>
          <w:szCs w:val="24"/>
        </w:rPr>
      </w:pPr>
      <w:r w:rsidRPr="0068502C">
        <w:rPr>
          <w:rFonts w:hAnsi="宋体"/>
          <w:sz w:val="28"/>
          <w:szCs w:val="24"/>
        </w:rPr>
        <w:t>为保障绿色建筑规划的核心目标落地，项目在规划阶段应设定并控制以下主要指标：</w:t>
      </w:r>
    </w:p>
    <w:p w14:paraId="71A7D25C"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能效与碳排放指标：</w:t>
      </w:r>
    </w:p>
    <w:p w14:paraId="4E3E1978"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建筑设计能耗水平应符合国家节能设计标准的要求。鼓励（提高性要求）公共建筑设计能耗低于GB/T 51161中同类建筑约束值的90%，居住建筑设计能耗达到更高能效水平。</w:t>
      </w:r>
    </w:p>
    <w:p w14:paraId="3F63E8C9"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应进行建筑全寿命期碳排放计算分析。项目宜设定单位建筑面积的碳排放强度降低率目标（相较于基准建筑或行业平均水平），并规划具体的减排措施。</w:t>
      </w:r>
    </w:p>
    <w:p w14:paraId="76E638D7"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可再生能源利用指标：为减少化石能源消耗，新建建筑应合理利用可再生能源。可再生能源利用率的确定应基于技术经济合理性分析。鼓励（提高性要求）建筑设置可再生能源利用系统，其提供的能量（或电量）占建筑总能耗的比例达到一定水平（如5%或更高）。</w:t>
      </w:r>
    </w:p>
    <w:p w14:paraId="791F776E"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水资源利用指标：</w:t>
      </w:r>
    </w:p>
    <w:p w14:paraId="4735A362"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lastRenderedPageBreak/>
        <w:t>场地开发应遵循海绵城市理念，应制定雨水径流控制目标。场地年径流总量控制率不宜低于70%，且应与场地所在区域的雨水管理要求相协调。</w:t>
      </w:r>
    </w:p>
    <w:p w14:paraId="6FC9BA25"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宜规划非传统水源（如雨水、再生水）的利用，并设定合理的非传统水源利用率目标，用于绿化灌溉、道路冲洗、车库冲洗、冲厕等。</w:t>
      </w:r>
    </w:p>
    <w:p w14:paraId="28F70B96"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室内环境质量保障指标：</w:t>
      </w:r>
    </w:p>
    <w:p w14:paraId="288453EF"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在规划阶段，应通过合理的场地布局、建筑朝向和间距设计，为建筑的主要功能房间获取良好的日照、采光和自然通风创造条件。</w:t>
      </w:r>
    </w:p>
    <w:p w14:paraId="7794B483"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应明确室内空气质量、声环境、光环境、热湿环境的关键设计参数目标，其限值或标准应满足GB 50736、GB 50033、GB 50118等的规定。</w:t>
      </w:r>
    </w:p>
    <w:p w14:paraId="1EDE0ABD"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绿色建造与长效运营指标：</w:t>
      </w:r>
    </w:p>
    <w:p w14:paraId="474EC5F5"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鼓励在规划阶段考虑采用装配式建造方式，并设定适宜的装配率目标。</w:t>
      </w:r>
    </w:p>
    <w:p w14:paraId="340D24EB"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应对建筑的主要功能空间（如住宅的套内、公共建筑的公共区域）提出全装修交付的要求，避免重复装修和材料浪费。</w:t>
      </w:r>
    </w:p>
    <w:p w14:paraId="774E07D6" w14:textId="77777777" w:rsidR="0068502C" w:rsidRPr="0068502C" w:rsidRDefault="0068502C" w:rsidP="0068502C">
      <w:pPr>
        <w:pStyle w:val="2"/>
        <w:tabs>
          <w:tab w:val="clear" w:pos="360"/>
        </w:tabs>
        <w:spacing w:line="360" w:lineRule="auto"/>
        <w:ind w:left="851"/>
        <w:rPr>
          <w:rFonts w:hAnsi="宋体"/>
          <w:sz w:val="28"/>
          <w:szCs w:val="24"/>
        </w:rPr>
      </w:pPr>
      <w:r w:rsidRPr="0068502C">
        <w:rPr>
          <w:rFonts w:hAnsi="宋体" w:hint="eastAsia"/>
          <w:sz w:val="28"/>
          <w:szCs w:val="24"/>
        </w:rPr>
        <w:t>宜规划建筑智慧运营管理系统，对建筑的能耗、水耗、室内环境、设备运行状态等进行监测、计量与优化控制，为绿色运营提供基础。</w:t>
      </w:r>
    </w:p>
    <w:p w14:paraId="078F8CFD"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综合品质提升引导：鼓励项目在满足基本绿色目标基础上，将绿色建筑与近零能耗建筑、健康建筑、智慧建筑等先进理念相结合，确定更高的“绿色建筑+”综合性品质目标，引领行业高质量发展。</w:t>
      </w:r>
    </w:p>
    <w:p w14:paraId="29207D49"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7" w:name="_Toc219987170"/>
      <w:r w:rsidRPr="0068502C">
        <w:rPr>
          <w:rFonts w:ascii="宋体" w:eastAsia="宋体" w:hAnsi="宋体" w:hint="eastAsia"/>
          <w:sz w:val="28"/>
          <w:szCs w:val="24"/>
        </w:rPr>
        <w:lastRenderedPageBreak/>
        <w:t>场地规划</w:t>
      </w:r>
      <w:bookmarkEnd w:id="27"/>
    </w:p>
    <w:p w14:paraId="5E7315E9"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选址与规划</w:t>
      </w:r>
    </w:p>
    <w:p w14:paraId="001C74EC" w14:textId="77777777" w:rsidR="0068502C" w:rsidRPr="0068502C" w:rsidRDefault="0068502C" w:rsidP="0068502C">
      <w:pPr>
        <w:pStyle w:val="a7"/>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约束性要求</w:t>
      </w:r>
    </w:p>
    <w:p w14:paraId="5EBE3D13"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项目选址必须满足安全与生态保护的基本前提，并应符合下列规定：</w:t>
      </w:r>
    </w:p>
    <w:p w14:paraId="4339FCB6"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场地应规避洪涝、滑坡、泥石流、地面沉降等自然灾害及地质病害的威胁，同时应远离危险化学品、易燃易爆等危险源，以及存在电磁辐射、土壤氡浓度超标等健康安全隐患的区域。</w:t>
      </w:r>
    </w:p>
    <w:p w14:paraId="22A0AF2E"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场地内及周边区域不应存在污染物排放未达到国家现行相关标准规定的固定污染源。</w:t>
      </w:r>
    </w:p>
    <w:p w14:paraId="096D421E"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不应破坏或侵占经法定规划确定的城市绿线、蓝线、紫线及黄线等控制范围。应最大限度地保护场地内原有的自然水体、湿地、具有生态价值的植被群落及表土资源。</w:t>
      </w:r>
    </w:p>
    <w:p w14:paraId="3F8E3A89"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建筑规划布局应满足国家现行日照标准的要求，并应符合下列规定：</w:t>
      </w:r>
    </w:p>
    <w:p w14:paraId="4E68781B"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建筑日照应满足GB 50180、GB 50352及其他相关标准的规定。</w:t>
      </w:r>
    </w:p>
    <w:p w14:paraId="18D47196"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项目规划建设不应降低周边既有合法建筑、幼儿园、中小学教学楼、医院病房楼、老年人居住建筑等有日照标准要求的建筑的日照时长与质量。</w:t>
      </w:r>
    </w:p>
    <w:p w14:paraId="29164FCD"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场地总平面规划应合理布局建筑、道路、广场、绿地与开放空间，促进土地节约集约利用。建筑密度、容积率、绿地率等主要规划指标应符合所在地控制性详细规划的要求。</w:t>
      </w:r>
    </w:p>
    <w:p w14:paraId="580029D0"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lastRenderedPageBreak/>
        <w:t>场地规划应保障必要的消防、救护及应急救援通道，其宽度、坡度、转弯半径、净空高度及承载能力应满足国家现行相关标准的规定，并确保在紧急情况下畅通无阻。</w:t>
      </w:r>
    </w:p>
    <w:p w14:paraId="1950EF33" w14:textId="77777777" w:rsidR="0068502C" w:rsidRPr="0068502C" w:rsidRDefault="0068502C" w:rsidP="0068502C">
      <w:pPr>
        <w:pStyle w:val="a7"/>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提高性要求</w:t>
      </w:r>
    </w:p>
    <w:p w14:paraId="50F53AD0"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场地规划宜遵循城市设计与场所营造的理念，塑造与区域自然人文环境相协调的建筑风貌与空间形态，并</w:t>
      </w:r>
      <w:proofErr w:type="gramStart"/>
      <w:r w:rsidRPr="0068502C">
        <w:rPr>
          <w:rFonts w:hAnsi="宋体" w:hint="eastAsia"/>
          <w:sz w:val="28"/>
          <w:szCs w:val="24"/>
        </w:rPr>
        <w:t>宜符合</w:t>
      </w:r>
      <w:proofErr w:type="gramEnd"/>
      <w:r w:rsidRPr="0068502C">
        <w:rPr>
          <w:rFonts w:hAnsi="宋体" w:hint="eastAsia"/>
          <w:sz w:val="28"/>
          <w:szCs w:val="24"/>
        </w:rPr>
        <w:t>下列规定：</w:t>
      </w:r>
    </w:p>
    <w:p w14:paraId="6ADE1BBF"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建筑群体的布局、尺度、高度、体量、色彩及材质宜顺应基地自然条件，与周边城市空间肌理、景观风貌有机融合。</w:t>
      </w:r>
    </w:p>
    <w:p w14:paraId="65DB5496"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宜通过建筑退让、底层架空、景观渗透等手法，促进建筑空间与公共开放空间的相互交融，营造积极的城市界面和宜人的空间尺度。</w:t>
      </w:r>
    </w:p>
    <w:p w14:paraId="2A48F568"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鼓励对场地内有历史价值、文化意义或利用潜力的既有建筑、构筑物、工业遗存或特色植被进行保护、改造与再利用，延续场地记忆。</w:t>
      </w:r>
    </w:p>
    <w:p w14:paraId="4BFB545F"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场地规划宜注重人性化设计，提升公共空间的舒适性与便利性。宜结合主要人流路径和活动节点，设置风雨连廊、步行与自行车专用通道、带自然采光的地下空间出入口、开放的公共步道及休憩节点等设施。</w:t>
      </w:r>
    </w:p>
    <w:p w14:paraId="03E0A632"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在满足功能与安全的前提下，鼓励采用集中与分散相结合的布局模式，通过建筑形体的合理组合，为场地内创造更多日照充足、通风良好的室外活动场地与庭院空间。</w:t>
      </w:r>
    </w:p>
    <w:p w14:paraId="5C546BEF"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地下空间</w:t>
      </w:r>
    </w:p>
    <w:p w14:paraId="2DBD8A44" w14:textId="77777777" w:rsidR="0068502C" w:rsidRPr="0068502C" w:rsidRDefault="0068502C" w:rsidP="0068502C">
      <w:pPr>
        <w:pStyle w:val="a7"/>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约束性要求</w:t>
      </w:r>
    </w:p>
    <w:p w14:paraId="5B6E0F65"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地下空间的开发利用应贯彻安全、集约、高效的原则，其规模与功能应与地上建筑、场地条件及城市地下空间规划相协调。</w:t>
      </w:r>
    </w:p>
    <w:p w14:paraId="2851747A"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lastRenderedPageBreak/>
        <w:t>地下空间的功能布局应合理分区。对于地下停车场、设备用房等可能产生废气、噪声或污染物的场所，应采取有效的机械通风、空气净化、隔声降噪及污染物处理措施，其排放应符合国家现行环境保护标准的要求。地下餐饮、厨房等功能区域必须独立设置油烟净化与排放系统。</w:t>
      </w:r>
    </w:p>
    <w:p w14:paraId="57EE3D8B"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地下空间的设计必须符合国家现行有关防火、防水、防灾、抗震及人民防空等标准的规定。应设置清晰、完备的安全疏散指示系统、应急照明系统和消防设施。</w:t>
      </w:r>
    </w:p>
    <w:p w14:paraId="69BBD370" w14:textId="77777777" w:rsidR="0068502C" w:rsidRPr="0068502C" w:rsidRDefault="0068502C" w:rsidP="0068502C">
      <w:pPr>
        <w:pStyle w:val="a7"/>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提高性要求</w:t>
      </w:r>
    </w:p>
    <w:p w14:paraId="65AB56A3"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在技术经济合理且符合城市规划的前提下，鼓励地下空间的互联互通与复合利用。</w:t>
      </w:r>
      <w:proofErr w:type="gramStart"/>
      <w:r w:rsidRPr="0068502C">
        <w:rPr>
          <w:rFonts w:hAnsi="宋体" w:hint="eastAsia"/>
          <w:sz w:val="28"/>
          <w:szCs w:val="24"/>
        </w:rPr>
        <w:t>场地内地下空间宜</w:t>
      </w:r>
      <w:proofErr w:type="gramEnd"/>
      <w:r w:rsidRPr="0068502C">
        <w:rPr>
          <w:rFonts w:hAnsi="宋体" w:hint="eastAsia"/>
          <w:sz w:val="28"/>
          <w:szCs w:val="24"/>
        </w:rPr>
        <w:t>与相邻地块、城市公共地下空间（如地铁站、地下商业街、地下停车库）进行连通设计，形成网络化、一体化的地下系统，提高利用效率。</w:t>
      </w:r>
    </w:p>
    <w:p w14:paraId="79279B14"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为促进生态效益，地下空间顶板的覆土设计</w:t>
      </w:r>
      <w:proofErr w:type="gramStart"/>
      <w:r w:rsidRPr="0068502C">
        <w:rPr>
          <w:rFonts w:hAnsi="宋体" w:hint="eastAsia"/>
          <w:sz w:val="28"/>
          <w:szCs w:val="24"/>
        </w:rPr>
        <w:t>宜满足</w:t>
      </w:r>
      <w:proofErr w:type="gramEnd"/>
      <w:r w:rsidRPr="0068502C">
        <w:rPr>
          <w:rFonts w:hAnsi="宋体" w:hint="eastAsia"/>
          <w:sz w:val="28"/>
          <w:szCs w:val="24"/>
        </w:rPr>
        <w:t>以下要求：</w:t>
      </w:r>
    </w:p>
    <w:p w14:paraId="7F7555BC"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地下设施顶板上用于种植乔木的覆土厚度不宜小于1.5米，用于种植灌木、花卉、草坪的覆土厚度应满足其生长需求。</w:t>
      </w:r>
    </w:p>
    <w:p w14:paraId="5366F6B8"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覆土区域的设计</w:t>
      </w:r>
      <w:proofErr w:type="gramStart"/>
      <w:r w:rsidRPr="0068502C">
        <w:rPr>
          <w:rFonts w:hAnsi="宋体" w:hint="eastAsia"/>
          <w:sz w:val="28"/>
          <w:szCs w:val="24"/>
        </w:rPr>
        <w:t>宜确保</w:t>
      </w:r>
      <w:proofErr w:type="gramEnd"/>
      <w:r w:rsidRPr="0068502C">
        <w:rPr>
          <w:rFonts w:hAnsi="宋体" w:hint="eastAsia"/>
          <w:sz w:val="28"/>
          <w:szCs w:val="24"/>
        </w:rPr>
        <w:t>土壤与周边自然土壤的有效连通，或设置完善的排水与灌溉系统，以利于植物根系的生长发育和水分的自然循环。</w:t>
      </w:r>
    </w:p>
    <w:p w14:paraId="3013E090" w14:textId="77777777" w:rsidR="0068502C" w:rsidRPr="0068502C" w:rsidRDefault="0068502C" w:rsidP="0068502C">
      <w:pPr>
        <w:pStyle w:val="a2"/>
        <w:spacing w:line="360" w:lineRule="auto"/>
        <w:rPr>
          <w:rFonts w:hAnsi="宋体"/>
          <w:sz w:val="28"/>
          <w:szCs w:val="24"/>
        </w:rPr>
      </w:pPr>
      <w:r w:rsidRPr="0068502C">
        <w:rPr>
          <w:rFonts w:hAnsi="宋体" w:hint="eastAsia"/>
          <w:sz w:val="28"/>
          <w:szCs w:val="24"/>
        </w:rPr>
        <w:t>地下空间顶板宜进行绿化设计，并计入场地总体绿地率。</w:t>
      </w:r>
    </w:p>
    <w:p w14:paraId="059AC77D"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地下空间宜积极引入自然采光与通风。可通过设置下沉庭院、采光天窗、导光管等技术措施，改善地下空间的物理环境质量，降低人工照明与机械通风的能耗。</w:t>
      </w:r>
    </w:p>
    <w:p w14:paraId="1DE3AB5A"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场地环境</w:t>
      </w:r>
    </w:p>
    <w:p w14:paraId="4231643A" w14:textId="77777777" w:rsidR="0068502C" w:rsidRPr="0068502C" w:rsidRDefault="0068502C" w:rsidP="0068502C">
      <w:pPr>
        <w:pStyle w:val="a7"/>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约束性要求</w:t>
      </w:r>
    </w:p>
    <w:p w14:paraId="7BDED850" w14:textId="77777777" w:rsidR="0068502C" w:rsidRPr="0068502C" w:rsidRDefault="0068502C" w:rsidP="0068502C">
      <w:pPr>
        <w:pStyle w:val="aff3"/>
        <w:spacing w:line="360" w:lineRule="auto"/>
        <w:rPr>
          <w:rFonts w:hAnsi="宋体" w:hint="eastAsia"/>
          <w:sz w:val="28"/>
          <w:szCs w:val="24"/>
        </w:rPr>
      </w:pPr>
      <w:proofErr w:type="gramStart"/>
      <w:r w:rsidRPr="0068502C">
        <w:rPr>
          <w:rFonts w:hAnsi="宋体" w:hint="eastAsia"/>
          <w:sz w:val="28"/>
          <w:szCs w:val="24"/>
        </w:rPr>
        <w:lastRenderedPageBreak/>
        <w:t>场地声</w:t>
      </w:r>
      <w:proofErr w:type="gramEnd"/>
      <w:r w:rsidRPr="0068502C">
        <w:rPr>
          <w:rFonts w:hAnsi="宋体" w:hint="eastAsia"/>
          <w:sz w:val="28"/>
          <w:szCs w:val="24"/>
        </w:rPr>
        <w:t>环境应符合GB 3096的规定。规划布局宜采取以下措施控制噪声影响：</w:t>
      </w:r>
    </w:p>
    <w:p w14:paraId="2F1D6DB3"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将噪声敏感的建筑（如住宅、学校、医院病房、办公室等）布置在远离城市主干道、铁路、机场等主要噪声源的一侧。</w:t>
      </w:r>
    </w:p>
    <w:p w14:paraId="17063097"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合理利用地形、绿化带、隔声屏障或非噪声敏感建筑进行隔声降噪。</w:t>
      </w:r>
    </w:p>
    <w:p w14:paraId="6382CC0C"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场地内部交通宜实行人车分流，并采用低噪声路面材料、限速及禁鸣等措施。</w:t>
      </w:r>
    </w:p>
    <w:p w14:paraId="2BDAD53B"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场地光环境应避免光污染，并应符合下列规定：</w:t>
      </w:r>
    </w:p>
    <w:p w14:paraId="05330F5B"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建筑立面（尤其是玻璃幕墙）设计时，其选用的玻璃及材料的可见光反射比应符合GB/T 18091等的规定，且不应大于0.2，以防止对周边道路、建筑及行人的反射眩光干扰。</w:t>
      </w:r>
    </w:p>
    <w:p w14:paraId="12E0BE26"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室外夜景照明设计应符合JGJ/T 163的规定，控制</w:t>
      </w:r>
      <w:proofErr w:type="gramStart"/>
      <w:r w:rsidRPr="0068502C">
        <w:rPr>
          <w:rFonts w:hAnsi="宋体" w:hint="eastAsia"/>
          <w:sz w:val="28"/>
          <w:szCs w:val="24"/>
        </w:rPr>
        <w:t>溢</w:t>
      </w:r>
      <w:proofErr w:type="gramEnd"/>
      <w:r w:rsidRPr="0068502C">
        <w:rPr>
          <w:rFonts w:hAnsi="宋体" w:hint="eastAsia"/>
          <w:sz w:val="28"/>
          <w:szCs w:val="24"/>
        </w:rPr>
        <w:t>散光，防止对夜空环境和周边居民造成干扰。</w:t>
      </w:r>
    </w:p>
    <w:p w14:paraId="52EB7219"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场地规划设计应有利于营造良好的室外</w:t>
      </w:r>
      <w:proofErr w:type="gramStart"/>
      <w:r w:rsidRPr="0068502C">
        <w:rPr>
          <w:rFonts w:hAnsi="宋体" w:hint="eastAsia"/>
          <w:sz w:val="28"/>
          <w:szCs w:val="24"/>
        </w:rPr>
        <w:t>风环境</w:t>
      </w:r>
      <w:proofErr w:type="gramEnd"/>
      <w:r w:rsidRPr="0068502C">
        <w:rPr>
          <w:rFonts w:hAnsi="宋体" w:hint="eastAsia"/>
          <w:sz w:val="28"/>
          <w:szCs w:val="24"/>
        </w:rPr>
        <w:t>与促进建筑自然通风，在过渡季及夏季典型工况下，应避免在人员主要活动区域（距地1.5米高处）出现风速过大或无风的涡旋区，以保障户外活动的舒适性与安全性。应通过优化建筑布局、设置风廊、利用地形植被等手段改善场地通风。</w:t>
      </w:r>
    </w:p>
    <w:p w14:paraId="2D850F10"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场地设计应采取综合措施降低热岛效应强度，并应符合下列规定：</w:t>
      </w:r>
    </w:p>
    <w:p w14:paraId="649F9474"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场地内硬质铺装（道路、广场、停车场等）宜采用透水性铺装材料或具有较高太阳辐射反射系数（不小于0.4）的材料。</w:t>
      </w:r>
    </w:p>
    <w:p w14:paraId="590F1675"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lastRenderedPageBreak/>
        <w:t>室外活动场地（步道、庭院、广场、</w:t>
      </w:r>
      <w:proofErr w:type="gramStart"/>
      <w:r w:rsidRPr="0068502C">
        <w:rPr>
          <w:rFonts w:hAnsi="宋体" w:hint="eastAsia"/>
          <w:sz w:val="28"/>
          <w:szCs w:val="24"/>
        </w:rPr>
        <w:t>游憩场</w:t>
      </w:r>
      <w:proofErr w:type="gramEnd"/>
      <w:r w:rsidRPr="0068502C">
        <w:rPr>
          <w:rFonts w:hAnsi="宋体" w:hint="eastAsia"/>
          <w:sz w:val="28"/>
          <w:szCs w:val="24"/>
        </w:rPr>
        <w:t>等）宜采取设置乔木遮荫、景观廊架、遮阳棚等遮荫措施，其遮荫面积比例应满足舒适度要求。</w:t>
      </w:r>
    </w:p>
    <w:p w14:paraId="32DD6B0F"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建筑屋面宜采取绿化、设置太阳能集热板/光伏板、或采用高反射率材料等措施。</w:t>
      </w:r>
    </w:p>
    <w:p w14:paraId="7360EF2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场地绿化应符合生态与景观兼顾的原则。应采用以乡土植物为主、乔、灌、草相结合的复层绿化方式，植物配置应适应本地气候和土壤条件，并注重季相变化。</w:t>
      </w:r>
    </w:p>
    <w:p w14:paraId="68C35055"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27EDAA51"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对于布局复杂或对</w:t>
      </w:r>
      <w:proofErr w:type="gramStart"/>
      <w:r w:rsidRPr="0068502C">
        <w:rPr>
          <w:rFonts w:hAnsi="宋体" w:hint="eastAsia"/>
          <w:sz w:val="28"/>
          <w:szCs w:val="24"/>
        </w:rPr>
        <w:t>风环境</w:t>
      </w:r>
      <w:proofErr w:type="gramEnd"/>
      <w:r w:rsidRPr="0068502C">
        <w:rPr>
          <w:rFonts w:hAnsi="宋体" w:hint="eastAsia"/>
          <w:sz w:val="28"/>
          <w:szCs w:val="24"/>
        </w:rPr>
        <w:t>有特殊要求的项目，场地及建筑</w:t>
      </w:r>
      <w:proofErr w:type="gramStart"/>
      <w:r w:rsidRPr="0068502C">
        <w:rPr>
          <w:rFonts w:hAnsi="宋体" w:hint="eastAsia"/>
          <w:sz w:val="28"/>
          <w:szCs w:val="24"/>
        </w:rPr>
        <w:t>风环境</w:t>
      </w:r>
      <w:proofErr w:type="gramEnd"/>
      <w:r w:rsidRPr="0068502C">
        <w:rPr>
          <w:rFonts w:hAnsi="宋体" w:hint="eastAsia"/>
          <w:sz w:val="28"/>
          <w:szCs w:val="24"/>
        </w:rPr>
        <w:t>宜进行计算机模拟优化设计。</w:t>
      </w:r>
      <w:proofErr w:type="gramStart"/>
      <w:r w:rsidRPr="0068502C">
        <w:rPr>
          <w:rFonts w:hAnsi="宋体" w:hint="eastAsia"/>
          <w:sz w:val="28"/>
          <w:szCs w:val="24"/>
        </w:rPr>
        <w:t>宜满足</w:t>
      </w:r>
      <w:proofErr w:type="gramEnd"/>
      <w:r w:rsidRPr="0068502C">
        <w:rPr>
          <w:rFonts w:hAnsi="宋体" w:hint="eastAsia"/>
          <w:sz w:val="28"/>
          <w:szCs w:val="24"/>
        </w:rPr>
        <w:t>以下目标：</w:t>
      </w:r>
    </w:p>
    <w:p w14:paraId="63ABAC4E"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在冬季典型工况下，建筑物周围人行区风速宜小于5m/s，且风速放大系数不宜过大，以保证行走舒适与安全。</w:t>
      </w:r>
    </w:p>
    <w:p w14:paraId="4BFE2618"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建筑布局宜有利于形成合理的风压差，促进建筑在过渡季和夏季的自然通风。</w:t>
      </w:r>
    </w:p>
    <w:p w14:paraId="700846ED"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鼓励对</w:t>
      </w:r>
      <w:proofErr w:type="gramStart"/>
      <w:r w:rsidRPr="0068502C">
        <w:rPr>
          <w:rFonts w:hAnsi="宋体" w:hint="eastAsia"/>
          <w:sz w:val="28"/>
          <w:szCs w:val="24"/>
        </w:rPr>
        <w:t>场地声</w:t>
      </w:r>
      <w:proofErr w:type="gramEnd"/>
      <w:r w:rsidRPr="0068502C">
        <w:rPr>
          <w:rFonts w:hAnsi="宋体" w:hint="eastAsia"/>
          <w:sz w:val="28"/>
          <w:szCs w:val="24"/>
        </w:rPr>
        <w:t>环境进行专项分析与精细化设计。除控制噪声外，宜通过水景、风铃、特定植物配置等手段，引入积极的自然声源，营造丰富</w:t>
      </w:r>
      <w:proofErr w:type="gramStart"/>
      <w:r w:rsidRPr="0068502C">
        <w:rPr>
          <w:rFonts w:hAnsi="宋体" w:hint="eastAsia"/>
          <w:sz w:val="28"/>
          <w:szCs w:val="24"/>
        </w:rPr>
        <w:t>的声景体验</w:t>
      </w:r>
      <w:proofErr w:type="gramEnd"/>
      <w:r w:rsidRPr="0068502C">
        <w:rPr>
          <w:rFonts w:hAnsi="宋体" w:hint="eastAsia"/>
          <w:sz w:val="28"/>
          <w:szCs w:val="24"/>
        </w:rPr>
        <w:t>。</w:t>
      </w:r>
    </w:p>
    <w:p w14:paraId="0895D4A2"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场地照明设计宜考虑生态友好，优先</w:t>
      </w:r>
      <w:proofErr w:type="gramStart"/>
      <w:r w:rsidRPr="0068502C">
        <w:rPr>
          <w:rFonts w:hAnsi="宋体" w:hint="eastAsia"/>
          <w:sz w:val="28"/>
          <w:szCs w:val="24"/>
        </w:rPr>
        <w:t>选用截光型</w:t>
      </w:r>
      <w:proofErr w:type="gramEnd"/>
      <w:r w:rsidRPr="0068502C">
        <w:rPr>
          <w:rFonts w:hAnsi="宋体" w:hint="eastAsia"/>
          <w:sz w:val="28"/>
          <w:szCs w:val="24"/>
        </w:rPr>
        <w:t>灯具，控制照明时间与亮度，减少对夜间生物活动的影响。鼓励采用智能化控制系统，实现按需照明与节能管理。</w:t>
      </w:r>
    </w:p>
    <w:p w14:paraId="770AF8EE"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生态保护与资源利用</w:t>
      </w:r>
    </w:p>
    <w:p w14:paraId="7AFCB77F"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约束性要求</w:t>
      </w:r>
    </w:p>
    <w:p w14:paraId="4C1878D9"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场地开发建设应</w:t>
      </w:r>
      <w:proofErr w:type="gramStart"/>
      <w:r w:rsidRPr="0068502C">
        <w:rPr>
          <w:rFonts w:hAnsi="宋体" w:hint="eastAsia"/>
          <w:sz w:val="28"/>
          <w:szCs w:val="24"/>
        </w:rPr>
        <w:t>遵循低</w:t>
      </w:r>
      <w:proofErr w:type="gramEnd"/>
      <w:r w:rsidRPr="0068502C">
        <w:rPr>
          <w:rFonts w:hAnsi="宋体" w:hint="eastAsia"/>
          <w:sz w:val="28"/>
          <w:szCs w:val="24"/>
        </w:rPr>
        <w:t>影响开发理念，尊重并顺应原有地形地貌。应尽量减少土方挖填，保护并合理利用场地的表层土壤。场地内的自然水体、湿地及有保留价值的植被应予以保护，并应采取措施恢复受施工干扰区域的生态功能。</w:t>
      </w:r>
    </w:p>
    <w:p w14:paraId="61E1047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场地必须进行科学的雨水综合管理，其规划与设计应符合GB 50400的规定，并应与城市排水防涝系统相衔接。</w:t>
      </w:r>
    </w:p>
    <w:p w14:paraId="1074DE5D"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应进行场地雨水径流总量和峰值流量控制，通过“渗、滞、蓄、净、用、排”相结合的系统化措施，确保建设后的场地外排雨水径流量不超过开发前水平。年径流总量控制率目标应根据区域水文条件确定，一般不宜低于70%。</w:t>
      </w:r>
    </w:p>
    <w:p w14:paraId="6E8351CD"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应设置有效的雨水收集、渗透、调蓄与利用设施。下凹式绿地、雨水花园、渗透塘、调蓄池等绿色雨水基础设施的规模应经计算确定。</w:t>
      </w:r>
    </w:p>
    <w:p w14:paraId="3EE61245"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硬质铺装地面中透水铺装面积的比例不宜低于相关标准要求。</w:t>
      </w:r>
    </w:p>
    <w:p w14:paraId="1B57B104"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场地规划阶段应对场地及周边的可再生能源应用条件进行调查与评估，包括太阳能、浅层地热能、空气能、风能等资源的可利用潜力、技术可行性及经济性，为建筑系统设计提供依据。</w:t>
      </w:r>
    </w:p>
    <w:p w14:paraId="0E2EB907"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317CFB77"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场地绿化应追求更高的生态效益。宜采用“绿容率”作为衡量场地植被生态功能的重要辅助指标。鼓励提高场地内乔木种植比例和复层绿化的面积，</w:t>
      </w:r>
      <w:proofErr w:type="gramStart"/>
      <w:r w:rsidRPr="0068502C">
        <w:rPr>
          <w:rFonts w:hAnsi="宋体" w:hint="eastAsia"/>
          <w:sz w:val="28"/>
          <w:szCs w:val="24"/>
        </w:rPr>
        <w:t>绿容率宜</w:t>
      </w:r>
      <w:proofErr w:type="gramEnd"/>
      <w:r w:rsidRPr="0068502C">
        <w:rPr>
          <w:rFonts w:hAnsi="宋体" w:hint="eastAsia"/>
          <w:sz w:val="28"/>
          <w:szCs w:val="24"/>
        </w:rPr>
        <w:t>不低于3.0。</w:t>
      </w:r>
    </w:p>
    <w:p w14:paraId="22C7C75E"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场地规划宜注重生物多样性保护与生境营造，并</w:t>
      </w:r>
      <w:proofErr w:type="gramStart"/>
      <w:r w:rsidRPr="0068502C">
        <w:rPr>
          <w:rFonts w:hAnsi="宋体" w:hint="eastAsia"/>
          <w:sz w:val="28"/>
          <w:szCs w:val="24"/>
        </w:rPr>
        <w:t>宜符合</w:t>
      </w:r>
      <w:proofErr w:type="gramEnd"/>
      <w:r w:rsidRPr="0068502C">
        <w:rPr>
          <w:rFonts w:hAnsi="宋体" w:hint="eastAsia"/>
          <w:sz w:val="28"/>
          <w:szCs w:val="24"/>
        </w:rPr>
        <w:t>下列规定：</w:t>
      </w:r>
    </w:p>
    <w:p w14:paraId="65383165"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lastRenderedPageBreak/>
        <w:t>通过设置生态廊道、小微生境（如昆虫旅馆、本杰士堆）、生态水岸等方式，将场地绿地与区域生态系统相连接，为本土动植物提供迁徙通道和栖息地。</w:t>
      </w:r>
    </w:p>
    <w:p w14:paraId="37CBDE23"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优先选用蜜源、食源植物，构建有利于鸟类、昆虫等生物生存的植物群落。</w:t>
      </w:r>
    </w:p>
    <w:p w14:paraId="2315B484"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围栏、护坡、铺装等构筑物宜采用对生物友好的材料和工艺。</w:t>
      </w:r>
    </w:p>
    <w:p w14:paraId="12BAF097"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在技术经济合理的前提下，鼓励对场地雨水进行资源化利用。收集处理后的雨水宜用于绿化灌溉、道路冲洗、景观补水等用途。非传统水源利用率宜设定合理目标。</w:t>
      </w:r>
    </w:p>
    <w:p w14:paraId="28AC930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场地内景观构筑物、小品、铺装及休憩设施宜优先选用耐久、可回收、可降解的环保材料，如竹木、再生材料、本地石材等。鼓励利用建筑废弃物再生骨料用于场地基层铺设。</w:t>
      </w:r>
    </w:p>
    <w:p w14:paraId="7F90E933"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对于具备规模条件的项目，鼓励进行场地层面的能源系统集成规划，如采用区域冷热源站、分布式能源系统、</w:t>
      </w:r>
      <w:proofErr w:type="gramStart"/>
      <w:r w:rsidRPr="0068502C">
        <w:rPr>
          <w:rFonts w:hAnsi="宋体" w:hint="eastAsia"/>
          <w:sz w:val="28"/>
          <w:szCs w:val="24"/>
        </w:rPr>
        <w:t>光储直柔微</w:t>
      </w:r>
      <w:proofErr w:type="gramEnd"/>
      <w:r w:rsidRPr="0068502C">
        <w:rPr>
          <w:rFonts w:hAnsi="宋体" w:hint="eastAsia"/>
          <w:sz w:val="28"/>
          <w:szCs w:val="24"/>
        </w:rPr>
        <w:t>电网等，提高能源综合利用效率。</w:t>
      </w:r>
    </w:p>
    <w:p w14:paraId="754F472E" w14:textId="77777777" w:rsidR="0068502C" w:rsidRPr="0068502C" w:rsidRDefault="0068502C" w:rsidP="0068502C">
      <w:pPr>
        <w:pStyle w:val="a6"/>
        <w:spacing w:beforeLines="0" w:before="0" w:afterLines="0" w:after="0" w:line="360" w:lineRule="auto"/>
        <w:outlineLvl w:val="9"/>
        <w:rPr>
          <w:rFonts w:ascii="宋体" w:eastAsia="宋体" w:hAnsi="宋体"/>
          <w:sz w:val="28"/>
          <w:szCs w:val="24"/>
        </w:rPr>
      </w:pPr>
      <w:r w:rsidRPr="0068502C">
        <w:rPr>
          <w:rFonts w:ascii="宋体" w:eastAsia="宋体" w:hAnsi="宋体" w:hint="eastAsia"/>
          <w:sz w:val="28"/>
          <w:szCs w:val="24"/>
        </w:rPr>
        <w:t>交通设施与公共服务</w:t>
      </w:r>
    </w:p>
    <w:p w14:paraId="7D6AA113"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约束性要求</w:t>
      </w:r>
    </w:p>
    <w:p w14:paraId="7EB24F5C"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场地规划应优先保障绿色出行，促进公共交通使用。场地主要人行出入口到达公共汽车站或轨道交通站的步行距离不宜大于500米，且应有安全、便捷、连续的步行与自行车接驳路径。</w:t>
      </w:r>
    </w:p>
    <w:p w14:paraId="199B6733"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机动车停车规划应符合集约化、生态化的原则，并应符合下列规定：</w:t>
      </w:r>
    </w:p>
    <w:p w14:paraId="79D2BCDB"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lastRenderedPageBreak/>
        <w:t>停车方式应优先采用地下停车库、立体停车库（楼）。严格控制地面停车数量与面积，地面停车位不应侵占行人活动空间与绿化用地。</w:t>
      </w:r>
    </w:p>
    <w:p w14:paraId="24A419A4"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应根据国家和地方相关规定，配建电动汽车充电设施或预留安装条件。充电设施的配电、消防及安全要求应符合GB/T 51313等的规定。</w:t>
      </w:r>
    </w:p>
    <w:p w14:paraId="46787AA0"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应合理设置装卸车位、出租车泊位及无障碍机动车停车位。</w:t>
      </w:r>
    </w:p>
    <w:p w14:paraId="170521FF"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场地内应建立安全、连续、便捷的步行与自行车交通系统。</w:t>
      </w:r>
    </w:p>
    <w:p w14:paraId="3AF5ED42"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人行道与自行车道应与城市道路系统顺畅衔接，并应采用无障碍设计。</w:t>
      </w:r>
    </w:p>
    <w:p w14:paraId="079BCA9B"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应设置足够的、分布合理的非机动车（含自行车、电动自行车）停车场所，并</w:t>
      </w:r>
      <w:proofErr w:type="gramStart"/>
      <w:r w:rsidRPr="0068502C">
        <w:rPr>
          <w:rFonts w:hAnsi="宋体" w:hint="eastAsia"/>
          <w:sz w:val="28"/>
          <w:szCs w:val="24"/>
        </w:rPr>
        <w:t>宜设置</w:t>
      </w:r>
      <w:proofErr w:type="gramEnd"/>
      <w:r w:rsidRPr="0068502C">
        <w:rPr>
          <w:rFonts w:hAnsi="宋体" w:hint="eastAsia"/>
          <w:sz w:val="28"/>
          <w:szCs w:val="24"/>
        </w:rPr>
        <w:t>遮荫防雨设施。非机动车停车场宜布置在地面或地下一层，便于存取。</w:t>
      </w:r>
    </w:p>
    <w:p w14:paraId="7EB856AD"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鼓励为非机动车（特别是电动自行车）配置安全的充电设施。</w:t>
      </w:r>
    </w:p>
    <w:p w14:paraId="00E217CC"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场地内公共服务设施（如社区服务、文化、体育、商业等）的配建应符合城市规划及相关专项标准的要求，其布局</w:t>
      </w:r>
      <w:proofErr w:type="gramStart"/>
      <w:r w:rsidRPr="0068502C">
        <w:rPr>
          <w:rFonts w:hAnsi="宋体" w:hint="eastAsia"/>
          <w:sz w:val="28"/>
          <w:szCs w:val="24"/>
        </w:rPr>
        <w:t>宜方便</w:t>
      </w:r>
      <w:proofErr w:type="gramEnd"/>
      <w:r w:rsidRPr="0068502C">
        <w:rPr>
          <w:rFonts w:hAnsi="宋体" w:hint="eastAsia"/>
          <w:sz w:val="28"/>
          <w:szCs w:val="24"/>
        </w:rPr>
        <w:t>居民使用。</w:t>
      </w:r>
    </w:p>
    <w:p w14:paraId="7CB7A4C7"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2C3964ED"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场地规划宜进一步提升公共交通的便利性。场地主要人行出入口到达公共交通站点的步行距离宜控制在300米以内。对于大型公共建筑或交通枢纽项目，宜考虑与公共交通站点的无缝衔接设计。</w:t>
      </w:r>
    </w:p>
    <w:p w14:paraId="30E19611"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鼓励建设高品质的慢行交通环境。</w:t>
      </w:r>
      <w:proofErr w:type="gramStart"/>
      <w:r w:rsidRPr="0068502C">
        <w:rPr>
          <w:rFonts w:hAnsi="宋体" w:hint="eastAsia"/>
          <w:sz w:val="28"/>
          <w:szCs w:val="24"/>
        </w:rPr>
        <w:t>宜设置</w:t>
      </w:r>
      <w:proofErr w:type="gramEnd"/>
      <w:r w:rsidRPr="0068502C">
        <w:rPr>
          <w:rFonts w:hAnsi="宋体" w:hint="eastAsia"/>
          <w:sz w:val="28"/>
          <w:szCs w:val="24"/>
        </w:rPr>
        <w:t>宽度适宜、景观优美的专用健身慢行道，并与城市绿道、滨水步道等系统相连。主要步行路径沿线宜配置座椅、照明、饮水点等街道家具。</w:t>
      </w:r>
    </w:p>
    <w:p w14:paraId="5946C5F8"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公共建筑项目宜在满足自身功能需求的基础上，向社会开放部分公共服务设施或公共空间（如图书馆、报告厅、健身场地、绿地广场、地下停车场等），促进资源共享，提升城市活力。对外开放的设施与空间宜靠近场地出入口，并配置独立的标识与管理系统。</w:t>
      </w:r>
    </w:p>
    <w:p w14:paraId="0B2592FD"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鼓励采用智慧化管理手段提升交通设施运行效率。可建立智能停车引导系统、共享车位预约平台、慢行交通流量监测系统等。</w:t>
      </w:r>
    </w:p>
    <w:p w14:paraId="3B84A9DC" w14:textId="77777777" w:rsidR="0068502C" w:rsidRPr="0068502C" w:rsidRDefault="0068502C" w:rsidP="0068502C">
      <w:pPr>
        <w:pStyle w:val="aff3"/>
        <w:spacing w:line="360" w:lineRule="auto"/>
        <w:rPr>
          <w:rFonts w:hAnsi="宋体"/>
          <w:sz w:val="28"/>
          <w:szCs w:val="24"/>
        </w:rPr>
      </w:pPr>
      <w:r w:rsidRPr="0068502C">
        <w:rPr>
          <w:rFonts w:hAnsi="宋体" w:hint="eastAsia"/>
          <w:sz w:val="28"/>
          <w:szCs w:val="24"/>
        </w:rPr>
        <w:t>场地物流系统规划宜考虑绿色货运。宜为货物装卸设置专区，并考虑未来无人机、无人</w:t>
      </w:r>
      <w:proofErr w:type="gramStart"/>
      <w:r w:rsidRPr="0068502C">
        <w:rPr>
          <w:rFonts w:hAnsi="宋体" w:hint="eastAsia"/>
          <w:sz w:val="28"/>
          <w:szCs w:val="24"/>
        </w:rPr>
        <w:t>配送车</w:t>
      </w:r>
      <w:proofErr w:type="gramEnd"/>
      <w:r w:rsidRPr="0068502C">
        <w:rPr>
          <w:rFonts w:hAnsi="宋体" w:hint="eastAsia"/>
          <w:sz w:val="28"/>
          <w:szCs w:val="24"/>
        </w:rPr>
        <w:t>等新型物流方式的接驳与暂存空间。</w:t>
      </w:r>
    </w:p>
    <w:p w14:paraId="6B752E5E" w14:textId="77777777" w:rsidR="0068502C" w:rsidRPr="0068502C" w:rsidRDefault="0068502C" w:rsidP="0068502C">
      <w:pPr>
        <w:pStyle w:val="a5"/>
        <w:spacing w:beforeLines="0" w:before="0" w:afterLines="0" w:after="0" w:line="360" w:lineRule="auto"/>
        <w:outlineLvl w:val="9"/>
        <w:rPr>
          <w:rFonts w:ascii="宋体" w:eastAsia="宋体" w:hAnsi="宋体"/>
          <w:sz w:val="28"/>
          <w:szCs w:val="24"/>
        </w:rPr>
      </w:pPr>
      <w:bookmarkStart w:id="28" w:name="_Toc219987171"/>
      <w:r w:rsidRPr="0068502C">
        <w:rPr>
          <w:rFonts w:ascii="宋体" w:eastAsia="宋体" w:hAnsi="宋体" w:hint="eastAsia"/>
          <w:sz w:val="28"/>
          <w:szCs w:val="24"/>
        </w:rPr>
        <w:t>设计</w:t>
      </w:r>
      <w:bookmarkEnd w:id="28"/>
    </w:p>
    <w:p w14:paraId="0980B700" w14:textId="77777777" w:rsidR="0068502C" w:rsidRPr="0068502C" w:rsidRDefault="0068502C" w:rsidP="0068502C">
      <w:pPr>
        <w:pStyle w:val="a6"/>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建筑形体与空间设计</w:t>
      </w:r>
    </w:p>
    <w:p w14:paraId="29F92F60"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约束性要求</w:t>
      </w:r>
    </w:p>
    <w:p w14:paraId="579B4E70"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建筑造型与形体设计应遵循功能与形式统一、经济合理的原则，追求简约、实用。应严格控制纯装饰性构件的应用，避免资源浪费。宜对装饰性构件造价占建筑总造价的比例进行核算与控制。</w:t>
      </w:r>
    </w:p>
    <w:p w14:paraId="7C1D1359"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建筑设计</w:t>
      </w:r>
      <w:proofErr w:type="gramStart"/>
      <w:r w:rsidRPr="0068502C">
        <w:rPr>
          <w:rFonts w:hAnsi="宋体" w:hint="eastAsia"/>
          <w:sz w:val="28"/>
          <w:szCs w:val="24"/>
        </w:rPr>
        <w:t>应从全</w:t>
      </w:r>
      <w:proofErr w:type="gramEnd"/>
      <w:r w:rsidRPr="0068502C">
        <w:rPr>
          <w:rFonts w:hAnsi="宋体" w:hint="eastAsia"/>
          <w:sz w:val="28"/>
          <w:szCs w:val="24"/>
        </w:rPr>
        <w:t>寿命期视角出发，进行空间与形体整合优化。应通过优化建筑平面布局、功能分区、空间尺度、层高与竖向设计，优先采用被动式设计策略，降低建筑对能源与资源的消耗需求，实现性能导向的正向设计。</w:t>
      </w:r>
    </w:p>
    <w:p w14:paraId="027C366C"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建筑设计应有利于自然通风。应通过合理的建筑朝向、空间布局、门窗洞口位置与尺寸设计，组织有效的室内外气流路径。居住建筑房间的通风开口面积与该房间地板面积的比值，不应小于GB 50096等相关标准的规定。</w:t>
      </w:r>
    </w:p>
    <w:p w14:paraId="72406EB9"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建筑主要功能空间应具有良好的室外视野，避免视线干扰，满足采光、观景及心理舒适需求，同时应保证必要的视觉私密性。建筑间距、</w:t>
      </w:r>
      <w:proofErr w:type="gramStart"/>
      <w:r w:rsidRPr="0068502C">
        <w:rPr>
          <w:rFonts w:hAnsi="宋体" w:hint="eastAsia"/>
          <w:sz w:val="28"/>
          <w:szCs w:val="24"/>
        </w:rPr>
        <w:t>窗墙比及</w:t>
      </w:r>
      <w:proofErr w:type="gramEnd"/>
      <w:r w:rsidRPr="0068502C">
        <w:rPr>
          <w:rFonts w:hAnsi="宋体" w:hint="eastAsia"/>
          <w:sz w:val="28"/>
          <w:szCs w:val="24"/>
        </w:rPr>
        <w:t>窗户设计应统筹考虑视野、采光与节能要求。</w:t>
      </w:r>
    </w:p>
    <w:p w14:paraId="2CE4B6D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非结构构件、建筑部品、设备及管线应与建筑主体结构进行一体化协同设计，并采取可靠的连接、锚固与抗震措施，确保其安全性与耐久性。</w:t>
      </w:r>
    </w:p>
    <w:p w14:paraId="5D46CB17"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7FEA16A8"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建筑空间设计</w:t>
      </w:r>
      <w:proofErr w:type="gramStart"/>
      <w:r w:rsidRPr="0068502C">
        <w:rPr>
          <w:rFonts w:hAnsi="宋体" w:hint="eastAsia"/>
          <w:sz w:val="28"/>
          <w:szCs w:val="24"/>
        </w:rPr>
        <w:t>宜体现</w:t>
      </w:r>
      <w:proofErr w:type="gramEnd"/>
      <w:r w:rsidRPr="0068502C">
        <w:rPr>
          <w:rFonts w:hAnsi="宋体" w:hint="eastAsia"/>
          <w:sz w:val="28"/>
          <w:szCs w:val="24"/>
        </w:rPr>
        <w:t>灵活性与适应性，以应对未来使用功能变化的可能性。宜采用大空间、开放式布局，或便于分隔组合的模块化设计。建筑室内宜采用易于拆改、可重复利用的轻质隔断（墙）系统。</w:t>
      </w:r>
    </w:p>
    <w:p w14:paraId="52741B0C"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公共建筑宜结合功能需求，设置对社会开放的共享公共空间（如中庭、庭院、屋顶花园、公共休憩区）及便民服务设施，提升建筑的公共属性和社会价值。</w:t>
      </w:r>
    </w:p>
    <w:p w14:paraId="4B3E8A7A"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鼓励通过精细化设计与技术措施，进一步优化建筑自然通风效果，并</w:t>
      </w:r>
      <w:proofErr w:type="gramStart"/>
      <w:r w:rsidRPr="0068502C">
        <w:rPr>
          <w:rFonts w:hAnsi="宋体" w:hint="eastAsia"/>
          <w:sz w:val="28"/>
          <w:szCs w:val="24"/>
        </w:rPr>
        <w:t>宜符合</w:t>
      </w:r>
      <w:proofErr w:type="gramEnd"/>
      <w:r w:rsidRPr="0068502C">
        <w:rPr>
          <w:rFonts w:hAnsi="宋体" w:hint="eastAsia"/>
          <w:sz w:val="28"/>
          <w:szCs w:val="24"/>
        </w:rPr>
        <w:t>下列规定：</w:t>
      </w:r>
    </w:p>
    <w:p w14:paraId="39535279"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在满足基本通风要求基础上，宜通过增大可开启窗扇面积、优化开启方式等措施，进一步提高主要功能房间的自然通风潜力。</w:t>
      </w:r>
    </w:p>
    <w:p w14:paraId="4C8FB1DD"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宜结合建筑造型，合理运用导风墙、拔风井（道）、太阳能烟囱、无动力风帽等被动式气流诱导技术，强化通风效果。</w:t>
      </w:r>
    </w:p>
    <w:p w14:paraId="3FA7572F"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设有中庭、边庭等大空间时，宜充分利用热压作用组织竖向通风。</w:t>
      </w:r>
    </w:p>
    <w:p w14:paraId="11C86F22"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对于通风条件受限或室外空气质量不佳时使用的空间，宜考虑设置具有空气净化功能的新风装置或有组织通风设施。</w:t>
      </w:r>
    </w:p>
    <w:p w14:paraId="515C22A6" w14:textId="77777777" w:rsidR="0068502C" w:rsidRPr="0068502C" w:rsidRDefault="0068502C" w:rsidP="0068502C">
      <w:pPr>
        <w:pStyle w:val="a6"/>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围护结构设计</w:t>
      </w:r>
    </w:p>
    <w:p w14:paraId="56AA1617"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约束性要求</w:t>
      </w:r>
    </w:p>
    <w:p w14:paraId="561E5DC0"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建筑围护结构的热工性能设计必须符合国家现行节能设计标准的强制性规定。其传热系数、热惰性指标、遮阳系数等关键参数应满足所在气候区的限值要求。</w:t>
      </w:r>
    </w:p>
    <w:p w14:paraId="65FF7014"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外门窗、幕墙等透明围护结构的设计应综合考虑保温、隔热、气密、水密、抗风压、采光、视野、通风及安全等性能要求。选用的产品性能应符合国家相关产品标准的规定。</w:t>
      </w:r>
    </w:p>
    <w:p w14:paraId="137BAD99"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围护结构应进行完整的防潮、防水设计。外墙、屋面、地下室外墙等部位应设置连续有效的防水、防潮构造层。卫生间、浴室、厨房、设备机房等用水频繁房间的楼地面、墙面应设置防水层，顶棚宜采取防潮措施。</w:t>
      </w:r>
    </w:p>
    <w:p w14:paraId="0ABF8381"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建筑外墙、屋面及外门窗的设计与构造应满足耐久性要求，能够承受温度应力、风荷载、雨水侵蚀等长期作用，并便于进行检查、维护和局部更换。</w:t>
      </w:r>
    </w:p>
    <w:p w14:paraId="702492D3"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462193E0"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在满足国家节能标准的基础上，宜通过优化围护结构构造、采用高性能材料与技术，进一步提升其保温、隔热和气密性能，为降低建筑供暖空调负荷、提升室内热舒适</w:t>
      </w:r>
      <w:proofErr w:type="gramStart"/>
      <w:r w:rsidRPr="0068502C">
        <w:rPr>
          <w:rFonts w:hAnsi="宋体" w:hint="eastAsia"/>
          <w:sz w:val="28"/>
          <w:szCs w:val="24"/>
        </w:rPr>
        <w:t>度创造</w:t>
      </w:r>
      <w:proofErr w:type="gramEnd"/>
      <w:r w:rsidRPr="0068502C">
        <w:rPr>
          <w:rFonts w:hAnsi="宋体" w:hint="eastAsia"/>
          <w:sz w:val="28"/>
          <w:szCs w:val="24"/>
        </w:rPr>
        <w:t>条件。</w:t>
      </w:r>
    </w:p>
    <w:p w14:paraId="1132CF8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外遮阳设计宜与建筑立面一体化考虑。宜优先采用固定外遮阳、活动外遮阳或绿化遮阳等高效遮阳措施，并根据不同朝向的太阳辐射特点进行差异化设计。遮阳设施应不影响自然通风与采光，并便于维护。</w:t>
      </w:r>
    </w:p>
    <w:p w14:paraId="654FDE4E"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围护结构设计宜考虑其全寿命期的碳排放影响。宜选用生产能耗低、可循环材料比例高、耐久性好且易于维护更新的材料与构造体系。</w:t>
      </w:r>
    </w:p>
    <w:p w14:paraId="441050FE" w14:textId="77777777" w:rsidR="0068502C" w:rsidRPr="0068502C" w:rsidRDefault="0068502C" w:rsidP="0068502C">
      <w:pPr>
        <w:pStyle w:val="a6"/>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材料、部品与内装设计</w:t>
      </w:r>
    </w:p>
    <w:p w14:paraId="41000760"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约束性要求</w:t>
      </w:r>
    </w:p>
    <w:p w14:paraId="3927C551"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建筑材料与装修材料的选用应符合国家有关有害物质限量的强制性标准（如GB 50325、GB 18580~GB 18588等）的规定，保障室内环境健康安全。</w:t>
      </w:r>
    </w:p>
    <w:p w14:paraId="45C98D4A"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应选用耐久性好、长寿命、</w:t>
      </w:r>
      <w:proofErr w:type="gramStart"/>
      <w:r w:rsidRPr="0068502C">
        <w:rPr>
          <w:rFonts w:hAnsi="宋体" w:hint="eastAsia"/>
          <w:sz w:val="28"/>
          <w:szCs w:val="24"/>
        </w:rPr>
        <w:t>低维护</w:t>
      </w:r>
      <w:proofErr w:type="gramEnd"/>
      <w:r w:rsidRPr="0068502C">
        <w:rPr>
          <w:rFonts w:hAnsi="宋体" w:hint="eastAsia"/>
          <w:sz w:val="28"/>
          <w:szCs w:val="24"/>
        </w:rPr>
        <w:t>需求的建筑材料与部品。室内外装修材料应满足相应的物理性能、安全性能及使用功能要求。</w:t>
      </w:r>
    </w:p>
    <w:p w14:paraId="603E3A0E"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建筑外墙及屋面等外部围护体系应采用防水、耐候、抗污染的饰面材料，并便于清洗维护。</w:t>
      </w:r>
    </w:p>
    <w:p w14:paraId="4E4613AF"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暖通空调、给排水、电气等设备的室外主机或装置，应设置在通风良好、散热顺畅且便于安全操作、检查、清洗和维护的指定位置，其安装应牢固、可靠，并减少对建筑立面、环境及相邻住户的噪声、热风等干扰。</w:t>
      </w:r>
    </w:p>
    <w:p w14:paraId="716E104A" w14:textId="77777777" w:rsidR="0068502C" w:rsidRPr="0068502C" w:rsidRDefault="0068502C" w:rsidP="0068502C">
      <w:pPr>
        <w:pStyle w:val="a7"/>
        <w:spacing w:beforeLines="0" w:before="0" w:afterLines="0" w:after="0" w:line="360" w:lineRule="auto"/>
        <w:outlineLvl w:val="9"/>
        <w:rPr>
          <w:rFonts w:ascii="宋体" w:eastAsia="宋体" w:hAnsi="宋体" w:hint="eastAsia"/>
          <w:sz w:val="28"/>
          <w:szCs w:val="24"/>
        </w:rPr>
      </w:pPr>
      <w:r w:rsidRPr="0068502C">
        <w:rPr>
          <w:rFonts w:ascii="宋体" w:eastAsia="宋体" w:hAnsi="宋体" w:hint="eastAsia"/>
          <w:sz w:val="28"/>
          <w:szCs w:val="24"/>
        </w:rPr>
        <w:t>提高性要求</w:t>
      </w:r>
    </w:p>
    <w:p w14:paraId="2673E06B"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室内装修设计宜遵循标准化、模数化、集成化的原则，推广采用装配式装修技术。鼓励采用工厂化生产的集成厨卫、隔墙、吊顶、地面等内装部品体系，提高施工质量与效率，减少现场湿作业和建筑垃圾。</w:t>
      </w:r>
    </w:p>
    <w:p w14:paraId="46753453"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t>在满足性能与安全要求的前提下，宜优先选用以下类别的材料与部品：</w:t>
      </w:r>
    </w:p>
    <w:p w14:paraId="19652A9F"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获得绿色建材产品认证的材料。</w:t>
      </w:r>
    </w:p>
    <w:p w14:paraId="5920E0C4"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利用建筑废弃物、工业副产物等再生资源生产的材料。</w:t>
      </w:r>
    </w:p>
    <w:p w14:paraId="5D5B9239"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可循环利用、易于拆解分离的部品与构件。</w:t>
      </w:r>
    </w:p>
    <w:p w14:paraId="1D057870" w14:textId="77777777" w:rsidR="0068502C" w:rsidRPr="0068502C" w:rsidRDefault="0068502C" w:rsidP="0068502C">
      <w:pPr>
        <w:pStyle w:val="a2"/>
        <w:spacing w:line="360" w:lineRule="auto"/>
        <w:rPr>
          <w:rFonts w:hAnsi="宋体" w:hint="eastAsia"/>
          <w:sz w:val="28"/>
          <w:szCs w:val="24"/>
        </w:rPr>
      </w:pPr>
      <w:r w:rsidRPr="0068502C">
        <w:rPr>
          <w:rFonts w:hAnsi="宋体" w:hint="eastAsia"/>
          <w:sz w:val="28"/>
          <w:szCs w:val="24"/>
        </w:rPr>
        <w:t>具有改善室内空气质量（如净化甲醛、调节湿度等）功能的环保材料。</w:t>
      </w:r>
    </w:p>
    <w:p w14:paraId="75EA3175" w14:textId="77777777" w:rsidR="0068502C" w:rsidRPr="0068502C" w:rsidRDefault="0068502C" w:rsidP="0068502C">
      <w:pPr>
        <w:pStyle w:val="aff3"/>
        <w:spacing w:line="360" w:lineRule="auto"/>
        <w:rPr>
          <w:rFonts w:hAnsi="宋体" w:hint="eastAsia"/>
          <w:sz w:val="28"/>
          <w:szCs w:val="24"/>
        </w:rPr>
      </w:pPr>
      <w:r w:rsidRPr="0068502C">
        <w:rPr>
          <w:rFonts w:hAnsi="宋体" w:hint="eastAsia"/>
          <w:sz w:val="28"/>
          <w:szCs w:val="24"/>
        </w:rPr>
        <w:lastRenderedPageBreak/>
        <w:t>室内空间与固定设施设计宜考虑通用性与包容性，为老年人、儿童、残疾人等不同群体创造便捷、安全、舒适的使用环境，相关设计宜参考无障碍设计原则。</w:t>
      </w:r>
    </w:p>
    <w:p w14:paraId="32970147" w14:textId="1E9A5786" w:rsidR="00505FBC" w:rsidRPr="0068502C" w:rsidRDefault="0068502C" w:rsidP="0068502C">
      <w:pPr>
        <w:pStyle w:val="aff3"/>
        <w:spacing w:line="360" w:lineRule="auto"/>
        <w:rPr>
          <w:rFonts w:hAnsi="宋体"/>
          <w:sz w:val="28"/>
          <w:szCs w:val="24"/>
        </w:rPr>
      </w:pPr>
      <w:r w:rsidRPr="0068502C">
        <w:rPr>
          <w:rFonts w:hAnsi="宋体" w:hint="eastAsia"/>
          <w:sz w:val="28"/>
          <w:szCs w:val="24"/>
        </w:rPr>
        <w:t>鼓励对建筑室内空间进行全寿命期适应性设计评估，考虑未来空间功能转换、设备更新、管线改造的可能性，并为之预留必要的条件。</w:t>
      </w:r>
    </w:p>
    <w:p w14:paraId="6618CEDE" w14:textId="77777777" w:rsidR="00505FBC" w:rsidRPr="00E543B8"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12675"/>
      <w:r w:rsidRPr="00E543B8">
        <w:rPr>
          <w:rFonts w:ascii="Times New Roman" w:eastAsia="黑体" w:hAnsi="Times New Roman" w:cs="Times New Roman"/>
          <w:b/>
          <w:kern w:val="0"/>
          <w:sz w:val="30"/>
          <w:szCs w:val="30"/>
        </w:rPr>
        <w:t>三、主要试验和情况分析</w:t>
      </w:r>
      <w:bookmarkEnd w:id="29"/>
    </w:p>
    <w:p w14:paraId="60C4FED3" w14:textId="77777777" w:rsidR="00505FBC" w:rsidRPr="00E543B8" w:rsidRDefault="00000000">
      <w:pPr>
        <w:widowControl/>
        <w:spacing w:line="360" w:lineRule="auto"/>
        <w:ind w:firstLineChars="200" w:firstLine="560"/>
        <w:rPr>
          <w:rFonts w:ascii="Times New Roman" w:hAnsi="Times New Roman" w:cs="Times New Roman"/>
          <w:sz w:val="28"/>
          <w:szCs w:val="28"/>
        </w:rPr>
      </w:pPr>
      <w:r w:rsidRPr="00E543B8">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Pr="00E543B8"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0840"/>
      <w:r w:rsidRPr="00E543B8">
        <w:rPr>
          <w:rFonts w:ascii="Times New Roman" w:eastAsia="黑体" w:hAnsi="Times New Roman" w:cs="Times New Roman"/>
          <w:b/>
          <w:kern w:val="0"/>
          <w:sz w:val="30"/>
          <w:szCs w:val="30"/>
        </w:rPr>
        <w:t>四、标准中涉及专利的情况</w:t>
      </w:r>
      <w:bookmarkEnd w:id="30"/>
    </w:p>
    <w:p w14:paraId="0530E0EF" w14:textId="77777777" w:rsidR="00505FBC" w:rsidRPr="00E543B8" w:rsidRDefault="00000000">
      <w:pPr>
        <w:widowControl/>
        <w:spacing w:line="360" w:lineRule="auto"/>
        <w:ind w:firstLineChars="200" w:firstLine="560"/>
        <w:rPr>
          <w:rFonts w:ascii="Times New Roman" w:hAnsi="Times New Roman" w:cs="Times New Roman"/>
          <w:sz w:val="28"/>
          <w:szCs w:val="28"/>
        </w:rPr>
      </w:pPr>
      <w:r w:rsidRPr="00E543B8">
        <w:rPr>
          <w:rFonts w:ascii="Times New Roman" w:hAnsi="Times New Roman" w:cs="Times New Roman"/>
          <w:sz w:val="28"/>
          <w:szCs w:val="28"/>
        </w:rPr>
        <w:t>无</w:t>
      </w:r>
    </w:p>
    <w:p w14:paraId="3F31E606" w14:textId="77777777" w:rsidR="00505FBC" w:rsidRPr="00E543B8"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1" w:name="_Toc29243"/>
      <w:r w:rsidRPr="00E543B8">
        <w:rPr>
          <w:rFonts w:ascii="Times New Roman" w:eastAsia="黑体" w:hAnsi="Times New Roman" w:cs="Times New Roman"/>
          <w:b/>
          <w:kern w:val="0"/>
          <w:sz w:val="30"/>
          <w:szCs w:val="30"/>
        </w:rPr>
        <w:t>五、预期达到的效益（经济、效益、生态等），对产业发展的作用的情况</w:t>
      </w:r>
      <w:bookmarkEnd w:id="31"/>
    </w:p>
    <w:p w14:paraId="7852582A" w14:textId="01CDC5FA" w:rsidR="00505FBC" w:rsidRDefault="00E543B8">
      <w:pPr>
        <w:widowControl/>
        <w:spacing w:line="360" w:lineRule="auto"/>
        <w:ind w:firstLineChars="200" w:firstLine="560"/>
        <w:rPr>
          <w:rFonts w:ascii="Times New Roman" w:hAnsi="Times New Roman" w:cs="Times New Roman"/>
          <w:kern w:val="0"/>
          <w:sz w:val="28"/>
          <w:szCs w:val="28"/>
        </w:rPr>
      </w:pPr>
      <w:r w:rsidRPr="00E543B8">
        <w:rPr>
          <w:rFonts w:ascii="Times New Roman" w:hAnsi="Times New Roman" w:cs="Times New Roman"/>
          <w:kern w:val="0"/>
          <w:sz w:val="28"/>
          <w:szCs w:val="28"/>
        </w:rPr>
        <w:t>绿色建筑规划及设计企业规范运营，在国际市场上有机会与其他各</w:t>
      </w:r>
      <w:r>
        <w:rPr>
          <w:rFonts w:ascii="Times New Roman" w:hAnsi="Times New Roman" w:cs="Times New Roman"/>
          <w:kern w:val="0"/>
          <w:sz w:val="28"/>
          <w:szCs w:val="28"/>
        </w:rPr>
        <w:t>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FDD8" w14:textId="77777777" w:rsidR="00277F16" w:rsidRDefault="00277F16">
      <w:r>
        <w:separator/>
      </w:r>
    </w:p>
  </w:endnote>
  <w:endnote w:type="continuationSeparator" w:id="0">
    <w:p w14:paraId="041C6C3F" w14:textId="77777777" w:rsidR="00277F16" w:rsidRDefault="0027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6105" w14:textId="77777777" w:rsidR="00277F16" w:rsidRDefault="00277F16">
      <w:r>
        <w:separator/>
      </w:r>
    </w:p>
  </w:footnote>
  <w:footnote w:type="continuationSeparator" w:id="0">
    <w:p w14:paraId="59FFDAB5" w14:textId="77777777" w:rsidR="00277F16" w:rsidRDefault="00277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1145128690">
    <w:abstractNumId w:val="1"/>
  </w:num>
  <w:num w:numId="3" w16cid:durableId="280190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838"/>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77F16"/>
    <w:rsid w:val="0028530B"/>
    <w:rsid w:val="00285841"/>
    <w:rsid w:val="00293048"/>
    <w:rsid w:val="002A391A"/>
    <w:rsid w:val="002C04B6"/>
    <w:rsid w:val="002D3A9F"/>
    <w:rsid w:val="002E0C4B"/>
    <w:rsid w:val="002E2B56"/>
    <w:rsid w:val="002F3045"/>
    <w:rsid w:val="00305109"/>
    <w:rsid w:val="0031256A"/>
    <w:rsid w:val="0031561A"/>
    <w:rsid w:val="00317D74"/>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B2F65"/>
    <w:rsid w:val="004B6E6F"/>
    <w:rsid w:val="004F08C5"/>
    <w:rsid w:val="004F4747"/>
    <w:rsid w:val="004F6F77"/>
    <w:rsid w:val="0050411A"/>
    <w:rsid w:val="00505FBC"/>
    <w:rsid w:val="00520FFB"/>
    <w:rsid w:val="005251AE"/>
    <w:rsid w:val="00534D5E"/>
    <w:rsid w:val="00534FAE"/>
    <w:rsid w:val="00545EB7"/>
    <w:rsid w:val="00583F98"/>
    <w:rsid w:val="00596690"/>
    <w:rsid w:val="005A4896"/>
    <w:rsid w:val="005B7647"/>
    <w:rsid w:val="005D56E9"/>
    <w:rsid w:val="005F13A9"/>
    <w:rsid w:val="00601423"/>
    <w:rsid w:val="00606BF2"/>
    <w:rsid w:val="006252E3"/>
    <w:rsid w:val="00650FED"/>
    <w:rsid w:val="0068502C"/>
    <w:rsid w:val="006878C7"/>
    <w:rsid w:val="00690184"/>
    <w:rsid w:val="006965B4"/>
    <w:rsid w:val="006A01A1"/>
    <w:rsid w:val="006B0B1B"/>
    <w:rsid w:val="006B6D21"/>
    <w:rsid w:val="006B75F5"/>
    <w:rsid w:val="006E5B41"/>
    <w:rsid w:val="006F64E7"/>
    <w:rsid w:val="00705D75"/>
    <w:rsid w:val="00733914"/>
    <w:rsid w:val="007417C1"/>
    <w:rsid w:val="00746F2B"/>
    <w:rsid w:val="00747D95"/>
    <w:rsid w:val="00752097"/>
    <w:rsid w:val="00756D5D"/>
    <w:rsid w:val="00761E21"/>
    <w:rsid w:val="00776D4B"/>
    <w:rsid w:val="0079502D"/>
    <w:rsid w:val="00795550"/>
    <w:rsid w:val="007A2FC6"/>
    <w:rsid w:val="007A5AAC"/>
    <w:rsid w:val="007C21C2"/>
    <w:rsid w:val="007D4B87"/>
    <w:rsid w:val="007E4007"/>
    <w:rsid w:val="0082096B"/>
    <w:rsid w:val="0082331F"/>
    <w:rsid w:val="008257DF"/>
    <w:rsid w:val="008368E2"/>
    <w:rsid w:val="008618FE"/>
    <w:rsid w:val="008665F7"/>
    <w:rsid w:val="0086666E"/>
    <w:rsid w:val="00870FA5"/>
    <w:rsid w:val="00874660"/>
    <w:rsid w:val="008A102E"/>
    <w:rsid w:val="008A766F"/>
    <w:rsid w:val="008B18A3"/>
    <w:rsid w:val="008B34EE"/>
    <w:rsid w:val="008C756A"/>
    <w:rsid w:val="008E1C98"/>
    <w:rsid w:val="008F54B9"/>
    <w:rsid w:val="008F5B83"/>
    <w:rsid w:val="00910049"/>
    <w:rsid w:val="0091708A"/>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8519C"/>
    <w:rsid w:val="00A91142"/>
    <w:rsid w:val="00AB1353"/>
    <w:rsid w:val="00AC01B1"/>
    <w:rsid w:val="00AC09D3"/>
    <w:rsid w:val="00AD0EA1"/>
    <w:rsid w:val="00AD2695"/>
    <w:rsid w:val="00AD39DA"/>
    <w:rsid w:val="00AE029F"/>
    <w:rsid w:val="00AF01D8"/>
    <w:rsid w:val="00AF42AC"/>
    <w:rsid w:val="00B01C45"/>
    <w:rsid w:val="00B05A42"/>
    <w:rsid w:val="00B22220"/>
    <w:rsid w:val="00B22635"/>
    <w:rsid w:val="00B47E66"/>
    <w:rsid w:val="00B743AB"/>
    <w:rsid w:val="00B803DE"/>
    <w:rsid w:val="00B97970"/>
    <w:rsid w:val="00BA15CF"/>
    <w:rsid w:val="00BA3C4F"/>
    <w:rsid w:val="00BB2288"/>
    <w:rsid w:val="00BB2A59"/>
    <w:rsid w:val="00BB3D50"/>
    <w:rsid w:val="00BB5CFC"/>
    <w:rsid w:val="00BC18B9"/>
    <w:rsid w:val="00BC3BB1"/>
    <w:rsid w:val="00BD4F24"/>
    <w:rsid w:val="00BE6F2E"/>
    <w:rsid w:val="00BF050A"/>
    <w:rsid w:val="00BF746A"/>
    <w:rsid w:val="00C21DF8"/>
    <w:rsid w:val="00C23788"/>
    <w:rsid w:val="00C37003"/>
    <w:rsid w:val="00C51238"/>
    <w:rsid w:val="00C52B4D"/>
    <w:rsid w:val="00C62D4B"/>
    <w:rsid w:val="00C70FF4"/>
    <w:rsid w:val="00C869DA"/>
    <w:rsid w:val="00C9265C"/>
    <w:rsid w:val="00CA5205"/>
    <w:rsid w:val="00CB0852"/>
    <w:rsid w:val="00CB2FF6"/>
    <w:rsid w:val="00D06630"/>
    <w:rsid w:val="00D237D4"/>
    <w:rsid w:val="00D30ADB"/>
    <w:rsid w:val="00D311EA"/>
    <w:rsid w:val="00D77694"/>
    <w:rsid w:val="00D80910"/>
    <w:rsid w:val="00D81489"/>
    <w:rsid w:val="00D837B2"/>
    <w:rsid w:val="00DB46BB"/>
    <w:rsid w:val="00DB5CCC"/>
    <w:rsid w:val="00DD0DFD"/>
    <w:rsid w:val="00DE1D92"/>
    <w:rsid w:val="00DE3ACA"/>
    <w:rsid w:val="00DE7470"/>
    <w:rsid w:val="00E0481B"/>
    <w:rsid w:val="00E15D39"/>
    <w:rsid w:val="00E16774"/>
    <w:rsid w:val="00E33675"/>
    <w:rsid w:val="00E34260"/>
    <w:rsid w:val="00E40AC7"/>
    <w:rsid w:val="00E43D54"/>
    <w:rsid w:val="00E54034"/>
    <w:rsid w:val="00E543B8"/>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535"/>
    <w:rsid w:val="00F06A1A"/>
    <w:rsid w:val="00F27E12"/>
    <w:rsid w:val="00F319AF"/>
    <w:rsid w:val="00F40C1D"/>
    <w:rsid w:val="00F42768"/>
    <w:rsid w:val="00F43CD1"/>
    <w:rsid w:val="00F51C15"/>
    <w:rsid w:val="00F63ADB"/>
    <w:rsid w:val="00F741B8"/>
    <w:rsid w:val="00F878B5"/>
    <w:rsid w:val="00F91EFF"/>
    <w:rsid w:val="00F92513"/>
    <w:rsid w:val="00F943A4"/>
    <w:rsid w:val="00F96275"/>
    <w:rsid w:val="00F97976"/>
    <w:rsid w:val="00FB5476"/>
    <w:rsid w:val="00FC26FD"/>
    <w:rsid w:val="00FD6D58"/>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68502C"/>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68502C"/>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68502C"/>
    <w:pPr>
      <w:widowControl/>
      <w:numPr>
        <w:ilvl w:val="4"/>
      </w:numPr>
      <w:outlineLvl w:val="3"/>
    </w:pPr>
  </w:style>
  <w:style w:type="paragraph" w:customStyle="1" w:styleId="a9">
    <w:name w:val="标准文件_四级条标题"/>
    <w:next w:val="aff2"/>
    <w:rsid w:val="0068502C"/>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68502C"/>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68502C"/>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68502C"/>
    <w:pPr>
      <w:numPr>
        <w:ilvl w:val="2"/>
      </w:numPr>
      <w:spacing w:beforeLines="50" w:before="50" w:afterLines="50" w:after="50"/>
      <w:outlineLvl w:val="1"/>
    </w:pPr>
  </w:style>
  <w:style w:type="paragraph" w:customStyle="1" w:styleId="a2">
    <w:name w:val="标准文件_一级项"/>
    <w:rsid w:val="0068502C"/>
    <w:pPr>
      <w:numPr>
        <w:numId w:val="2"/>
      </w:numPr>
    </w:pPr>
    <w:rPr>
      <w:rFonts w:ascii="宋体" w:eastAsia="宋体" w:hAnsi="Times New Roman" w:cs="Times New Roman"/>
      <w:sz w:val="21"/>
    </w:rPr>
  </w:style>
  <w:style w:type="paragraph" w:customStyle="1" w:styleId="a4">
    <w:name w:val="前言标题"/>
    <w:next w:val="ab"/>
    <w:rsid w:val="0068502C"/>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3">
    <w:name w:val="标准文件_三级无标题"/>
    <w:basedOn w:val="a8"/>
    <w:qFormat/>
    <w:rsid w:val="0068502C"/>
    <w:pPr>
      <w:spacing w:beforeLines="0" w:before="0" w:afterLines="0" w:after="0"/>
      <w:outlineLvl w:val="9"/>
    </w:pPr>
    <w:rPr>
      <w:rFonts w:ascii="宋体" w:eastAsia="宋体"/>
    </w:rPr>
  </w:style>
  <w:style w:type="paragraph" w:customStyle="1" w:styleId="aff4">
    <w:name w:val="标准文件_二级无标题"/>
    <w:basedOn w:val="a7"/>
    <w:qFormat/>
    <w:rsid w:val="0068502C"/>
    <w:pPr>
      <w:spacing w:beforeLines="0" w:before="0" w:afterLines="0" w:after="0"/>
      <w:outlineLvl w:val="9"/>
    </w:pPr>
    <w:rPr>
      <w:rFonts w:ascii="宋体" w:eastAsia="宋体"/>
    </w:rPr>
  </w:style>
  <w:style w:type="paragraph" w:customStyle="1" w:styleId="a3">
    <w:name w:val="标准文件_三级项"/>
    <w:basedOn w:val="ab"/>
    <w:rsid w:val="0068502C"/>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68502C"/>
    <w:rPr>
      <w:rFonts w:ascii="宋体" w:eastAsia="宋体" w:hAnsi="Times New Roman" w:cs="Times New Roman"/>
      <w:noProof/>
      <w:sz w:val="21"/>
    </w:rPr>
  </w:style>
  <w:style w:type="paragraph" w:customStyle="1" w:styleId="2">
    <w:name w:val="标准文件_二级项2"/>
    <w:basedOn w:val="aff2"/>
    <w:qFormat/>
    <w:rsid w:val="0068502C"/>
    <w:pPr>
      <w:numPr>
        <w:ilvl w:val="1"/>
        <w:numId w:val="2"/>
      </w:numPr>
      <w:tabs>
        <w:tab w:val="num" w:pos="360"/>
      </w:tabs>
      <w:ind w:left="0" w:firstLineChars="0" w:firstLine="0"/>
    </w:pPr>
  </w:style>
  <w:style w:type="paragraph" w:customStyle="1" w:styleId="aff5">
    <w:name w:val="标准文件_术语条一"/>
    <w:basedOn w:val="ab"/>
    <w:next w:val="aff2"/>
    <w:qFormat/>
    <w:rsid w:val="0068502C"/>
    <w:pPr>
      <w:widowControl/>
      <w:numPr>
        <w:ilvl w:val="2"/>
        <w:numId w:val="29"/>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5C82F9C94ABCB60EEDA3E90003FB"/>
        <w:category>
          <w:name w:val="常规"/>
          <w:gallery w:val="placeholder"/>
        </w:category>
        <w:types>
          <w:type w:val="bbPlcHdr"/>
        </w:types>
        <w:behaviors>
          <w:behavior w:val="content"/>
        </w:behaviors>
        <w:guid w:val="{6D1AFBDE-2278-48E0-8DE2-554AFB18D0BF}"/>
      </w:docPartPr>
      <w:docPartBody>
        <w:p w:rsidR="00000000" w:rsidRDefault="00DC4D15" w:rsidP="00DC4D15">
          <w:pPr>
            <w:pStyle w:val="DC095C82F9C94ABCB60EEDA3E90003FB"/>
          </w:pPr>
          <w:r w:rsidRPr="00FB6243">
            <w:rPr>
              <w:rStyle w:val="a3"/>
              <w:rFonts w:hint="eastAsia"/>
            </w:rPr>
            <w:t>选择一项。</w:t>
          </w:r>
        </w:p>
      </w:docPartBody>
    </w:docPart>
    <w:docPart>
      <w:docPartPr>
        <w:name w:val="316BF004B9C9446EB23F6E051E5C4536"/>
        <w:category>
          <w:name w:val="常规"/>
          <w:gallery w:val="placeholder"/>
        </w:category>
        <w:types>
          <w:type w:val="bbPlcHdr"/>
        </w:types>
        <w:behaviors>
          <w:behavior w:val="content"/>
        </w:behaviors>
        <w:guid w:val="{0357B403-AB4F-4358-AA14-83622AE8F9BC}"/>
      </w:docPartPr>
      <w:docPartBody>
        <w:p w:rsidR="00000000" w:rsidRDefault="00DC4D15" w:rsidP="00DC4D15">
          <w:pPr>
            <w:pStyle w:val="316BF004B9C9446EB23F6E051E5C453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15"/>
    <w:rsid w:val="004A34BC"/>
    <w:rsid w:val="00DC4D15"/>
    <w:rsid w:val="00E5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4D15"/>
    <w:rPr>
      <w:color w:val="808080"/>
    </w:rPr>
  </w:style>
  <w:style w:type="paragraph" w:customStyle="1" w:styleId="DC095C82F9C94ABCB60EEDA3E90003FB">
    <w:name w:val="DC095C82F9C94ABCB60EEDA3E90003FB"/>
    <w:rsid w:val="00DC4D15"/>
    <w:pPr>
      <w:widowControl w:val="0"/>
    </w:pPr>
  </w:style>
  <w:style w:type="paragraph" w:customStyle="1" w:styleId="316BF004B9C9446EB23F6E051E5C4536">
    <w:name w:val="316BF004B9C9446EB23F6E051E5C4536"/>
    <w:rsid w:val="00DC4D1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2004</Words>
  <Characters>11424</Characters>
  <Application>Microsoft Office Word</Application>
  <DocSecurity>0</DocSecurity>
  <Lines>95</Lines>
  <Paragraphs>26</Paragraphs>
  <ScaleCrop>false</ScaleCrop>
  <Company>Lenovo</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55</cp:revision>
  <dcterms:created xsi:type="dcterms:W3CDTF">2019-06-25T01:51:00Z</dcterms:created>
  <dcterms:modified xsi:type="dcterms:W3CDTF">2026-01-22T07:14:00Z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