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811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3B6AFD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283DF0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4973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E44FA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2EE80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8D01CD2">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52CE252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01</w:t>
            </w:r>
            <w:r>
              <w:rPr>
                <w:rFonts w:ascii="黑体" w:hAnsi="黑体" w:eastAsia="黑体"/>
                <w:sz w:val="21"/>
                <w:szCs w:val="21"/>
              </w:rPr>
              <w:fldChar w:fldCharType="end"/>
            </w:r>
            <w:bookmarkEnd w:id="2"/>
          </w:p>
        </w:tc>
      </w:tr>
    </w:tbl>
    <w:p w14:paraId="6C017157">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E66008F">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bookmarkStart w:id="7"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7"/>
    </w:p>
    <w:p w14:paraId="7A301B6D">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2992E9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99E2D5A">
      <w:pPr>
        <w:pStyle w:val="50"/>
        <w:framePr w:w="9639" w:h="6976" w:hRule="exact" w:hSpace="0" w:vSpace="0" w:wrap="around" w:hAnchor="page" w:y="6408"/>
        <w:jc w:val="center"/>
        <w:rPr>
          <w:rFonts w:hint="eastAsia" w:ascii="黑体" w:hAnsi="黑体" w:eastAsia="黑体"/>
          <w:b w:val="0"/>
          <w:bCs w:val="0"/>
          <w:w w:val="100"/>
        </w:rPr>
      </w:pPr>
    </w:p>
    <w:p w14:paraId="743EBA3F">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绿色建筑规划及设计规范</w:t>
      </w:r>
      <w:r>
        <w:fldChar w:fldCharType="end"/>
      </w:r>
      <w:bookmarkEnd w:id="9"/>
    </w:p>
    <w:p w14:paraId="257BF9F3">
      <w:pPr>
        <w:framePr w:w="9639" w:h="6974" w:hRule="exact" w:wrap="around" w:vAnchor="page" w:hAnchor="page" w:x="1419" w:y="6408" w:anchorLock="1"/>
        <w:ind w:left="-1418"/>
      </w:pPr>
    </w:p>
    <w:p w14:paraId="2030AAE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for planning and design of green buildings</w:t>
      </w:r>
      <w:r>
        <w:rPr>
          <w:rFonts w:eastAsia="黑体"/>
          <w:szCs w:val="28"/>
        </w:rPr>
        <w:fldChar w:fldCharType="end"/>
      </w:r>
      <w:bookmarkEnd w:id="10"/>
    </w:p>
    <w:p w14:paraId="06185E25">
      <w:pPr>
        <w:framePr w:w="9639" w:h="6974" w:hRule="exact" w:wrap="around" w:vAnchor="page" w:hAnchor="page" w:x="1419" w:y="6408" w:anchorLock="1"/>
        <w:spacing w:line="760" w:lineRule="exact"/>
        <w:ind w:left="-1418"/>
      </w:pPr>
    </w:p>
    <w:p w14:paraId="6FE07433">
      <w:pPr>
        <w:pStyle w:val="125"/>
        <w:framePr w:w="9639" w:h="6974" w:hRule="exact" w:wrap="around" w:vAnchor="page" w:hAnchor="page" w:x="1419" w:y="6408" w:anchorLock="1"/>
        <w:textAlignment w:val="bottom"/>
        <w:rPr>
          <w:rFonts w:eastAsia="黑体"/>
          <w:szCs w:val="28"/>
        </w:rPr>
      </w:pPr>
    </w:p>
    <w:p w14:paraId="10D6C2A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9F6AA3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6ED754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B9B29B">
      <w:pPr>
        <w:pStyle w:val="193"/>
        <w:framePr w:wrap="around" w:y="14176"/>
      </w:pPr>
      <w:bookmarkStart w:id="14"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505E7E2">
      <w:pPr>
        <w:pStyle w:val="194"/>
        <w:framePr w:wrap="around" w:y="14176"/>
      </w:pPr>
      <w:bookmarkStart w:id="17"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E9DA171">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0474BC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4481171">
      <w:pPr>
        <w:pStyle w:val="91"/>
        <w:spacing w:after="360"/>
      </w:pPr>
      <w:bookmarkStart w:id="21" w:name="BookMark1"/>
      <w:r>
        <w:rPr>
          <w:rFonts w:hint="eastAsia"/>
          <w:spacing w:val="320"/>
        </w:rPr>
        <w:t>目</w:t>
      </w:r>
      <w:r>
        <w:rPr>
          <w:rFonts w:hint="eastAsia"/>
        </w:rPr>
        <w:t>次</w:t>
      </w:r>
    </w:p>
    <w:p w14:paraId="3549481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"_Toc219987164"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_Toc219987164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575FD78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"_Toc219987165"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_Toc219987165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2DD085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"_Toc219987166"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_Toc219987166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4962D2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"_Toc219987167"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_Toc219987167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04EFD7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"_Toc219987168" </w:instrText>
      </w:r>
      <w:r>
        <w:fldChar w:fldCharType="separate"/>
      </w:r>
      <w:r>
        <w:rPr>
          <w:rStyle w:val="32"/>
          <w:rFonts w:hint="eastAsia"/>
        </w:rPr>
        <w:t>4</w:t>
      </w:r>
      <w:r>
        <w:rPr>
          <w:rStyle w:val="32"/>
        </w:rPr>
        <w:t xml:space="preserve"> </w:t>
      </w:r>
      <w:r>
        <w:rPr>
          <w:rStyle w:val="32"/>
          <w:rFonts w:hint="eastAsia"/>
        </w:rPr>
        <w:t xml:space="preserve"> 基本原则</w:t>
      </w:r>
      <w:r>
        <w:rPr>
          <w:rFonts w:hint="eastAsia"/>
        </w:rPr>
        <w:tab/>
      </w:r>
      <w:r>
        <w:rPr>
          <w:rFonts w:hint="eastAsia"/>
        </w:rPr>
        <w:fldChar w:fldCharType="begin"/>
      </w:r>
      <w:r>
        <w:rPr>
          <w:rFonts w:hint="eastAsia"/>
        </w:rPr>
        <w:instrText xml:space="preserve"> </w:instrText>
      </w:r>
      <w:r>
        <w:instrText xml:space="preserve">PAGEREF _Toc219987168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15DD4C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"_Toc219987169" </w:instrText>
      </w:r>
      <w:r>
        <w:fldChar w:fldCharType="separate"/>
      </w:r>
      <w:r>
        <w:rPr>
          <w:rStyle w:val="32"/>
          <w:rFonts w:hint="eastAsia"/>
        </w:rPr>
        <w:t>5</w:t>
      </w:r>
      <w:r>
        <w:rPr>
          <w:rStyle w:val="32"/>
        </w:rPr>
        <w:t xml:space="preserve"> </w:t>
      </w:r>
      <w:r>
        <w:rPr>
          <w:rStyle w:val="32"/>
          <w:rFonts w:hint="eastAsia"/>
        </w:rPr>
        <w:t xml:space="preserve"> 绿色规划</w:t>
      </w:r>
      <w:r>
        <w:rPr>
          <w:rFonts w:hint="eastAsia"/>
        </w:rPr>
        <w:tab/>
      </w:r>
      <w:r>
        <w:rPr>
          <w:rFonts w:hint="eastAsia"/>
        </w:rPr>
        <w:fldChar w:fldCharType="begin"/>
      </w:r>
      <w:r>
        <w:rPr>
          <w:rFonts w:hint="eastAsia"/>
        </w:rPr>
        <w:instrText xml:space="preserve"> </w:instrText>
      </w:r>
      <w:r>
        <w:instrText xml:space="preserve">PAGEREF _Toc219987169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7B9CD3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"_Toc219987170" </w:instrText>
      </w:r>
      <w:r>
        <w:fldChar w:fldCharType="separate"/>
      </w:r>
      <w:r>
        <w:rPr>
          <w:rStyle w:val="32"/>
          <w:rFonts w:hint="eastAsia"/>
        </w:rPr>
        <w:t>6</w:t>
      </w:r>
      <w:r>
        <w:rPr>
          <w:rStyle w:val="32"/>
        </w:rPr>
        <w:t xml:space="preserve"> </w:t>
      </w:r>
      <w:r>
        <w:rPr>
          <w:rStyle w:val="32"/>
          <w:rFonts w:hint="eastAsia"/>
        </w:rPr>
        <w:t xml:space="preserve"> 场地规划</w:t>
      </w:r>
      <w:r>
        <w:rPr>
          <w:rFonts w:hint="eastAsia"/>
        </w:rPr>
        <w:tab/>
      </w:r>
      <w:r>
        <w:rPr>
          <w:rFonts w:hint="eastAsia"/>
        </w:rPr>
        <w:fldChar w:fldCharType="begin"/>
      </w:r>
      <w:r>
        <w:rPr>
          <w:rFonts w:hint="eastAsia"/>
        </w:rPr>
        <w:instrText xml:space="preserve"> </w:instrText>
      </w:r>
      <w:r>
        <w:instrText xml:space="preserve">PAGEREF _Toc219987170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E034DF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"_Toc219987171" </w:instrText>
      </w:r>
      <w:r>
        <w:fldChar w:fldCharType="separate"/>
      </w:r>
      <w:r>
        <w:rPr>
          <w:rStyle w:val="32"/>
          <w:rFonts w:hint="eastAsia"/>
        </w:rPr>
        <w:t>7</w:t>
      </w:r>
      <w:r>
        <w:rPr>
          <w:rStyle w:val="32"/>
        </w:rPr>
        <w:t xml:space="preserve"> </w:t>
      </w:r>
      <w:r>
        <w:rPr>
          <w:rStyle w:val="32"/>
          <w:rFonts w:hint="eastAsia"/>
        </w:rPr>
        <w:t xml:space="preserve"> 设计</w:t>
      </w:r>
      <w:r>
        <w:rPr>
          <w:rFonts w:hint="eastAsia"/>
        </w:rPr>
        <w:tab/>
      </w:r>
      <w:r>
        <w:rPr>
          <w:rFonts w:hint="eastAsia"/>
        </w:rPr>
        <w:fldChar w:fldCharType="begin"/>
      </w:r>
      <w:r>
        <w:rPr>
          <w:rFonts w:hint="eastAsia"/>
        </w:rPr>
        <w:instrText xml:space="preserve"> </w:instrText>
      </w:r>
      <w:r>
        <w:instrText xml:space="preserve">PAGEREF _Toc219987171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24C5716">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330015A">
      <w:pPr>
        <w:pStyle w:val="89"/>
        <w:spacing w:before="900" w:after="360"/>
      </w:pPr>
      <w:bookmarkStart w:id="22" w:name="_Toc219987164"/>
      <w:bookmarkStart w:id="23" w:name="BookMark2"/>
      <w:r>
        <w:rPr>
          <w:rFonts w:hint="eastAsia"/>
          <w:spacing w:val="320"/>
        </w:rPr>
        <w:t>前</w:t>
      </w:r>
      <w:r>
        <w:rPr>
          <w:rFonts w:hint="eastAsia"/>
        </w:rPr>
        <w:t>言</w:t>
      </w:r>
      <w:bookmarkEnd w:id="22"/>
    </w:p>
    <w:p w14:paraId="2280A1EE">
      <w:pPr>
        <w:pStyle w:val="56"/>
        <w:ind w:firstLine="420"/>
      </w:pPr>
      <w:r>
        <w:rPr>
          <w:rFonts w:hint="eastAsia"/>
        </w:rPr>
        <w:t>本文件按照GB/T 1.1—2020《标准化工作导则  第1部分：标准化文件的结构和起草规则》的规定起草。</w:t>
      </w:r>
    </w:p>
    <w:p w14:paraId="04FBA120">
      <w:pPr>
        <w:pStyle w:val="56"/>
        <w:ind w:firstLine="420"/>
      </w:pPr>
      <w:r>
        <w:rPr>
          <w:rFonts w:hint="eastAsia"/>
        </w:rPr>
        <w:t>请注意本文件的某些内容可能涉及专利。本文件的发布机构不承担识别专利的责任。</w:t>
      </w:r>
    </w:p>
    <w:p w14:paraId="5583BC56">
      <w:pPr>
        <w:pStyle w:val="56"/>
        <w:ind w:firstLine="420"/>
      </w:pPr>
      <w:r>
        <w:rPr>
          <w:rFonts w:hint="eastAsia"/>
        </w:rPr>
        <w:t>本文件由浙江天辰建筑设计有限公司提出。</w:t>
      </w:r>
    </w:p>
    <w:p w14:paraId="6F536091">
      <w:pPr>
        <w:pStyle w:val="56"/>
        <w:ind w:firstLine="420"/>
      </w:pPr>
      <w:r>
        <w:rPr>
          <w:rFonts w:hint="eastAsia"/>
        </w:rPr>
        <w:t>本文件由中国中小企业协会归口。</w:t>
      </w:r>
      <w:bookmarkStart w:id="54" w:name="_GoBack"/>
      <w:bookmarkEnd w:id="54"/>
    </w:p>
    <w:p w14:paraId="320F7A52">
      <w:pPr>
        <w:pStyle w:val="56"/>
        <w:ind w:firstLine="420"/>
        <w:rPr>
          <w:rFonts w:hint="eastAsia" w:eastAsia="宋体"/>
          <w:lang w:eastAsia="zh-CN"/>
        </w:rPr>
      </w:pPr>
      <w:r>
        <w:rPr>
          <w:rFonts w:hint="eastAsia"/>
        </w:rPr>
        <w:t>本文件起草单位：浙江天辰建筑设计有限公司</w:t>
      </w:r>
      <w:r>
        <w:rPr>
          <w:rFonts w:hint="eastAsia"/>
          <w:lang w:eastAsia="zh-CN"/>
        </w:rPr>
        <w:t>。</w:t>
      </w:r>
    </w:p>
    <w:p w14:paraId="2E6BF47F">
      <w:pPr>
        <w:pStyle w:val="56"/>
        <w:ind w:firstLine="420"/>
      </w:pPr>
      <w:r>
        <w:rPr>
          <w:rFonts w:hint="eastAsia"/>
        </w:rPr>
        <w:t>本文件主要起草人：</w:t>
      </w:r>
    </w:p>
    <w:p w14:paraId="07C426B7">
      <w:pPr>
        <w:pStyle w:val="56"/>
        <w:ind w:firstLine="420"/>
      </w:pPr>
    </w:p>
    <w:p w14:paraId="354159D6">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0A342349">
      <w:pPr>
        <w:spacing w:line="20" w:lineRule="exact"/>
        <w:jc w:val="center"/>
        <w:rPr>
          <w:rFonts w:hint="eastAsia" w:ascii="黑体" w:hAnsi="黑体" w:eastAsia="黑体"/>
          <w:sz w:val="32"/>
          <w:szCs w:val="32"/>
        </w:rPr>
      </w:pPr>
      <w:bookmarkStart w:id="24" w:name="BookMark4"/>
    </w:p>
    <w:p w14:paraId="0D3A6E41">
      <w:pPr>
        <w:spacing w:line="20" w:lineRule="exact"/>
        <w:jc w:val="center"/>
        <w:rPr>
          <w:rFonts w:hint="eastAsia" w:ascii="黑体" w:hAnsi="黑体" w:eastAsia="黑体"/>
          <w:sz w:val="32"/>
          <w:szCs w:val="32"/>
        </w:rPr>
      </w:pPr>
    </w:p>
    <w:sdt>
      <w:sdtPr>
        <w:tag w:val="NEW_STAND_NAME"/>
        <w:id w:val="595910757"/>
        <w:lock w:val="sdtLocked"/>
        <w:placeholder>
          <w:docPart w:val="CF11214EBBCE4C518615FD79A3D5832B"/>
        </w:placeholder>
      </w:sdtPr>
      <w:sdtContent>
        <w:p w14:paraId="15A47913">
          <w:pPr>
            <w:pStyle w:val="177"/>
            <w:spacing w:before="240" w:beforeLines="100" w:after="528" w:afterLines="220"/>
            <w:rPr>
              <w:rFonts w:hint="eastAsia"/>
            </w:rPr>
          </w:pPr>
          <w:bookmarkStart w:id="25" w:name="NEW_STAND_NAME"/>
          <w:r>
            <w:rPr>
              <w:rFonts w:hint="eastAsia"/>
            </w:rPr>
            <w:t>绿色建筑规划及设计规范</w:t>
          </w:r>
        </w:p>
      </w:sdtContent>
    </w:sdt>
    <w:bookmarkEnd w:id="25"/>
    <w:p w14:paraId="61C58FFD">
      <w:pPr>
        <w:pStyle w:val="104"/>
        <w:spacing w:before="240" w:after="240"/>
      </w:pPr>
      <w:bookmarkStart w:id="26" w:name="_Toc26986530"/>
      <w:bookmarkStart w:id="27" w:name="_Toc17233333"/>
      <w:bookmarkStart w:id="28" w:name="_Toc26986771"/>
      <w:bookmarkStart w:id="29" w:name="_Toc219987165"/>
      <w:bookmarkStart w:id="30" w:name="_Toc97192964"/>
      <w:bookmarkStart w:id="31" w:name="_Toc26718930"/>
      <w:bookmarkStart w:id="32" w:name="_Toc17233325"/>
      <w:bookmarkStart w:id="33" w:name="_Toc24884211"/>
      <w:bookmarkStart w:id="34" w:name="_Toc24884218"/>
      <w:bookmarkStart w:id="35" w:name="_Toc26648465"/>
      <w:r>
        <w:rPr>
          <w:rFonts w:hint="eastAsia"/>
        </w:rPr>
        <w:t>范围</w:t>
      </w:r>
      <w:bookmarkEnd w:id="26"/>
      <w:bookmarkEnd w:id="27"/>
      <w:bookmarkEnd w:id="28"/>
      <w:bookmarkEnd w:id="29"/>
      <w:bookmarkEnd w:id="30"/>
      <w:bookmarkEnd w:id="31"/>
      <w:bookmarkEnd w:id="32"/>
      <w:bookmarkEnd w:id="33"/>
      <w:bookmarkEnd w:id="34"/>
      <w:bookmarkEnd w:id="35"/>
    </w:p>
    <w:p w14:paraId="299E4B0F">
      <w:pPr>
        <w:pStyle w:val="56"/>
        <w:ind w:firstLine="420"/>
      </w:pPr>
      <w:bookmarkStart w:id="36" w:name="_Toc26648466"/>
      <w:bookmarkStart w:id="37" w:name="_Toc17233334"/>
      <w:bookmarkStart w:id="38" w:name="_Toc17233326"/>
      <w:bookmarkStart w:id="39" w:name="_Toc24884212"/>
      <w:bookmarkStart w:id="40" w:name="_Toc24884219"/>
      <w:r>
        <w:rPr>
          <w:rFonts w:hint="eastAsia"/>
        </w:rPr>
        <w:t>本文件规定了绿色建筑规划及设计的基本原则、绿色规划、场地规划、设计。</w:t>
      </w:r>
    </w:p>
    <w:p w14:paraId="6D7D654F">
      <w:pPr>
        <w:pStyle w:val="56"/>
        <w:ind w:firstLine="420"/>
      </w:pPr>
      <w:r>
        <w:rPr>
          <w:rFonts w:hint="eastAsia"/>
        </w:rPr>
        <w:t>本文件适用于绿色建筑规划及设计。</w:t>
      </w:r>
    </w:p>
    <w:p w14:paraId="566D67B6">
      <w:pPr>
        <w:pStyle w:val="104"/>
        <w:spacing w:before="240" w:after="240"/>
      </w:pPr>
      <w:bookmarkStart w:id="41" w:name="_Toc26986772"/>
      <w:bookmarkStart w:id="42" w:name="_Toc26718931"/>
      <w:bookmarkStart w:id="43" w:name="_Toc97192965"/>
      <w:bookmarkStart w:id="44" w:name="_Toc219987166"/>
      <w:bookmarkStart w:id="45" w:name="_Toc269865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798DAD86622E4D28946F53444349DF1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E30A20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70C063">
      <w:pPr>
        <w:pStyle w:val="56"/>
        <w:ind w:firstLine="420"/>
      </w:pPr>
      <w:r>
        <w:rPr>
          <w:rFonts w:hint="eastAsia"/>
        </w:rPr>
        <w:t>GB 3096 声环境质量标准</w:t>
      </w:r>
    </w:p>
    <w:p w14:paraId="273611B3">
      <w:pPr>
        <w:pStyle w:val="56"/>
        <w:ind w:firstLine="420"/>
      </w:pPr>
      <w:r>
        <w:t>GB/T 18091</w:t>
      </w:r>
      <w:r>
        <w:rPr>
          <w:rFonts w:hint="eastAsia"/>
        </w:rPr>
        <w:t xml:space="preserve"> 玻璃幕墙光热性能</w:t>
      </w:r>
    </w:p>
    <w:p w14:paraId="2162271D">
      <w:pPr>
        <w:pStyle w:val="56"/>
        <w:ind w:firstLine="420"/>
      </w:pPr>
      <w:r>
        <w:rPr>
          <w:rFonts w:hint="eastAsia"/>
        </w:rPr>
        <w:t>GB 50033 建筑采光设计标准</w:t>
      </w:r>
    </w:p>
    <w:p w14:paraId="0272794B">
      <w:pPr>
        <w:pStyle w:val="56"/>
        <w:ind w:firstLine="420"/>
      </w:pPr>
      <w:r>
        <w:t>GB 50096</w:t>
      </w:r>
      <w:r>
        <w:rPr>
          <w:rFonts w:hint="eastAsia"/>
        </w:rPr>
        <w:t xml:space="preserve"> 住宅设计规范</w:t>
      </w:r>
    </w:p>
    <w:p w14:paraId="6EB9E0AA">
      <w:pPr>
        <w:pStyle w:val="56"/>
        <w:ind w:firstLine="420"/>
      </w:pPr>
      <w:r>
        <w:rPr>
          <w:rFonts w:hint="eastAsia"/>
        </w:rPr>
        <w:t>GB 50118 民用建筑隔声设计规范</w:t>
      </w:r>
    </w:p>
    <w:p w14:paraId="0F5C3186">
      <w:pPr>
        <w:pStyle w:val="56"/>
        <w:ind w:firstLine="420"/>
      </w:pPr>
      <w:r>
        <w:rPr>
          <w:rFonts w:hint="eastAsia"/>
        </w:rPr>
        <w:t>GB 50180 城市居住区规划设计标准</w:t>
      </w:r>
    </w:p>
    <w:p w14:paraId="5B0EBEAB">
      <w:pPr>
        <w:pStyle w:val="56"/>
        <w:ind w:firstLine="420"/>
      </w:pPr>
      <w:r>
        <w:t>GB 50325</w:t>
      </w:r>
      <w:r>
        <w:rPr>
          <w:rFonts w:hint="eastAsia"/>
        </w:rPr>
        <w:t xml:space="preserve"> 民用建筑工程室内环境污染控制标准</w:t>
      </w:r>
    </w:p>
    <w:p w14:paraId="2A7CE5B4">
      <w:pPr>
        <w:pStyle w:val="56"/>
        <w:ind w:firstLine="420"/>
      </w:pPr>
      <w:r>
        <w:rPr>
          <w:rFonts w:hint="eastAsia"/>
        </w:rPr>
        <w:t>GB 50352 民用建筑设计统一标准</w:t>
      </w:r>
    </w:p>
    <w:p w14:paraId="3A50E7A6">
      <w:pPr>
        <w:pStyle w:val="56"/>
        <w:ind w:firstLine="420"/>
      </w:pPr>
      <w:r>
        <w:t>GB/T 50378</w:t>
      </w:r>
      <w:r>
        <w:rPr>
          <w:rFonts w:hint="eastAsia"/>
        </w:rPr>
        <w:t xml:space="preserve"> 绿色建筑评价标准</w:t>
      </w:r>
    </w:p>
    <w:p w14:paraId="5FF17A40">
      <w:pPr>
        <w:pStyle w:val="56"/>
        <w:ind w:firstLine="420"/>
      </w:pPr>
      <w:r>
        <w:t>GB 50400</w:t>
      </w:r>
      <w:r>
        <w:rPr>
          <w:rFonts w:hint="eastAsia"/>
        </w:rPr>
        <w:t xml:space="preserve"> 建筑与小区雨水控制及利用工程技术规范</w:t>
      </w:r>
    </w:p>
    <w:p w14:paraId="56383AAC">
      <w:pPr>
        <w:pStyle w:val="56"/>
        <w:ind w:firstLine="420"/>
      </w:pPr>
      <w:r>
        <w:rPr>
          <w:rFonts w:hint="eastAsia"/>
        </w:rPr>
        <w:t>GB 50736 民用建筑供暖通风与空气调节设计规范</w:t>
      </w:r>
    </w:p>
    <w:p w14:paraId="2C85EE8A">
      <w:pPr>
        <w:pStyle w:val="56"/>
        <w:ind w:firstLine="420"/>
      </w:pPr>
      <w:r>
        <w:t>GB/T 51161</w:t>
      </w:r>
      <w:r>
        <w:rPr>
          <w:rFonts w:hint="eastAsia"/>
        </w:rPr>
        <w:t xml:space="preserve"> 民用建筑能耗标准</w:t>
      </w:r>
    </w:p>
    <w:p w14:paraId="2BE1BFBF">
      <w:pPr>
        <w:pStyle w:val="56"/>
        <w:ind w:firstLine="420"/>
      </w:pPr>
      <w:r>
        <w:t>GB/T 51313</w:t>
      </w:r>
      <w:r>
        <w:rPr>
          <w:rFonts w:hint="eastAsia"/>
        </w:rPr>
        <w:t xml:space="preserve"> 电动汽车分散充电设施工程技术标准</w:t>
      </w:r>
    </w:p>
    <w:p w14:paraId="4CD39DF3">
      <w:pPr>
        <w:pStyle w:val="56"/>
        <w:ind w:firstLine="420"/>
      </w:pPr>
      <w:r>
        <w:t>GB/T 51366</w:t>
      </w:r>
      <w:r>
        <w:rPr>
          <w:rFonts w:hint="eastAsia"/>
        </w:rPr>
        <w:t xml:space="preserve"> 建筑碳排放计算标准</w:t>
      </w:r>
    </w:p>
    <w:p w14:paraId="5ACF7365">
      <w:pPr>
        <w:pStyle w:val="56"/>
        <w:ind w:firstLine="420"/>
      </w:pPr>
      <w:r>
        <w:t>JGJ/T 163</w:t>
      </w:r>
      <w:r>
        <w:rPr>
          <w:rFonts w:hint="eastAsia"/>
        </w:rPr>
        <w:t xml:space="preserve"> 城市夜景照明设计规范</w:t>
      </w:r>
    </w:p>
    <w:p w14:paraId="230AEE90">
      <w:pPr>
        <w:pStyle w:val="104"/>
        <w:spacing w:before="240" w:after="240"/>
      </w:pPr>
      <w:bookmarkStart w:id="46" w:name="_Toc97192966"/>
      <w:bookmarkStart w:id="47" w:name="_Toc219987167"/>
      <w:r>
        <w:rPr>
          <w:rFonts w:hint="eastAsia"/>
          <w:szCs w:val="21"/>
        </w:rPr>
        <w:t>术语和定义</w:t>
      </w:r>
      <w:bookmarkEnd w:id="46"/>
      <w:bookmarkEnd w:id="47"/>
    </w:p>
    <w:sdt>
      <w:sdtPr>
        <w:id w:val="-1909835108"/>
        <w:placeholder>
          <w:docPart w:val="B64AD47907CF4239BC9E5968B1753EA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6ED8E9">
          <w:pPr>
            <w:pStyle w:val="56"/>
            <w:ind w:firstLine="420"/>
          </w:pPr>
          <w:bookmarkStart w:id="48" w:name="_Toc26986532"/>
          <w:bookmarkEnd w:id="48"/>
          <w:r>
            <w:t>下列术语和定义适用于本文件。</w:t>
          </w:r>
        </w:p>
      </w:sdtContent>
    </w:sdt>
    <w:p w14:paraId="46B77A2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绿色建筑 green building</w:t>
      </w:r>
    </w:p>
    <w:p w14:paraId="3884513D">
      <w:pPr>
        <w:pStyle w:val="56"/>
        <w:ind w:firstLine="420"/>
      </w:pPr>
      <w:r>
        <w:rPr>
          <w:rFonts w:hint="eastAsia"/>
        </w:rPr>
        <w:t>在全寿命期内，节约资源、保护环境、减少污染，为人们提供健康、适用、高效的使用空间，最大限度地实现人与自然和谐共生的高质量建筑。</w:t>
      </w:r>
    </w:p>
    <w:p w14:paraId="2E195A67">
      <w:pPr>
        <w:pStyle w:val="104"/>
        <w:spacing w:before="240" w:after="240"/>
      </w:pPr>
      <w:bookmarkStart w:id="49" w:name="_Toc219987168"/>
      <w:r>
        <w:rPr>
          <w:rFonts w:hint="eastAsia"/>
        </w:rPr>
        <w:t>基本原则</w:t>
      </w:r>
      <w:bookmarkEnd w:id="49"/>
    </w:p>
    <w:p w14:paraId="77C479A7">
      <w:pPr>
        <w:pStyle w:val="105"/>
        <w:spacing w:before="120" w:after="120"/>
      </w:pPr>
      <w:r>
        <w:rPr>
          <w:rFonts w:hint="eastAsia"/>
        </w:rPr>
        <w:t>一般原则</w:t>
      </w:r>
    </w:p>
    <w:p w14:paraId="7BF5DAAF">
      <w:pPr>
        <w:pStyle w:val="165"/>
      </w:pPr>
      <w:r>
        <w:rPr>
          <w:rFonts w:hint="eastAsia"/>
        </w:rPr>
        <w:t>绿色建筑的规划与设计应遵循可持续发展的理念，统筹考虑建筑全寿命期内安全耐久、健康舒适、生活便利、资源节约与环境宜居等方面的协调关系。</w:t>
      </w:r>
    </w:p>
    <w:p w14:paraId="46CC23C3">
      <w:pPr>
        <w:pStyle w:val="165"/>
      </w:pPr>
      <w:r>
        <w:rPr>
          <w:rFonts w:hint="eastAsia"/>
        </w:rPr>
        <w:t>绿色建筑的规划与设计应进行系统性整合与优化。规划阶段应为绿色设计创造基础条件，设计阶段应落实并深化规划要求，通过规划与设计的一体化协同，实现整体性能最优。</w:t>
      </w:r>
    </w:p>
    <w:p w14:paraId="20961142">
      <w:pPr>
        <w:pStyle w:val="165"/>
      </w:pPr>
      <w:r>
        <w:rPr>
          <w:rFonts w:hint="eastAsia"/>
        </w:rPr>
        <w:t>绿色建筑的规划与设计应积极采用适宜、成熟、可靠的技术、设备和材料，其选择与应用应进行技术经济综合分析，优先采用被动式、低能耗、高效率、可循环的解决方案。</w:t>
      </w:r>
    </w:p>
    <w:p w14:paraId="5CC14071">
      <w:pPr>
        <w:pStyle w:val="165"/>
      </w:pPr>
      <w:r>
        <w:rPr>
          <w:rFonts w:hint="eastAsia"/>
        </w:rPr>
        <w:t>绿色建筑的规划与设计过程应采用集成设计方法。应建立跨专业、跨阶段的工作协同机制，确保规划、建筑、结构、暖通空调、给水排水、电气与智能化、室内设计、景观及经济等各专业紧密配合、数据共享，从项目初期即开展综合性能目标分析与方案优化。</w:t>
      </w:r>
    </w:p>
    <w:p w14:paraId="1FE58D6D">
      <w:pPr>
        <w:pStyle w:val="105"/>
        <w:spacing w:before="120" w:after="120"/>
      </w:pPr>
      <w:r>
        <w:rPr>
          <w:rFonts w:hint="eastAsia"/>
        </w:rPr>
        <w:t>规划控制</w:t>
      </w:r>
    </w:p>
    <w:p w14:paraId="7D96C9EE">
      <w:pPr>
        <w:pStyle w:val="165"/>
      </w:pPr>
      <w:r>
        <w:rPr>
          <w:rFonts w:hint="eastAsia"/>
        </w:rPr>
        <w:t>绿色建筑的规划应符合上位国土空间总体规划及相关专项规划的要求，并与周边生态环境、市政基础设施、公共服务设施相协调。</w:t>
      </w:r>
    </w:p>
    <w:p w14:paraId="1909E7D2">
      <w:pPr>
        <w:pStyle w:val="165"/>
      </w:pPr>
      <w:r>
        <w:rPr>
          <w:rFonts w:hint="eastAsia"/>
        </w:rPr>
        <w:t>场地规划应遵循保护与修复相结合的原则。应对场地内的自然水系、植被、地形地貌等生态要素进行勘察与评估，并采取有效措施予以保护和合理利用；对已被破坏的生态环境，宜进行生态修复。</w:t>
      </w:r>
    </w:p>
    <w:p w14:paraId="595C5536">
      <w:pPr>
        <w:pStyle w:val="165"/>
      </w:pPr>
      <w:r>
        <w:rPr>
          <w:rFonts w:hint="eastAsia"/>
        </w:rPr>
        <w:t>规划布局应有利于节约集约利用资源。应合理确定开发强度与建设规模，高效利用土地。场地内交通组织、空间布局宜有利于促进绿色出行，减少机动车交通需求。</w:t>
      </w:r>
    </w:p>
    <w:p w14:paraId="4E32737E">
      <w:pPr>
        <w:pStyle w:val="165"/>
      </w:pPr>
      <w:r>
        <w:rPr>
          <w:rFonts w:hint="eastAsia"/>
        </w:rPr>
        <w:t>规划应充分考虑气候适应性与韧性。应分析场地所在地区的气候特征及自然灾害风险（如洪涝、强风、热浪等），在规划层面制定相应的适应与缓解策略，提升建筑群及社区的气候韧性。</w:t>
      </w:r>
    </w:p>
    <w:p w14:paraId="1DB12A0B">
      <w:pPr>
        <w:pStyle w:val="105"/>
        <w:spacing w:before="120" w:after="120"/>
      </w:pPr>
      <w:r>
        <w:rPr>
          <w:rFonts w:hint="eastAsia"/>
        </w:rPr>
        <w:t>设计实施</w:t>
      </w:r>
    </w:p>
    <w:p w14:paraId="073379C2">
      <w:pPr>
        <w:pStyle w:val="165"/>
      </w:pPr>
      <w:r>
        <w:rPr>
          <w:rFonts w:hint="eastAsia"/>
        </w:rPr>
        <w:t>绿色建筑设计应以明确的性能目标为导向。设计前期应依据项目定位、相关标准及业主要求，确定资源节约、环境负荷、室内环境质量等关键性能目标，并贯穿各设计阶段予以落实和验证。</w:t>
      </w:r>
    </w:p>
    <w:p w14:paraId="1A932D4E">
      <w:pPr>
        <w:pStyle w:val="165"/>
      </w:pPr>
      <w:r>
        <w:rPr>
          <w:rFonts w:hint="eastAsia"/>
        </w:rPr>
        <w:t>建筑设计应优先采用被动式设计策略。应通过合理的建筑朝向、空间布局、自然采光与通风设计、围护结构性能优化、遮阳措施等，最大限度降低建筑对主动式机械系统的依赖，降低建筑本体能耗需求。</w:t>
      </w:r>
    </w:p>
    <w:p w14:paraId="2A3F2C36">
      <w:pPr>
        <w:pStyle w:val="165"/>
      </w:pPr>
      <w:r>
        <w:rPr>
          <w:rFonts w:hint="eastAsia"/>
        </w:rPr>
        <w:t>建筑系统的设计应遵循高效、循环的原则。暖通空调、给水排水、电气与智能化等系统的设计，应选用高效节能设备，优化系统形式与控制策略。宜系统规划水资源循环利用、废弃物分类处理及能源的梯级利用。</w:t>
      </w:r>
    </w:p>
    <w:p w14:paraId="2D793700">
      <w:pPr>
        <w:pStyle w:val="165"/>
      </w:pPr>
      <w:r>
        <w:rPr>
          <w:rFonts w:hint="eastAsia"/>
        </w:rPr>
        <w:t>建筑材料与部品的选用应遵循减少环境负荷的原则。在满足性能要求的前提下，应优先选用可再生、可循环、本土化的材料，以及获得绿色建材认证的产品。设计宜考虑建筑部品、材料的易拆解、可再利用性。</w:t>
      </w:r>
    </w:p>
    <w:p w14:paraId="105C7EB9">
      <w:pPr>
        <w:pStyle w:val="165"/>
      </w:pPr>
      <w:r>
        <w:rPr>
          <w:rFonts w:hint="eastAsia"/>
        </w:rPr>
        <w:t>绿色建筑设计应为施工与运营提供便利。设计文件应包含绿色施工与绿色运营的相关技术要求，设计成果宜便于施工阶段的质量控制与运营阶段的管理优化，实现设计、施工、运营的协同衔接与信息传递。</w:t>
      </w:r>
    </w:p>
    <w:p w14:paraId="1CDC513D">
      <w:pPr>
        <w:pStyle w:val="105"/>
        <w:spacing w:before="120" w:after="120"/>
      </w:pPr>
      <w:r>
        <w:rPr>
          <w:rFonts w:hint="eastAsia"/>
        </w:rPr>
        <w:t>指标控制</w:t>
      </w:r>
    </w:p>
    <w:p w14:paraId="738FA74D">
      <w:pPr>
        <w:pStyle w:val="165"/>
      </w:pPr>
      <w:r>
        <w:rPr>
          <w:rFonts w:hint="eastAsia"/>
        </w:rPr>
        <w:t>绿色建筑的规划与设计宜通过一套分层次、可量化的指标体系进行引导和控制。指标体系应涵盖场地与生态、资源与能源、环境与健康、管理与创新等方面。</w:t>
      </w:r>
    </w:p>
    <w:p w14:paraId="3DA42682">
      <w:pPr>
        <w:pStyle w:val="165"/>
      </w:pPr>
      <w:r>
        <w:rPr>
          <w:rFonts w:hint="eastAsia"/>
        </w:rPr>
        <w:t>指标宜分为约束性要求与提高性要求两个层级。</w:t>
      </w:r>
    </w:p>
    <w:p w14:paraId="36B7DE22">
      <w:pPr>
        <w:pStyle w:val="132"/>
      </w:pPr>
      <w:r>
        <w:rPr>
          <w:rFonts w:hint="eastAsia"/>
        </w:rPr>
        <w:t>约束性要求是绿色建筑必须达到的基本性能门槛，应符合国家现行相关强制性标准的规定。</w:t>
      </w:r>
    </w:p>
    <w:p w14:paraId="79557F43">
      <w:pPr>
        <w:pStyle w:val="132"/>
      </w:pPr>
      <w:r>
        <w:rPr>
          <w:rFonts w:hint="eastAsia"/>
        </w:rPr>
        <w:t>提高性要求是鼓励实现的更高性能目标，用于引导建筑品质的提升与技术创新。</w:t>
      </w:r>
    </w:p>
    <w:p w14:paraId="53125D50">
      <w:pPr>
        <w:pStyle w:val="165"/>
      </w:pPr>
      <w:r>
        <w:rPr>
          <w:rFonts w:hint="eastAsia"/>
        </w:rPr>
        <w:t>指标的设定与评价可参照GB/T 50378等相关评价体系的核心要求，并结合项目具体情况和地域特点进行细化和调整，确保其科学性与可操作性。</w:t>
      </w:r>
    </w:p>
    <w:p w14:paraId="7D64698A">
      <w:pPr>
        <w:pStyle w:val="104"/>
        <w:spacing w:before="240" w:after="240"/>
      </w:pPr>
      <w:bookmarkStart w:id="50" w:name="_Toc219987169"/>
      <w:r>
        <w:rPr>
          <w:rFonts w:hint="eastAsia"/>
        </w:rPr>
        <w:t>绿色规划</w:t>
      </w:r>
      <w:bookmarkEnd w:id="50"/>
    </w:p>
    <w:p w14:paraId="382E3F53">
      <w:pPr>
        <w:pStyle w:val="105"/>
        <w:spacing w:before="120" w:after="120"/>
      </w:pPr>
      <w:r>
        <w:rPr>
          <w:rFonts w:hint="eastAsia"/>
        </w:rPr>
        <w:t>一般规定</w:t>
      </w:r>
    </w:p>
    <w:p w14:paraId="4E1E35D7">
      <w:pPr>
        <w:pStyle w:val="165"/>
      </w:pPr>
      <w:r>
        <w:rPr>
          <w:rFonts w:hint="eastAsia"/>
        </w:rPr>
        <w:t>绿色建筑规划应在项目立项或方案设计阶段同步开展，并与城市规划、场地设计及建筑方案进行全过程协同与迭代。规划应作为指导后续绿色建筑设计与实施的纲领性文件。</w:t>
      </w:r>
    </w:p>
    <w:p w14:paraId="5A0B72C8">
      <w:pPr>
        <w:pStyle w:val="165"/>
      </w:pPr>
      <w:r>
        <w:rPr>
          <w:rFonts w:hint="eastAsia"/>
        </w:rPr>
        <w:t>绿色建筑规划应明确项目的绿色建筑总体定位、星级或等级目标、关键性能分项目标（如节能减碳、资源节约、环境健康等），并提出实现目标的核心技术路径与实施策略。</w:t>
      </w:r>
    </w:p>
    <w:p w14:paraId="0B0BCE46">
      <w:pPr>
        <w:pStyle w:val="165"/>
      </w:pPr>
      <w:r>
        <w:rPr>
          <w:rFonts w:hint="eastAsia"/>
        </w:rPr>
        <w:t>绿色建筑规划应基于全寿命期视角，对项目的资源消耗、环境影响和碳排放进行定量分析与评估。应依据GB/T 51366及相关标准和方法，计算分析规划方案的预期碳排放强度，并应提出明确的、可验证的碳减排目标与实施路径。</w:t>
      </w:r>
    </w:p>
    <w:p w14:paraId="773010C0">
      <w:pPr>
        <w:pStyle w:val="165"/>
      </w:pPr>
      <w:r>
        <w:rPr>
          <w:rFonts w:hint="eastAsia"/>
        </w:rPr>
        <w:t>绿色建筑规划内容与深度应满足对应设计阶段的要求，其成果应具有可实施性，并能有效指导下一阶段的设计工作，确保规划目标的层层传递与落实。</w:t>
      </w:r>
    </w:p>
    <w:p w14:paraId="1E511189">
      <w:pPr>
        <w:pStyle w:val="105"/>
        <w:spacing w:before="120" w:after="120"/>
      </w:pPr>
      <w:r>
        <w:rPr>
          <w:rFonts w:hint="eastAsia"/>
        </w:rPr>
        <w:t>策划内容</w:t>
      </w:r>
    </w:p>
    <w:p w14:paraId="5A192087">
      <w:pPr>
        <w:pStyle w:val="165"/>
      </w:pPr>
      <w:r>
        <w:rPr>
          <w:rFonts w:hint="eastAsia"/>
        </w:rPr>
        <w:t>绿色建筑规划策划应系统、完整，其工作内容应包括以下方面：</w:t>
      </w:r>
    </w:p>
    <w:p w14:paraId="0D2E299E">
      <w:pPr>
        <w:pStyle w:val="132"/>
      </w:pPr>
      <w:r>
        <w:rPr>
          <w:rFonts w:hint="eastAsia"/>
        </w:rPr>
        <w:t>前期调研与分析；</w:t>
      </w:r>
    </w:p>
    <w:p w14:paraId="61FA761D">
      <w:pPr>
        <w:pStyle w:val="132"/>
      </w:pPr>
      <w:r>
        <w:rPr>
          <w:rFonts w:hint="eastAsia"/>
        </w:rPr>
        <w:t>项目定位与目标体系构建；</w:t>
      </w:r>
    </w:p>
    <w:p w14:paraId="629B95BB">
      <w:pPr>
        <w:pStyle w:val="132"/>
      </w:pPr>
      <w:r>
        <w:rPr>
          <w:rFonts w:hint="eastAsia"/>
        </w:rPr>
        <w:t>绿色技术策略集成与方案比选；</w:t>
      </w:r>
    </w:p>
    <w:p w14:paraId="252CAD02">
      <w:pPr>
        <w:pStyle w:val="132"/>
      </w:pPr>
      <w:r>
        <w:rPr>
          <w:rFonts w:hint="eastAsia"/>
        </w:rPr>
        <w:t>全寿命期技术经济可行性分析。</w:t>
      </w:r>
    </w:p>
    <w:p w14:paraId="0CDB4AC7">
      <w:pPr>
        <w:pStyle w:val="165"/>
      </w:pPr>
      <w:r>
        <w:rPr>
          <w:rFonts w:hint="eastAsia"/>
        </w:rPr>
        <w:t>前期调研应包括场地分析、市场分析和社会环境分析,并应符合下列规定：</w:t>
      </w:r>
    </w:p>
    <w:p w14:paraId="5E4AE906">
      <w:pPr>
        <w:pStyle w:val="132"/>
      </w:pPr>
      <w:r>
        <w:rPr>
          <w:rFonts w:hint="eastAsia"/>
        </w:rPr>
        <w:t>场地与生态环境分析：应对场地的地理区位、气候特征（温度、降水、日照、风玫瑰图等）、地形地貌、水文地质、现有植被与生态系统、土壤状况、声光热物理环境、周边交通与市政基础设施（特别是能源、水资源、废弃物处理条件）以及可利用的再生资源（如太阳能、浅层地热、雨水等）进行详细调查与评估。</w:t>
      </w:r>
    </w:p>
    <w:p w14:paraId="2B30B6A6">
      <w:pPr>
        <w:pStyle w:val="132"/>
      </w:pPr>
      <w:r>
        <w:rPr>
          <w:rFonts w:hint="eastAsia"/>
        </w:rPr>
        <w:t>社会与人文环境分析：宜对项目所在区域的社会经济发展水平、地方文化特色、城市文脉、主要用户群体特征与行为模式、社区服务设施配置及未来发展规划进行调研，使绿色建筑规划与区域发展相协调。</w:t>
      </w:r>
    </w:p>
    <w:p w14:paraId="5CFFFC90">
      <w:pPr>
        <w:pStyle w:val="132"/>
      </w:pPr>
      <w:r>
        <w:rPr>
          <w:rFonts w:hint="eastAsia"/>
        </w:rPr>
        <w:t>市场与政策条件分析：应调研项目的功能需求、市场定位、运营管理模式、适用的国家及行业绿色建筑与节能减碳相关法律法规、政策导向、标准规范及可能的激励措施。</w:t>
      </w:r>
    </w:p>
    <w:p w14:paraId="63891A38">
      <w:pPr>
        <w:pStyle w:val="165"/>
      </w:pPr>
      <w:r>
        <w:rPr>
          <w:rFonts w:hint="eastAsia"/>
        </w:rPr>
        <w:t>项目定位与目标分析应包括下列内容：</w:t>
      </w:r>
    </w:p>
    <w:p w14:paraId="4EF2DD97">
      <w:pPr>
        <w:pStyle w:val="132"/>
      </w:pPr>
      <w:r>
        <w:rPr>
          <w:rFonts w:hint="eastAsia"/>
        </w:rPr>
        <w:t>明确项目特点与核心需求：结合业主要求、使用功能、投资规模等因素，明确项目的个性化特征与核心绿色诉求。</w:t>
      </w:r>
    </w:p>
    <w:p w14:paraId="69808401">
      <w:pPr>
        <w:pStyle w:val="132"/>
      </w:pPr>
      <w:r>
        <w:rPr>
          <w:rFonts w:hint="eastAsia"/>
        </w:rPr>
        <w:t>确定绿色建筑等级目标：依据GB/T 50378或其他适用的评价体系，确定项目拟达到的绿色建筑星级或等级目标。</w:t>
      </w:r>
    </w:p>
    <w:p w14:paraId="13931940">
      <w:pPr>
        <w:pStyle w:val="132"/>
      </w:pPr>
      <w:r>
        <w:rPr>
          <w:rFonts w:hint="eastAsia"/>
        </w:rPr>
        <w:t>构建关键性能指标体系：应分解总体目标，制定覆盖安全耐久、健康舒适、生活便利、资源节约、环境宜居等维度的定量与定性关键性能指标。指标可分为约束性要求（必须达到的基本门槛）和提高性要求（鼓励实现的更高目标）。指标值应参照国家及行业现行相关标准设定。</w:t>
      </w:r>
    </w:p>
    <w:p w14:paraId="15164B79">
      <w:pPr>
        <w:pStyle w:val="132"/>
      </w:pPr>
      <w:r>
        <w:rPr>
          <w:rFonts w:hint="eastAsia"/>
        </w:rPr>
        <w:t>制定实施路线图：明确实现各项目标指标的主要阶段、责任分工和技术与管理保障措施。</w:t>
      </w:r>
    </w:p>
    <w:p w14:paraId="135A0B12">
      <w:pPr>
        <w:pStyle w:val="165"/>
      </w:pPr>
      <w:r>
        <w:rPr>
          <w:rFonts w:hint="eastAsia"/>
        </w:rPr>
        <w:t>绿色建筑设计方案与实施策略分析应包括下列内容：</w:t>
      </w:r>
    </w:p>
    <w:p w14:paraId="2984D5C6">
      <w:pPr>
        <w:pStyle w:val="132"/>
      </w:pPr>
      <w:r>
        <w:rPr>
          <w:rFonts w:hint="eastAsia"/>
        </w:rPr>
        <w:t>贯彻被动优先原则：应优先规划和评估通过场地规划、建筑布局、朝向、形体、空间、围护结构性能优化等被动式设计手段降低建筑用能需求、改善室内环境的潜力。</w:t>
      </w:r>
    </w:p>
    <w:p w14:paraId="5B604DD8">
      <w:pPr>
        <w:pStyle w:val="132"/>
      </w:pPr>
      <w:r>
        <w:rPr>
          <w:rFonts w:hint="eastAsia"/>
        </w:rPr>
        <w:t>优化主动技术系统：在被动设计基础上，应对暖通空调、照明、给排水、电气及可再生能源系统等进行集成设计与能效优化比选。鼓励采用高效设备、智能控制、复合能源系统及资源循环利用技术。</w:t>
      </w:r>
    </w:p>
    <w:p w14:paraId="7F6D45C7">
      <w:pPr>
        <w:pStyle w:val="132"/>
      </w:pPr>
      <w:r>
        <w:rPr>
          <w:rFonts w:hint="eastAsia"/>
        </w:rPr>
        <w:t>进行多方案比选：宜针对主要技术策略（如能源系统形式、水资源利用方案、围护结构构造等）提出两个及以上可比方案，并从技术适应性、性能提升效果、初投资、运行费用、环境影响（碳减排潜力）等方面进行综合比较分析。</w:t>
      </w:r>
    </w:p>
    <w:p w14:paraId="20E62F90">
      <w:pPr>
        <w:pStyle w:val="132"/>
      </w:pPr>
      <w:r>
        <w:rPr>
          <w:rFonts w:hint="eastAsia"/>
        </w:rPr>
        <w:t>材料与部品规划：提出建筑材料、装修材料及主要设备部品的绿色选用原则，鼓励选用获得绿色建材认证、高强耐久、可循环利用的本土化产品。</w:t>
      </w:r>
    </w:p>
    <w:p w14:paraId="26CB5A92">
      <w:pPr>
        <w:pStyle w:val="165"/>
      </w:pPr>
      <w:r>
        <w:rPr>
          <w:rFonts w:hint="eastAsia"/>
        </w:rPr>
        <w:t>技术经济可行性分析应包括下列内容：</w:t>
      </w:r>
    </w:p>
    <w:p w14:paraId="625E6BAD">
      <w:pPr>
        <w:pStyle w:val="132"/>
      </w:pPr>
      <w:r>
        <w:rPr>
          <w:rFonts w:hint="eastAsia"/>
        </w:rPr>
        <w:t>技术可行性分析；</w:t>
      </w:r>
    </w:p>
    <w:p w14:paraId="5B55C77A">
      <w:pPr>
        <w:pStyle w:val="132"/>
      </w:pPr>
      <w:r>
        <w:rPr>
          <w:rFonts w:hint="eastAsia"/>
        </w:rPr>
        <w:t>效益分析；</w:t>
      </w:r>
    </w:p>
    <w:p w14:paraId="04D2884A">
      <w:pPr>
        <w:pStyle w:val="132"/>
      </w:pPr>
      <w:r>
        <w:rPr>
          <w:rFonts w:hint="eastAsia"/>
        </w:rPr>
        <w:t>风险分析。</w:t>
      </w:r>
    </w:p>
    <w:p w14:paraId="1BC320C1">
      <w:pPr>
        <w:pStyle w:val="105"/>
        <w:spacing w:before="120" w:after="120"/>
      </w:pPr>
      <w:r>
        <w:rPr>
          <w:rFonts w:hint="eastAsia"/>
        </w:rPr>
        <w:t>主要指标</w:t>
      </w:r>
    </w:p>
    <w:p w14:paraId="439C8D10">
      <w:pPr>
        <w:pStyle w:val="56"/>
        <w:ind w:firstLine="420"/>
      </w:pPr>
      <w:r>
        <w:t>为保障绿色建筑规划的核心目标落地，项目在规划阶段应设定并控制以下主要指标：</w:t>
      </w:r>
    </w:p>
    <w:p w14:paraId="05411341">
      <w:pPr>
        <w:pStyle w:val="132"/>
      </w:pPr>
      <w:r>
        <w:rPr>
          <w:rFonts w:hint="eastAsia"/>
        </w:rPr>
        <w:t>能效与碳排放指标：</w:t>
      </w:r>
    </w:p>
    <w:p w14:paraId="1DC34B8C">
      <w:pPr>
        <w:pStyle w:val="187"/>
      </w:pPr>
      <w:r>
        <w:rPr>
          <w:rFonts w:hint="eastAsia"/>
        </w:rPr>
        <w:t>建筑设计能耗水平应符合国家节能设计标准的要求。鼓励（提高性要求）公共建筑设计能耗低于GB/T 51161中同类建筑约束值的90%，居住建筑设计能耗达到更高能效水平。</w:t>
      </w:r>
    </w:p>
    <w:p w14:paraId="7CEC53B7">
      <w:pPr>
        <w:pStyle w:val="187"/>
      </w:pPr>
      <w:r>
        <w:rPr>
          <w:rFonts w:hint="eastAsia"/>
        </w:rPr>
        <w:t>应进行建筑全寿命期碳排放计算分析。项目宜设定单位建筑面积的碳排放强度降低率目标（相较于基准建筑或行业平均水平），并规划具体的减排措施。</w:t>
      </w:r>
    </w:p>
    <w:p w14:paraId="73561FD3">
      <w:pPr>
        <w:pStyle w:val="132"/>
      </w:pPr>
      <w:r>
        <w:rPr>
          <w:rFonts w:hint="eastAsia"/>
        </w:rPr>
        <w:t>可再生能源利用指标：为减少化石能源消耗，新建建筑应合理利用可再生能源。可再生能源利用率的确定应基于技术经济合理性分析。鼓励（提高性要求）建筑设置可再生能源利用系统，其提供的能量（或电量）占建筑总能耗的比例达到一定水平（如5%或更高）。</w:t>
      </w:r>
    </w:p>
    <w:p w14:paraId="5D66EB2B">
      <w:pPr>
        <w:pStyle w:val="132"/>
      </w:pPr>
      <w:r>
        <w:rPr>
          <w:rFonts w:hint="eastAsia"/>
        </w:rPr>
        <w:t>水资源利用指标：</w:t>
      </w:r>
    </w:p>
    <w:p w14:paraId="75ACD5BC">
      <w:pPr>
        <w:pStyle w:val="187"/>
      </w:pPr>
      <w:r>
        <w:rPr>
          <w:rFonts w:hint="eastAsia"/>
        </w:rPr>
        <w:t>场地开发应遵循海绵城市理念，应制定雨水径流控制目标。场地年径流总量控制率不宜低于70%，且应与场地所在区域的雨水管理要求相协调。</w:t>
      </w:r>
    </w:p>
    <w:p w14:paraId="7AD9C3FA">
      <w:pPr>
        <w:pStyle w:val="187"/>
      </w:pPr>
      <w:r>
        <w:rPr>
          <w:rFonts w:hint="eastAsia"/>
        </w:rPr>
        <w:t>宜规划非传统水源（如雨水、再生水）的利用，并设定合理的非传统水源利用率目标，用于绿化灌溉、道路冲洗、车库冲洗、冲厕等。</w:t>
      </w:r>
    </w:p>
    <w:p w14:paraId="2E606310">
      <w:pPr>
        <w:pStyle w:val="132"/>
      </w:pPr>
      <w:r>
        <w:rPr>
          <w:rFonts w:hint="eastAsia"/>
        </w:rPr>
        <w:t>室内环境质量保障指标：</w:t>
      </w:r>
    </w:p>
    <w:p w14:paraId="2297D8CD">
      <w:pPr>
        <w:pStyle w:val="187"/>
      </w:pPr>
      <w:r>
        <w:rPr>
          <w:rFonts w:hint="eastAsia"/>
        </w:rPr>
        <w:t>在规划阶段，应通过合理的场地布局、建筑朝向和间距设计，为建筑的主要功能房间获取良好的日照、采光和自然通风创造条件。</w:t>
      </w:r>
    </w:p>
    <w:p w14:paraId="57B4D102">
      <w:pPr>
        <w:pStyle w:val="187"/>
      </w:pPr>
      <w:r>
        <w:rPr>
          <w:rFonts w:hint="eastAsia"/>
        </w:rPr>
        <w:t>应明确室内空气质量、声环境、光环境、热湿环境的关键设计参数目标，其限值或标准应满足GB 50736、GB 50033、GB 50118等的规定。</w:t>
      </w:r>
    </w:p>
    <w:p w14:paraId="2EFD3A64">
      <w:pPr>
        <w:pStyle w:val="132"/>
      </w:pPr>
      <w:r>
        <w:rPr>
          <w:rFonts w:hint="eastAsia"/>
        </w:rPr>
        <w:t>绿色建造与长效运营指标：</w:t>
      </w:r>
    </w:p>
    <w:p w14:paraId="30515C91">
      <w:pPr>
        <w:pStyle w:val="187"/>
      </w:pPr>
      <w:r>
        <w:rPr>
          <w:rFonts w:hint="eastAsia"/>
        </w:rPr>
        <w:t>鼓励在规划阶段考虑采用装配式建造方式，并设定适宜的装配率目标。</w:t>
      </w:r>
    </w:p>
    <w:p w14:paraId="3CF9FF30">
      <w:pPr>
        <w:pStyle w:val="187"/>
      </w:pPr>
      <w:r>
        <w:rPr>
          <w:rFonts w:hint="eastAsia"/>
        </w:rPr>
        <w:t>应对建筑的主要功能空间（如住宅的套内、公共建筑的公共区域）提出全装修交付的要求，避免重复装修和材料浪费。</w:t>
      </w:r>
    </w:p>
    <w:p w14:paraId="1B4BE576">
      <w:pPr>
        <w:pStyle w:val="187"/>
      </w:pPr>
      <w:r>
        <w:rPr>
          <w:rFonts w:hint="eastAsia"/>
        </w:rPr>
        <w:t>宜规划建筑智慧运营管理系统，对建筑的能耗、水耗、室内环境、设备运行状态等进行监测、计量与优化控制，为绿色运营提供基础。</w:t>
      </w:r>
    </w:p>
    <w:p w14:paraId="468E123A">
      <w:pPr>
        <w:pStyle w:val="132"/>
      </w:pPr>
      <w:r>
        <w:rPr>
          <w:rFonts w:hint="eastAsia"/>
        </w:rPr>
        <w:t>综合品质提升引导：鼓励项目在满足基本绿色目标基础上，将绿色建筑与近零能耗建筑、健康建筑、智慧建筑等先进理念相结合，确定更高的“绿色建筑+”综合性品质目标，引领行业高质量发展。</w:t>
      </w:r>
    </w:p>
    <w:p w14:paraId="1D1CEA7F">
      <w:pPr>
        <w:pStyle w:val="104"/>
        <w:spacing w:before="240" w:after="240"/>
      </w:pPr>
      <w:bookmarkStart w:id="51" w:name="_Toc219987170"/>
      <w:r>
        <w:rPr>
          <w:rFonts w:hint="eastAsia"/>
        </w:rPr>
        <w:t>场地规划</w:t>
      </w:r>
      <w:bookmarkEnd w:id="51"/>
    </w:p>
    <w:p w14:paraId="79F0DDF2">
      <w:pPr>
        <w:pStyle w:val="105"/>
        <w:spacing w:before="120" w:after="120"/>
      </w:pPr>
      <w:r>
        <w:rPr>
          <w:rFonts w:hint="eastAsia"/>
        </w:rPr>
        <w:t>选址与规划</w:t>
      </w:r>
    </w:p>
    <w:p w14:paraId="741D282C">
      <w:pPr>
        <w:pStyle w:val="65"/>
        <w:spacing w:before="120" w:after="120"/>
      </w:pPr>
      <w:r>
        <w:rPr>
          <w:rFonts w:hint="eastAsia"/>
        </w:rPr>
        <w:t>约束性要求</w:t>
      </w:r>
    </w:p>
    <w:p w14:paraId="0BAF477E">
      <w:pPr>
        <w:pStyle w:val="164"/>
      </w:pPr>
      <w:r>
        <w:rPr>
          <w:rFonts w:hint="eastAsia"/>
        </w:rPr>
        <w:t>项目选址必须满足安全与生态保护的基本前提，并应符合下列规定：</w:t>
      </w:r>
    </w:p>
    <w:p w14:paraId="33B43D8B">
      <w:pPr>
        <w:pStyle w:val="132"/>
      </w:pPr>
      <w:r>
        <w:rPr>
          <w:rFonts w:hint="eastAsia"/>
        </w:rPr>
        <w:t>场地应规避洪涝、滑坡、泥石流、地面沉降等自然灾害及地质病害的威胁，同时应远离危险化学品、易燃易爆等危险源，以及存在电磁辐射、土壤氡浓度超标等健康安全隐患的区域。</w:t>
      </w:r>
    </w:p>
    <w:p w14:paraId="200AAEB2">
      <w:pPr>
        <w:pStyle w:val="132"/>
      </w:pPr>
      <w:r>
        <w:rPr>
          <w:rFonts w:hint="eastAsia"/>
        </w:rPr>
        <w:t>场地内及周边区域不应存在污染物排放未达到国家现行相关标准规定的固定污染源。</w:t>
      </w:r>
    </w:p>
    <w:p w14:paraId="30A91006">
      <w:pPr>
        <w:pStyle w:val="132"/>
      </w:pPr>
      <w:r>
        <w:rPr>
          <w:rFonts w:hint="eastAsia"/>
        </w:rPr>
        <w:t>不应破坏或侵占经法定规划确定的城市绿线、蓝线、紫线及黄线等控制范围。应最大限度地保护场地内原有的自然水体、湿地、具有生态价值的植被群落及表土资源。</w:t>
      </w:r>
    </w:p>
    <w:p w14:paraId="6C1D43E3">
      <w:pPr>
        <w:pStyle w:val="164"/>
      </w:pPr>
      <w:r>
        <w:rPr>
          <w:rFonts w:hint="eastAsia"/>
        </w:rPr>
        <w:t>建筑规划布局应满足国家现行日照标准的要求，并应符合下列规定：</w:t>
      </w:r>
    </w:p>
    <w:p w14:paraId="6DBF9DD6">
      <w:pPr>
        <w:pStyle w:val="132"/>
      </w:pPr>
      <w:r>
        <w:rPr>
          <w:rFonts w:hint="eastAsia"/>
        </w:rPr>
        <w:t>建筑日照应满足GB 50180、GB 50352及其他相关标准的规定。</w:t>
      </w:r>
    </w:p>
    <w:p w14:paraId="6C07DA8F">
      <w:pPr>
        <w:pStyle w:val="132"/>
      </w:pPr>
      <w:r>
        <w:rPr>
          <w:rFonts w:hint="eastAsia"/>
        </w:rPr>
        <w:t>项目规划建设不应降低周边既有合法建筑、幼儿园、中小学教学楼、医院病房楼、老年人居住建筑等有日照标准要求的建筑的日照时长与质量。</w:t>
      </w:r>
    </w:p>
    <w:p w14:paraId="548C665E">
      <w:pPr>
        <w:pStyle w:val="164"/>
      </w:pPr>
      <w:r>
        <w:rPr>
          <w:rFonts w:hint="eastAsia"/>
        </w:rPr>
        <w:t>场地总平面规划应合理布局建筑、道路、广场、绿地与开放空间，促进土地节约集约利用。建筑密度、容积率、绿地率等主要规划指标应符合所在地控制性详细规划的要求。</w:t>
      </w:r>
    </w:p>
    <w:p w14:paraId="15DD51A6">
      <w:pPr>
        <w:pStyle w:val="164"/>
      </w:pPr>
      <w:r>
        <w:rPr>
          <w:rFonts w:hint="eastAsia"/>
        </w:rPr>
        <w:t>场地规划应保障必要的消防、救护及应急救援通道，其宽度、坡度、转弯半径、净空高度及承载能力应满足国家现行相关标准的规定，并确保在紧急情况下畅通无阻。</w:t>
      </w:r>
    </w:p>
    <w:p w14:paraId="09463511">
      <w:pPr>
        <w:pStyle w:val="65"/>
        <w:spacing w:before="120" w:after="120"/>
      </w:pPr>
      <w:r>
        <w:rPr>
          <w:rFonts w:hint="eastAsia"/>
        </w:rPr>
        <w:t>提高性要求</w:t>
      </w:r>
    </w:p>
    <w:p w14:paraId="656E7CFA">
      <w:pPr>
        <w:pStyle w:val="164"/>
      </w:pPr>
      <w:r>
        <w:rPr>
          <w:rFonts w:hint="eastAsia"/>
        </w:rPr>
        <w:t>场地规划宜遵循城市设计与场所营造的理念，塑造与区域自然人文环境相协调的建筑风貌与空间形态，并宜符合下列规定：</w:t>
      </w:r>
    </w:p>
    <w:p w14:paraId="32B1965B">
      <w:pPr>
        <w:pStyle w:val="132"/>
      </w:pPr>
      <w:r>
        <w:rPr>
          <w:rFonts w:hint="eastAsia"/>
        </w:rPr>
        <w:t>建筑群体的布局、尺度、高度、体量、色彩及材质宜顺应基地自然条件，与周边城市空间肌理、景观风貌有机融合。</w:t>
      </w:r>
    </w:p>
    <w:p w14:paraId="30E54EF5">
      <w:pPr>
        <w:pStyle w:val="132"/>
      </w:pPr>
      <w:r>
        <w:rPr>
          <w:rFonts w:hint="eastAsia"/>
        </w:rPr>
        <w:t>宜通过建筑退让、底层架空、景观渗透等手法，促进建筑空间与公共开放空间的相互交融，营造积极的城市界面和宜人的空间尺度。</w:t>
      </w:r>
    </w:p>
    <w:p w14:paraId="37EF80FD">
      <w:pPr>
        <w:pStyle w:val="132"/>
      </w:pPr>
      <w:r>
        <w:rPr>
          <w:rFonts w:hint="eastAsia"/>
        </w:rPr>
        <w:t>鼓励对场地内有历史价值、文化意义或利用潜力的既有建筑、构筑物、工业遗存或特色植被进行保护、改造与再利用，延续场地记忆。</w:t>
      </w:r>
    </w:p>
    <w:p w14:paraId="3E5D995C">
      <w:pPr>
        <w:pStyle w:val="164"/>
      </w:pPr>
      <w:r>
        <w:rPr>
          <w:rFonts w:hint="eastAsia"/>
        </w:rPr>
        <w:t>场地规划宜注重人性化设计，提升公共空间的舒适性与便利性。宜结合主要人流路径和活动节点，设置风雨连廊、步行与自行车专用通道、带自然采光的地下空间出入口、开放的公共步道及休憩节点等设施。</w:t>
      </w:r>
    </w:p>
    <w:p w14:paraId="5DDB4C14">
      <w:pPr>
        <w:pStyle w:val="164"/>
      </w:pPr>
      <w:r>
        <w:rPr>
          <w:rFonts w:hint="eastAsia"/>
        </w:rPr>
        <w:t>在满足功能与安全的前提下，鼓励采用集中与分散相结合的布局模式，通过建筑形体的合理组合，为场地内创造更多日照充足、通风良好的室外活动场地与庭院空间。</w:t>
      </w:r>
    </w:p>
    <w:p w14:paraId="535AA55F">
      <w:pPr>
        <w:pStyle w:val="105"/>
        <w:spacing w:before="120" w:after="120"/>
      </w:pPr>
      <w:r>
        <w:rPr>
          <w:rFonts w:hint="eastAsia"/>
        </w:rPr>
        <w:t>地下空间</w:t>
      </w:r>
    </w:p>
    <w:p w14:paraId="6CDEA024">
      <w:pPr>
        <w:pStyle w:val="65"/>
        <w:spacing w:before="120" w:after="120"/>
      </w:pPr>
      <w:r>
        <w:rPr>
          <w:rFonts w:hint="eastAsia"/>
        </w:rPr>
        <w:t>约束性要求</w:t>
      </w:r>
    </w:p>
    <w:p w14:paraId="33B266F0">
      <w:pPr>
        <w:pStyle w:val="164"/>
      </w:pPr>
      <w:r>
        <w:rPr>
          <w:rFonts w:hint="eastAsia"/>
        </w:rPr>
        <w:t>地下空间的开发利用应贯彻安全、集约、高效的原则，其规模与功能应与地上建筑、场地条件及城市地下空间规划相协调。</w:t>
      </w:r>
    </w:p>
    <w:p w14:paraId="1CBD946E">
      <w:pPr>
        <w:pStyle w:val="164"/>
      </w:pPr>
      <w:r>
        <w:rPr>
          <w:rFonts w:hint="eastAsia"/>
        </w:rPr>
        <w:t>地下空间的功能布局应合理分区。对于地下停车场、设备用房等可能产生废气、噪声或污染物的场所，应采取有效的机械通风、空气净化、隔声降噪及污染物处理措施，其排放应符合国家现行环境保护标准的要求。地下餐饮、厨房等功能区域必须独立设置油烟净化与排放系统。</w:t>
      </w:r>
    </w:p>
    <w:p w14:paraId="3FD6FE71">
      <w:pPr>
        <w:pStyle w:val="164"/>
      </w:pPr>
      <w:r>
        <w:rPr>
          <w:rFonts w:hint="eastAsia"/>
        </w:rPr>
        <w:t>地下空间的设计必须符合国家现行有关防火、防水、防灾、抗震及人民防空等标准的规定。应设置清晰、完备的安全疏散指示系统、应急照明系统和消防设施。</w:t>
      </w:r>
    </w:p>
    <w:p w14:paraId="3BED1389">
      <w:pPr>
        <w:pStyle w:val="65"/>
        <w:spacing w:before="120" w:after="120"/>
      </w:pPr>
      <w:r>
        <w:rPr>
          <w:rFonts w:hint="eastAsia"/>
        </w:rPr>
        <w:t>提高性要求</w:t>
      </w:r>
    </w:p>
    <w:p w14:paraId="111342C4">
      <w:pPr>
        <w:pStyle w:val="164"/>
      </w:pPr>
      <w:r>
        <w:rPr>
          <w:rFonts w:hint="eastAsia"/>
        </w:rPr>
        <w:t>在技术经济合理且符合城市规划的前提下，鼓励地下空间的互联互通与复合利用。场地内地下空间宜与相邻地块、城市公共地下空间（如地铁站、地下商业街、地下停车库）进行连通设计，形成网络化、一体化的地下系统，提高利用效率。</w:t>
      </w:r>
    </w:p>
    <w:p w14:paraId="198377E4">
      <w:pPr>
        <w:pStyle w:val="164"/>
      </w:pPr>
      <w:r>
        <w:rPr>
          <w:rFonts w:hint="eastAsia"/>
        </w:rPr>
        <w:t>为促进生态效益，地下空间顶板的覆土设计宜满足以下要求：</w:t>
      </w:r>
    </w:p>
    <w:p w14:paraId="4FC7BB46">
      <w:pPr>
        <w:pStyle w:val="132"/>
      </w:pPr>
      <w:r>
        <w:rPr>
          <w:rFonts w:hint="eastAsia"/>
        </w:rPr>
        <w:t>地下设施顶板上用于种植乔木的覆土厚度不宜小于1.5米，用于种植灌木、花卉、草坪的覆土厚度应满足其生长需求。</w:t>
      </w:r>
    </w:p>
    <w:p w14:paraId="0A6D5370">
      <w:pPr>
        <w:pStyle w:val="132"/>
      </w:pPr>
      <w:r>
        <w:rPr>
          <w:rFonts w:hint="eastAsia"/>
        </w:rPr>
        <w:t>覆土区域的设计宜确保土壤与周边自然土壤的有效连通，或设置完善的排水与灌溉系统，以利于植物根系的生长发育和水分的自然循环。</w:t>
      </w:r>
    </w:p>
    <w:p w14:paraId="265D0A4E">
      <w:pPr>
        <w:pStyle w:val="132"/>
      </w:pPr>
      <w:r>
        <w:rPr>
          <w:rFonts w:hint="eastAsia"/>
        </w:rPr>
        <w:t>地下空间顶板宜进行绿化设计，并计入场地总体绿地率。</w:t>
      </w:r>
    </w:p>
    <w:p w14:paraId="7652B5FC">
      <w:pPr>
        <w:pStyle w:val="164"/>
      </w:pPr>
      <w:r>
        <w:rPr>
          <w:rFonts w:hint="eastAsia"/>
        </w:rPr>
        <w:t>地下空间宜积极引入自然采光与通风。可通过设置下沉庭院、采光天窗、导光管等技术措施，改善地下空间的物理环境质量，降低人工照明与机械通风的能耗。</w:t>
      </w:r>
    </w:p>
    <w:p w14:paraId="2510E9B8">
      <w:pPr>
        <w:pStyle w:val="105"/>
        <w:spacing w:before="120" w:after="120"/>
      </w:pPr>
      <w:r>
        <w:rPr>
          <w:rFonts w:hint="eastAsia"/>
        </w:rPr>
        <w:t>场地环境</w:t>
      </w:r>
    </w:p>
    <w:p w14:paraId="6F5D623F">
      <w:pPr>
        <w:pStyle w:val="65"/>
        <w:spacing w:before="120" w:after="120"/>
      </w:pPr>
      <w:r>
        <w:rPr>
          <w:rFonts w:hint="eastAsia"/>
        </w:rPr>
        <w:t>约束性要求</w:t>
      </w:r>
    </w:p>
    <w:p w14:paraId="6AAE2890">
      <w:pPr>
        <w:pStyle w:val="164"/>
      </w:pPr>
      <w:r>
        <w:rPr>
          <w:rFonts w:hint="eastAsia"/>
        </w:rPr>
        <w:t>场地声环境应符合GB 3096的规定。规划布局宜采取以下措施控制噪声影响：</w:t>
      </w:r>
    </w:p>
    <w:p w14:paraId="441F25F5">
      <w:pPr>
        <w:pStyle w:val="132"/>
      </w:pPr>
      <w:r>
        <w:rPr>
          <w:rFonts w:hint="eastAsia"/>
        </w:rPr>
        <w:t>将噪声敏感的建筑（如住宅、学校、医院病房、办公室等）布置在远离城市主干道、铁路、机场等主要噪声源的一侧。</w:t>
      </w:r>
    </w:p>
    <w:p w14:paraId="6C6D977C">
      <w:pPr>
        <w:pStyle w:val="132"/>
      </w:pPr>
      <w:r>
        <w:rPr>
          <w:rFonts w:hint="eastAsia"/>
        </w:rPr>
        <w:t>合理利用地形、绿化带、隔声屏障或非噪声敏感建筑进行隔声降噪。</w:t>
      </w:r>
    </w:p>
    <w:p w14:paraId="56D2B46A">
      <w:pPr>
        <w:pStyle w:val="132"/>
      </w:pPr>
      <w:r>
        <w:rPr>
          <w:rFonts w:hint="eastAsia"/>
        </w:rPr>
        <w:t>场地内部交通宜实行人车分流，并采用低噪声路面材料、限速及禁鸣等措施。</w:t>
      </w:r>
    </w:p>
    <w:p w14:paraId="3E726BC1">
      <w:pPr>
        <w:pStyle w:val="164"/>
      </w:pPr>
      <w:r>
        <w:rPr>
          <w:rFonts w:hint="eastAsia"/>
        </w:rPr>
        <w:t>场地光环境应避免光污染，并应符合下列规定：</w:t>
      </w:r>
    </w:p>
    <w:p w14:paraId="030C2F55">
      <w:pPr>
        <w:pStyle w:val="132"/>
      </w:pPr>
      <w:r>
        <w:rPr>
          <w:rFonts w:hint="eastAsia"/>
        </w:rPr>
        <w:t>建筑立面（尤其是玻璃幕墙）设计时，其选用的玻璃及材料的可见光反射比应符合GB/T 18091等的规定，且不应大于0.2，以防止对周边道路、建筑及行人的反射眩光干扰。</w:t>
      </w:r>
    </w:p>
    <w:p w14:paraId="2F4FFF52">
      <w:pPr>
        <w:pStyle w:val="132"/>
      </w:pPr>
      <w:r>
        <w:rPr>
          <w:rFonts w:hint="eastAsia"/>
        </w:rPr>
        <w:t>室外夜景照明设计应符合JGJ/T 163的规定，控制溢散光，防止对夜空环境和周边居民造成干扰。</w:t>
      </w:r>
    </w:p>
    <w:p w14:paraId="2060142B">
      <w:pPr>
        <w:pStyle w:val="164"/>
      </w:pPr>
      <w:r>
        <w:rPr>
          <w:rFonts w:hint="eastAsia"/>
        </w:rPr>
        <w:t>场地规划设计应有利于营造良好的室外风环境与促进建筑自然通风，在过渡季及夏季典型工况下，应避免在人员主要活动区域（距地1.5米高处）出现风速过大或无风的涡旋区，以保障户外活动的舒适性与安全性。应通过优化建筑布局、设置风廊、利用地形植被等手段改善场地通风。</w:t>
      </w:r>
    </w:p>
    <w:p w14:paraId="10E2ECBC">
      <w:pPr>
        <w:pStyle w:val="164"/>
      </w:pPr>
      <w:r>
        <w:rPr>
          <w:rFonts w:hint="eastAsia"/>
        </w:rPr>
        <w:t>场地设计应采取综合措施降低热岛效应强度，并应符合下列规定：</w:t>
      </w:r>
    </w:p>
    <w:p w14:paraId="66CE7052">
      <w:pPr>
        <w:pStyle w:val="132"/>
      </w:pPr>
      <w:r>
        <w:rPr>
          <w:rFonts w:hint="eastAsia"/>
        </w:rPr>
        <w:t>场地内硬质铺装（道路、广场、停车场等）宜采用透水性铺装材料或具有较高太阳辐射反射系数（不小于0.4）的材料。</w:t>
      </w:r>
    </w:p>
    <w:p w14:paraId="64409F7B">
      <w:pPr>
        <w:pStyle w:val="132"/>
      </w:pPr>
      <w:r>
        <w:rPr>
          <w:rFonts w:hint="eastAsia"/>
        </w:rPr>
        <w:t>室外活动场地（步道、庭院、广场、游憩场等）宜采取设置乔木遮荫、景观廊架、遮阳棚等遮荫措施，其遮荫面积比例应满足舒适度要求。</w:t>
      </w:r>
    </w:p>
    <w:p w14:paraId="27C0E02E">
      <w:pPr>
        <w:pStyle w:val="132"/>
      </w:pPr>
      <w:r>
        <w:rPr>
          <w:rFonts w:hint="eastAsia"/>
        </w:rPr>
        <w:t>建筑屋面宜采取绿化、设置太阳能集热板/光伏板、或采用高反射率材料等措施。</w:t>
      </w:r>
    </w:p>
    <w:p w14:paraId="198BAD55">
      <w:pPr>
        <w:pStyle w:val="164"/>
      </w:pPr>
      <w:r>
        <w:rPr>
          <w:rFonts w:hint="eastAsia"/>
        </w:rPr>
        <w:t>场地绿化应符合生态与景观兼顾的原则。应采用以乡土植物为主、乔、灌、草相结合的复层绿化方式，植物配置应适应本地气候和土壤条件，并注重季相变化。</w:t>
      </w:r>
    </w:p>
    <w:p w14:paraId="7A227C50">
      <w:pPr>
        <w:pStyle w:val="65"/>
        <w:spacing w:before="120" w:after="120"/>
      </w:pPr>
      <w:r>
        <w:rPr>
          <w:rFonts w:hint="eastAsia"/>
        </w:rPr>
        <w:t>提高性要求</w:t>
      </w:r>
    </w:p>
    <w:p w14:paraId="18080E83">
      <w:pPr>
        <w:pStyle w:val="164"/>
      </w:pPr>
      <w:r>
        <w:rPr>
          <w:rFonts w:hint="eastAsia"/>
        </w:rPr>
        <w:t>对于布局复杂或对风环境有特殊要求的项目，场地及建筑风环境宜进行计算机模拟优化设计。宜满足以下目标：</w:t>
      </w:r>
    </w:p>
    <w:p w14:paraId="07FADB7C">
      <w:pPr>
        <w:pStyle w:val="132"/>
      </w:pPr>
      <w:r>
        <w:rPr>
          <w:rFonts w:hint="eastAsia"/>
        </w:rPr>
        <w:t>在冬季典型工况下，建筑物周围人行区风速宜小于5 m/s，且风速放大系数不宜过大，以保证行走舒适与安全。</w:t>
      </w:r>
    </w:p>
    <w:p w14:paraId="78656F3E">
      <w:pPr>
        <w:pStyle w:val="132"/>
      </w:pPr>
      <w:r>
        <w:rPr>
          <w:rFonts w:hint="eastAsia"/>
        </w:rPr>
        <w:t>建筑布局宜有利于形成合理的风压差，促进建筑在过渡季和夏季的自然通风。</w:t>
      </w:r>
    </w:p>
    <w:p w14:paraId="7C89FDAD">
      <w:pPr>
        <w:pStyle w:val="164"/>
      </w:pPr>
      <w:r>
        <w:rPr>
          <w:rFonts w:hint="eastAsia"/>
        </w:rPr>
        <w:t>鼓励对场地声环境进行专项分析与精细化设计。除控制噪声外，宜通过水景、风铃、特定植物配置等手段，引入积极的自然声源，营造丰富的声景体验。</w:t>
      </w:r>
    </w:p>
    <w:p w14:paraId="404872E9">
      <w:pPr>
        <w:pStyle w:val="164"/>
      </w:pPr>
      <w:r>
        <w:rPr>
          <w:rFonts w:hint="eastAsia"/>
        </w:rPr>
        <w:t>场地照明设计宜考虑生态友好，优先选用截光型灯具，控制照明时间与亮度，减少对夜间生物活动的影响。鼓励采用智能化控制系统，实现按需照明与节能管理。</w:t>
      </w:r>
    </w:p>
    <w:p w14:paraId="025F3D16">
      <w:pPr>
        <w:pStyle w:val="105"/>
        <w:spacing w:before="120" w:after="120"/>
      </w:pPr>
      <w:r>
        <w:rPr>
          <w:rFonts w:hint="eastAsia"/>
        </w:rPr>
        <w:t>生态保护与资源利用</w:t>
      </w:r>
    </w:p>
    <w:p w14:paraId="57EC452F">
      <w:pPr>
        <w:pStyle w:val="65"/>
        <w:spacing w:before="120" w:after="120"/>
      </w:pPr>
      <w:r>
        <w:rPr>
          <w:rFonts w:hint="eastAsia"/>
        </w:rPr>
        <w:t>约束性要求</w:t>
      </w:r>
    </w:p>
    <w:p w14:paraId="1E27111D">
      <w:pPr>
        <w:pStyle w:val="164"/>
      </w:pPr>
      <w:r>
        <w:rPr>
          <w:rFonts w:hint="eastAsia"/>
        </w:rPr>
        <w:t>场地开发建设应遵循低影响开发理念，尊重并顺应原有地形地貌。应尽量减少土方挖填，保护并合理利用场地的表层土壤。场地内的自然水体、湿地及有保留价值的植被应予以保护，并应采取措施恢复受施工干扰区域的生态功能。</w:t>
      </w:r>
    </w:p>
    <w:p w14:paraId="2F6789EA">
      <w:pPr>
        <w:pStyle w:val="164"/>
      </w:pPr>
      <w:r>
        <w:rPr>
          <w:rFonts w:hint="eastAsia"/>
        </w:rPr>
        <w:t>场地应进行科学的雨水综合管理，其规划与设计应符合GB 50400的规定，并应与城市排水防涝系统相衔接。</w:t>
      </w:r>
    </w:p>
    <w:p w14:paraId="73659BAE">
      <w:pPr>
        <w:pStyle w:val="132"/>
      </w:pPr>
      <w:r>
        <w:rPr>
          <w:rFonts w:hint="eastAsia"/>
        </w:rPr>
        <w:t>应进行场地雨水径流总量和峰值流量控制，通过“渗、滞、蓄、净、用、排”相结合的系统化措施，确保建设后的场地外排雨水径流量不超过开发前水平。年径流总量控制率目标应根据区域水文条件确定，一般不宜低于70%。</w:t>
      </w:r>
    </w:p>
    <w:p w14:paraId="066DA43E">
      <w:pPr>
        <w:pStyle w:val="132"/>
      </w:pPr>
      <w:r>
        <w:rPr>
          <w:rFonts w:hint="eastAsia"/>
        </w:rPr>
        <w:t>应设置有效的雨水收集、渗透、调蓄与利用设施。下凹式绿地、雨水花园、渗透塘、调蓄池等绿色雨水基础设施的规模应经计算确定。</w:t>
      </w:r>
    </w:p>
    <w:p w14:paraId="12631F18">
      <w:pPr>
        <w:pStyle w:val="132"/>
      </w:pPr>
      <w:r>
        <w:rPr>
          <w:rFonts w:hint="eastAsia"/>
        </w:rPr>
        <w:t>硬质铺装地面中透水铺装面积的比例不宜低于相关标准要求。</w:t>
      </w:r>
    </w:p>
    <w:p w14:paraId="1B6B526A">
      <w:pPr>
        <w:pStyle w:val="164"/>
      </w:pPr>
      <w:r>
        <w:rPr>
          <w:rFonts w:hint="eastAsia"/>
        </w:rPr>
        <w:t>场地规划阶段应对场地及周边的可再生能源应用条件进行调查与评估，包括太阳能、浅层地热能、空气能、风能等资源的可利用潜力、技术可行性及经济性，为建筑系统设计提供依据。</w:t>
      </w:r>
    </w:p>
    <w:p w14:paraId="257FC133">
      <w:pPr>
        <w:pStyle w:val="65"/>
        <w:spacing w:before="120" w:after="120"/>
      </w:pPr>
      <w:r>
        <w:rPr>
          <w:rFonts w:hint="eastAsia"/>
        </w:rPr>
        <w:t>提高性要求</w:t>
      </w:r>
    </w:p>
    <w:p w14:paraId="31239646">
      <w:pPr>
        <w:pStyle w:val="164"/>
      </w:pPr>
      <w:r>
        <w:rPr>
          <w:rFonts w:hint="eastAsia"/>
        </w:rPr>
        <w:t>场地绿化应追求更高的生态效益。宜采用“绿容率”作为衡量场地植被生态功能的重要辅助指标。鼓励提高场地内乔木种植比例和复层绿化的面积，绿容率宜不低于3.0。</w:t>
      </w:r>
    </w:p>
    <w:p w14:paraId="2AEBCF1D">
      <w:pPr>
        <w:pStyle w:val="164"/>
      </w:pPr>
      <w:r>
        <w:rPr>
          <w:rFonts w:hint="eastAsia"/>
        </w:rPr>
        <w:t>场地规划宜注重生物多样性保护与生境营造，并宜符合下列规定：</w:t>
      </w:r>
    </w:p>
    <w:p w14:paraId="39EFC359">
      <w:pPr>
        <w:pStyle w:val="132"/>
      </w:pPr>
      <w:r>
        <w:rPr>
          <w:rFonts w:hint="eastAsia"/>
        </w:rPr>
        <w:t>通过设置生态廊道、小微生境（如昆虫旅馆、本杰士堆）、生态水岸等方式，将场地绿地与区域生态系统相连接，为本土动植物提供迁徙通道和栖息地。</w:t>
      </w:r>
    </w:p>
    <w:p w14:paraId="54DC89EC">
      <w:pPr>
        <w:pStyle w:val="132"/>
      </w:pPr>
      <w:r>
        <w:rPr>
          <w:rFonts w:hint="eastAsia"/>
        </w:rPr>
        <w:t>优先选用蜜源、食源植物，构建有利于鸟类、昆虫等生物生存的植物群落。</w:t>
      </w:r>
    </w:p>
    <w:p w14:paraId="4D87C04A">
      <w:pPr>
        <w:pStyle w:val="132"/>
      </w:pPr>
      <w:r>
        <w:rPr>
          <w:rFonts w:hint="eastAsia"/>
        </w:rPr>
        <w:t>围栏、护坡、铺装等构筑物宜采用对生物友好的材料和工艺。</w:t>
      </w:r>
    </w:p>
    <w:p w14:paraId="58E499F9">
      <w:pPr>
        <w:pStyle w:val="164"/>
      </w:pPr>
      <w:r>
        <w:rPr>
          <w:rFonts w:hint="eastAsia"/>
        </w:rPr>
        <w:t>在技术经济合理的前提下，鼓励对场地雨水进行资源化利用。收集处理后的雨水宜用于绿化灌溉、道路冲洗、景观补水等用途。非传统水源利用率宜设定合理目标。</w:t>
      </w:r>
    </w:p>
    <w:p w14:paraId="275D4881">
      <w:pPr>
        <w:pStyle w:val="164"/>
      </w:pPr>
      <w:r>
        <w:rPr>
          <w:rFonts w:hint="eastAsia"/>
        </w:rPr>
        <w:t>场地内景观构筑物、小品、铺装及休憩设施宜优先选用耐久、可回收、可降解的环保材料，如竹木、再生材料、本地石材等。鼓励利用建筑废弃物再生骨料用于场地基层铺设。</w:t>
      </w:r>
    </w:p>
    <w:p w14:paraId="1EBC084A">
      <w:pPr>
        <w:pStyle w:val="164"/>
      </w:pPr>
      <w:r>
        <w:rPr>
          <w:rFonts w:hint="eastAsia"/>
        </w:rPr>
        <w:t>对于具备规模条件的项目，鼓励进行场地层面的能源系统集成规划，如采用区域冷热源站、分布式能源系统、光储直柔微电网等，提高能源综合利用效率。</w:t>
      </w:r>
    </w:p>
    <w:p w14:paraId="2E96C072">
      <w:pPr>
        <w:pStyle w:val="105"/>
        <w:spacing w:before="120" w:after="120"/>
      </w:pPr>
      <w:r>
        <w:rPr>
          <w:rFonts w:hint="eastAsia"/>
        </w:rPr>
        <w:t>交通设施与公共服务</w:t>
      </w:r>
    </w:p>
    <w:p w14:paraId="661C3FD5">
      <w:pPr>
        <w:pStyle w:val="65"/>
        <w:spacing w:before="120" w:after="120"/>
      </w:pPr>
      <w:r>
        <w:rPr>
          <w:rFonts w:hint="eastAsia"/>
        </w:rPr>
        <w:t>约束性要求</w:t>
      </w:r>
    </w:p>
    <w:p w14:paraId="64C9C98F">
      <w:pPr>
        <w:pStyle w:val="164"/>
      </w:pPr>
      <w:r>
        <w:rPr>
          <w:rFonts w:hint="eastAsia"/>
        </w:rPr>
        <w:t>场地规划应优先保障绿色出行，促进公共交通使用。场地主要人行出入口到达公共汽车站或轨道交通站的步行距离不宜大于500米，且应有安全、便捷、连续的步行与自行车接驳路径。</w:t>
      </w:r>
    </w:p>
    <w:p w14:paraId="23890A31">
      <w:pPr>
        <w:pStyle w:val="164"/>
      </w:pPr>
      <w:r>
        <w:rPr>
          <w:rFonts w:hint="eastAsia"/>
        </w:rPr>
        <w:t>机动车停车规划应符合集约化、生态化的原则，并应符合下列规定：</w:t>
      </w:r>
    </w:p>
    <w:p w14:paraId="743B8B9E">
      <w:pPr>
        <w:pStyle w:val="132"/>
      </w:pPr>
      <w:r>
        <w:rPr>
          <w:rFonts w:hint="eastAsia"/>
        </w:rPr>
        <w:t>停车方式应优先采用地下停车库、立体停车库（楼）。严格控制地面停车数量与面积，地面停车位不应侵占行人活动空间与绿化用地。</w:t>
      </w:r>
    </w:p>
    <w:p w14:paraId="545BFA86">
      <w:pPr>
        <w:pStyle w:val="132"/>
      </w:pPr>
      <w:r>
        <w:rPr>
          <w:rFonts w:hint="eastAsia"/>
        </w:rPr>
        <w:t>应根据国家和地方相关规定，配建电动汽车充电设施或预留安装条件。充电设施的配电、消防及安全要求应符合GB/T 51313等的规定。</w:t>
      </w:r>
    </w:p>
    <w:p w14:paraId="0206AD92">
      <w:pPr>
        <w:pStyle w:val="132"/>
      </w:pPr>
      <w:r>
        <w:rPr>
          <w:rFonts w:hint="eastAsia"/>
        </w:rPr>
        <w:t>应合理设置装卸车位、出租车泊位及无障碍机动车停车位。</w:t>
      </w:r>
    </w:p>
    <w:p w14:paraId="322900E9">
      <w:pPr>
        <w:pStyle w:val="164"/>
      </w:pPr>
      <w:r>
        <w:rPr>
          <w:rFonts w:hint="eastAsia"/>
        </w:rPr>
        <w:t>场地内应建立安全、连续、便捷的步行与自行车交通系统。</w:t>
      </w:r>
    </w:p>
    <w:p w14:paraId="3904E341">
      <w:pPr>
        <w:pStyle w:val="132"/>
      </w:pPr>
      <w:r>
        <w:rPr>
          <w:rFonts w:hint="eastAsia"/>
        </w:rPr>
        <w:t>人行道与自行车道应与城市道路系统顺畅衔接，并应采用无障碍设计。</w:t>
      </w:r>
    </w:p>
    <w:p w14:paraId="0A9D44A5">
      <w:pPr>
        <w:pStyle w:val="132"/>
      </w:pPr>
      <w:r>
        <w:rPr>
          <w:rFonts w:hint="eastAsia"/>
        </w:rPr>
        <w:t>应设置足够的、分布合理的非机动车（含自行车、电动自行车）停车场所，并宜设置遮荫防雨设施。非机动车停车场宜布置在地面或地下一层，便于存取。</w:t>
      </w:r>
    </w:p>
    <w:p w14:paraId="30CBABFA">
      <w:pPr>
        <w:pStyle w:val="132"/>
      </w:pPr>
      <w:r>
        <w:rPr>
          <w:rFonts w:hint="eastAsia"/>
        </w:rPr>
        <w:t>鼓励为非机动车（特别是电动自行车）配置安全的充电设施。</w:t>
      </w:r>
    </w:p>
    <w:p w14:paraId="363BFAA7">
      <w:pPr>
        <w:pStyle w:val="164"/>
      </w:pPr>
      <w:r>
        <w:rPr>
          <w:rFonts w:hint="eastAsia"/>
        </w:rPr>
        <w:t>场地内公共服务设施（如社区服务、文化、体育、商业等）的配建应符合城市规划及相关专项标准的要求，其布局宜方便居民使用。</w:t>
      </w:r>
    </w:p>
    <w:p w14:paraId="7A952DD8">
      <w:pPr>
        <w:pStyle w:val="65"/>
        <w:spacing w:before="120" w:after="120"/>
      </w:pPr>
      <w:r>
        <w:rPr>
          <w:rFonts w:hint="eastAsia"/>
        </w:rPr>
        <w:t>提高性要求</w:t>
      </w:r>
    </w:p>
    <w:p w14:paraId="480CA34A">
      <w:pPr>
        <w:pStyle w:val="164"/>
      </w:pPr>
      <w:r>
        <w:rPr>
          <w:rFonts w:hint="eastAsia"/>
        </w:rPr>
        <w:t>场地规划宜进一步提升公共交通的便利性。场地主要人行出入口到达公共交通站点的步行距离宜控制在300米以内。对于大型公共建筑或交通枢纽项目，宜考虑与公共交通站点的无缝衔接设计。</w:t>
      </w:r>
    </w:p>
    <w:p w14:paraId="05F11C89">
      <w:pPr>
        <w:pStyle w:val="164"/>
      </w:pPr>
      <w:r>
        <w:rPr>
          <w:rFonts w:hint="eastAsia"/>
        </w:rPr>
        <w:t>鼓励建设高品质的慢行交通环境。宜设置宽度适宜、景观优美的专用健身慢行道，并与城市绿道、滨水步道等系统相连。主要步行路径沿线宜配置座椅、照明、饮水点等街道家具。</w:t>
      </w:r>
    </w:p>
    <w:p w14:paraId="7483F1F4">
      <w:pPr>
        <w:pStyle w:val="164"/>
      </w:pPr>
      <w:r>
        <w:rPr>
          <w:rFonts w:hint="eastAsia"/>
        </w:rPr>
        <w:t>公共建筑项目宜在满足自身功能需求的基础上，向社会开放部分公共服务设施或公共空间（如图书馆、报告厅、健身场地、绿地广场、地下停车场等），促进资源共享，提升城市活力。对外开放的设施与空间宜靠近场地出入口，并配置独立的标识与管理系统。</w:t>
      </w:r>
    </w:p>
    <w:p w14:paraId="0902D104">
      <w:pPr>
        <w:pStyle w:val="164"/>
      </w:pPr>
      <w:r>
        <w:rPr>
          <w:rFonts w:hint="eastAsia"/>
        </w:rPr>
        <w:t>鼓励采用智慧化管理手段提升交通设施运行效率。可建立智能停车引导系统、共享车位预约平台、慢行交通流量监测系统等。</w:t>
      </w:r>
    </w:p>
    <w:p w14:paraId="684F46E2">
      <w:pPr>
        <w:pStyle w:val="164"/>
      </w:pPr>
      <w:r>
        <w:rPr>
          <w:rFonts w:hint="eastAsia"/>
        </w:rPr>
        <w:t>场地物流系统规划宜考虑绿色货运。宜为货物装卸设置专区，并考虑未来无人机、无人配送车等新型物流方式的接驳与暂存空间。</w:t>
      </w:r>
    </w:p>
    <w:p w14:paraId="350429F3">
      <w:pPr>
        <w:pStyle w:val="104"/>
        <w:spacing w:before="240" w:after="240"/>
      </w:pPr>
      <w:bookmarkStart w:id="52" w:name="_Toc219987171"/>
      <w:r>
        <w:rPr>
          <w:rFonts w:hint="eastAsia"/>
        </w:rPr>
        <w:t>设计</w:t>
      </w:r>
      <w:bookmarkEnd w:id="52"/>
    </w:p>
    <w:p w14:paraId="55543B87">
      <w:pPr>
        <w:pStyle w:val="105"/>
        <w:spacing w:before="120" w:after="120"/>
      </w:pPr>
      <w:r>
        <w:rPr>
          <w:rFonts w:hint="eastAsia"/>
        </w:rPr>
        <w:t>建筑形体与空间设计</w:t>
      </w:r>
    </w:p>
    <w:p w14:paraId="1B7C9EC9">
      <w:pPr>
        <w:pStyle w:val="65"/>
        <w:spacing w:before="120" w:after="120"/>
      </w:pPr>
      <w:r>
        <w:rPr>
          <w:rFonts w:hint="eastAsia"/>
        </w:rPr>
        <w:t>约束性要求</w:t>
      </w:r>
    </w:p>
    <w:p w14:paraId="16E43859">
      <w:pPr>
        <w:pStyle w:val="164"/>
      </w:pPr>
      <w:r>
        <w:rPr>
          <w:rFonts w:hint="eastAsia"/>
        </w:rPr>
        <w:t>建筑造型与形体设计应遵循功能与形式统一、经济合理的原则，追求简约、实用。应严格控制纯装饰性构件的应用，避免资源浪费。宜对装饰性构件造价占建筑总造价的比例进行核算与控制。</w:t>
      </w:r>
    </w:p>
    <w:p w14:paraId="4C527211">
      <w:pPr>
        <w:pStyle w:val="164"/>
      </w:pPr>
      <w:r>
        <w:rPr>
          <w:rFonts w:hint="eastAsia"/>
        </w:rPr>
        <w:t>建筑设计应从全寿命期视角出发，进行空间与形体整合优化。应通过优化建筑平面布局、功能分区、空间尺度、层高与竖向设计，优先采用被动式设计策略，降低建筑对能源与资源的消耗需求，实现性能导向的正向设计。</w:t>
      </w:r>
    </w:p>
    <w:p w14:paraId="11EED7CF">
      <w:pPr>
        <w:pStyle w:val="164"/>
      </w:pPr>
      <w:r>
        <w:rPr>
          <w:rFonts w:hint="eastAsia"/>
        </w:rPr>
        <w:t>建筑设计应有利于自然通风。应通过合理的建筑朝向、空间布局、门窗洞口位置与尺寸设计，组织有效的室内外气流路径。居住建筑房间的通风开口面积与该房间地板面积的比值，不应小于GB 50096等相关标准的规定。</w:t>
      </w:r>
    </w:p>
    <w:p w14:paraId="12D9EDAE">
      <w:pPr>
        <w:pStyle w:val="164"/>
      </w:pPr>
      <w:r>
        <w:rPr>
          <w:rFonts w:hint="eastAsia"/>
        </w:rPr>
        <w:t>建筑主要功能空间应具有良好的室外视野，避免视线干扰，满足采光、观景及心理舒适需求，同时应保证必要的视觉私密性。建筑间距、窗墙比及窗户设计应统筹考虑视野、采光与节能要求。</w:t>
      </w:r>
    </w:p>
    <w:p w14:paraId="4D7FD8A5">
      <w:pPr>
        <w:pStyle w:val="164"/>
      </w:pPr>
      <w:r>
        <w:rPr>
          <w:rFonts w:hint="eastAsia"/>
        </w:rPr>
        <w:t>非结构构件、建筑部品、设备及管线应与建筑主体结构进行一体化协同设计，并采取可靠的连接、锚固与抗震措施，确保其安全性与耐久性。</w:t>
      </w:r>
    </w:p>
    <w:p w14:paraId="3CA700C4">
      <w:pPr>
        <w:pStyle w:val="65"/>
        <w:spacing w:before="120" w:after="120"/>
      </w:pPr>
      <w:r>
        <w:rPr>
          <w:rFonts w:hint="eastAsia"/>
        </w:rPr>
        <w:t>提高性要求</w:t>
      </w:r>
    </w:p>
    <w:p w14:paraId="6DD53C56">
      <w:pPr>
        <w:pStyle w:val="164"/>
      </w:pPr>
      <w:r>
        <w:rPr>
          <w:rFonts w:hint="eastAsia"/>
        </w:rPr>
        <w:t>建筑空间设计宜体现灵活性与适应性，以应对未来使用功能变化的可能性。宜采用大空间、开放式布局，或便于分隔组合的模块化设计。建筑室内宜采用易于拆改、可重复利用的轻质隔断（墙）系统。</w:t>
      </w:r>
    </w:p>
    <w:p w14:paraId="2878A6FB">
      <w:pPr>
        <w:pStyle w:val="164"/>
      </w:pPr>
      <w:r>
        <w:rPr>
          <w:rFonts w:hint="eastAsia"/>
        </w:rPr>
        <w:t>公共建筑宜结合功能需求，设置对社会开放的共享公共空间（如中庭、庭院、屋顶花园、公共休憩区）及便民服务设施，提升建筑的公共属性和社会价值。</w:t>
      </w:r>
    </w:p>
    <w:p w14:paraId="37AAA8DA">
      <w:pPr>
        <w:pStyle w:val="164"/>
      </w:pPr>
      <w:r>
        <w:rPr>
          <w:rFonts w:hint="eastAsia"/>
        </w:rPr>
        <w:t>鼓励通过精细化设计与技术措施，进一步优化建筑自然通风效果，并宜符合下列规定：</w:t>
      </w:r>
    </w:p>
    <w:p w14:paraId="291C797B">
      <w:pPr>
        <w:pStyle w:val="132"/>
      </w:pPr>
      <w:r>
        <w:rPr>
          <w:rFonts w:hint="eastAsia"/>
        </w:rPr>
        <w:t>在满足基本通风要求基础上，宜通过增大可开启窗扇面积、优化开启方式等措施，进一步提高主要功能房间的自然通风潜力。</w:t>
      </w:r>
    </w:p>
    <w:p w14:paraId="446D25B2">
      <w:pPr>
        <w:pStyle w:val="132"/>
      </w:pPr>
      <w:r>
        <w:rPr>
          <w:rFonts w:hint="eastAsia"/>
        </w:rPr>
        <w:t>宜结合建筑造型，合理运用导风墙、拔风井（道）、太阳能烟囱、无动力风帽等被动式气流诱导技术，强化通风效果。</w:t>
      </w:r>
    </w:p>
    <w:p w14:paraId="2A4BF87B">
      <w:pPr>
        <w:pStyle w:val="132"/>
      </w:pPr>
      <w:r>
        <w:rPr>
          <w:rFonts w:hint="eastAsia"/>
        </w:rPr>
        <w:t>设有中庭、边庭等大空间时，宜充分利用热压作用组织竖向通风。</w:t>
      </w:r>
    </w:p>
    <w:p w14:paraId="3F883FDB">
      <w:pPr>
        <w:pStyle w:val="132"/>
      </w:pPr>
      <w:r>
        <w:rPr>
          <w:rFonts w:hint="eastAsia"/>
        </w:rPr>
        <w:t>对于通风条件受限或室外空气质量不佳时使用的空间，宜考虑设置具有空气净化功能的新风装置或有组织通风设施。</w:t>
      </w:r>
    </w:p>
    <w:p w14:paraId="69067EBC">
      <w:pPr>
        <w:pStyle w:val="105"/>
        <w:spacing w:before="120" w:after="120"/>
      </w:pPr>
      <w:r>
        <w:rPr>
          <w:rFonts w:hint="eastAsia"/>
        </w:rPr>
        <w:t>围护结构设计</w:t>
      </w:r>
    </w:p>
    <w:p w14:paraId="3938EBC2">
      <w:pPr>
        <w:pStyle w:val="65"/>
        <w:spacing w:before="120" w:after="120"/>
      </w:pPr>
      <w:r>
        <w:rPr>
          <w:rFonts w:hint="eastAsia"/>
        </w:rPr>
        <w:t>约束性要求</w:t>
      </w:r>
    </w:p>
    <w:p w14:paraId="57B935CF">
      <w:pPr>
        <w:pStyle w:val="164"/>
      </w:pPr>
      <w:r>
        <w:rPr>
          <w:rFonts w:hint="eastAsia"/>
        </w:rPr>
        <w:t>建筑围护结构的热工性能设计必须符合国家现行节能设计标准的强制性规定。其传热系数、热惰性指标、遮阳系数等关键参数应满足所在气候区的限值要求。</w:t>
      </w:r>
    </w:p>
    <w:p w14:paraId="77523936">
      <w:pPr>
        <w:pStyle w:val="164"/>
      </w:pPr>
      <w:r>
        <w:rPr>
          <w:rFonts w:hint="eastAsia"/>
        </w:rPr>
        <w:t>外门窗、幕墙等透明围护结构的设计应综合考虑保温、隔热、气密、水密、抗风压、采光、视野、通风及安全等性能要求。选用的产品性能应符合国家相关产品标准的规定。</w:t>
      </w:r>
    </w:p>
    <w:p w14:paraId="2869C5DA">
      <w:pPr>
        <w:pStyle w:val="164"/>
      </w:pPr>
      <w:r>
        <w:rPr>
          <w:rFonts w:hint="eastAsia"/>
        </w:rPr>
        <w:t>建筑围护结构应进行完整的防潮、防水设计。外墙、屋面、地下室外墙等部位应设置连续有效的防水、防潮构造层。卫生间、浴室、厨房、设备机房等用水频繁房间的楼地面、墙面应设置防水层，顶棚宜采取防潮措施。</w:t>
      </w:r>
    </w:p>
    <w:p w14:paraId="7CD81222">
      <w:pPr>
        <w:pStyle w:val="164"/>
      </w:pPr>
      <w:r>
        <w:rPr>
          <w:rFonts w:hint="eastAsia"/>
        </w:rPr>
        <w:t>建筑外墙、屋面及外门窗的设计与构造应满足耐久性要求，能够承受温度应力、风荷载、雨水侵蚀等长期作用，并便于进行检查、维护和局部更换。</w:t>
      </w:r>
    </w:p>
    <w:p w14:paraId="083CAFAC">
      <w:pPr>
        <w:pStyle w:val="65"/>
        <w:spacing w:before="120" w:after="120"/>
      </w:pPr>
      <w:r>
        <w:rPr>
          <w:rFonts w:hint="eastAsia"/>
        </w:rPr>
        <w:t>提高性要求</w:t>
      </w:r>
    </w:p>
    <w:p w14:paraId="1B2BFCC7">
      <w:pPr>
        <w:pStyle w:val="164"/>
      </w:pPr>
      <w:r>
        <w:rPr>
          <w:rFonts w:hint="eastAsia"/>
        </w:rPr>
        <w:t>在满足国家节能标准的基础上，宜通过优化围护结构构造、采用高性能材料与技术，进一步提升其保温、隔热和气密性能，为降低建筑供暖空调负荷、提升室内热舒适度创造条件。</w:t>
      </w:r>
    </w:p>
    <w:p w14:paraId="018D26FA">
      <w:pPr>
        <w:pStyle w:val="164"/>
      </w:pPr>
      <w:r>
        <w:rPr>
          <w:rFonts w:hint="eastAsia"/>
        </w:rPr>
        <w:t>外遮阳设计宜与建筑立面一体化考虑。宜优先采用固定外遮阳、活动外遮阳或绿化遮阳等高效遮阳措施，并根据不同朝向的太阳辐射特点进行差异化设计。遮阳设施应不影响自然通风与采光，并便于维护。</w:t>
      </w:r>
    </w:p>
    <w:p w14:paraId="1F1CFFA4">
      <w:pPr>
        <w:pStyle w:val="164"/>
      </w:pPr>
      <w:r>
        <w:rPr>
          <w:rFonts w:hint="eastAsia"/>
        </w:rPr>
        <w:t>围护结构设计宜考虑其全寿命期的碳排放影响。宜选用生产能耗低、可循环材料比例高、耐久性好且易于维护更新的材料与构造体系。</w:t>
      </w:r>
    </w:p>
    <w:p w14:paraId="3688009C">
      <w:pPr>
        <w:pStyle w:val="105"/>
        <w:spacing w:before="120" w:after="120"/>
      </w:pPr>
      <w:r>
        <w:rPr>
          <w:rFonts w:hint="eastAsia"/>
        </w:rPr>
        <w:t>材料、部品与内装设计</w:t>
      </w:r>
    </w:p>
    <w:p w14:paraId="1A8C3156">
      <w:pPr>
        <w:pStyle w:val="65"/>
        <w:spacing w:before="120" w:after="120"/>
      </w:pPr>
      <w:r>
        <w:rPr>
          <w:rFonts w:hint="eastAsia"/>
        </w:rPr>
        <w:t>约束性要求</w:t>
      </w:r>
    </w:p>
    <w:p w14:paraId="0F4D6525">
      <w:pPr>
        <w:pStyle w:val="164"/>
      </w:pPr>
      <w:r>
        <w:rPr>
          <w:rFonts w:hint="eastAsia"/>
        </w:rPr>
        <w:t>建筑材料与装修材料的选用应符合国家有关有害物质限量的强制性标准（如GB 50325、GB 18580~GB 18588等）的规定，保障室内环境健康安全。</w:t>
      </w:r>
    </w:p>
    <w:p w14:paraId="272DF90F">
      <w:pPr>
        <w:pStyle w:val="164"/>
      </w:pPr>
      <w:r>
        <w:rPr>
          <w:rFonts w:hint="eastAsia"/>
        </w:rPr>
        <w:t>应选用耐久性好、长寿命、低维护需求的建筑材料与部品。室内外装修材料应满足相应的物理性能、安全性能及使用功能要求。</w:t>
      </w:r>
    </w:p>
    <w:p w14:paraId="29B88C44">
      <w:pPr>
        <w:pStyle w:val="164"/>
      </w:pPr>
      <w:r>
        <w:rPr>
          <w:rFonts w:hint="eastAsia"/>
        </w:rPr>
        <w:t>建筑外墙及屋面等外部围护体系应采用防水、耐候、抗污染的饰面材料，并便于清洗维护。</w:t>
      </w:r>
    </w:p>
    <w:p w14:paraId="27E9E20C">
      <w:pPr>
        <w:pStyle w:val="164"/>
      </w:pPr>
      <w:r>
        <w:rPr>
          <w:rFonts w:hint="eastAsia"/>
        </w:rPr>
        <w:t>暖通空调、给排水、电气等设备的室外主机或装置，应设置在通风良好、散热顺畅且便于安全操作、检查、清洗和维护的指定位置，其安装应牢固、可靠，并减少对建筑立面、环境及相邻住户的噪声、热风等干扰。</w:t>
      </w:r>
    </w:p>
    <w:p w14:paraId="5291BBED">
      <w:pPr>
        <w:pStyle w:val="65"/>
        <w:spacing w:before="120" w:after="120"/>
      </w:pPr>
      <w:r>
        <w:rPr>
          <w:rFonts w:hint="eastAsia"/>
        </w:rPr>
        <w:t>提高性要求</w:t>
      </w:r>
    </w:p>
    <w:p w14:paraId="3BE35D92">
      <w:pPr>
        <w:pStyle w:val="164"/>
      </w:pPr>
      <w:r>
        <w:rPr>
          <w:rFonts w:hint="eastAsia"/>
        </w:rPr>
        <w:t>室内装修设计宜遵循标准化、模数化、集成化的原则，推广采用装配式装修技术。鼓励采用工厂化生产的集成厨卫、隔墙、吊顶、地面等内装部品体系，提高施工质量与效率，减少现场湿作业和建筑垃圾。</w:t>
      </w:r>
    </w:p>
    <w:p w14:paraId="1C898827">
      <w:pPr>
        <w:pStyle w:val="164"/>
      </w:pPr>
      <w:r>
        <w:rPr>
          <w:rFonts w:hint="eastAsia"/>
        </w:rPr>
        <w:t>在满足性能与安全要求的前提下，宜优先选用以下类别的材料与部品：</w:t>
      </w:r>
    </w:p>
    <w:p w14:paraId="6338F909">
      <w:pPr>
        <w:pStyle w:val="132"/>
      </w:pPr>
      <w:r>
        <w:rPr>
          <w:rFonts w:hint="eastAsia"/>
        </w:rPr>
        <w:t>获得绿色建材产品认证的材料。</w:t>
      </w:r>
    </w:p>
    <w:p w14:paraId="1BB6C94E">
      <w:pPr>
        <w:pStyle w:val="132"/>
      </w:pPr>
      <w:r>
        <w:rPr>
          <w:rFonts w:hint="eastAsia"/>
        </w:rPr>
        <w:t>利用建筑废弃物、工业副产物等再生资源生产的材料。</w:t>
      </w:r>
    </w:p>
    <w:p w14:paraId="4E55728D">
      <w:pPr>
        <w:pStyle w:val="132"/>
      </w:pPr>
      <w:r>
        <w:rPr>
          <w:rFonts w:hint="eastAsia"/>
        </w:rPr>
        <w:t>可循环利用、易于拆解分离的部品与构件。</w:t>
      </w:r>
    </w:p>
    <w:p w14:paraId="3F18746C">
      <w:pPr>
        <w:pStyle w:val="132"/>
      </w:pPr>
      <w:r>
        <w:rPr>
          <w:rFonts w:hint="eastAsia"/>
        </w:rPr>
        <w:t>具有改善室内空气质量（如净化甲醛、调节湿度等）功能的环保材料。</w:t>
      </w:r>
    </w:p>
    <w:p w14:paraId="28372DF9">
      <w:pPr>
        <w:pStyle w:val="164"/>
      </w:pPr>
      <w:r>
        <w:rPr>
          <w:rFonts w:hint="eastAsia"/>
        </w:rPr>
        <w:t>室内空间与固定设施设计宜考虑通用性与包容性，为老年人、儿童、残疾人等不同群体创造便捷、安全、舒适的使用环境，相关设计宜参考无障碍设计原则。</w:t>
      </w:r>
    </w:p>
    <w:p w14:paraId="67EB8205">
      <w:pPr>
        <w:pStyle w:val="164"/>
      </w:pPr>
      <w:r>
        <w:rPr>
          <w:rFonts w:hint="eastAsia"/>
        </w:rPr>
        <w:t>鼓励对建筑室内空间进行全寿命期适应性设计评估，考虑未来空间功能转换、设备更新、管线改造的可能性，并为之预留必要的条件。</w:t>
      </w:r>
    </w:p>
    <w:bookmarkEnd w:id="24"/>
    <w:p w14:paraId="2D13E97F">
      <w:pPr>
        <w:pStyle w:val="56"/>
        <w:ind w:firstLine="0" w:firstLineChars="0"/>
        <w:jc w:val="center"/>
      </w:pPr>
      <w:bookmarkStart w:id="53" w:name="BookMark8"/>
      <w:r>
        <w:drawing>
          <wp:inline distT="0" distB="0" distL="0" distR="0">
            <wp:extent cx="1485900" cy="317500"/>
            <wp:effectExtent l="0" t="0" r="0" b="6350"/>
            <wp:docPr id="381034437" name="图片 3"/>
            <wp:cNvGraphicFramePr/>
            <a:graphic xmlns:a="http://schemas.openxmlformats.org/drawingml/2006/main">
              <a:graphicData uri="http://schemas.openxmlformats.org/drawingml/2006/picture">
                <pic:pic xmlns:pic="http://schemas.openxmlformats.org/drawingml/2006/picture">
                  <pic:nvPicPr>
                    <pic:cNvPr id="381034437"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A4C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87C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B99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71F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E84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E4A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B36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132E">
    <w:pPr>
      <w:pStyle w:val="61"/>
      <w:rPr>
        <w:rFonts w:hint="eastAsia"/>
      </w:rPr>
    </w:pPr>
    <w:r>
      <w:fldChar w:fldCharType="begin"/>
    </w:r>
    <w:r>
      <w:instrText xml:space="preserve"> STYLEREF  标准文件_文件编号  \* MERGEFORMAT </w:instrText>
    </w:r>
    <w:r>
      <w:fldChar w:fldCharType="separate"/>
    </w:r>
    <w:r>
      <w:t>T/CASMES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55BC">
    <w:pPr>
      <w:pStyle w:val="18"/>
      <w:jc w:val="right"/>
    </w:pPr>
    <w:r>
      <w:fldChar w:fldCharType="begin"/>
    </w:r>
    <w:r>
      <w:instrText xml:space="preserve"> STYLEREF  标准文件_文件编号  \* MERGEFORMAT </w:instrText>
    </w:r>
    <w:r>
      <w:fldChar w:fldCharType="separate"/>
    </w:r>
    <w:r>
      <w:t>T/CASMES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A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0B6"/>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831"/>
    <w:rsid w:val="000F4AEA"/>
    <w:rsid w:val="000F67E9"/>
    <w:rsid w:val="00104926"/>
    <w:rsid w:val="00113B1E"/>
    <w:rsid w:val="0011711C"/>
    <w:rsid w:val="00124E4F"/>
    <w:rsid w:val="001260B7"/>
    <w:rsid w:val="001265CB"/>
    <w:rsid w:val="001321C6"/>
    <w:rsid w:val="001325C4"/>
    <w:rsid w:val="00133010"/>
    <w:rsid w:val="001338EE"/>
    <w:rsid w:val="00133AAE"/>
    <w:rsid w:val="00133E29"/>
    <w:rsid w:val="00135323"/>
    <w:rsid w:val="001356C4"/>
    <w:rsid w:val="00137565"/>
    <w:rsid w:val="00141114"/>
    <w:rsid w:val="00142969"/>
    <w:rsid w:val="001446C2"/>
    <w:rsid w:val="001457E7"/>
    <w:rsid w:val="00145D9D"/>
    <w:rsid w:val="00146388"/>
    <w:rsid w:val="0014782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87DC3"/>
    <w:rsid w:val="00190087"/>
    <w:rsid w:val="001913C4"/>
    <w:rsid w:val="0019348F"/>
    <w:rsid w:val="00193A07"/>
    <w:rsid w:val="00194C95"/>
    <w:rsid w:val="00195C34"/>
    <w:rsid w:val="00196EF5"/>
    <w:rsid w:val="001A1A53"/>
    <w:rsid w:val="001A234A"/>
    <w:rsid w:val="001A4CF3"/>
    <w:rsid w:val="001A6696"/>
    <w:rsid w:val="001B06E8"/>
    <w:rsid w:val="001B3CF4"/>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BFB"/>
    <w:rsid w:val="001D411C"/>
    <w:rsid w:val="001D5C7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0BB"/>
    <w:rsid w:val="00210B15"/>
    <w:rsid w:val="002142EA"/>
    <w:rsid w:val="00215ADD"/>
    <w:rsid w:val="002204BB"/>
    <w:rsid w:val="00221B79"/>
    <w:rsid w:val="00221C6B"/>
    <w:rsid w:val="00222969"/>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BDE"/>
    <w:rsid w:val="0026014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947"/>
    <w:rsid w:val="002E4D5A"/>
    <w:rsid w:val="002E6326"/>
    <w:rsid w:val="002F30E0"/>
    <w:rsid w:val="002F35E4"/>
    <w:rsid w:val="002F3730"/>
    <w:rsid w:val="002F38E1"/>
    <w:rsid w:val="002F7AF6"/>
    <w:rsid w:val="00300E63"/>
    <w:rsid w:val="00302F5F"/>
    <w:rsid w:val="0030441D"/>
    <w:rsid w:val="00306063"/>
    <w:rsid w:val="00313B85"/>
    <w:rsid w:val="00315EA3"/>
    <w:rsid w:val="0031694A"/>
    <w:rsid w:val="00317988"/>
    <w:rsid w:val="003221B4"/>
    <w:rsid w:val="0032258D"/>
    <w:rsid w:val="00322E62"/>
    <w:rsid w:val="00324D13"/>
    <w:rsid w:val="00324EDD"/>
    <w:rsid w:val="003331E4"/>
    <w:rsid w:val="003332F1"/>
    <w:rsid w:val="00336C64"/>
    <w:rsid w:val="00337162"/>
    <w:rsid w:val="0034194F"/>
    <w:rsid w:val="00344605"/>
    <w:rsid w:val="003474AA"/>
    <w:rsid w:val="00350D1D"/>
    <w:rsid w:val="003526C3"/>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432"/>
    <w:rsid w:val="003813CC"/>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835"/>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CDB"/>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113"/>
    <w:rsid w:val="0041477A"/>
    <w:rsid w:val="004167A3"/>
    <w:rsid w:val="00432DAA"/>
    <w:rsid w:val="00434305"/>
    <w:rsid w:val="00435D7D"/>
    <w:rsid w:val="00435DF7"/>
    <w:rsid w:val="0044083F"/>
    <w:rsid w:val="004409F7"/>
    <w:rsid w:val="00441AE7"/>
    <w:rsid w:val="00445574"/>
    <w:rsid w:val="004467FB"/>
    <w:rsid w:val="00452D6B"/>
    <w:rsid w:val="00454484"/>
    <w:rsid w:val="0045517B"/>
    <w:rsid w:val="00457FDA"/>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18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AB6"/>
    <w:rsid w:val="00505767"/>
    <w:rsid w:val="005073F0"/>
    <w:rsid w:val="00510A7B"/>
    <w:rsid w:val="00512279"/>
    <w:rsid w:val="00512F6E"/>
    <w:rsid w:val="00513038"/>
    <w:rsid w:val="00514174"/>
    <w:rsid w:val="00516088"/>
    <w:rsid w:val="00516B0B"/>
    <w:rsid w:val="005220EC"/>
    <w:rsid w:val="00523F95"/>
    <w:rsid w:val="00524D65"/>
    <w:rsid w:val="00524DC6"/>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5618"/>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219"/>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2A5"/>
    <w:rsid w:val="006015CE"/>
    <w:rsid w:val="00604784"/>
    <w:rsid w:val="00606419"/>
    <w:rsid w:val="00607D29"/>
    <w:rsid w:val="00612952"/>
    <w:rsid w:val="00614CC1"/>
    <w:rsid w:val="00615A9D"/>
    <w:rsid w:val="00617387"/>
    <w:rsid w:val="00617E61"/>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1E2"/>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FDA"/>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351"/>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153"/>
    <w:rsid w:val="007959E8"/>
    <w:rsid w:val="00795E9C"/>
    <w:rsid w:val="007A0521"/>
    <w:rsid w:val="007A2E12"/>
    <w:rsid w:val="007A3475"/>
    <w:rsid w:val="007A41C8"/>
    <w:rsid w:val="007A4BF2"/>
    <w:rsid w:val="007A54CE"/>
    <w:rsid w:val="007A5D3A"/>
    <w:rsid w:val="007A5D4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539"/>
    <w:rsid w:val="007F0ED8"/>
    <w:rsid w:val="007F0F63"/>
    <w:rsid w:val="007F75CE"/>
    <w:rsid w:val="008013A4"/>
    <w:rsid w:val="008027CE"/>
    <w:rsid w:val="00802B58"/>
    <w:rsid w:val="00802F42"/>
    <w:rsid w:val="00804383"/>
    <w:rsid w:val="00804BB7"/>
    <w:rsid w:val="00804D41"/>
    <w:rsid w:val="00810257"/>
    <w:rsid w:val="008104F5"/>
    <w:rsid w:val="00811072"/>
    <w:rsid w:val="00811369"/>
    <w:rsid w:val="00811982"/>
    <w:rsid w:val="00815419"/>
    <w:rsid w:val="008163C8"/>
    <w:rsid w:val="008164A1"/>
    <w:rsid w:val="00817325"/>
    <w:rsid w:val="008209E6"/>
    <w:rsid w:val="00821D19"/>
    <w:rsid w:val="00823303"/>
    <w:rsid w:val="008233B2"/>
    <w:rsid w:val="00823A9F"/>
    <w:rsid w:val="00823C85"/>
    <w:rsid w:val="00825138"/>
    <w:rsid w:val="0082525A"/>
    <w:rsid w:val="008269DD"/>
    <w:rsid w:val="00830621"/>
    <w:rsid w:val="0083348C"/>
    <w:rsid w:val="008373D3"/>
    <w:rsid w:val="00840617"/>
    <w:rsid w:val="00840F84"/>
    <w:rsid w:val="00842A47"/>
    <w:rsid w:val="00843C13"/>
    <w:rsid w:val="00843DEF"/>
    <w:rsid w:val="008454F8"/>
    <w:rsid w:val="0085173A"/>
    <w:rsid w:val="0085484D"/>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82C"/>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04E"/>
    <w:rsid w:val="008C619A"/>
    <w:rsid w:val="008D0CE8"/>
    <w:rsid w:val="008D2D1D"/>
    <w:rsid w:val="008D453D"/>
    <w:rsid w:val="008D53AD"/>
    <w:rsid w:val="008D562B"/>
    <w:rsid w:val="008D5733"/>
    <w:rsid w:val="008D622B"/>
    <w:rsid w:val="008D666C"/>
    <w:rsid w:val="008D761E"/>
    <w:rsid w:val="008D7B54"/>
    <w:rsid w:val="008E0C9D"/>
    <w:rsid w:val="008E1648"/>
    <w:rsid w:val="008E1B3E"/>
    <w:rsid w:val="008E1CB4"/>
    <w:rsid w:val="008E2319"/>
    <w:rsid w:val="008E4BB6"/>
    <w:rsid w:val="008E5518"/>
    <w:rsid w:val="008E6227"/>
    <w:rsid w:val="008E6A84"/>
    <w:rsid w:val="008F0639"/>
    <w:rsid w:val="008F0CDC"/>
    <w:rsid w:val="008F17A3"/>
    <w:rsid w:val="008F1ED3"/>
    <w:rsid w:val="008F4C29"/>
    <w:rsid w:val="008F70BD"/>
    <w:rsid w:val="008F788F"/>
    <w:rsid w:val="008F7EA2"/>
    <w:rsid w:val="00902722"/>
    <w:rsid w:val="009027BC"/>
    <w:rsid w:val="009062E6"/>
    <w:rsid w:val="00911BE5"/>
    <w:rsid w:val="00912730"/>
    <w:rsid w:val="00913CA9"/>
    <w:rsid w:val="009145AE"/>
    <w:rsid w:val="009146CE"/>
    <w:rsid w:val="00914CA7"/>
    <w:rsid w:val="00915C3E"/>
    <w:rsid w:val="009161A8"/>
    <w:rsid w:val="009245AE"/>
    <w:rsid w:val="009245F5"/>
    <w:rsid w:val="00924821"/>
    <w:rsid w:val="009249EC"/>
    <w:rsid w:val="009273B3"/>
    <w:rsid w:val="009305B5"/>
    <w:rsid w:val="009378DD"/>
    <w:rsid w:val="009429D5"/>
    <w:rsid w:val="00942BF1"/>
    <w:rsid w:val="00945180"/>
    <w:rsid w:val="00945428"/>
    <w:rsid w:val="0094607B"/>
    <w:rsid w:val="0094685D"/>
    <w:rsid w:val="00953604"/>
    <w:rsid w:val="0095496B"/>
    <w:rsid w:val="00960F1E"/>
    <w:rsid w:val="009610DC"/>
    <w:rsid w:val="00961490"/>
    <w:rsid w:val="0096381A"/>
    <w:rsid w:val="00965E04"/>
    <w:rsid w:val="009674AD"/>
    <w:rsid w:val="009675FC"/>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CA8"/>
    <w:rsid w:val="009D32D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A26"/>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5BE"/>
    <w:rsid w:val="00A57142"/>
    <w:rsid w:val="00A648CD"/>
    <w:rsid w:val="00A6537A"/>
    <w:rsid w:val="00A67866"/>
    <w:rsid w:val="00A70B07"/>
    <w:rsid w:val="00A723F8"/>
    <w:rsid w:val="00A77CCB"/>
    <w:rsid w:val="00A8020F"/>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59E"/>
    <w:rsid w:val="00AA7B44"/>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A79"/>
    <w:rsid w:val="00AE1DD3"/>
    <w:rsid w:val="00AE2A69"/>
    <w:rsid w:val="00AE37E5"/>
    <w:rsid w:val="00AE5EB4"/>
    <w:rsid w:val="00AF0C18"/>
    <w:rsid w:val="00AF47C5"/>
    <w:rsid w:val="00AF5398"/>
    <w:rsid w:val="00B00358"/>
    <w:rsid w:val="00B049AF"/>
    <w:rsid w:val="00B07242"/>
    <w:rsid w:val="00B10534"/>
    <w:rsid w:val="00B113DB"/>
    <w:rsid w:val="00B11D8A"/>
    <w:rsid w:val="00B12981"/>
    <w:rsid w:val="00B147DD"/>
    <w:rsid w:val="00B156FD"/>
    <w:rsid w:val="00B17B85"/>
    <w:rsid w:val="00B21F61"/>
    <w:rsid w:val="00B261F1"/>
    <w:rsid w:val="00B265BC"/>
    <w:rsid w:val="00B31FB1"/>
    <w:rsid w:val="00B33952"/>
    <w:rsid w:val="00B33C5E"/>
    <w:rsid w:val="00B342F4"/>
    <w:rsid w:val="00B34369"/>
    <w:rsid w:val="00B34DC2"/>
    <w:rsid w:val="00B36ABA"/>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EFF"/>
    <w:rsid w:val="00C04904"/>
    <w:rsid w:val="00C056B3"/>
    <w:rsid w:val="00C0619F"/>
    <w:rsid w:val="00C103E5"/>
    <w:rsid w:val="00C13319"/>
    <w:rsid w:val="00C13EE9"/>
    <w:rsid w:val="00C21540"/>
    <w:rsid w:val="00C21906"/>
    <w:rsid w:val="00C21BFA"/>
    <w:rsid w:val="00C24C8D"/>
    <w:rsid w:val="00C25FE2"/>
    <w:rsid w:val="00C2652A"/>
    <w:rsid w:val="00C26B53"/>
    <w:rsid w:val="00C279B2"/>
    <w:rsid w:val="00C33E50"/>
    <w:rsid w:val="00C34C20"/>
    <w:rsid w:val="00C354A3"/>
    <w:rsid w:val="00C35A3E"/>
    <w:rsid w:val="00C4187B"/>
    <w:rsid w:val="00C42130"/>
    <w:rsid w:val="00C423A4"/>
    <w:rsid w:val="00C423E3"/>
    <w:rsid w:val="00C44BF5"/>
    <w:rsid w:val="00C521D6"/>
    <w:rsid w:val="00C55232"/>
    <w:rsid w:val="00C553A4"/>
    <w:rsid w:val="00C55A06"/>
    <w:rsid w:val="00C55D03"/>
    <w:rsid w:val="00C601BC"/>
    <w:rsid w:val="00C61057"/>
    <w:rsid w:val="00C6329F"/>
    <w:rsid w:val="00C63340"/>
    <w:rsid w:val="00C643F9"/>
    <w:rsid w:val="00C64E95"/>
    <w:rsid w:val="00C71372"/>
    <w:rsid w:val="00C72410"/>
    <w:rsid w:val="00C7287F"/>
    <w:rsid w:val="00C769AF"/>
    <w:rsid w:val="00C80CB8"/>
    <w:rsid w:val="00C819F8"/>
    <w:rsid w:val="00C8248C"/>
    <w:rsid w:val="00C84E33"/>
    <w:rsid w:val="00C86AED"/>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443"/>
    <w:rsid w:val="00CD4092"/>
    <w:rsid w:val="00CD4A20"/>
    <w:rsid w:val="00CD50A1"/>
    <w:rsid w:val="00CD519E"/>
    <w:rsid w:val="00CE0C4F"/>
    <w:rsid w:val="00CE26B8"/>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28E"/>
    <w:rsid w:val="00D66846"/>
    <w:rsid w:val="00D675FB"/>
    <w:rsid w:val="00D71F25"/>
    <w:rsid w:val="00D72A9C"/>
    <w:rsid w:val="00D77031"/>
    <w:rsid w:val="00D84941"/>
    <w:rsid w:val="00D84FA1"/>
    <w:rsid w:val="00D851F0"/>
    <w:rsid w:val="00D856B8"/>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D92"/>
    <w:rsid w:val="00DE20AB"/>
    <w:rsid w:val="00DE2410"/>
    <w:rsid w:val="00DE2939"/>
    <w:rsid w:val="00DE6E81"/>
    <w:rsid w:val="00DE703F"/>
    <w:rsid w:val="00DE7595"/>
    <w:rsid w:val="00DF1961"/>
    <w:rsid w:val="00DF44DE"/>
    <w:rsid w:val="00DF6C81"/>
    <w:rsid w:val="00E00502"/>
    <w:rsid w:val="00E01138"/>
    <w:rsid w:val="00E02DFB"/>
    <w:rsid w:val="00E030F9"/>
    <w:rsid w:val="00E0311A"/>
    <w:rsid w:val="00E03138"/>
    <w:rsid w:val="00E06404"/>
    <w:rsid w:val="00E11A85"/>
    <w:rsid w:val="00E12495"/>
    <w:rsid w:val="00E15CCD"/>
    <w:rsid w:val="00E202EF"/>
    <w:rsid w:val="00E210B5"/>
    <w:rsid w:val="00E2552F"/>
    <w:rsid w:val="00E3137A"/>
    <w:rsid w:val="00E3287C"/>
    <w:rsid w:val="00E32CCF"/>
    <w:rsid w:val="00E34A98"/>
    <w:rsid w:val="00E35D1E"/>
    <w:rsid w:val="00E364F9"/>
    <w:rsid w:val="00E365FA"/>
    <w:rsid w:val="00E36789"/>
    <w:rsid w:val="00E44A83"/>
    <w:rsid w:val="00E502C1"/>
    <w:rsid w:val="00E502DD"/>
    <w:rsid w:val="00E50D3A"/>
    <w:rsid w:val="00E51387"/>
    <w:rsid w:val="00E51E68"/>
    <w:rsid w:val="00E52EFD"/>
    <w:rsid w:val="00E54034"/>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CD4"/>
    <w:rsid w:val="00EF7E72"/>
    <w:rsid w:val="00F00E27"/>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064"/>
    <w:rsid w:val="00F814EB"/>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872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11214EBBCE4C518615FD79A3D5832B"/>
        <w:style w:val=""/>
        <w:category>
          <w:name w:val="常规"/>
          <w:gallery w:val="placeholder"/>
        </w:category>
        <w:types>
          <w:type w:val="bbPlcHdr"/>
        </w:types>
        <w:behaviors>
          <w:behavior w:val="content"/>
        </w:behaviors>
        <w:description w:val=""/>
        <w:guid w:val="{BEBA3AA6-DD50-482F-BE8E-A2CC6E698072}"/>
      </w:docPartPr>
      <w:docPartBody>
        <w:p w14:paraId="6FBC5B8D">
          <w:pPr>
            <w:pStyle w:val="5"/>
            <w:rPr>
              <w:rFonts w:hint="eastAsia"/>
            </w:rPr>
          </w:pPr>
          <w:r>
            <w:rPr>
              <w:rStyle w:val="4"/>
              <w:rFonts w:hint="eastAsia"/>
            </w:rPr>
            <w:t>单击或点击此处输入文字。</w:t>
          </w:r>
        </w:p>
      </w:docPartBody>
    </w:docPart>
    <w:docPart>
      <w:docPartPr>
        <w:name w:val="798DAD86622E4D28946F53444349DF10"/>
        <w:style w:val=""/>
        <w:category>
          <w:name w:val="常规"/>
          <w:gallery w:val="placeholder"/>
        </w:category>
        <w:types>
          <w:type w:val="bbPlcHdr"/>
        </w:types>
        <w:behaviors>
          <w:behavior w:val="content"/>
        </w:behaviors>
        <w:description w:val=""/>
        <w:guid w:val="{F6CEDFD4-7AA5-4EA3-ABAE-2D52DC6EEC80}"/>
      </w:docPartPr>
      <w:docPartBody>
        <w:p w14:paraId="44C56A54">
          <w:pPr>
            <w:pStyle w:val="6"/>
            <w:rPr>
              <w:rFonts w:hint="eastAsia"/>
            </w:rPr>
          </w:pPr>
          <w:r>
            <w:rPr>
              <w:rStyle w:val="4"/>
              <w:rFonts w:hint="eastAsia"/>
            </w:rPr>
            <w:t>选择一项。</w:t>
          </w:r>
        </w:p>
      </w:docPartBody>
    </w:docPart>
    <w:docPart>
      <w:docPartPr>
        <w:name w:val="B64AD47907CF4239BC9E5968B1753EA6"/>
        <w:style w:val=""/>
        <w:category>
          <w:name w:val="常规"/>
          <w:gallery w:val="placeholder"/>
        </w:category>
        <w:types>
          <w:type w:val="bbPlcHdr"/>
        </w:types>
        <w:behaviors>
          <w:behavior w:val="content"/>
        </w:behaviors>
        <w:description w:val=""/>
        <w:guid w:val="{B6A9E442-DC82-44F9-909A-1F6D9581EBDB}"/>
      </w:docPartPr>
      <w:docPartBody>
        <w:p w14:paraId="7709F219">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C4"/>
    <w:rsid w:val="00133E29"/>
    <w:rsid w:val="00165CE6"/>
    <w:rsid w:val="002025EE"/>
    <w:rsid w:val="00380432"/>
    <w:rsid w:val="005151C0"/>
    <w:rsid w:val="006032E8"/>
    <w:rsid w:val="00634597"/>
    <w:rsid w:val="009D2CA8"/>
    <w:rsid w:val="00AB39B4"/>
    <w:rsid w:val="00C51BC4"/>
    <w:rsid w:val="00DE1D92"/>
    <w:rsid w:val="00E00502"/>
    <w:rsid w:val="00E1266C"/>
    <w:rsid w:val="00E3287C"/>
    <w:rsid w:val="00E5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F11214EBBCE4C518615FD79A3D5832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98DAD86622E4D28946F53444349DF1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64AD47907CF4239BC9E5968B1753EA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10324</Words>
  <Characters>10643</Characters>
  <Lines>83</Lines>
  <Paragraphs>23</Paragraphs>
  <TotalTime>1270</TotalTime>
  <ScaleCrop>false</ScaleCrop>
  <LinksUpToDate>false</LinksUpToDate>
  <CharactersWithSpaces>10741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2026-01-14T06:21:00Z</dcterms:created>
  <dc:creator>Administrator</dc:creator>
  <dc:description>&lt;config cover="true" show_menu="true" version="1.0.0" doctype="SDKXY"&gt;_x000d_
&lt;/config&gt;</dc:description>
  <cp:lastModifiedBy>Shimmer</cp:lastModifiedBy>
  <cp:lastPrinted>2021-02-02T08:22:00Z</cp:lastPrinted>
  <dcterms:modified xsi:type="dcterms:W3CDTF">2026-02-09T02:30:57Z</dcterms:modified>
  <dc:title>团体标准</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2052-12.1.0.24657</vt:lpwstr>
  </property>
  <property fmtid="{D5CDD505-2E9C-101B-9397-08002B2CF9AE}" pid="16" name="ICV">
    <vt:lpwstr>07A28CF746FF4981A28D18DD40C24DF4_12</vt:lpwstr>
  </property>
</Properties>
</file>