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4A884369" w:rsidR="00505FBC" w:rsidRPr="00B47E23" w:rsidRDefault="00973E61">
      <w:pPr>
        <w:adjustRightInd w:val="0"/>
        <w:snapToGrid w:val="0"/>
        <w:spacing w:line="360" w:lineRule="auto"/>
        <w:jc w:val="center"/>
        <w:rPr>
          <w:rFonts w:ascii="Times New Roman" w:eastAsia="黑体" w:hAnsi="Times New Roman" w:cs="Times New Roman"/>
          <w:b/>
          <w:sz w:val="52"/>
          <w:szCs w:val="52"/>
        </w:rPr>
      </w:pPr>
      <w:r w:rsidRPr="00B47E23">
        <w:rPr>
          <w:rFonts w:ascii="Times New Roman" w:eastAsia="黑体" w:hAnsi="Times New Roman" w:cs="Times New Roman"/>
          <w:b/>
          <w:sz w:val="52"/>
          <w:szCs w:val="52"/>
        </w:rPr>
        <w:t>装配式混凝土建筑施工质量控制监理规范</w:t>
      </w:r>
    </w:p>
    <w:p w14:paraId="09E57553" w14:textId="77777777" w:rsidR="00505FBC" w:rsidRPr="00B47E23"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B47E23" w:rsidRDefault="00000000">
      <w:pPr>
        <w:spacing w:line="480" w:lineRule="auto"/>
        <w:jc w:val="center"/>
        <w:rPr>
          <w:rFonts w:ascii="Times New Roman" w:eastAsia="黑体" w:hAnsi="Times New Roman" w:cs="Times New Roman"/>
          <w:b/>
          <w:sz w:val="52"/>
          <w:szCs w:val="52"/>
        </w:rPr>
      </w:pPr>
      <w:r w:rsidRPr="00B47E23">
        <w:rPr>
          <w:rFonts w:ascii="Times New Roman" w:eastAsia="黑体" w:hAnsi="Times New Roman" w:cs="Times New Roman"/>
          <w:b/>
          <w:sz w:val="52"/>
          <w:szCs w:val="52"/>
        </w:rPr>
        <w:t>编</w:t>
      </w:r>
      <w:r w:rsidRPr="00B47E23">
        <w:rPr>
          <w:rFonts w:ascii="Times New Roman" w:eastAsia="黑体" w:hAnsi="Times New Roman" w:cs="Times New Roman"/>
          <w:b/>
          <w:sz w:val="52"/>
          <w:szCs w:val="52"/>
        </w:rPr>
        <w:t xml:space="preserve"> </w:t>
      </w:r>
      <w:r w:rsidRPr="00B47E23">
        <w:rPr>
          <w:rFonts w:ascii="Times New Roman" w:eastAsia="黑体" w:hAnsi="Times New Roman" w:cs="Times New Roman"/>
          <w:b/>
          <w:sz w:val="52"/>
          <w:szCs w:val="52"/>
        </w:rPr>
        <w:t>制</w:t>
      </w:r>
      <w:r w:rsidRPr="00B47E23">
        <w:rPr>
          <w:rFonts w:ascii="Times New Roman" w:eastAsia="黑体" w:hAnsi="Times New Roman" w:cs="Times New Roman"/>
          <w:b/>
          <w:sz w:val="52"/>
          <w:szCs w:val="52"/>
        </w:rPr>
        <w:t xml:space="preserve"> </w:t>
      </w:r>
      <w:r w:rsidRPr="00B47E23">
        <w:rPr>
          <w:rFonts w:ascii="Times New Roman" w:eastAsia="黑体" w:hAnsi="Times New Roman" w:cs="Times New Roman"/>
          <w:b/>
          <w:sz w:val="52"/>
          <w:szCs w:val="52"/>
        </w:rPr>
        <w:t>说</w:t>
      </w:r>
      <w:r w:rsidRPr="00B47E23">
        <w:rPr>
          <w:rFonts w:ascii="Times New Roman" w:eastAsia="黑体" w:hAnsi="Times New Roman" w:cs="Times New Roman"/>
          <w:b/>
          <w:sz w:val="52"/>
          <w:szCs w:val="52"/>
        </w:rPr>
        <w:t xml:space="preserve"> </w:t>
      </w:r>
      <w:r w:rsidRPr="00B47E23">
        <w:rPr>
          <w:rFonts w:ascii="Times New Roman" w:eastAsia="黑体" w:hAnsi="Times New Roman" w:cs="Times New Roman"/>
          <w:b/>
          <w:sz w:val="52"/>
          <w:szCs w:val="52"/>
        </w:rPr>
        <w:t>明</w:t>
      </w:r>
    </w:p>
    <w:p w14:paraId="28444C2B"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B47E23" w:rsidRDefault="00505FBC">
      <w:pPr>
        <w:adjustRightInd w:val="0"/>
        <w:snapToGrid w:val="0"/>
        <w:spacing w:line="360" w:lineRule="auto"/>
        <w:rPr>
          <w:rFonts w:ascii="Times New Roman" w:eastAsia="仿宋" w:hAnsi="Times New Roman" w:cs="Times New Roman"/>
          <w:b/>
          <w:sz w:val="24"/>
          <w:szCs w:val="24"/>
        </w:rPr>
      </w:pPr>
    </w:p>
    <w:p w14:paraId="7A8D1626" w14:textId="6773006A" w:rsidR="00505FBC" w:rsidRPr="00B47E23" w:rsidRDefault="00000000">
      <w:pPr>
        <w:spacing w:line="480" w:lineRule="auto"/>
        <w:jc w:val="center"/>
        <w:rPr>
          <w:rFonts w:ascii="Times New Roman" w:eastAsia="楷体_GB2312" w:hAnsi="Times New Roman" w:cs="Times New Roman"/>
          <w:b/>
          <w:sz w:val="36"/>
          <w:szCs w:val="36"/>
        </w:rPr>
      </w:pPr>
      <w:r w:rsidRPr="00B47E23">
        <w:rPr>
          <w:rFonts w:ascii="Times New Roman" w:eastAsia="楷体_GB2312" w:hAnsi="Times New Roman" w:cs="Times New Roman"/>
          <w:b/>
          <w:sz w:val="36"/>
          <w:szCs w:val="36"/>
        </w:rPr>
        <w:t>《</w:t>
      </w:r>
      <w:r w:rsidR="00973E61" w:rsidRPr="00B47E23">
        <w:rPr>
          <w:rFonts w:ascii="Times New Roman" w:eastAsia="楷体_GB2312" w:hAnsi="Times New Roman" w:cs="Times New Roman"/>
          <w:b/>
          <w:sz w:val="36"/>
          <w:szCs w:val="36"/>
        </w:rPr>
        <w:t>装配式混凝土建筑施工质量控制监理规范</w:t>
      </w:r>
      <w:r w:rsidRPr="00B47E23">
        <w:rPr>
          <w:rFonts w:ascii="Times New Roman" w:eastAsia="楷体_GB2312" w:hAnsi="Times New Roman" w:cs="Times New Roman"/>
          <w:b/>
          <w:sz w:val="36"/>
          <w:szCs w:val="36"/>
        </w:rPr>
        <w:t>》小组</w:t>
      </w:r>
    </w:p>
    <w:p w14:paraId="1197A080" w14:textId="204F19BA" w:rsidR="00505FBC" w:rsidRDefault="00000000">
      <w:pPr>
        <w:spacing w:line="360" w:lineRule="auto"/>
        <w:jc w:val="center"/>
        <w:rPr>
          <w:rFonts w:ascii="Times New Roman" w:eastAsia="楷体_GB2312" w:hAnsi="Times New Roman" w:cs="Times New Roman"/>
          <w:b/>
          <w:sz w:val="36"/>
          <w:szCs w:val="36"/>
        </w:rPr>
      </w:pPr>
      <w:r w:rsidRPr="00B47E23">
        <w:rPr>
          <w:rFonts w:ascii="Times New Roman" w:eastAsia="楷体_GB2312" w:hAnsi="Times New Roman" w:cs="Times New Roman"/>
          <w:b/>
          <w:sz w:val="36"/>
          <w:szCs w:val="36"/>
        </w:rPr>
        <w:t>二</w:t>
      </w:r>
      <w:r w:rsidRPr="00B47E23">
        <w:rPr>
          <w:rFonts w:ascii="Times New Roman" w:eastAsia="楷体_GB2312" w:hAnsi="Times New Roman" w:cs="Times New Roman" w:hint="eastAsia"/>
          <w:b/>
          <w:sz w:val="36"/>
          <w:szCs w:val="36"/>
        </w:rPr>
        <w:t>〇</w:t>
      </w:r>
      <w:r w:rsidRPr="00B47E23">
        <w:rPr>
          <w:rFonts w:ascii="Times New Roman" w:eastAsia="楷体_GB2312" w:hAnsi="Times New Roman" w:cs="Times New Roman"/>
          <w:b/>
          <w:sz w:val="36"/>
          <w:szCs w:val="36"/>
        </w:rPr>
        <w:t>二</w:t>
      </w:r>
      <w:r w:rsidR="008C756A" w:rsidRPr="00B47E23">
        <w:rPr>
          <w:rFonts w:ascii="Times New Roman" w:eastAsia="楷体_GB2312" w:hAnsi="Times New Roman" w:cs="Times New Roman" w:hint="eastAsia"/>
          <w:b/>
          <w:sz w:val="36"/>
          <w:szCs w:val="36"/>
        </w:rPr>
        <w:t>六</w:t>
      </w:r>
      <w:r w:rsidRPr="00B47E23">
        <w:rPr>
          <w:rFonts w:ascii="Times New Roman" w:eastAsia="楷体_GB2312" w:hAnsi="Times New Roman" w:cs="Times New Roman"/>
          <w:b/>
          <w:sz w:val="36"/>
          <w:szCs w:val="36"/>
        </w:rPr>
        <w:t>年</w:t>
      </w:r>
      <w:r w:rsidR="009435E7" w:rsidRPr="00B47E23">
        <w:rPr>
          <w:rFonts w:ascii="Times New Roman" w:eastAsia="楷体_GB2312" w:hAnsi="Times New Roman" w:cs="Times New Roman" w:hint="eastAsia"/>
          <w:b/>
          <w:sz w:val="36"/>
          <w:szCs w:val="36"/>
        </w:rPr>
        <w:t>二</w:t>
      </w:r>
      <w:r w:rsidRPr="00B47E23">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4832AC43"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1121C121"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77F512B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34A15783" w14:textId="629F24D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0E23AF5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03486B5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7B0910D8"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79D58A7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0997C4C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62F6032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054D0588" w14:textId="504A757D"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B31A7">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5E7A51EB" w:rsidR="00505FBC" w:rsidRDefault="00000000">
      <w:pPr>
        <w:spacing w:line="360" w:lineRule="auto"/>
        <w:jc w:val="center"/>
        <w:outlineLvl w:val="1"/>
        <w:rPr>
          <w:rFonts w:ascii="Times New Roman" w:eastAsia="黑体" w:hAnsi="Times New Roman" w:cs="Times New Roman"/>
          <w:b/>
          <w:sz w:val="36"/>
          <w:szCs w:val="36"/>
        </w:rPr>
      </w:pPr>
      <w:r w:rsidRPr="00F80E17">
        <w:rPr>
          <w:rFonts w:ascii="Times New Roman" w:eastAsia="黑体" w:hAnsi="Times New Roman" w:cs="Times New Roman"/>
          <w:b/>
          <w:sz w:val="36"/>
          <w:szCs w:val="36"/>
        </w:rPr>
        <w:lastRenderedPageBreak/>
        <w:t>《</w:t>
      </w:r>
      <w:r w:rsidR="00973E61" w:rsidRPr="00F80E17">
        <w:rPr>
          <w:rFonts w:ascii="Times New Roman" w:eastAsia="黑体" w:hAnsi="Times New Roman" w:cs="Times New Roman"/>
          <w:b/>
          <w:sz w:val="36"/>
          <w:szCs w:val="36"/>
        </w:rPr>
        <w:t>装配式混凝土建筑施工质量控制监理规范</w:t>
      </w:r>
      <w:r w:rsidRPr="00F80E17">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01B13F5D" w14:textId="77777777" w:rsidR="00BF0689" w:rsidRPr="00BF0689" w:rsidRDefault="00BF0689" w:rsidP="00BF0689">
      <w:pPr>
        <w:snapToGrid w:val="0"/>
        <w:spacing w:line="360" w:lineRule="auto"/>
        <w:ind w:firstLineChars="200" w:firstLine="560"/>
        <w:rPr>
          <w:rFonts w:ascii="Times New Roman" w:hAnsi="Times New Roman" w:cs="Times New Roman"/>
          <w:kern w:val="0"/>
          <w:sz w:val="28"/>
          <w:szCs w:val="28"/>
        </w:rPr>
      </w:pPr>
      <w:r w:rsidRPr="00BF0689">
        <w:rPr>
          <w:rFonts w:ascii="Times New Roman" w:hAnsi="Times New Roman" w:cs="Times New Roman" w:hint="eastAsia"/>
          <w:kern w:val="0"/>
          <w:sz w:val="28"/>
          <w:szCs w:val="28"/>
        </w:rPr>
        <w:t>装配式混凝土建筑的快速推广，对其施工过程的质量控制提出了全新的、系统性的监理要求。传统监理模式主要面向现浇结构，在应对预制构件进场验收、吊装与临时支撑、节点连接灌浆、成品保护等核心环节时，缺乏针对性的监理流程、技术要点与评判标准，导致监理工作深度不足、风险预控能力弱，难以有效保障装配式建筑特有的质量与安全性能。本规范旨在构建一套适应装配化建造特点的专项监理标准体系，明确覆盖“构件生产驻厂监造</w:t>
      </w:r>
      <w:r w:rsidRPr="00BF0689">
        <w:rPr>
          <w:rFonts w:ascii="Times New Roman" w:hAnsi="Times New Roman" w:cs="Times New Roman" w:hint="eastAsia"/>
          <w:kern w:val="0"/>
          <w:sz w:val="28"/>
          <w:szCs w:val="28"/>
        </w:rPr>
        <w:t>-</w:t>
      </w:r>
      <w:r w:rsidRPr="00BF0689">
        <w:rPr>
          <w:rFonts w:ascii="Times New Roman" w:hAnsi="Times New Roman" w:cs="Times New Roman" w:hint="eastAsia"/>
          <w:kern w:val="0"/>
          <w:sz w:val="28"/>
          <w:szCs w:val="28"/>
        </w:rPr>
        <w:t>现场安装全过程巡视</w:t>
      </w:r>
      <w:r w:rsidRPr="00BF0689">
        <w:rPr>
          <w:rFonts w:ascii="Times New Roman" w:hAnsi="Times New Roman" w:cs="Times New Roman" w:hint="eastAsia"/>
          <w:kern w:val="0"/>
          <w:sz w:val="28"/>
          <w:szCs w:val="28"/>
        </w:rPr>
        <w:t>-</w:t>
      </w:r>
      <w:r w:rsidRPr="00BF0689">
        <w:rPr>
          <w:rFonts w:ascii="Times New Roman" w:hAnsi="Times New Roman" w:cs="Times New Roman" w:hint="eastAsia"/>
          <w:kern w:val="0"/>
          <w:sz w:val="28"/>
          <w:szCs w:val="28"/>
        </w:rPr>
        <w:t>连接关键工序旁站</w:t>
      </w:r>
      <w:r w:rsidRPr="00BF0689">
        <w:rPr>
          <w:rFonts w:ascii="Times New Roman" w:hAnsi="Times New Roman" w:cs="Times New Roman" w:hint="eastAsia"/>
          <w:kern w:val="0"/>
          <w:sz w:val="28"/>
          <w:szCs w:val="28"/>
        </w:rPr>
        <w:t>-</w:t>
      </w:r>
      <w:r w:rsidRPr="00BF0689">
        <w:rPr>
          <w:rFonts w:ascii="Times New Roman" w:hAnsi="Times New Roman" w:cs="Times New Roman" w:hint="eastAsia"/>
          <w:kern w:val="0"/>
          <w:sz w:val="28"/>
          <w:szCs w:val="28"/>
        </w:rPr>
        <w:t>分部分项工程验收”的监理工作架构，规定各阶段监理职责、技术审查要点、质量风险识别方法与闭合程序，为监理单位开展科学、精准、高效的质量控制活动提供权威作业指南。</w:t>
      </w:r>
    </w:p>
    <w:p w14:paraId="73CB9A4E" w14:textId="18952AAA" w:rsidR="00505FBC" w:rsidRDefault="00BF0689" w:rsidP="00BF0689">
      <w:pPr>
        <w:snapToGrid w:val="0"/>
        <w:spacing w:line="360" w:lineRule="auto"/>
        <w:ind w:firstLineChars="200" w:firstLine="560"/>
        <w:rPr>
          <w:rFonts w:ascii="Times New Roman" w:hAnsi="Times New Roman" w:cs="Times New Roman"/>
          <w:kern w:val="0"/>
          <w:sz w:val="28"/>
          <w:szCs w:val="28"/>
          <w:highlight w:val="yellow"/>
        </w:rPr>
      </w:pPr>
      <w:r w:rsidRPr="00BF0689">
        <w:rPr>
          <w:rFonts w:ascii="Times New Roman" w:hAnsi="Times New Roman" w:cs="Times New Roman" w:hint="eastAsia"/>
          <w:kern w:val="0"/>
          <w:sz w:val="28"/>
          <w:szCs w:val="28"/>
        </w:rPr>
        <w:t>制定装配式混凝土建筑施工专项监理规范是保障建筑工业化高质量发展、提升工程整体品质与安全可靠性的关键制度保障。装配式建造方式将大量现场作业转移至工厂，并使现场安装成为决定结构安全的核心，这对监理工作的专业性、前瞻性与协调能力提出了前所未有的挑战。若无统一规范指引，易造成监理行为标准不一，难以有效监督和纠正施工过程中的质量偏差与安全隐患。本规范的制定与实施，将系统性地填补当前监理标准体系的空白，通过规范化的监理程序与技术方法，强化对预制构件质量源头、现场装配精度及结构整体性的有效控制，不仅有助于降低质量通病、提升工程一次成优率，更能推动监理行业能力升级，促进设计、生产、施工与监理的全产业链协同，为装配式建筑的大规模、</w:t>
      </w:r>
      <w:r w:rsidRPr="00BF0689">
        <w:rPr>
          <w:rFonts w:ascii="Times New Roman" w:hAnsi="Times New Roman" w:cs="Times New Roman" w:hint="eastAsia"/>
          <w:kern w:val="0"/>
          <w:sz w:val="28"/>
          <w:szCs w:val="28"/>
        </w:rPr>
        <w:lastRenderedPageBreak/>
        <w:t>高水平应用提供坚实的管理支撑</w:t>
      </w:r>
      <w:r>
        <w:rPr>
          <w:rFonts w:ascii="Times New Roman" w:hAnsi="Times New Roman" w:cs="Times New Roman" w:hint="eastAsia"/>
          <w:kern w:val="0"/>
          <w:sz w:val="28"/>
          <w:szCs w:val="28"/>
        </w:rPr>
        <w:t>。</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5BDE32D3" w:rsidR="00505FBC" w:rsidRPr="00622C35" w:rsidRDefault="00000000">
      <w:pPr>
        <w:snapToGrid w:val="0"/>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为使本标准在</w:t>
      </w:r>
      <w:r w:rsidR="00622C35" w:rsidRPr="00622C35">
        <w:rPr>
          <w:rFonts w:ascii="Times New Roman" w:hAnsi="Times New Roman" w:cs="Times New Roman"/>
          <w:kern w:val="0"/>
          <w:sz w:val="28"/>
          <w:szCs w:val="28"/>
        </w:rPr>
        <w:t>装配式混凝土建筑施工质量控制监理</w:t>
      </w:r>
      <w:r w:rsidRPr="00622C35">
        <w:rPr>
          <w:rFonts w:ascii="Times New Roman" w:hAnsi="Times New Roman" w:cs="Times New Roman"/>
          <w:kern w:val="0"/>
          <w:sz w:val="28"/>
          <w:szCs w:val="28"/>
        </w:rPr>
        <w:t>管理工作中起到规范信息化管理作用，标准起草工作组力求科学性、可操作性，以科学、谨慎的态度，在对我国现有</w:t>
      </w:r>
      <w:r w:rsidR="00622C35" w:rsidRPr="00622C35">
        <w:rPr>
          <w:rFonts w:ascii="Times New Roman" w:hAnsi="Times New Roman" w:cs="Times New Roman"/>
          <w:kern w:val="0"/>
          <w:sz w:val="28"/>
          <w:szCs w:val="28"/>
        </w:rPr>
        <w:t>装配式混凝土建筑施工质量控制监理</w:t>
      </w:r>
      <w:r w:rsidRPr="00622C35">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622C35" w:rsidRDefault="00000000">
      <w:pPr>
        <w:snapToGrid w:val="0"/>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标准起草工作组在标准起草期间主要开展工作情况如下</w:t>
      </w:r>
      <w:r w:rsidRPr="00622C35">
        <w:rPr>
          <w:rFonts w:ascii="Times New Roman" w:hAnsi="Times New Roman" w:cs="Times New Roman" w:hint="eastAsia"/>
          <w:kern w:val="0"/>
          <w:sz w:val="28"/>
          <w:szCs w:val="28"/>
        </w:rPr>
        <w:t>：</w:t>
      </w:r>
    </w:p>
    <w:p w14:paraId="76075B13" w14:textId="77777777" w:rsidR="00505FBC" w:rsidRPr="00622C35" w:rsidRDefault="00000000">
      <w:pPr>
        <w:snapToGrid w:val="0"/>
        <w:spacing w:line="360" w:lineRule="auto"/>
        <w:rPr>
          <w:rFonts w:ascii="Times New Roman" w:hAnsi="Times New Roman" w:cs="Times New Roman"/>
          <w:b/>
          <w:bCs/>
          <w:kern w:val="0"/>
          <w:sz w:val="28"/>
          <w:szCs w:val="28"/>
        </w:rPr>
      </w:pPr>
      <w:r w:rsidRPr="00622C35">
        <w:rPr>
          <w:rFonts w:ascii="Times New Roman" w:hAnsi="Times New Roman" w:cs="Times New Roman"/>
          <w:b/>
          <w:bCs/>
          <w:kern w:val="0"/>
          <w:sz w:val="28"/>
          <w:szCs w:val="28"/>
        </w:rPr>
        <w:t>1</w:t>
      </w:r>
      <w:r w:rsidRPr="00622C35">
        <w:rPr>
          <w:rFonts w:ascii="Times New Roman" w:hAnsi="Times New Roman" w:cs="Times New Roman"/>
          <w:b/>
          <w:bCs/>
          <w:kern w:val="0"/>
          <w:sz w:val="28"/>
          <w:szCs w:val="28"/>
        </w:rPr>
        <w:t>、项目立项及理论研究阶段</w:t>
      </w:r>
    </w:p>
    <w:p w14:paraId="133DEC27" w14:textId="43939BA3" w:rsidR="00505FBC" w:rsidRPr="00622C35" w:rsidRDefault="00000000">
      <w:pPr>
        <w:snapToGrid w:val="0"/>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标准起草组成立伊始就对国内外</w:t>
      </w:r>
      <w:r w:rsidR="00622C35" w:rsidRPr="00622C35">
        <w:rPr>
          <w:rFonts w:ascii="Times New Roman" w:hAnsi="Times New Roman" w:cs="Times New Roman"/>
          <w:kern w:val="0"/>
          <w:sz w:val="28"/>
          <w:szCs w:val="28"/>
        </w:rPr>
        <w:t>装配式混凝土建筑施工质量控制监理</w:t>
      </w:r>
      <w:r w:rsidRPr="00622C35">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622C35" w:rsidRPr="00622C35">
        <w:rPr>
          <w:rFonts w:ascii="Times New Roman" w:hAnsi="Times New Roman" w:cs="Times New Roman"/>
          <w:kern w:val="0"/>
          <w:sz w:val="28"/>
          <w:szCs w:val="28"/>
        </w:rPr>
        <w:t>装配式混凝土建筑施工质量控制监理</w:t>
      </w:r>
      <w:r w:rsidRPr="00622C35">
        <w:rPr>
          <w:rFonts w:ascii="Times New Roman" w:hAnsi="Times New Roman" w:cs="Times New Roman"/>
          <w:kern w:val="0"/>
          <w:sz w:val="28"/>
          <w:szCs w:val="28"/>
        </w:rPr>
        <w:t>标准化管理中现存问题，结合现有产品实际应用经验，为标准起草奠定了基础。</w:t>
      </w:r>
    </w:p>
    <w:p w14:paraId="49995E92" w14:textId="2E23E100" w:rsidR="00505FBC" w:rsidRPr="00622C35" w:rsidRDefault="00000000">
      <w:pPr>
        <w:snapToGrid w:val="0"/>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标准起草组进一步研究了</w:t>
      </w:r>
      <w:r w:rsidR="00622C35" w:rsidRPr="00622C35">
        <w:rPr>
          <w:rFonts w:ascii="Times New Roman" w:hAnsi="Times New Roman" w:cs="Times New Roman"/>
          <w:kern w:val="0"/>
          <w:sz w:val="28"/>
          <w:szCs w:val="28"/>
        </w:rPr>
        <w:t>装配式混凝土建筑施工质量控制监理</w:t>
      </w:r>
      <w:r w:rsidRPr="00622C35">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622C35" w:rsidRDefault="00000000">
      <w:pPr>
        <w:snapToGrid w:val="0"/>
        <w:spacing w:line="360" w:lineRule="auto"/>
        <w:rPr>
          <w:rFonts w:ascii="Times New Roman" w:hAnsi="Times New Roman" w:cs="Times New Roman"/>
          <w:b/>
          <w:bCs/>
          <w:kern w:val="0"/>
          <w:sz w:val="28"/>
          <w:szCs w:val="28"/>
        </w:rPr>
      </w:pPr>
      <w:r w:rsidRPr="00622C35">
        <w:rPr>
          <w:rFonts w:ascii="Times New Roman" w:hAnsi="Times New Roman" w:cs="Times New Roman"/>
          <w:b/>
          <w:bCs/>
          <w:kern w:val="0"/>
          <w:sz w:val="28"/>
          <w:szCs w:val="28"/>
        </w:rPr>
        <w:t>2</w:t>
      </w:r>
      <w:r w:rsidRPr="00622C35">
        <w:rPr>
          <w:rFonts w:ascii="Times New Roman" w:hAnsi="Times New Roman" w:cs="Times New Roman"/>
          <w:b/>
          <w:bCs/>
          <w:kern w:val="0"/>
          <w:sz w:val="28"/>
          <w:szCs w:val="28"/>
        </w:rPr>
        <w:t>、标准起草阶段</w:t>
      </w:r>
    </w:p>
    <w:p w14:paraId="465830F8" w14:textId="097488F5" w:rsidR="00505FBC" w:rsidRPr="00622C35" w:rsidRDefault="00000000">
      <w:pPr>
        <w:snapToGrid w:val="0"/>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973E61" w:rsidRPr="00622C35">
        <w:rPr>
          <w:rFonts w:ascii="Times New Roman" w:hAnsi="Times New Roman" w:cs="Times New Roman"/>
          <w:kern w:val="0"/>
          <w:sz w:val="28"/>
          <w:szCs w:val="28"/>
        </w:rPr>
        <w:t>装配式混凝土建筑施工质量控制监理规范</w:t>
      </w:r>
      <w:r w:rsidRPr="00622C35">
        <w:rPr>
          <w:rFonts w:ascii="Times New Roman" w:hAnsi="Times New Roman" w:cs="Times New Roman"/>
          <w:kern w:val="0"/>
          <w:sz w:val="28"/>
          <w:szCs w:val="28"/>
        </w:rPr>
        <w:t>》标准草案。</w:t>
      </w:r>
    </w:p>
    <w:p w14:paraId="405B67DF" w14:textId="77777777" w:rsidR="00505FBC" w:rsidRPr="00622C35" w:rsidRDefault="00000000">
      <w:pPr>
        <w:snapToGrid w:val="0"/>
        <w:spacing w:line="360" w:lineRule="auto"/>
        <w:rPr>
          <w:rFonts w:ascii="Times New Roman" w:hAnsi="Times New Roman" w:cs="Times New Roman"/>
          <w:b/>
          <w:bCs/>
          <w:kern w:val="0"/>
          <w:sz w:val="28"/>
          <w:szCs w:val="28"/>
        </w:rPr>
      </w:pPr>
      <w:r w:rsidRPr="00622C35">
        <w:rPr>
          <w:rFonts w:ascii="Times New Roman" w:hAnsi="Times New Roman" w:cs="Times New Roman"/>
          <w:b/>
          <w:bCs/>
          <w:kern w:val="0"/>
          <w:sz w:val="28"/>
          <w:szCs w:val="28"/>
        </w:rPr>
        <w:t>3</w:t>
      </w:r>
      <w:r w:rsidRPr="00622C35">
        <w:rPr>
          <w:rFonts w:ascii="Times New Roman" w:hAnsi="Times New Roman" w:cs="Times New Roman"/>
          <w:b/>
          <w:bCs/>
          <w:kern w:val="0"/>
          <w:sz w:val="28"/>
          <w:szCs w:val="28"/>
        </w:rPr>
        <w:t>、标准征求意见阶段</w:t>
      </w:r>
    </w:p>
    <w:p w14:paraId="0DAC9E52" w14:textId="3D203C97" w:rsidR="00505FBC" w:rsidRPr="00622C35" w:rsidRDefault="00000000">
      <w:pPr>
        <w:snapToGrid w:val="0"/>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w:t>
      </w:r>
      <w:r w:rsidRPr="00622C35">
        <w:rPr>
          <w:rFonts w:ascii="Times New Roman" w:hAnsi="Times New Roman" w:cs="Times New Roman"/>
          <w:kern w:val="0"/>
          <w:sz w:val="28"/>
          <w:szCs w:val="28"/>
        </w:rPr>
        <w:lastRenderedPageBreak/>
        <w:t>标准的适用性和实用性。经过理论研究和方法验证，起草组形成了《</w:t>
      </w:r>
      <w:r w:rsidR="00973E61" w:rsidRPr="00622C35">
        <w:rPr>
          <w:rFonts w:ascii="Times New Roman" w:hAnsi="Times New Roman" w:cs="Times New Roman"/>
          <w:kern w:val="0"/>
          <w:sz w:val="28"/>
          <w:szCs w:val="28"/>
        </w:rPr>
        <w:t>装配式混凝土建筑施工质量控制监理规范</w:t>
      </w:r>
      <w:r w:rsidRPr="00622C35">
        <w:rPr>
          <w:rFonts w:ascii="Times New Roman" w:hAnsi="Times New Roman" w:cs="Times New Roman"/>
          <w:kern w:val="0"/>
          <w:sz w:val="28"/>
          <w:szCs w:val="28"/>
        </w:rPr>
        <w:t>》（征求意见稿）。</w:t>
      </w:r>
    </w:p>
    <w:p w14:paraId="32426E21" w14:textId="77777777" w:rsidR="00505FBC" w:rsidRPr="00622C35" w:rsidRDefault="00000000">
      <w:pPr>
        <w:spacing w:line="360" w:lineRule="auto"/>
        <w:outlineLvl w:val="2"/>
        <w:rPr>
          <w:rFonts w:ascii="Times New Roman" w:hAnsi="Times New Roman" w:cs="Times New Roman"/>
          <w:b/>
          <w:sz w:val="28"/>
          <w:szCs w:val="28"/>
        </w:rPr>
      </w:pPr>
      <w:r w:rsidRPr="00622C35">
        <w:rPr>
          <w:rFonts w:ascii="Times New Roman" w:hAnsi="Times New Roman" w:cs="Times New Roman"/>
          <w:b/>
          <w:sz w:val="28"/>
          <w:szCs w:val="28"/>
        </w:rPr>
        <w:t>（三）主要起草单位及起草人所做的工作</w:t>
      </w:r>
    </w:p>
    <w:p w14:paraId="3987C6A0" w14:textId="77777777" w:rsidR="00505FBC" w:rsidRPr="00622C35" w:rsidRDefault="00000000">
      <w:pPr>
        <w:spacing w:line="360" w:lineRule="auto"/>
        <w:rPr>
          <w:rFonts w:ascii="Times New Roman" w:hAnsi="Times New Roman" w:cs="Times New Roman"/>
          <w:b/>
          <w:bCs/>
          <w:kern w:val="0"/>
          <w:sz w:val="28"/>
          <w:szCs w:val="28"/>
        </w:rPr>
      </w:pPr>
      <w:r w:rsidRPr="00622C35">
        <w:rPr>
          <w:rFonts w:ascii="Times New Roman" w:hAnsi="Times New Roman" w:cs="Times New Roman"/>
          <w:b/>
          <w:bCs/>
          <w:kern w:val="0"/>
          <w:sz w:val="28"/>
          <w:szCs w:val="28"/>
        </w:rPr>
        <w:t>1</w:t>
      </w:r>
      <w:r w:rsidRPr="00622C35">
        <w:rPr>
          <w:rFonts w:ascii="Times New Roman" w:hAnsi="Times New Roman" w:cs="Times New Roman"/>
          <w:b/>
          <w:bCs/>
          <w:kern w:val="0"/>
          <w:sz w:val="28"/>
          <w:szCs w:val="28"/>
        </w:rPr>
        <w:t>、主要起草单位</w:t>
      </w:r>
    </w:p>
    <w:p w14:paraId="28DBAB6A" w14:textId="77777777" w:rsidR="00505FBC" w:rsidRPr="00622C35" w:rsidRDefault="00000000">
      <w:pPr>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协会</w:t>
      </w:r>
      <w:r w:rsidRPr="00622C35">
        <w:rPr>
          <w:rFonts w:ascii="Times New Roman" w:hAnsi="Times New Roman" w:cs="Times New Roman" w:hint="eastAsia"/>
          <w:kern w:val="0"/>
          <w:sz w:val="28"/>
          <w:szCs w:val="28"/>
        </w:rPr>
        <w:t>、企业</w:t>
      </w:r>
      <w:r w:rsidRPr="00622C35">
        <w:rPr>
          <w:rFonts w:ascii="Times New Roman" w:hAnsi="Times New Roman" w:cs="Times New Roman"/>
          <w:kern w:val="0"/>
          <w:sz w:val="28"/>
          <w:szCs w:val="28"/>
        </w:rPr>
        <w:t>等多家单位的专家成立了规范起草小组，开展标准的编制工作。</w:t>
      </w:r>
    </w:p>
    <w:p w14:paraId="0E4BB955" w14:textId="28E1327D" w:rsidR="00505FBC" w:rsidRDefault="00000000">
      <w:pPr>
        <w:spacing w:line="360" w:lineRule="auto"/>
        <w:ind w:firstLineChars="200" w:firstLine="560"/>
        <w:rPr>
          <w:rFonts w:ascii="Times New Roman" w:hAnsi="Times New Roman" w:cs="Times New Roman"/>
          <w:kern w:val="0"/>
          <w:sz w:val="28"/>
          <w:szCs w:val="28"/>
        </w:rPr>
      </w:pPr>
      <w:r w:rsidRPr="00622C35">
        <w:rPr>
          <w:rFonts w:ascii="Times New Roman" w:hAnsi="Times New Roman" w:cs="Times New Roman"/>
          <w:kern w:val="0"/>
          <w:sz w:val="28"/>
          <w:szCs w:val="28"/>
        </w:rPr>
        <w:t>经工作组的不懈努力，在</w:t>
      </w:r>
      <w:r w:rsidRPr="00622C35">
        <w:rPr>
          <w:rFonts w:ascii="Times New Roman" w:hAnsi="Times New Roman" w:cs="Times New Roman"/>
          <w:kern w:val="0"/>
          <w:sz w:val="28"/>
          <w:szCs w:val="28"/>
        </w:rPr>
        <w:t>202</w:t>
      </w:r>
      <w:r w:rsidR="00A8519C" w:rsidRPr="00622C35">
        <w:rPr>
          <w:rFonts w:ascii="Times New Roman" w:hAnsi="Times New Roman" w:cs="Times New Roman" w:hint="eastAsia"/>
          <w:kern w:val="0"/>
          <w:sz w:val="28"/>
          <w:szCs w:val="28"/>
        </w:rPr>
        <w:t>6</w:t>
      </w:r>
      <w:r w:rsidRPr="00622C35">
        <w:rPr>
          <w:rFonts w:ascii="Times New Roman" w:hAnsi="Times New Roman" w:cs="Times New Roman"/>
          <w:kern w:val="0"/>
          <w:sz w:val="28"/>
          <w:szCs w:val="28"/>
        </w:rPr>
        <w:t>年</w:t>
      </w:r>
      <w:r w:rsidR="00515FFC" w:rsidRPr="00622C35">
        <w:rPr>
          <w:rFonts w:ascii="Times New Roman" w:hAnsi="Times New Roman" w:cs="Times New Roman" w:hint="eastAsia"/>
          <w:kern w:val="0"/>
          <w:sz w:val="28"/>
          <w:szCs w:val="28"/>
        </w:rPr>
        <w:t>2</w:t>
      </w:r>
      <w:r w:rsidRPr="00622C35">
        <w:rPr>
          <w:rFonts w:ascii="Times New Roman" w:hAnsi="Times New Roman" w:cs="Times New Roman"/>
          <w:kern w:val="0"/>
          <w:sz w:val="28"/>
          <w:szCs w:val="28"/>
        </w:rPr>
        <w:t>月，完成了标准征求意见稿的编</w:t>
      </w:r>
      <w:r>
        <w:rPr>
          <w:rFonts w:ascii="Times New Roman" w:hAnsi="Times New Roman" w:cs="Times New Roman"/>
          <w:kern w:val="0"/>
          <w:sz w:val="28"/>
          <w:szCs w:val="28"/>
        </w:rPr>
        <w:t>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8ED77EF"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293121" w:rsidRPr="00293121">
        <w:rPr>
          <w:rFonts w:ascii="Times New Roman" w:hAnsi="Times New Roman" w:cs="Times New Roman" w:hint="eastAsia"/>
          <w:sz w:val="28"/>
          <w:szCs w:val="28"/>
        </w:rPr>
        <w:t>7</w:t>
      </w:r>
      <w:r w:rsidRPr="00293121">
        <w:rPr>
          <w:rFonts w:ascii="Times New Roman" w:hAnsi="Times New Roman" w:cs="Times New Roman"/>
          <w:sz w:val="28"/>
          <w:szCs w:val="28"/>
        </w:rPr>
        <w:t>个</w:t>
      </w:r>
      <w:r>
        <w:rPr>
          <w:rFonts w:ascii="Times New Roman" w:hAnsi="Times New Roman" w:cs="Times New Roman"/>
          <w:sz w:val="28"/>
          <w:szCs w:val="28"/>
        </w:rPr>
        <w:t>部分，主要内容如下：</w:t>
      </w:r>
    </w:p>
    <w:p w14:paraId="191ED256"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20510156"/>
      <w:r w:rsidRPr="00293121">
        <w:rPr>
          <w:rFonts w:ascii="宋体" w:eastAsia="宋体" w:hAnsi="宋体" w:hint="eastAsia"/>
          <w:sz w:val="28"/>
          <w:szCs w:val="24"/>
        </w:rPr>
        <w:t>范围</w:t>
      </w:r>
      <w:bookmarkEnd w:id="2"/>
      <w:bookmarkEnd w:id="3"/>
      <w:bookmarkEnd w:id="4"/>
      <w:bookmarkEnd w:id="5"/>
      <w:bookmarkEnd w:id="6"/>
      <w:bookmarkEnd w:id="7"/>
      <w:bookmarkEnd w:id="8"/>
      <w:bookmarkEnd w:id="9"/>
      <w:bookmarkEnd w:id="10"/>
      <w:bookmarkEnd w:id="11"/>
    </w:p>
    <w:p w14:paraId="4E77DDCC" w14:textId="77777777" w:rsidR="00293121" w:rsidRPr="00293121" w:rsidRDefault="00293121" w:rsidP="00293121">
      <w:pPr>
        <w:pStyle w:val="aff2"/>
        <w:spacing w:line="360" w:lineRule="auto"/>
        <w:ind w:firstLine="560"/>
        <w:rPr>
          <w:rFonts w:hAnsi="宋体"/>
          <w:sz w:val="28"/>
          <w:szCs w:val="24"/>
        </w:rPr>
      </w:pPr>
      <w:bookmarkStart w:id="12" w:name="_Toc17233326"/>
      <w:bookmarkStart w:id="13" w:name="_Toc17233334"/>
      <w:bookmarkStart w:id="14" w:name="_Toc24884212"/>
      <w:bookmarkStart w:id="15" w:name="_Toc24884219"/>
      <w:bookmarkStart w:id="16" w:name="_Toc26648466"/>
      <w:r w:rsidRPr="00293121">
        <w:rPr>
          <w:rFonts w:hAnsi="宋体" w:hint="eastAsia"/>
          <w:sz w:val="28"/>
          <w:szCs w:val="24"/>
        </w:rPr>
        <w:t>本文件规定了装配式混凝土建筑施工质量控制监理的基本规定、施工准备监理、施工过程监理、监理记录与报告。</w:t>
      </w:r>
    </w:p>
    <w:p w14:paraId="6784A98F" w14:textId="77777777" w:rsidR="00293121" w:rsidRPr="00293121" w:rsidRDefault="00293121" w:rsidP="00293121">
      <w:pPr>
        <w:pStyle w:val="aff2"/>
        <w:spacing w:line="360" w:lineRule="auto"/>
        <w:ind w:firstLine="560"/>
        <w:rPr>
          <w:rFonts w:hAnsi="宋体"/>
          <w:sz w:val="28"/>
          <w:szCs w:val="24"/>
        </w:rPr>
      </w:pPr>
      <w:r w:rsidRPr="00293121">
        <w:rPr>
          <w:rFonts w:hAnsi="宋体" w:hint="eastAsia"/>
          <w:sz w:val="28"/>
          <w:szCs w:val="24"/>
        </w:rPr>
        <w:t>本文件适用于装配式混凝土建筑工程施工质量控制监理。</w:t>
      </w:r>
    </w:p>
    <w:p w14:paraId="6769B39B"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17" w:name="_Toc26718931"/>
      <w:bookmarkStart w:id="18" w:name="_Toc26986531"/>
      <w:bookmarkStart w:id="19" w:name="_Toc26986772"/>
      <w:bookmarkStart w:id="20" w:name="_Toc97192965"/>
      <w:bookmarkStart w:id="21" w:name="_Toc220510157"/>
      <w:r w:rsidRPr="00293121">
        <w:rPr>
          <w:rFonts w:ascii="宋体" w:eastAsia="宋体" w:hAnsi="宋体" w:hint="eastAsia"/>
          <w:sz w:val="28"/>
          <w:szCs w:val="24"/>
        </w:rPr>
        <w:lastRenderedPageBreak/>
        <w:t>规范性引用文件</w:t>
      </w:r>
      <w:bookmarkEnd w:id="12"/>
      <w:bookmarkEnd w:id="13"/>
      <w:bookmarkEnd w:id="14"/>
      <w:bookmarkEnd w:id="15"/>
      <w:bookmarkEnd w:id="16"/>
      <w:bookmarkEnd w:id="17"/>
      <w:bookmarkEnd w:id="18"/>
      <w:bookmarkEnd w:id="19"/>
      <w:bookmarkEnd w:id="20"/>
      <w:bookmarkEnd w:id="21"/>
    </w:p>
    <w:sdt>
      <w:sdtPr>
        <w:rPr>
          <w:rFonts w:hAnsi="宋体" w:hint="eastAsia"/>
          <w:sz w:val="28"/>
          <w:szCs w:val="24"/>
        </w:rPr>
        <w:id w:val="715848253"/>
        <w:placeholder>
          <w:docPart w:val="8AF50233D21344E19F14D88FFA3B9C3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D1C2749" w14:textId="77777777" w:rsidR="00293121" w:rsidRPr="00293121" w:rsidRDefault="00293121" w:rsidP="00293121">
          <w:pPr>
            <w:pStyle w:val="aff2"/>
            <w:spacing w:line="360" w:lineRule="auto"/>
            <w:ind w:firstLine="560"/>
            <w:rPr>
              <w:rFonts w:hAnsi="宋体"/>
              <w:sz w:val="28"/>
              <w:szCs w:val="24"/>
            </w:rPr>
          </w:pPr>
          <w:r w:rsidRPr="00293121">
            <w:rPr>
              <w:rFonts w:hAnsi="宋体"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1BFD87"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sz w:val="28"/>
          <w:szCs w:val="24"/>
        </w:rPr>
        <w:t>GB/T 50328</w:t>
      </w:r>
      <w:r w:rsidRPr="00293121">
        <w:rPr>
          <w:rFonts w:hAnsi="宋体" w:hint="eastAsia"/>
          <w:sz w:val="28"/>
          <w:szCs w:val="24"/>
        </w:rPr>
        <w:t xml:space="preserve"> 建设工程文件归档规范</w:t>
      </w:r>
    </w:p>
    <w:p w14:paraId="78D9EDFE"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sz w:val="28"/>
          <w:szCs w:val="24"/>
        </w:rPr>
        <w:t>JGJ 355</w:t>
      </w:r>
      <w:r w:rsidRPr="00293121">
        <w:rPr>
          <w:rFonts w:hAnsi="宋体" w:hint="eastAsia"/>
          <w:sz w:val="28"/>
          <w:szCs w:val="24"/>
        </w:rPr>
        <w:t xml:space="preserve"> 钢筋套筒灌浆连接应用技术规程</w:t>
      </w:r>
    </w:p>
    <w:p w14:paraId="5B8C3430"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22" w:name="_Toc97192966"/>
      <w:bookmarkStart w:id="23" w:name="_Toc220510158"/>
      <w:r w:rsidRPr="00293121">
        <w:rPr>
          <w:rFonts w:ascii="宋体" w:eastAsia="宋体" w:hAnsi="宋体" w:hint="eastAsia"/>
          <w:sz w:val="28"/>
          <w:szCs w:val="28"/>
        </w:rPr>
        <w:t>术语和定义</w:t>
      </w:r>
      <w:bookmarkEnd w:id="22"/>
      <w:bookmarkEnd w:id="23"/>
    </w:p>
    <w:bookmarkStart w:id="24" w:name="_Toc26986532" w:displacedByCustomXml="next"/>
    <w:bookmarkEnd w:id="24" w:displacedByCustomXml="next"/>
    <w:sdt>
      <w:sdtPr>
        <w:rPr>
          <w:rFonts w:hAnsi="宋体"/>
          <w:sz w:val="28"/>
          <w:szCs w:val="24"/>
        </w:rPr>
        <w:id w:val="-1909835108"/>
        <w:placeholder>
          <w:docPart w:val="4D51A69A8D8E4302A8E7FC7BC470F73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CBB0CA6" w14:textId="77777777" w:rsidR="00293121" w:rsidRPr="00293121" w:rsidRDefault="00293121" w:rsidP="00293121">
          <w:pPr>
            <w:pStyle w:val="aff2"/>
            <w:spacing w:line="360" w:lineRule="auto"/>
            <w:ind w:firstLine="560"/>
            <w:rPr>
              <w:rFonts w:hAnsi="宋体"/>
              <w:sz w:val="28"/>
              <w:szCs w:val="24"/>
            </w:rPr>
          </w:pPr>
          <w:r w:rsidRPr="00293121">
            <w:rPr>
              <w:rFonts w:hAnsi="宋体"/>
              <w:sz w:val="28"/>
              <w:szCs w:val="24"/>
            </w:rPr>
            <w:t>下列术语和定义适用于本文件。</w:t>
          </w:r>
        </w:p>
      </w:sdtContent>
    </w:sdt>
    <w:p w14:paraId="1EE115C5" w14:textId="77777777" w:rsidR="00293121" w:rsidRPr="00293121" w:rsidRDefault="00293121" w:rsidP="00293121">
      <w:pPr>
        <w:pStyle w:val="aff5"/>
        <w:spacing w:line="360" w:lineRule="auto"/>
        <w:ind w:left="560" w:hangingChars="200" w:hanging="560"/>
        <w:rPr>
          <w:rFonts w:hAnsi="宋体"/>
          <w:sz w:val="28"/>
          <w:szCs w:val="24"/>
        </w:rPr>
      </w:pPr>
      <w:r w:rsidRPr="00293121">
        <w:rPr>
          <w:rFonts w:hAnsi="宋体"/>
          <w:sz w:val="28"/>
          <w:szCs w:val="24"/>
        </w:rPr>
        <w:br/>
      </w:r>
      <w:r w:rsidRPr="00293121">
        <w:rPr>
          <w:rFonts w:hAnsi="宋体" w:hint="eastAsia"/>
          <w:sz w:val="28"/>
          <w:szCs w:val="24"/>
        </w:rPr>
        <w:t>装配式混凝土建筑 assembled building with concrete structure</w:t>
      </w:r>
    </w:p>
    <w:p w14:paraId="3C0CFBC3" w14:textId="77777777" w:rsidR="00293121" w:rsidRPr="00293121" w:rsidRDefault="00293121" w:rsidP="00293121">
      <w:pPr>
        <w:pStyle w:val="aff2"/>
        <w:spacing w:line="360" w:lineRule="auto"/>
        <w:ind w:firstLine="560"/>
        <w:rPr>
          <w:rFonts w:hAnsi="宋体"/>
          <w:sz w:val="28"/>
          <w:szCs w:val="24"/>
        </w:rPr>
      </w:pPr>
      <w:r w:rsidRPr="00293121">
        <w:rPr>
          <w:rFonts w:hAnsi="宋体" w:hint="eastAsia"/>
          <w:sz w:val="28"/>
          <w:szCs w:val="24"/>
        </w:rPr>
        <w:t>建筑的结构系统由混凝土部件(预制构件)构成的装配式建筑。</w:t>
      </w:r>
    </w:p>
    <w:p w14:paraId="59232F78" w14:textId="77777777" w:rsidR="00293121" w:rsidRPr="00293121" w:rsidRDefault="00293121" w:rsidP="00293121">
      <w:pPr>
        <w:pStyle w:val="aff5"/>
        <w:spacing w:line="360" w:lineRule="auto"/>
        <w:ind w:left="560" w:hangingChars="200" w:hanging="560"/>
        <w:rPr>
          <w:rFonts w:hAnsi="宋体" w:hint="eastAsia"/>
          <w:sz w:val="28"/>
          <w:szCs w:val="24"/>
        </w:rPr>
      </w:pPr>
      <w:r w:rsidRPr="00293121">
        <w:rPr>
          <w:rFonts w:hAnsi="宋体"/>
          <w:sz w:val="28"/>
          <w:szCs w:val="24"/>
        </w:rPr>
        <w:br/>
      </w:r>
      <w:r w:rsidRPr="00293121">
        <w:rPr>
          <w:rFonts w:hAnsi="宋体" w:hint="eastAsia"/>
          <w:sz w:val="28"/>
          <w:szCs w:val="24"/>
        </w:rPr>
        <w:t>监理报告 report of construction supervision</w:t>
      </w:r>
    </w:p>
    <w:p w14:paraId="35E1014F" w14:textId="77777777" w:rsidR="00293121" w:rsidRPr="00293121" w:rsidRDefault="00293121" w:rsidP="00293121">
      <w:pPr>
        <w:pStyle w:val="aff2"/>
        <w:spacing w:line="360" w:lineRule="auto"/>
        <w:ind w:firstLine="560"/>
        <w:rPr>
          <w:rFonts w:hAnsi="宋体"/>
          <w:sz w:val="28"/>
          <w:szCs w:val="24"/>
        </w:rPr>
      </w:pPr>
      <w:r w:rsidRPr="00293121">
        <w:rPr>
          <w:rFonts w:hAnsi="宋体" w:hint="eastAsia"/>
          <w:sz w:val="28"/>
          <w:szCs w:val="24"/>
        </w:rPr>
        <w:t>按照国家和地方相关法律、法规的有关规定，施工单位对现场发生的质量、安全隐患拒不整改时，项目监理机构向政府有关主管部门提交的报告。</w:t>
      </w:r>
    </w:p>
    <w:p w14:paraId="13FC1110"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25" w:name="_Toc220510159"/>
      <w:r w:rsidRPr="00293121">
        <w:rPr>
          <w:rFonts w:ascii="宋体" w:eastAsia="宋体" w:hAnsi="宋体" w:hint="eastAsia"/>
          <w:sz w:val="28"/>
          <w:szCs w:val="24"/>
        </w:rPr>
        <w:t>基本规定</w:t>
      </w:r>
      <w:bookmarkEnd w:id="25"/>
    </w:p>
    <w:p w14:paraId="482752BA"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装配式混凝土建筑工程施工质量控制监理工作的主要依据应包括：</w:t>
      </w:r>
    </w:p>
    <w:p w14:paraId="279D811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国家、行业及地方相关法律法规、规章及规范性文件；</w:t>
      </w:r>
    </w:p>
    <w:p w14:paraId="606E08D3"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工程建设强制性标准、设计文件（含施工图、深化设计文件、设计变更）及相关技术标准；</w:t>
      </w:r>
    </w:p>
    <w:p w14:paraId="78556CB4"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依法签订的工程监理合同、施工合同及其他相关合同文件；</w:t>
      </w:r>
    </w:p>
    <w:p w14:paraId="00381E5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经审查批准的施工组织设计、专项施工方案、生产方案等技术文件。</w:t>
      </w:r>
    </w:p>
    <w:p w14:paraId="03F1C20F"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lastRenderedPageBreak/>
        <w:t>监理工作应遵循公平、独立、诚信、科学的原则，对工程质量承担监理责任。</w:t>
      </w:r>
    </w:p>
    <w:p w14:paraId="6CAE7EFB"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监理单位应根据工程监理合同的约定，结合装配式混凝土建筑工程的特点、规模和技术复杂程度，组建专业配套、职责明确的项目监理机构，配备满足工作需要的监理人员和必要的检测设备。</w:t>
      </w:r>
    </w:p>
    <w:p w14:paraId="7D4A60F9"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监理单位应确保项目监理机构的关键岗位人员（如总监理工程师、专业监理工程师）具备相应的资格和装配式混凝土建筑工程的专业知识与实践经验。</w:t>
      </w:r>
    </w:p>
    <w:p w14:paraId="297718D5"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项目监理机构实行总监理工程师负责制，其组织形式、人员配备及进退场计划应报建设单位确认。</w:t>
      </w:r>
    </w:p>
    <w:p w14:paraId="59007E44"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项目监理机构人员应熟悉工程设计文件、合同文件，掌握装配式混凝土建筑的关键技术、质量标准及控制重点。</w:t>
      </w:r>
    </w:p>
    <w:p w14:paraId="02F8DD36"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监理单位应建立并实施监理人员培训与继续教育制度，确保监理人员及时更新知识，具备履行装配式混凝土建筑工程监理职责所需的专业能力。</w:t>
      </w:r>
    </w:p>
    <w:p w14:paraId="204B0050" w14:textId="77777777" w:rsidR="00293121" w:rsidRPr="00293121" w:rsidRDefault="00293121" w:rsidP="00293121">
      <w:pPr>
        <w:pStyle w:val="aff3"/>
        <w:spacing w:line="360" w:lineRule="auto"/>
        <w:rPr>
          <w:rFonts w:hAnsi="宋体"/>
          <w:sz w:val="28"/>
          <w:szCs w:val="24"/>
        </w:rPr>
      </w:pPr>
      <w:r w:rsidRPr="00293121">
        <w:rPr>
          <w:rFonts w:hAnsi="宋体" w:hint="eastAsia"/>
          <w:sz w:val="28"/>
          <w:szCs w:val="24"/>
        </w:rPr>
        <w:t>项目监理机构应建立健全与装配式混凝土建筑工程特点相适应的监理工作制度，基本制度应包括但不限于：</w:t>
      </w:r>
    </w:p>
    <w:p w14:paraId="7857D088"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图纸会审与设计交底制度；</w:t>
      </w:r>
    </w:p>
    <w:p w14:paraId="5BE7EF96"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方案审查制度；</w:t>
      </w:r>
    </w:p>
    <w:p w14:paraId="6BDF22D5"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验收制度；</w:t>
      </w:r>
    </w:p>
    <w:p w14:paraId="6A48414F"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会议制度；</w:t>
      </w:r>
    </w:p>
    <w:p w14:paraId="70FE5E52"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巡视制度；</w:t>
      </w:r>
    </w:p>
    <w:p w14:paraId="69755BD5"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旁站制度；</w:t>
      </w:r>
    </w:p>
    <w:p w14:paraId="5650F7E2"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见证取样与平行检验制度；</w:t>
      </w:r>
    </w:p>
    <w:p w14:paraId="7B427C74"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lastRenderedPageBreak/>
        <w:t>工程变更处理制度；</w:t>
      </w:r>
    </w:p>
    <w:p w14:paraId="40AD68CC"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监理报告制度；</w:t>
      </w:r>
    </w:p>
    <w:p w14:paraId="579A4149"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资料管理制度。</w:t>
      </w:r>
    </w:p>
    <w:p w14:paraId="53C76BEE"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项目监理机构应采用巡视、旁站、见证、验收、指令、会议协调等多种方法实施质量控制。对涉及结构安全、重要使用功能的关键工序和关键部位（如预制构件安装连接节点、钢筋套筒灌浆、后浇混凝土等）的施工质量应实施重点控制。</w:t>
      </w:r>
    </w:p>
    <w:p w14:paraId="24845E35" w14:textId="77777777" w:rsidR="00293121" w:rsidRPr="00293121" w:rsidRDefault="00293121" w:rsidP="00293121">
      <w:pPr>
        <w:pStyle w:val="aff3"/>
        <w:spacing w:line="360" w:lineRule="auto"/>
        <w:rPr>
          <w:rFonts w:hAnsi="宋体"/>
          <w:sz w:val="28"/>
          <w:szCs w:val="24"/>
        </w:rPr>
      </w:pPr>
      <w:r w:rsidRPr="00293121">
        <w:rPr>
          <w:rFonts w:hAnsi="宋体" w:hint="eastAsia"/>
          <w:sz w:val="28"/>
          <w:szCs w:val="24"/>
        </w:rPr>
        <w:t>当监理合同约定包含预制构件驻厂监造工作时，监理单位应履行驻厂监造职责，其工作内容与程序应符合国家、行业相关规定及合同约定。</w:t>
      </w:r>
    </w:p>
    <w:p w14:paraId="051EDB71" w14:textId="77777777" w:rsidR="00293121" w:rsidRPr="00293121" w:rsidRDefault="00293121" w:rsidP="00293121">
      <w:pPr>
        <w:pStyle w:val="aff3"/>
        <w:spacing w:line="360" w:lineRule="auto"/>
        <w:rPr>
          <w:rFonts w:hAnsi="宋体" w:hint="eastAsia"/>
          <w:sz w:val="28"/>
          <w:szCs w:val="24"/>
        </w:rPr>
      </w:pPr>
      <w:r w:rsidRPr="00293121">
        <w:rPr>
          <w:rFonts w:hAnsi="宋体" w:hint="eastAsia"/>
          <w:sz w:val="28"/>
          <w:szCs w:val="24"/>
        </w:rPr>
        <w:t>实施监理前，项目监理机构应结合工程具体情况编制具有针对性的监理规划。监理规划应明确装配式混凝土建筑工程监理工作的目标、范围、内容、程序、方法和措施，并涵盖现场施工监理与驻厂监造（如有时）的工作部署。</w:t>
      </w:r>
    </w:p>
    <w:p w14:paraId="0BD53CC5" w14:textId="77777777" w:rsidR="00293121" w:rsidRPr="00293121" w:rsidRDefault="00293121" w:rsidP="00293121">
      <w:pPr>
        <w:pStyle w:val="aff3"/>
        <w:spacing w:line="360" w:lineRule="auto"/>
        <w:rPr>
          <w:rFonts w:hAnsi="宋体"/>
          <w:sz w:val="28"/>
          <w:szCs w:val="24"/>
        </w:rPr>
      </w:pPr>
      <w:r w:rsidRPr="00293121">
        <w:rPr>
          <w:rFonts w:hAnsi="宋体" w:hint="eastAsia"/>
          <w:sz w:val="28"/>
          <w:szCs w:val="24"/>
        </w:rPr>
        <w:t>针对装配式混凝土建筑工程的专业特点和施工难点，项目监理机构应对关键工序、关键部位以及技术复杂、危险性较大的分部分项工程编制监理实施细则，明确具体的质量控制要点、方法、措施及验收要求。</w:t>
      </w:r>
    </w:p>
    <w:p w14:paraId="0E890652"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26" w:name="_Toc220510160"/>
      <w:r w:rsidRPr="00293121">
        <w:rPr>
          <w:rFonts w:ascii="宋体" w:eastAsia="宋体" w:hAnsi="宋体" w:hint="eastAsia"/>
          <w:sz w:val="28"/>
          <w:szCs w:val="24"/>
        </w:rPr>
        <w:t>施工准备监理</w:t>
      </w:r>
      <w:bookmarkEnd w:id="26"/>
    </w:p>
    <w:p w14:paraId="39C42678"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一般要求</w:t>
      </w:r>
    </w:p>
    <w:p w14:paraId="3504A9A7"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项目监理机构应在工程开工前，全面、系统地开展施工准备阶段的各项监理工作，为施工过程的顺利实施和质量受控奠定基础。</w:t>
      </w:r>
    </w:p>
    <w:p w14:paraId="0EED4044"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施工准备阶段监理工作的核心目标是：确认施工条件具备，审查管理体系与方案的有效性，控制人、机、料、法、环等要素符合设计与规范要求，预防质量问题的发生。</w:t>
      </w:r>
    </w:p>
    <w:p w14:paraId="3EC726F4"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监理机构审查</w:t>
      </w:r>
    </w:p>
    <w:p w14:paraId="792E259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lastRenderedPageBreak/>
        <w:t>项目监理机构应根据已批准的监理规划，在施工准备阶段完成监理实施细则的编制与内部交底工作，确保监理人员明确工作目标、控制要点和方法。</w:t>
      </w:r>
    </w:p>
    <w:p w14:paraId="7A6538F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项目监理机构应配置并检查用于现场验收、见证、平行检验的检测设备和工具，确保其种类、精度和检定状态满足工程需要。</w:t>
      </w:r>
    </w:p>
    <w:p w14:paraId="18467827"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项目监理机构应建立与建设单位、施工单位、设计单位（</w:t>
      </w:r>
      <w:proofErr w:type="gramStart"/>
      <w:r w:rsidRPr="00293121">
        <w:rPr>
          <w:rFonts w:hAnsi="宋体" w:hint="eastAsia"/>
          <w:sz w:val="28"/>
          <w:szCs w:val="24"/>
        </w:rPr>
        <w:t>含深化</w:t>
      </w:r>
      <w:proofErr w:type="gramEnd"/>
      <w:r w:rsidRPr="00293121">
        <w:rPr>
          <w:rFonts w:hAnsi="宋体" w:hint="eastAsia"/>
          <w:sz w:val="28"/>
          <w:szCs w:val="24"/>
        </w:rPr>
        <w:t>设计）、预制构件生产单位等各参建方的有效沟通协调机制。</w:t>
      </w:r>
    </w:p>
    <w:p w14:paraId="627C3AB8"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资格审查</w:t>
      </w:r>
    </w:p>
    <w:p w14:paraId="52E59AC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项目监理机构应审查施工单位现场项目管理机构的质量管理体系、技术管理体系和质量保证体系，核查其组织机构、管理制度、专职管理人员配备及到岗情况。</w:t>
      </w:r>
    </w:p>
    <w:p w14:paraId="4D6FC0C0"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查验施工单位报送的专职管理人员（如项目经理、技术负责人、质量员、安全员等）和特种作业人员（如起重机械司机、司索信号工、建筑电工、焊接与热切割作业人员等）的资格证书，确保人证相符且在有效期内。</w:t>
      </w:r>
    </w:p>
    <w:p w14:paraId="53425446"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审查施工单位针对装配式混凝土建筑特点制定的质量培训计划，并核查其落实情况。关键岗位作业人员（如预制构件安装工、灌浆工、测量放线工等）必须经过专项技能培训和考核，并留存培训与考核记录。监理应对相关记录进行抽查。</w:t>
      </w:r>
    </w:p>
    <w:p w14:paraId="32A7E90F"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文件审查</w:t>
      </w:r>
    </w:p>
    <w:p w14:paraId="6EA49FF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项目监理机构应组织或参加设计交底与图纸会审会议，重点理解装配式建筑设计意图，审查预制构件拆分合理性、连接节点构造、预留预埋准确性、施工可行性等内容，并形成会议纪要。</w:t>
      </w:r>
    </w:p>
    <w:p w14:paraId="3C98C2EF" w14:textId="77777777" w:rsidR="00293121" w:rsidRPr="00293121" w:rsidRDefault="00293121" w:rsidP="00293121">
      <w:pPr>
        <w:pStyle w:val="aff4"/>
        <w:spacing w:line="360" w:lineRule="auto"/>
        <w:rPr>
          <w:rFonts w:hAnsi="宋体"/>
          <w:sz w:val="28"/>
          <w:szCs w:val="24"/>
        </w:rPr>
      </w:pPr>
      <w:r w:rsidRPr="00293121">
        <w:rPr>
          <w:rFonts w:hAnsi="宋体" w:hint="eastAsia"/>
          <w:sz w:val="28"/>
          <w:szCs w:val="24"/>
        </w:rPr>
        <w:t>项目监理机构应对深化设计文件进行审查。审查重点应包括：</w:t>
      </w:r>
    </w:p>
    <w:p w14:paraId="4B7B1155"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lastRenderedPageBreak/>
        <w:t>预制构件加工详图与结构设计图的符合性；</w:t>
      </w:r>
    </w:p>
    <w:p w14:paraId="4B54C0CC"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构件尺寸、配筋、预埋件、吊点、支撑点、灌浆套筒/浆锚孔位等信息的完整性与准确性；</w:t>
      </w:r>
    </w:p>
    <w:p w14:paraId="0D75209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各专业管线、洞口在预制构件上的综合布置是否冲突。</w:t>
      </w:r>
    </w:p>
    <w:p w14:paraId="616EEE9B"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项目监理机构应审查施工单位报送的施工组织设计，其中必须包含装配式混凝土结构工程的专项施工内容，其针对性、可行性应符合工程实际。</w:t>
      </w:r>
    </w:p>
    <w:p w14:paraId="77C4964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项目监理机构应对下列危险性较大、技术复杂的专项施工方案进行重点审查，并签署审查意见：</w:t>
      </w:r>
    </w:p>
    <w:p w14:paraId="4BC65086"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预制构件安装专项施工方案；</w:t>
      </w:r>
    </w:p>
    <w:p w14:paraId="120C150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钢筋套筒灌浆连接/浆锚搭接灌浆专项施工方案；</w:t>
      </w:r>
    </w:p>
    <w:p w14:paraId="748E5F3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大型起重</w:t>
      </w:r>
      <w:proofErr w:type="gramStart"/>
      <w:r w:rsidRPr="00293121">
        <w:rPr>
          <w:rFonts w:hAnsi="宋体" w:hint="eastAsia"/>
          <w:sz w:val="28"/>
          <w:szCs w:val="24"/>
        </w:rPr>
        <w:t>机械安拆与</w:t>
      </w:r>
      <w:proofErr w:type="gramEnd"/>
      <w:r w:rsidRPr="00293121">
        <w:rPr>
          <w:rFonts w:hAnsi="宋体" w:hint="eastAsia"/>
          <w:sz w:val="28"/>
          <w:szCs w:val="24"/>
        </w:rPr>
        <w:t>使用专项方案；</w:t>
      </w:r>
    </w:p>
    <w:p w14:paraId="14E6AB8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高处作业、临边洞口防护专项方案；</w:t>
      </w:r>
    </w:p>
    <w:p w14:paraId="704E191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其他必要的专项方案（如外墙防水、冬季施工等）。</w:t>
      </w:r>
    </w:p>
    <w:p w14:paraId="7F25DED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专项施工方案的审查要点应包括：编制依据的时效性与适用性；工程概况与特点描述的准确性；施工计划与工艺流程的合理性；质量安全保证措施的针对性；计算书与验算依据的可靠性；应急预案的有效性。对于涉及重大工艺（如低温灌浆、集中灌浆等）的专项方案，应核查其是否按规定进行了专家论证。</w:t>
      </w:r>
    </w:p>
    <w:p w14:paraId="6AE313F4"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预制构件质控</w:t>
      </w:r>
    </w:p>
    <w:p w14:paraId="248171DA"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当监理合同包含驻厂监造条款或建设单位有明确要求时，项目监理机构应按约定对预制构件生产过程中的原材料、模具、钢筋加工、混凝土浇筑、养护、预埋件安装、脱模等关键工序进行监督、检查和验收，并形成监造记录。</w:t>
      </w:r>
    </w:p>
    <w:p w14:paraId="14F9759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lastRenderedPageBreak/>
        <w:t>预制构件出厂前，项目监理机构（或驻厂监理人员）应核查其质量证明文件，并参与或监督出厂验收，对构件外观质量、尺寸偏差进行抽查，合格后方可签署放行文件。</w:t>
      </w:r>
    </w:p>
    <w:p w14:paraId="411FE616"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对于进场时按规定可不做结构性能检验的预制构件，若未实施驻厂监督，项目监理机构应监督施工单位在构件进场时，按批次对构件主要受力钢筋数量、规格、间距、保护层厚度及混凝土强度等进行实体检验，并审查检验报告。</w:t>
      </w:r>
    </w:p>
    <w:p w14:paraId="7FCAAC7C"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进场核查</w:t>
      </w:r>
    </w:p>
    <w:p w14:paraId="1D4810BA"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项目监理机构应组织对进场的预制构件进行联合验收，核查内容包括：</w:t>
      </w:r>
    </w:p>
    <w:p w14:paraId="70B676D3"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构件出厂质量证明文件、结构性能检验报告（如需要）、配套材料合格证等；</w:t>
      </w:r>
    </w:p>
    <w:p w14:paraId="22F972E4"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构件标识是否清晰、完整，包括构件编号、生产日期、合格状态、吊装方向等；</w:t>
      </w:r>
    </w:p>
    <w:p w14:paraId="56B96094"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构件外观质量、尺寸偏差，以及预留钢筋、套筒、预埋件等的位置、规格、数量。</w:t>
      </w:r>
    </w:p>
    <w:p w14:paraId="20BB001C"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项目监理机构应对进场的灌浆料、坐浆料、封浆料等专用材料进行验收，核查其产品合格证、出厂检验报告和型式检验报告。灌浆料应与套筒进行匹配性检验，其性能应符合设计及JGJ 355等标准要求。</w:t>
      </w:r>
    </w:p>
    <w:p w14:paraId="40FFECB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项目监理机构应检查施工现场的准备工作：</w:t>
      </w:r>
    </w:p>
    <w:p w14:paraId="352816D2"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构件堆场与运输通道：</w:t>
      </w:r>
    </w:p>
    <w:p w14:paraId="5E004BEE"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检查场地是否平整坚实、排水良好；</w:t>
      </w:r>
    </w:p>
    <w:p w14:paraId="4C6DDAE7"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堆场布局是否合理，是否在吊装设备覆盖范围内；</w:t>
      </w:r>
    </w:p>
    <w:p w14:paraId="2D73A9E9"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存放架是否稳固；</w:t>
      </w:r>
    </w:p>
    <w:p w14:paraId="494A08E4" w14:textId="77777777" w:rsidR="00293121" w:rsidRPr="00293121" w:rsidRDefault="00293121" w:rsidP="00293121">
      <w:pPr>
        <w:pStyle w:val="2"/>
        <w:tabs>
          <w:tab w:val="clear" w:pos="360"/>
        </w:tabs>
        <w:spacing w:line="360" w:lineRule="auto"/>
        <w:ind w:left="851"/>
        <w:rPr>
          <w:rFonts w:hAnsi="宋体" w:hint="eastAsia"/>
          <w:sz w:val="28"/>
          <w:szCs w:val="24"/>
        </w:rPr>
      </w:pPr>
      <w:r w:rsidRPr="00293121">
        <w:rPr>
          <w:rFonts w:hAnsi="宋体" w:hint="eastAsia"/>
          <w:sz w:val="28"/>
          <w:szCs w:val="24"/>
        </w:rPr>
        <w:lastRenderedPageBreak/>
        <w:t>运输道路转弯半径、坡度是否满足大型车辆通行要求。</w:t>
      </w:r>
    </w:p>
    <w:p w14:paraId="3843E3FA"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测量控制网与放线：</w:t>
      </w:r>
    </w:p>
    <w:p w14:paraId="1F8DBCCC"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复核施工单位设置的平面与高程控制网；</w:t>
      </w:r>
    </w:p>
    <w:p w14:paraId="1B90A2D2" w14:textId="77777777" w:rsidR="00293121" w:rsidRPr="00293121" w:rsidRDefault="00293121" w:rsidP="00293121">
      <w:pPr>
        <w:pStyle w:val="2"/>
        <w:tabs>
          <w:tab w:val="clear" w:pos="360"/>
        </w:tabs>
        <w:spacing w:line="360" w:lineRule="auto"/>
        <w:ind w:left="851"/>
        <w:rPr>
          <w:rFonts w:hAnsi="宋体" w:hint="eastAsia"/>
          <w:sz w:val="28"/>
          <w:szCs w:val="24"/>
        </w:rPr>
      </w:pPr>
      <w:r w:rsidRPr="00293121">
        <w:rPr>
          <w:rFonts w:hAnsi="宋体" w:hint="eastAsia"/>
          <w:sz w:val="28"/>
          <w:szCs w:val="24"/>
        </w:rPr>
        <w:t>检查预制构件安装定位基准线与标高控制点的设置是否清晰、准确。</w:t>
      </w:r>
    </w:p>
    <w:p w14:paraId="16C31B6C"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基层与支承结构：核查已施工完成的基础或下层结构的混凝土强度报告、外观质量、尺寸偏差及预留插筋位置，确认其符合安装要求。</w:t>
      </w:r>
    </w:p>
    <w:p w14:paraId="55FFBC80"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施工机具与安全设施：</w:t>
      </w:r>
    </w:p>
    <w:p w14:paraId="4EEF522A"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检查起重机械的备案证明、验收记录及操作人员资格；</w:t>
      </w:r>
    </w:p>
    <w:p w14:paraId="4E300307"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核查吊具、专用吊梁、灌浆机具、斜支撑等机具设备的完好性与安全性；</w:t>
      </w:r>
    </w:p>
    <w:p w14:paraId="22F1015B" w14:textId="77777777" w:rsidR="00293121" w:rsidRPr="00293121" w:rsidRDefault="00293121" w:rsidP="00293121">
      <w:pPr>
        <w:pStyle w:val="2"/>
        <w:tabs>
          <w:tab w:val="clear" w:pos="360"/>
        </w:tabs>
        <w:spacing w:line="360" w:lineRule="auto"/>
        <w:ind w:left="851"/>
        <w:rPr>
          <w:rFonts w:hAnsi="宋体" w:hint="eastAsia"/>
          <w:sz w:val="28"/>
          <w:szCs w:val="24"/>
        </w:rPr>
      </w:pPr>
      <w:r w:rsidRPr="00293121">
        <w:rPr>
          <w:rFonts w:hAnsi="宋体" w:hint="eastAsia"/>
          <w:sz w:val="28"/>
          <w:szCs w:val="24"/>
        </w:rPr>
        <w:t>检查操作架、安全防护网、临边防护等安全设施的搭设情况。</w:t>
      </w:r>
    </w:p>
    <w:p w14:paraId="12CDC36C"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项目监理机构应审查施工单位报送的施工测量方案和检测试验计划，并根据后者编制监理的见证取样和送检计划。</w:t>
      </w:r>
    </w:p>
    <w:p w14:paraId="7ACEC505" w14:textId="77777777" w:rsidR="00293121" w:rsidRPr="00293121" w:rsidRDefault="00293121" w:rsidP="00293121">
      <w:pPr>
        <w:pStyle w:val="a6"/>
        <w:spacing w:beforeLines="0" w:before="0" w:afterLines="0" w:after="0" w:line="360" w:lineRule="auto"/>
        <w:outlineLvl w:val="9"/>
        <w:rPr>
          <w:rFonts w:ascii="宋体" w:eastAsia="宋体" w:hAnsi="宋体"/>
          <w:sz w:val="28"/>
          <w:szCs w:val="24"/>
        </w:rPr>
      </w:pPr>
      <w:r w:rsidRPr="00293121">
        <w:rPr>
          <w:rFonts w:ascii="宋体" w:eastAsia="宋体" w:hAnsi="宋体" w:hint="eastAsia"/>
          <w:sz w:val="28"/>
          <w:szCs w:val="24"/>
        </w:rPr>
        <w:t>工艺试验</w:t>
      </w:r>
    </w:p>
    <w:p w14:paraId="69695942"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钢筋套筒灌浆连接、</w:t>
      </w:r>
      <w:proofErr w:type="gramStart"/>
      <w:r w:rsidRPr="00293121">
        <w:rPr>
          <w:rFonts w:hAnsi="宋体" w:hint="eastAsia"/>
          <w:sz w:val="28"/>
          <w:szCs w:val="24"/>
        </w:rPr>
        <w:t>浆锚搭接连</w:t>
      </w:r>
      <w:proofErr w:type="gramEnd"/>
      <w:r w:rsidRPr="00293121">
        <w:rPr>
          <w:rFonts w:hAnsi="宋体" w:hint="eastAsia"/>
          <w:sz w:val="28"/>
          <w:szCs w:val="24"/>
        </w:rPr>
        <w:t>接等关键工艺在工程应用前，项目监理机构应监督施工单位进行工艺检验，审核其工艺检验方案，并见证取样送检。检验合格后方可进行大面积施工。</w:t>
      </w:r>
    </w:p>
    <w:p w14:paraId="09923057"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督促施工单位在正式安装前，选择有代表性的单元或部位进行预制构件试安装。试安装应涵盖典型构件和关键节点。监理应参与试安装过程，并会同各方根据试安装结果评估和优化施工工艺与方案。</w:t>
      </w:r>
    </w:p>
    <w:p w14:paraId="48553AA5"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施工前确认</w:t>
      </w:r>
    </w:p>
    <w:p w14:paraId="08B798E5"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lastRenderedPageBreak/>
        <w:t>在签发工程开</w:t>
      </w:r>
      <w:proofErr w:type="gramStart"/>
      <w:r w:rsidRPr="00293121">
        <w:rPr>
          <w:rFonts w:hAnsi="宋体" w:hint="eastAsia"/>
          <w:sz w:val="28"/>
          <w:szCs w:val="24"/>
        </w:rPr>
        <w:t>工令</w:t>
      </w:r>
      <w:proofErr w:type="gramEnd"/>
      <w:r w:rsidRPr="00293121">
        <w:rPr>
          <w:rFonts w:hAnsi="宋体" w:hint="eastAsia"/>
          <w:sz w:val="28"/>
          <w:szCs w:val="24"/>
        </w:rPr>
        <w:t>或允许首个预制构件吊装前，总监理工程师应组织专业监理工程师对施工准备情况进行全面复查，形成书面确认记录。</w:t>
      </w:r>
    </w:p>
    <w:p w14:paraId="06715193"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最终确认应至少包括以下内容：</w:t>
      </w:r>
    </w:p>
    <w:p w14:paraId="445339B6"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施工许可证已获政府主管部门批准；</w:t>
      </w:r>
    </w:p>
    <w:p w14:paraId="47D9D5A1"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施工组织设计及各项专项施工方案已审查批准；</w:t>
      </w:r>
    </w:p>
    <w:p w14:paraId="0AE56B84"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施工单位现场质量、安全保证体系已建立，关键岗位人员已到位；</w:t>
      </w:r>
    </w:p>
    <w:p w14:paraId="1E5A5B41"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设计交底与图纸会审已完成；</w:t>
      </w:r>
    </w:p>
    <w:p w14:paraId="0B6B9E3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测量放线控制成果已复核确认；</w:t>
      </w:r>
    </w:p>
    <w:p w14:paraId="3AA1500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进场预制构件、主要材料已验收合格；</w:t>
      </w:r>
    </w:p>
    <w:p w14:paraId="598861F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现场施工机械、安全设施已检查合格；</w:t>
      </w:r>
    </w:p>
    <w:p w14:paraId="6023A58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必要的工艺试验与试安装已完成并总结；</w:t>
      </w:r>
    </w:p>
    <w:p w14:paraId="529354D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各项施工条件（水、电、道路等）已满足要求。</w:t>
      </w:r>
    </w:p>
    <w:p w14:paraId="79297EAF" w14:textId="77777777" w:rsidR="00293121" w:rsidRPr="00293121" w:rsidRDefault="00293121" w:rsidP="00293121">
      <w:pPr>
        <w:pStyle w:val="aff4"/>
        <w:spacing w:line="360" w:lineRule="auto"/>
        <w:rPr>
          <w:rFonts w:hAnsi="宋体"/>
          <w:sz w:val="28"/>
          <w:szCs w:val="24"/>
        </w:rPr>
      </w:pPr>
      <w:r w:rsidRPr="00293121">
        <w:rPr>
          <w:rFonts w:hAnsi="宋体" w:hint="eastAsia"/>
          <w:sz w:val="28"/>
          <w:szCs w:val="24"/>
        </w:rPr>
        <w:t>经确认所有准备工作均已就绪，且符合开工或吊装条件后，项目监理机构方可批准施工单位开始相应部位的装配式施工。</w:t>
      </w:r>
    </w:p>
    <w:p w14:paraId="47EDF895"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27" w:name="_Toc220510161"/>
      <w:r w:rsidRPr="00293121">
        <w:rPr>
          <w:rFonts w:ascii="宋体" w:eastAsia="宋体" w:hAnsi="宋体" w:hint="eastAsia"/>
          <w:sz w:val="28"/>
          <w:szCs w:val="24"/>
        </w:rPr>
        <w:t>施工过程监理</w:t>
      </w:r>
      <w:bookmarkEnd w:id="27"/>
    </w:p>
    <w:p w14:paraId="0F665375"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一般要求</w:t>
      </w:r>
    </w:p>
    <w:p w14:paraId="639C757C"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项目监理机构应对装配式混凝土建筑工程施工全过程实施动态质量控制，通过巡视、旁站、见证、验收等方式，确保各工序施工质量符合设计文件、施工方案及标准规范的要求。</w:t>
      </w:r>
    </w:p>
    <w:p w14:paraId="045408EA"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施工过程质量控制应以预制构件的安装与连接为核心，重点控制影响结构安全、使用功能和耐久性的关键工序与关键部位。</w:t>
      </w:r>
    </w:p>
    <w:p w14:paraId="26E6BDF2"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材料进场验收</w:t>
      </w:r>
    </w:p>
    <w:p w14:paraId="7D11A495"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项目监理机构应组织对进场的工程材料、构配件、部品部件进行验收，核查质量证明文件，并按规范要求进行见证取样送检或平行检验。</w:t>
      </w:r>
    </w:p>
    <w:p w14:paraId="28E3E6C2"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lastRenderedPageBreak/>
        <w:t>对下列关键材料，除核查其产品合格证、出厂检验报告外，尚应核查其型式检验报告，必要时进行抽样复验：</w:t>
      </w:r>
    </w:p>
    <w:p w14:paraId="4A18796B"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灌浆套筒：应核查其产品标识、外观质量，并按批次见证对中连接接头试件的抗拉强度检验。</w:t>
      </w:r>
    </w:p>
    <w:p w14:paraId="27F6C8A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灌浆料、坐浆料、封浆料：应核查产品型号、使用说明，重点核查其抗压强度、竖向膨胀率、流动度、</w:t>
      </w:r>
      <w:proofErr w:type="gramStart"/>
      <w:r w:rsidRPr="00293121">
        <w:rPr>
          <w:rFonts w:hAnsi="宋体" w:hint="eastAsia"/>
          <w:sz w:val="28"/>
          <w:szCs w:val="24"/>
        </w:rPr>
        <w:t>泌水率</w:t>
      </w:r>
      <w:proofErr w:type="gramEnd"/>
      <w:r w:rsidRPr="00293121">
        <w:rPr>
          <w:rFonts w:hAnsi="宋体" w:hint="eastAsia"/>
          <w:sz w:val="28"/>
          <w:szCs w:val="24"/>
        </w:rPr>
        <w:t>等性能指标是否符合设计及JGJ 355等标准要求。低温环境下使用的材料应符合相应低温性能规定。</w:t>
      </w:r>
    </w:p>
    <w:p w14:paraId="417C6CC9"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钢筋：用于套筒灌浆连接的钢筋应符合热轧带肋钢筋标准，其规格应与套筒匹配。</w:t>
      </w:r>
    </w:p>
    <w:p w14:paraId="5D6624B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密封胶、防水材料、保温连接件等：应核查其与基材的相容性报告及耐久性指标。</w:t>
      </w:r>
    </w:p>
    <w:p w14:paraId="329CA966"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预制构件进场时，项目监理机构应组织建设、施工等单位进行联合验收，验收内容包括：</w:t>
      </w:r>
    </w:p>
    <w:p w14:paraId="3F1B8B1E"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核查构件出厂质量证明文件、结构性能检验报告（如需要）。</w:t>
      </w:r>
    </w:p>
    <w:p w14:paraId="1EB4C84E"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检查构件标识是否清晰、完整。</w:t>
      </w:r>
    </w:p>
    <w:p w14:paraId="187519F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检查构件外观质量、尺寸偏差，以及预埋套筒、预留钢筋、预埋件等的位置、规格、数量及状态。重点检查灌浆套筒内是否清洁、灌（出）</w:t>
      </w:r>
      <w:proofErr w:type="gramStart"/>
      <w:r w:rsidRPr="00293121">
        <w:rPr>
          <w:rFonts w:hAnsi="宋体" w:hint="eastAsia"/>
          <w:sz w:val="28"/>
          <w:szCs w:val="24"/>
        </w:rPr>
        <w:t>浆孔及</w:t>
      </w:r>
      <w:proofErr w:type="gramEnd"/>
      <w:r w:rsidRPr="00293121">
        <w:rPr>
          <w:rFonts w:hAnsi="宋体" w:hint="eastAsia"/>
          <w:sz w:val="28"/>
          <w:szCs w:val="24"/>
        </w:rPr>
        <w:t>排气孔是否通畅、外露钢筋长度与位置是否符合要求。</w:t>
      </w:r>
    </w:p>
    <w:p w14:paraId="5F7243C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验收应按批次进行，并形成验收记录。对不符合要求的构件，应签发监理通知单，要求施工单位限期处理。</w:t>
      </w:r>
    </w:p>
    <w:p w14:paraId="3D9F9086"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预制构件安装</w:t>
      </w:r>
    </w:p>
    <w:p w14:paraId="2D782CFD"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项目监理机构应巡视检查吊装前的技术安全交底、吊具安全检查、</w:t>
      </w:r>
      <w:r w:rsidRPr="00293121">
        <w:rPr>
          <w:rFonts w:hAnsi="宋体" w:hint="eastAsia"/>
          <w:sz w:val="28"/>
          <w:szCs w:val="24"/>
        </w:rPr>
        <w:lastRenderedPageBreak/>
        <w:t>构件按编号顺序吊装等情况。吊装过程中，应监督施工单位采取措施控制构件平稳，防止碰撞。</w:t>
      </w:r>
    </w:p>
    <w:p w14:paraId="7662A43F"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构件吊装就位后，应督促施工单位及时进行测量校准（包括位置、标高、垂直度等）。校准合格后，应立即按方案要求设置可调斜撑、临时支架等临时固定措施。监理应检查临时支撑系统的数量、位置、角度及牢固性，确保其具有足够的强度、刚度和稳定性。</w:t>
      </w:r>
    </w:p>
    <w:p w14:paraId="414409E2"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典型构件安装控制要点：</w:t>
      </w:r>
    </w:p>
    <w:p w14:paraId="6A3C0CD3"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竖向构件（墙板、柱）：检查底部调平装置设置、安装顺序（如先角柱后中柱、先外墙后内墙）、垂直度调整及临时支撑设置。外墙板安装时，应注意控制其外轮廓线。</w:t>
      </w:r>
    </w:p>
    <w:p w14:paraId="1CC4DFC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水平构件（叠合梁、叠合板）：检查支撑架体的标高调节</w:t>
      </w:r>
      <w:proofErr w:type="gramStart"/>
      <w:r w:rsidRPr="00293121">
        <w:rPr>
          <w:rFonts w:hAnsi="宋体" w:hint="eastAsia"/>
          <w:sz w:val="28"/>
          <w:szCs w:val="24"/>
        </w:rPr>
        <w:t>与顶撑牢固性</w:t>
      </w:r>
      <w:proofErr w:type="gramEnd"/>
      <w:r w:rsidRPr="00293121">
        <w:rPr>
          <w:rFonts w:hAnsi="宋体" w:hint="eastAsia"/>
          <w:sz w:val="28"/>
          <w:szCs w:val="24"/>
        </w:rPr>
        <w:t>、安装顺序（先主梁后次梁）、支座搁置长度、相邻板面高差及拼缝宽度。临时支撑应在后浇混凝土强度达到设计要求后方可拆除。</w:t>
      </w:r>
    </w:p>
    <w:p w14:paraId="47CAC3EB"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楼梯、阳台板等构件：检查安装定位、标高及临时固定措施。</w:t>
      </w:r>
    </w:p>
    <w:p w14:paraId="48CADF4B"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钢筋连接与节点施工</w:t>
      </w:r>
    </w:p>
    <w:p w14:paraId="29E520AE"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对钢筋套筒灌浆连接、浆锚搭接灌浆等关键工序，项目监理机构必须实施旁站监理。旁站前应核查灌浆操作人员培训记录、材料准备、设备状态及分仓封堵情况。</w:t>
      </w:r>
    </w:p>
    <w:p w14:paraId="5623844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灌浆过程旁站监理应全程监督，重点检查：</w:t>
      </w:r>
    </w:p>
    <w:p w14:paraId="2B96AC8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灌浆料的拌制（水料比、搅拌时间）必须严格按产品说明书进行。</w:t>
      </w:r>
    </w:p>
    <w:p w14:paraId="4E657FD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灌浆施工必须按规范要求的工艺执行，确保从灌浆孔注入，直至所有出浆孔流出饱满浆料后逐一封闭。</w:t>
      </w:r>
    </w:p>
    <w:p w14:paraId="26E77D22"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灌浆作业应连续进行，并按要求制作同条件养护试块。</w:t>
      </w:r>
    </w:p>
    <w:p w14:paraId="19B84324"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lastRenderedPageBreak/>
        <w:t>后浇混凝土施工控制：</w:t>
      </w:r>
    </w:p>
    <w:p w14:paraId="4CF481FC" w14:textId="77777777" w:rsidR="00293121" w:rsidRPr="00293121" w:rsidRDefault="00293121" w:rsidP="00293121">
      <w:pPr>
        <w:pStyle w:val="a2"/>
        <w:spacing w:line="360" w:lineRule="auto"/>
        <w:rPr>
          <w:rFonts w:hAnsi="宋体"/>
          <w:sz w:val="28"/>
          <w:szCs w:val="24"/>
        </w:rPr>
      </w:pPr>
      <w:r w:rsidRPr="00293121">
        <w:rPr>
          <w:rFonts w:hAnsi="宋体" w:hint="eastAsia"/>
          <w:sz w:val="28"/>
          <w:szCs w:val="24"/>
        </w:rPr>
        <w:t>浇筑前，应进行隐蔽工程验收。验收内容包括：</w:t>
      </w:r>
    </w:p>
    <w:p w14:paraId="5B2B8C71"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预制构件结合面（粗糙面、键槽）处理质量后浇区内钢筋的规格、数量、位置、连接质量；</w:t>
      </w:r>
    </w:p>
    <w:p w14:paraId="30B7BA78" w14:textId="77777777" w:rsidR="00293121" w:rsidRPr="00293121" w:rsidRDefault="00293121" w:rsidP="00293121">
      <w:pPr>
        <w:pStyle w:val="2"/>
        <w:tabs>
          <w:tab w:val="clear" w:pos="360"/>
        </w:tabs>
        <w:spacing w:line="360" w:lineRule="auto"/>
        <w:ind w:left="851"/>
        <w:rPr>
          <w:rFonts w:hAnsi="宋体"/>
          <w:sz w:val="28"/>
          <w:szCs w:val="24"/>
        </w:rPr>
      </w:pPr>
      <w:r w:rsidRPr="00293121">
        <w:rPr>
          <w:rFonts w:hAnsi="宋体" w:hint="eastAsia"/>
          <w:sz w:val="28"/>
          <w:szCs w:val="24"/>
        </w:rPr>
        <w:t>模板支护体系；</w:t>
      </w:r>
    </w:p>
    <w:p w14:paraId="13796B42" w14:textId="77777777" w:rsidR="00293121" w:rsidRPr="00293121" w:rsidRDefault="00293121" w:rsidP="00293121">
      <w:pPr>
        <w:pStyle w:val="2"/>
        <w:tabs>
          <w:tab w:val="clear" w:pos="360"/>
        </w:tabs>
        <w:spacing w:line="360" w:lineRule="auto"/>
        <w:ind w:left="851"/>
        <w:rPr>
          <w:rFonts w:hAnsi="宋体" w:hint="eastAsia"/>
          <w:sz w:val="28"/>
          <w:szCs w:val="24"/>
        </w:rPr>
      </w:pPr>
      <w:r w:rsidRPr="00293121">
        <w:rPr>
          <w:rFonts w:hAnsi="宋体" w:hint="eastAsia"/>
          <w:sz w:val="28"/>
          <w:szCs w:val="24"/>
        </w:rPr>
        <w:t>接缝处封堵等。</w:t>
      </w:r>
    </w:p>
    <w:p w14:paraId="3414786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浇筑过程中，应巡视检查混凝土浇筑顺序、分层厚度、振捣密实度，确保新旧混凝土结合良好，并防止对预制构件、预埋件造成位移或损伤。</w:t>
      </w:r>
    </w:p>
    <w:p w14:paraId="105BCE74"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对梁柱节点等不同强度等级混凝土交接处，应检查分隔与浇筑措施是否符合方案要求。</w:t>
      </w:r>
    </w:p>
    <w:p w14:paraId="2D0BF31C"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其他连接方式控制：对螺栓连接、焊接、机械连接等其他连接方式，监理应检查其工艺检验报告、操作人员资格，并对现场施工质量进行抽查。</w:t>
      </w:r>
    </w:p>
    <w:p w14:paraId="3E7A5123"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防水与外围护系统</w:t>
      </w:r>
    </w:p>
    <w:p w14:paraId="75878EFE"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项目监理机构应对外墙板接缝、门窗洞口周边等部位的防水施工进行重点检查。</w:t>
      </w:r>
    </w:p>
    <w:p w14:paraId="6C8599F6"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施工前，检查接缝基层是否清理干净、干燥。</w:t>
      </w:r>
    </w:p>
    <w:p w14:paraId="5C705D9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检查背衬材料填塞、</w:t>
      </w:r>
      <w:proofErr w:type="gramStart"/>
      <w:r w:rsidRPr="00293121">
        <w:rPr>
          <w:rFonts w:hAnsi="宋体" w:hint="eastAsia"/>
          <w:sz w:val="28"/>
          <w:szCs w:val="24"/>
        </w:rPr>
        <w:t>密封胶嵌填</w:t>
      </w:r>
      <w:proofErr w:type="gramEnd"/>
      <w:r w:rsidRPr="00293121">
        <w:rPr>
          <w:rFonts w:hAnsi="宋体" w:hint="eastAsia"/>
          <w:sz w:val="28"/>
          <w:szCs w:val="24"/>
        </w:rPr>
        <w:t>的施工质量，确保连续、饱满、密实、平滑，厚度符合设计要求。</w:t>
      </w:r>
    </w:p>
    <w:p w14:paraId="5DC340F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检查预制夹芯保温外墙板</w:t>
      </w:r>
      <w:proofErr w:type="gramStart"/>
      <w:r w:rsidRPr="00293121">
        <w:rPr>
          <w:rFonts w:hAnsi="宋体" w:hint="eastAsia"/>
          <w:sz w:val="28"/>
          <w:szCs w:val="24"/>
        </w:rPr>
        <w:t>竖</w:t>
      </w:r>
      <w:proofErr w:type="gramEnd"/>
      <w:r w:rsidRPr="00293121">
        <w:rPr>
          <w:rFonts w:hAnsi="宋体" w:hint="eastAsia"/>
          <w:sz w:val="28"/>
          <w:szCs w:val="24"/>
        </w:rPr>
        <w:t>缝在保温材料部位的弹性密封材料封堵情况。</w:t>
      </w:r>
    </w:p>
    <w:p w14:paraId="26A159FE"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对穿墙管道、预埋件、雨篷、阳台等节点，检查其防水构造措施（如止水钢板、密封嵌缝、排水坡度等）是否按设计要求施工到位。</w:t>
      </w:r>
    </w:p>
    <w:p w14:paraId="17063992"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lastRenderedPageBreak/>
        <w:t>巡视、旁站与验收</w:t>
      </w:r>
    </w:p>
    <w:p w14:paraId="64DB56C6"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项目监理机构应定期对施工现场进行巡视，巡视内容应包括：施工人员操作是否规范、施工环境是否符合要求、已施工部位的质量状况、安全措施落实情况等。对发现的问题应及时处理并记录。</w:t>
      </w:r>
    </w:p>
    <w:p w14:paraId="4D9CE7BC"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除灌浆连接工序外，应对下列关键部位和工序视情况实施旁站或重点检查：</w:t>
      </w:r>
    </w:p>
    <w:p w14:paraId="1772F02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首段或复杂部位预制构件安装。</w:t>
      </w:r>
    </w:p>
    <w:p w14:paraId="2F743F12"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转换层预留钢筋定位与安装。</w:t>
      </w:r>
    </w:p>
    <w:p w14:paraId="19A457C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重大设计变更部位的施工。</w:t>
      </w:r>
    </w:p>
    <w:p w14:paraId="50C836A6"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新技术、新工艺的首件实施。</w:t>
      </w:r>
    </w:p>
    <w:p w14:paraId="2BE5517A"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项目监理机构应按规范要求，及时组织或参与检验批、分项工程的验收。验收应基于施工单位自检合格，并核查相应的施工记录和试验报告。对验收合格的予以签认；不合格的，要求整改后重新报验。</w:t>
      </w:r>
    </w:p>
    <w:p w14:paraId="177380A0"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质量问题与事故处理</w:t>
      </w:r>
    </w:p>
    <w:p w14:paraId="451A42A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监理人员在巡视、旁站、验收过程中发现施工质量问题或违规操作时，应立即口头制止或纠正，并及时签发《监理通知单》，要求施工单位限期整改。</w:t>
      </w:r>
    </w:p>
    <w:p w14:paraId="1B7BFA47"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施工单位整改完毕后，应报送《监理通知回复单》。项目监理机构应对整改情况进行复查，并签署复查意见。</w:t>
      </w:r>
    </w:p>
    <w:p w14:paraId="7E3D4810"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对需要返工处理或加固补强的质量缺陷，项目监理机构应要求施工单位报送经设计等相关单位认可的处理方案，并对处理过程进行跟踪检查，对处理结果重新组织验收。</w:t>
      </w:r>
    </w:p>
    <w:p w14:paraId="10027897"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发生工程质量事故时，项目监理机构应要求施工单位立即停工、保护现场，并按程序及时上报。应参与事故调查，审核事故处理方案，</w:t>
      </w:r>
      <w:r w:rsidRPr="00293121">
        <w:rPr>
          <w:rFonts w:hAnsi="宋体" w:hint="eastAsia"/>
          <w:sz w:val="28"/>
          <w:szCs w:val="24"/>
        </w:rPr>
        <w:lastRenderedPageBreak/>
        <w:t>并监督处理过程。事后应提交专题报告。</w:t>
      </w:r>
    </w:p>
    <w:p w14:paraId="49D8E630"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协调与资料管理</w:t>
      </w:r>
    </w:p>
    <w:p w14:paraId="21039528"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项目监理机构应通过监理例会、专题会议等形式，及时协调解决施工过程中出现的图纸疑问、工序交叉、进度配合等问题，应重点关注预制构件供应与现场安装的匹配问题。</w:t>
      </w:r>
    </w:p>
    <w:p w14:paraId="217DF194" w14:textId="77777777" w:rsidR="00293121" w:rsidRPr="00293121" w:rsidRDefault="00293121" w:rsidP="00293121">
      <w:pPr>
        <w:pStyle w:val="aff4"/>
        <w:spacing w:line="360" w:lineRule="auto"/>
        <w:rPr>
          <w:rFonts w:hAnsi="宋体"/>
          <w:sz w:val="28"/>
          <w:szCs w:val="24"/>
        </w:rPr>
      </w:pPr>
      <w:r w:rsidRPr="00293121">
        <w:rPr>
          <w:rFonts w:hAnsi="宋体" w:hint="eastAsia"/>
          <w:sz w:val="28"/>
          <w:szCs w:val="24"/>
        </w:rPr>
        <w:t>监理人员应及时、准确、完整地填写各类监理记录（如旁站记录、巡视记录、验收记录等），收集整理过程影像资料，确保监理文件资料与工程进度同步形成，真实反映施工质量控制情况。</w:t>
      </w:r>
    </w:p>
    <w:p w14:paraId="77A990A1" w14:textId="77777777" w:rsidR="00293121" w:rsidRPr="00293121" w:rsidRDefault="00293121" w:rsidP="00293121">
      <w:pPr>
        <w:pStyle w:val="a5"/>
        <w:spacing w:beforeLines="0" w:before="0" w:afterLines="0" w:after="0" w:line="360" w:lineRule="auto"/>
        <w:outlineLvl w:val="9"/>
        <w:rPr>
          <w:rFonts w:ascii="宋体" w:eastAsia="宋体" w:hAnsi="宋体"/>
          <w:sz w:val="28"/>
          <w:szCs w:val="24"/>
        </w:rPr>
      </w:pPr>
      <w:bookmarkStart w:id="28" w:name="_Toc220510162"/>
      <w:r w:rsidRPr="00293121">
        <w:rPr>
          <w:rFonts w:ascii="宋体" w:eastAsia="宋体" w:hAnsi="宋体" w:hint="eastAsia"/>
          <w:sz w:val="28"/>
          <w:szCs w:val="24"/>
        </w:rPr>
        <w:t>监理记录与报告</w:t>
      </w:r>
      <w:bookmarkEnd w:id="28"/>
    </w:p>
    <w:p w14:paraId="3F1E76D6"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一般要求</w:t>
      </w:r>
    </w:p>
    <w:p w14:paraId="0EC1BD72"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项目监理机构应建立健全与装配式混凝土建筑工程特点相适应的监理记录与报告管理制度，明确记录与报告的编制、收集、整理、归档及移交要求。</w:t>
      </w:r>
    </w:p>
    <w:p w14:paraId="398D7FC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监理记录与报告应全面、真实、准确、及时地反映施工质量控制活动的全过程及工程实体质量状况。记录的形成应与工程进度同步。</w:t>
      </w:r>
    </w:p>
    <w:p w14:paraId="046AD194"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监理记录与报告内容与格式应规范统一，便于检索和查阅，以评估监理工作成效、追溯质量问题、处理合同争议的重要依。</w:t>
      </w:r>
    </w:p>
    <w:p w14:paraId="10F6D2AA" w14:textId="77777777" w:rsidR="00293121" w:rsidRPr="00293121" w:rsidRDefault="00293121" w:rsidP="00293121">
      <w:pPr>
        <w:pStyle w:val="aff4"/>
        <w:spacing w:line="360" w:lineRule="auto"/>
        <w:rPr>
          <w:rFonts w:hAnsi="宋体"/>
          <w:sz w:val="28"/>
          <w:szCs w:val="24"/>
        </w:rPr>
      </w:pPr>
      <w:r w:rsidRPr="00293121">
        <w:rPr>
          <w:rFonts w:hAnsi="宋体" w:hint="eastAsia"/>
          <w:sz w:val="28"/>
          <w:szCs w:val="24"/>
        </w:rPr>
        <w:t>项目监理机构宜采用信息化、数字化技术对监理记录与报告进行管理，提升管理效率和</w:t>
      </w:r>
      <w:proofErr w:type="gramStart"/>
      <w:r w:rsidRPr="00293121">
        <w:rPr>
          <w:rFonts w:hAnsi="宋体" w:hint="eastAsia"/>
          <w:sz w:val="28"/>
          <w:szCs w:val="24"/>
        </w:rPr>
        <w:t>可</w:t>
      </w:r>
      <w:proofErr w:type="gramEnd"/>
      <w:r w:rsidRPr="00293121">
        <w:rPr>
          <w:rFonts w:hAnsi="宋体" w:hint="eastAsia"/>
          <w:sz w:val="28"/>
          <w:szCs w:val="24"/>
        </w:rPr>
        <w:t>追溯性。</w:t>
      </w:r>
    </w:p>
    <w:p w14:paraId="67FC8A90"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内容要求</w:t>
      </w:r>
    </w:p>
    <w:p w14:paraId="5E5CA91A" w14:textId="77777777" w:rsidR="00293121" w:rsidRPr="00293121" w:rsidRDefault="00293121" w:rsidP="00293121">
      <w:pPr>
        <w:pStyle w:val="a7"/>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过程质量控制记录</w:t>
      </w:r>
    </w:p>
    <w:p w14:paraId="23D02EC7"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hint="eastAsia"/>
          <w:sz w:val="28"/>
          <w:szCs w:val="24"/>
        </w:rPr>
        <w:t>项目监理机构在施工过程中形成的质量控制记录应包括但不限于：</w:t>
      </w:r>
    </w:p>
    <w:p w14:paraId="049F441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监理日志：详细记录当日监理工作内容、发现的质量问题及处理情况、材料与构件进场验收、关键工序施工等。</w:t>
      </w:r>
    </w:p>
    <w:p w14:paraId="6D03D7E1"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lastRenderedPageBreak/>
        <w:t>巡视记录：记录对施工现场进行的定期或不定期巡视检查情况，重点关注预制构件吊装、安装、支撑、连接节点施工等。</w:t>
      </w:r>
    </w:p>
    <w:p w14:paraId="477DD56A"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旁站记录：对钢筋套筒灌浆连接、浆锚搭接灌浆、关键部位后浇混凝土浇筑等规定旁站的工序，进行全过程监督并形成的记录。记录应包含施工起止时间、部位、施工情况、监理情况、发现的问题及处理结果。宜辅以影像资料。</w:t>
      </w:r>
    </w:p>
    <w:p w14:paraId="417114F5"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见证取样/送检记录：记录对灌浆料、连接接头试件、混凝土试块等材料的取样、封样、</w:t>
      </w:r>
      <w:proofErr w:type="gramStart"/>
      <w:r w:rsidRPr="00293121">
        <w:rPr>
          <w:rFonts w:hAnsi="宋体" w:hint="eastAsia"/>
          <w:sz w:val="28"/>
          <w:szCs w:val="24"/>
        </w:rPr>
        <w:t>送检全</w:t>
      </w:r>
      <w:proofErr w:type="gramEnd"/>
      <w:r w:rsidRPr="00293121">
        <w:rPr>
          <w:rFonts w:hAnsi="宋体" w:hint="eastAsia"/>
          <w:sz w:val="28"/>
          <w:szCs w:val="24"/>
        </w:rPr>
        <w:t>过程。</w:t>
      </w:r>
    </w:p>
    <w:p w14:paraId="2A3DBF7D"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平行检验记录：记录监理人员利用自有设备对工程实体、材料等进行的独立检测数据。</w:t>
      </w:r>
    </w:p>
    <w:p w14:paraId="1DE7F900" w14:textId="77777777" w:rsidR="00293121" w:rsidRPr="00293121" w:rsidRDefault="00293121" w:rsidP="00293121">
      <w:pPr>
        <w:pStyle w:val="a7"/>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验收记录</w:t>
      </w:r>
    </w:p>
    <w:p w14:paraId="67483FA0"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hint="eastAsia"/>
          <w:sz w:val="28"/>
          <w:szCs w:val="24"/>
        </w:rPr>
        <w:t>项目监理机构参与或组织各类验收活动形成的记录应包括：</w:t>
      </w:r>
    </w:p>
    <w:p w14:paraId="59BDDA0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材料/构配件/预制构件进场验收记录：记录联合验收结论、发现的不合格品处理情况。</w:t>
      </w:r>
    </w:p>
    <w:p w14:paraId="636236E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检验批、分项工程验收记录：根据施工单位报验，核查后签署的验收意见。</w:t>
      </w:r>
    </w:p>
    <w:p w14:paraId="49E024A3"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隐蔽工程验收记录：对灌浆前套筒及钢筋状态、后浇混凝土区域钢筋与模板、外墙防水基层等隐蔽前的检查验收记录。</w:t>
      </w:r>
    </w:p>
    <w:p w14:paraId="36EA6552"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首段（件）安装验收记录：记录首个代表性单元或构件试安装的联合验收情况及结论。</w:t>
      </w:r>
    </w:p>
    <w:p w14:paraId="593DC80A" w14:textId="77777777" w:rsidR="00293121" w:rsidRPr="00293121" w:rsidRDefault="00293121" w:rsidP="00293121">
      <w:pPr>
        <w:pStyle w:val="a7"/>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问题处理记录</w:t>
      </w:r>
    </w:p>
    <w:p w14:paraId="32300BE3"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hint="eastAsia"/>
          <w:sz w:val="28"/>
          <w:szCs w:val="24"/>
        </w:rPr>
        <w:t>针对施工过程中发现的质量问题或事故形成的记录应包括：</w:t>
      </w:r>
    </w:p>
    <w:p w14:paraId="7844DEA6"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监理通知单及回复单：记录发出的质量问题指令及施工单位整改回复与复查情况。</w:t>
      </w:r>
    </w:p>
    <w:p w14:paraId="051E88AF"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lastRenderedPageBreak/>
        <w:t>工程</w:t>
      </w:r>
      <w:proofErr w:type="gramStart"/>
      <w:r w:rsidRPr="00293121">
        <w:rPr>
          <w:rFonts w:hAnsi="宋体" w:hint="eastAsia"/>
          <w:sz w:val="28"/>
          <w:szCs w:val="24"/>
        </w:rPr>
        <w:t>暂停令及复工</w:t>
      </w:r>
      <w:proofErr w:type="gramEnd"/>
      <w:r w:rsidRPr="00293121">
        <w:rPr>
          <w:rFonts w:hAnsi="宋体" w:hint="eastAsia"/>
          <w:sz w:val="28"/>
          <w:szCs w:val="24"/>
        </w:rPr>
        <w:t>报审表：</w:t>
      </w:r>
      <w:proofErr w:type="gramStart"/>
      <w:r w:rsidRPr="00293121">
        <w:rPr>
          <w:rFonts w:hAnsi="宋体" w:hint="eastAsia"/>
          <w:sz w:val="28"/>
          <w:szCs w:val="24"/>
        </w:rPr>
        <w:t>记录因</w:t>
      </w:r>
      <w:proofErr w:type="gramEnd"/>
      <w:r w:rsidRPr="00293121">
        <w:rPr>
          <w:rFonts w:hAnsi="宋体" w:hint="eastAsia"/>
          <w:sz w:val="28"/>
          <w:szCs w:val="24"/>
        </w:rPr>
        <w:t>重大质量问题下达的停工指令及复工审批过程。</w:t>
      </w:r>
    </w:p>
    <w:p w14:paraId="7F6E5725"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质量事故处理资料：包括事故报告、处理方案审查记录、过程跟踪检查记录及处理验收记录。</w:t>
      </w:r>
    </w:p>
    <w:p w14:paraId="471221C6" w14:textId="77777777" w:rsidR="00293121" w:rsidRPr="00293121" w:rsidRDefault="00293121" w:rsidP="00293121">
      <w:pPr>
        <w:pStyle w:val="a7"/>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会议纪要与工作报告</w:t>
      </w:r>
    </w:p>
    <w:p w14:paraId="1DA6822C"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hint="eastAsia"/>
          <w:sz w:val="28"/>
          <w:szCs w:val="24"/>
        </w:rPr>
        <w:t>项目监理过程中的会议记录应包括。</w:t>
      </w:r>
    </w:p>
    <w:p w14:paraId="17DC9247"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监理例会纪要、专题会议纪要：记录会议决议事项，特别是有关质量问题的协调与决定。</w:t>
      </w:r>
    </w:p>
    <w:p w14:paraId="03E45B6E"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监理月报：定期向建设单位报告工程质量、进度、安全等综合状况，重点分析装配式施工质量趋势及存在的问题。</w:t>
      </w:r>
    </w:p>
    <w:p w14:paraId="6A942FD3"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专题报告：针对重大质量风险、质量事故、重要工艺试验等提交的专项分析报告。</w:t>
      </w:r>
    </w:p>
    <w:p w14:paraId="51FB9994"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监理工作总结：工程竣工后提交的全面总结报告。</w:t>
      </w:r>
    </w:p>
    <w:p w14:paraId="3C3F9A22" w14:textId="77777777" w:rsidR="00293121" w:rsidRPr="00293121" w:rsidRDefault="00293121" w:rsidP="00293121">
      <w:pPr>
        <w:pStyle w:val="a7"/>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驻厂监造记录与报告</w:t>
      </w:r>
    </w:p>
    <w:p w14:paraId="6F08DC3F"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hint="eastAsia"/>
          <w:sz w:val="28"/>
          <w:szCs w:val="24"/>
        </w:rPr>
        <w:t>若实施驻厂监造，应单独建立并保存监造记录，包括。</w:t>
      </w:r>
    </w:p>
    <w:p w14:paraId="41F64B2E"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监造规划与实施细则。</w:t>
      </w:r>
    </w:p>
    <w:p w14:paraId="20AF0BF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原材料验收、生产过程巡检、隐蔽工程验收、出厂检验等记录。</w:t>
      </w:r>
    </w:p>
    <w:p w14:paraId="7669C310"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生产质量问题通知单及处理记录。</w:t>
      </w:r>
    </w:p>
    <w:p w14:paraId="526D2496"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驻厂监造日志、月报及总结报告。</w:t>
      </w:r>
    </w:p>
    <w:p w14:paraId="40217E5C" w14:textId="77777777" w:rsidR="00293121" w:rsidRPr="00293121" w:rsidRDefault="00293121" w:rsidP="00293121">
      <w:pPr>
        <w:pStyle w:val="a2"/>
        <w:spacing w:line="360" w:lineRule="auto"/>
        <w:rPr>
          <w:rFonts w:hAnsi="宋体" w:hint="eastAsia"/>
          <w:sz w:val="28"/>
          <w:szCs w:val="24"/>
        </w:rPr>
      </w:pPr>
      <w:r w:rsidRPr="00293121">
        <w:rPr>
          <w:rFonts w:hAnsi="宋体" w:hint="eastAsia"/>
          <w:sz w:val="28"/>
          <w:szCs w:val="24"/>
        </w:rPr>
        <w:t>构件出厂合格证明文件及配套资料核查记录。</w:t>
      </w:r>
    </w:p>
    <w:p w14:paraId="5FF97087" w14:textId="77777777" w:rsidR="00293121" w:rsidRPr="00293121" w:rsidRDefault="00293121" w:rsidP="00293121">
      <w:pPr>
        <w:pStyle w:val="a7"/>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t>安全生产管理监督记录</w:t>
      </w:r>
    </w:p>
    <w:p w14:paraId="7F5ED477" w14:textId="77777777" w:rsidR="00293121" w:rsidRPr="00293121" w:rsidRDefault="00293121" w:rsidP="00293121">
      <w:pPr>
        <w:pStyle w:val="aff2"/>
        <w:spacing w:line="360" w:lineRule="auto"/>
        <w:ind w:firstLine="560"/>
        <w:rPr>
          <w:rFonts w:hAnsi="宋体" w:hint="eastAsia"/>
          <w:sz w:val="28"/>
          <w:szCs w:val="24"/>
        </w:rPr>
      </w:pPr>
      <w:r w:rsidRPr="00293121">
        <w:rPr>
          <w:rFonts w:hAnsi="宋体" w:hint="eastAsia"/>
          <w:sz w:val="28"/>
          <w:szCs w:val="24"/>
        </w:rPr>
        <w:t>针对装配式施工特点（如大型构件吊装、高处作业等）形成的安全监督记录，应包括危险性较大工程方案审查、安全巡视检查、安全验收等专项记录。</w:t>
      </w:r>
    </w:p>
    <w:p w14:paraId="7409C8DF" w14:textId="77777777" w:rsidR="00293121" w:rsidRPr="00293121" w:rsidRDefault="00293121" w:rsidP="00293121">
      <w:pPr>
        <w:pStyle w:val="a6"/>
        <w:spacing w:beforeLines="0" w:before="0" w:afterLines="0" w:after="0" w:line="360" w:lineRule="auto"/>
        <w:outlineLvl w:val="9"/>
        <w:rPr>
          <w:rFonts w:ascii="宋体" w:eastAsia="宋体" w:hAnsi="宋体" w:hint="eastAsia"/>
          <w:sz w:val="28"/>
          <w:szCs w:val="24"/>
        </w:rPr>
      </w:pPr>
      <w:r w:rsidRPr="00293121">
        <w:rPr>
          <w:rFonts w:ascii="宋体" w:eastAsia="宋体" w:hAnsi="宋体" w:hint="eastAsia"/>
          <w:sz w:val="28"/>
          <w:szCs w:val="24"/>
        </w:rPr>
        <w:lastRenderedPageBreak/>
        <w:t>编制与管理</w:t>
      </w:r>
    </w:p>
    <w:p w14:paraId="366C05BA"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项目监理机构应指定专人负责监理记录与报告的收集、整理与管理工作。总监理工程师应定期进行检查。</w:t>
      </w:r>
    </w:p>
    <w:p w14:paraId="69248E0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监理记录应由实施该项监理活动的监理人员当日及时填写，签署齐全，不得补记、涂改。电子记录应采取可靠的防篡改措施。</w:t>
      </w:r>
    </w:p>
    <w:p w14:paraId="3A68A99C"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监理报告（如月报、总结等）应由总监理工程师组织编制并审核签发，内容应客观、数据应准确、分析应透彻。</w:t>
      </w:r>
    </w:p>
    <w:p w14:paraId="5C3F9911"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监理记录与报告应按单位工程、分部工程及形成时间进行分类、编目和组卷。现场监理文件资料应与驻厂监造资料（如有时）分类清晰，便于独立查阅。</w:t>
      </w:r>
    </w:p>
    <w:p w14:paraId="0EE00163"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项目监理机构应根据工程竣工档案要求和监理合同约定，在监理工作结束后，及时对监理资料进行整理、立卷和归档。归档文件</w:t>
      </w:r>
      <w:proofErr w:type="gramStart"/>
      <w:r w:rsidRPr="00293121">
        <w:rPr>
          <w:rFonts w:hAnsi="宋体" w:hint="eastAsia"/>
          <w:sz w:val="28"/>
          <w:szCs w:val="24"/>
        </w:rPr>
        <w:t>应内容</w:t>
      </w:r>
      <w:proofErr w:type="gramEnd"/>
      <w:r w:rsidRPr="00293121">
        <w:rPr>
          <w:rFonts w:hAnsi="宋体" w:hint="eastAsia"/>
          <w:sz w:val="28"/>
          <w:szCs w:val="24"/>
        </w:rPr>
        <w:t>完整、手续完备、装订整齐。</w:t>
      </w:r>
    </w:p>
    <w:p w14:paraId="42A1EF22" w14:textId="77777777" w:rsidR="00293121" w:rsidRPr="00293121" w:rsidRDefault="00293121" w:rsidP="00293121">
      <w:pPr>
        <w:pStyle w:val="aff4"/>
        <w:spacing w:line="360" w:lineRule="auto"/>
        <w:rPr>
          <w:rFonts w:hAnsi="宋体" w:hint="eastAsia"/>
          <w:sz w:val="28"/>
          <w:szCs w:val="24"/>
        </w:rPr>
      </w:pPr>
      <w:r w:rsidRPr="00293121">
        <w:rPr>
          <w:rFonts w:hAnsi="宋体" w:hint="eastAsia"/>
          <w:sz w:val="28"/>
          <w:szCs w:val="24"/>
        </w:rPr>
        <w:t>归档的监理文件资料其载体形式和保存期限应符合GB/T 50328及地方档案管理的有关规定。涉及电子档案的，应符合相关技术标准。</w:t>
      </w:r>
    </w:p>
    <w:p w14:paraId="32970147" w14:textId="3C27B0C6" w:rsidR="00505FBC" w:rsidRPr="00293121" w:rsidRDefault="00293121" w:rsidP="00293121">
      <w:pPr>
        <w:pStyle w:val="aff4"/>
        <w:spacing w:line="360" w:lineRule="auto"/>
        <w:rPr>
          <w:rFonts w:hAnsi="宋体"/>
          <w:sz w:val="28"/>
          <w:szCs w:val="24"/>
        </w:rPr>
      </w:pPr>
      <w:r w:rsidRPr="00293121">
        <w:rPr>
          <w:rFonts w:hAnsi="宋体" w:hint="eastAsia"/>
          <w:sz w:val="28"/>
          <w:szCs w:val="24"/>
        </w:rPr>
        <w:t>向建设单位、档案管理部门等移交监理档案时，应办理正式移交手续，明确移交内容、套数和时间。</w:t>
      </w:r>
    </w:p>
    <w:p w14:paraId="6618CED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29" w:name="_Toc12675"/>
      <w:r>
        <w:rPr>
          <w:rFonts w:ascii="Times New Roman" w:eastAsia="黑体" w:hAnsi="Times New Roman" w:cs="Times New Roman"/>
          <w:b/>
          <w:kern w:val="0"/>
          <w:sz w:val="30"/>
          <w:szCs w:val="30"/>
        </w:rPr>
        <w:t>三、主要试验和情况分析</w:t>
      </w:r>
      <w:bookmarkEnd w:id="29"/>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0" w:name="_Toc20840"/>
      <w:r>
        <w:rPr>
          <w:rFonts w:ascii="Times New Roman" w:eastAsia="黑体" w:hAnsi="Times New Roman" w:cs="Times New Roman"/>
          <w:b/>
          <w:kern w:val="0"/>
          <w:sz w:val="30"/>
          <w:szCs w:val="30"/>
        </w:rPr>
        <w:t>四、标准中涉及专利的情况</w:t>
      </w:r>
      <w:bookmarkEnd w:id="30"/>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1" w:name="_Toc29243"/>
      <w:r>
        <w:rPr>
          <w:rFonts w:ascii="Times New Roman" w:eastAsia="黑体" w:hAnsi="Times New Roman" w:cs="Times New Roman"/>
          <w:b/>
          <w:kern w:val="0"/>
          <w:sz w:val="30"/>
          <w:szCs w:val="30"/>
        </w:rPr>
        <w:t>五、预期达到的效益（经济、效益、生态等），对产业发展的作用的情况</w:t>
      </w:r>
      <w:bookmarkEnd w:id="31"/>
    </w:p>
    <w:p w14:paraId="7852582A" w14:textId="6AB5E60A" w:rsidR="00505FBC" w:rsidRDefault="00622C35">
      <w:pPr>
        <w:widowControl/>
        <w:spacing w:line="360" w:lineRule="auto"/>
        <w:ind w:firstLineChars="200" w:firstLine="560"/>
        <w:rPr>
          <w:rFonts w:ascii="Times New Roman" w:hAnsi="Times New Roman" w:cs="Times New Roman"/>
          <w:kern w:val="0"/>
          <w:sz w:val="28"/>
          <w:szCs w:val="28"/>
        </w:rPr>
      </w:pPr>
      <w:r w:rsidRPr="00DE3052">
        <w:rPr>
          <w:rFonts w:ascii="Times New Roman" w:hAnsi="Times New Roman" w:cs="Times New Roman"/>
          <w:kern w:val="0"/>
          <w:sz w:val="28"/>
          <w:szCs w:val="28"/>
        </w:rPr>
        <w:lastRenderedPageBreak/>
        <w:t>装配式混凝土建筑施工质量控制监理企业规范运营，在国际市场上</w:t>
      </w:r>
      <w:r>
        <w:rPr>
          <w:rFonts w:ascii="Times New Roman" w:hAnsi="Times New Roman" w:cs="Times New Roman"/>
          <w:kern w:val="0"/>
          <w:sz w:val="28"/>
          <w:szCs w:val="28"/>
        </w:rPr>
        <w:t>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32" w:name="_Toc4979"/>
      <w:r>
        <w:rPr>
          <w:rFonts w:ascii="Times New Roman" w:eastAsia="黑体" w:hAnsi="Times New Roman" w:cs="Times New Roman"/>
          <w:b/>
          <w:kern w:val="0"/>
          <w:sz w:val="30"/>
          <w:szCs w:val="30"/>
        </w:rPr>
        <w:t>六、与有关的现行法律、法规和强制性国家标准的关系</w:t>
      </w:r>
      <w:bookmarkEnd w:id="32"/>
    </w:p>
    <w:p w14:paraId="382A0B7A"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3" w:name="_Toc21799"/>
      <w:r>
        <w:rPr>
          <w:rFonts w:ascii="Times New Roman" w:eastAsia="黑体" w:hAnsi="Times New Roman" w:cs="Times New Roman"/>
          <w:b/>
          <w:kern w:val="0"/>
          <w:sz w:val="30"/>
          <w:szCs w:val="30"/>
        </w:rPr>
        <w:t>七、重大意见分歧的处理依据和结果</w:t>
      </w:r>
      <w:bookmarkEnd w:id="33"/>
    </w:p>
    <w:p w14:paraId="6B56A1A9"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4" w:name="_Toc20135"/>
      <w:r>
        <w:rPr>
          <w:rFonts w:ascii="Times New Roman" w:eastAsia="黑体" w:hAnsi="Times New Roman" w:cs="Times New Roman"/>
          <w:b/>
          <w:kern w:val="0"/>
          <w:sz w:val="30"/>
          <w:szCs w:val="30"/>
        </w:rPr>
        <w:t>八、标准性质的建议说明</w:t>
      </w:r>
      <w:bookmarkEnd w:id="34"/>
    </w:p>
    <w:p w14:paraId="0185C34E" w14:textId="77777777" w:rsidR="00505FBC" w:rsidRDefault="00000000">
      <w:pPr>
        <w:pStyle w:val="aff"/>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5" w:name="_Toc23106"/>
      <w:r>
        <w:rPr>
          <w:rFonts w:ascii="Times New Roman" w:eastAsia="黑体" w:hAnsi="Times New Roman" w:cs="Times New Roman"/>
          <w:b/>
          <w:kern w:val="0"/>
          <w:sz w:val="30"/>
          <w:szCs w:val="30"/>
        </w:rPr>
        <w:t>九、贯彻标准的要求和措施建议</w:t>
      </w:r>
      <w:bookmarkEnd w:id="35"/>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6" w:name="_Toc29517"/>
      <w:r>
        <w:rPr>
          <w:rFonts w:ascii="Times New Roman" w:eastAsia="黑体" w:hAnsi="Times New Roman" w:cs="Times New Roman"/>
          <w:b/>
          <w:kern w:val="0"/>
          <w:sz w:val="30"/>
          <w:szCs w:val="30"/>
        </w:rPr>
        <w:t>十、废止现行相关标准的建议</w:t>
      </w:r>
      <w:bookmarkEnd w:id="36"/>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
        <w:spacing w:line="360" w:lineRule="auto"/>
        <w:ind w:firstLineChars="0" w:firstLine="0"/>
        <w:outlineLvl w:val="0"/>
        <w:rPr>
          <w:rFonts w:ascii="Times New Roman" w:eastAsia="黑体" w:hAnsi="Times New Roman" w:cs="Times New Roman"/>
          <w:b/>
          <w:kern w:val="0"/>
          <w:sz w:val="30"/>
          <w:szCs w:val="30"/>
        </w:rPr>
      </w:pPr>
      <w:bookmarkStart w:id="37" w:name="_Toc18435"/>
      <w:r>
        <w:rPr>
          <w:rFonts w:ascii="Times New Roman" w:eastAsia="黑体" w:hAnsi="Times New Roman" w:cs="Times New Roman"/>
          <w:b/>
          <w:kern w:val="0"/>
          <w:sz w:val="30"/>
          <w:szCs w:val="30"/>
        </w:rPr>
        <w:t>十一、其他应予说明的事项</w:t>
      </w:r>
      <w:bookmarkEnd w:id="37"/>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DE27" w14:textId="77777777" w:rsidR="00276DB1" w:rsidRDefault="00276DB1">
      <w:r>
        <w:separator/>
      </w:r>
    </w:p>
  </w:endnote>
  <w:endnote w:type="continuationSeparator" w:id="0">
    <w:p w14:paraId="4F955064" w14:textId="77777777" w:rsidR="00276DB1" w:rsidRDefault="0027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8"/>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6F62" w14:textId="77777777" w:rsidR="00276DB1" w:rsidRDefault="00276DB1">
      <w:r>
        <w:separator/>
      </w:r>
    </w:p>
  </w:footnote>
  <w:footnote w:type="continuationSeparator" w:id="0">
    <w:p w14:paraId="79D78260" w14:textId="77777777" w:rsidR="00276DB1" w:rsidRDefault="0027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CEA2025"/>
    <w:multiLevelType w:val="multilevel"/>
    <w:tmpl w:val="C7628974"/>
    <w:lvl w:ilvl="0">
      <w:start w:val="1"/>
      <w:numFmt w:val="none"/>
      <w:pStyle w:val="a4"/>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7"/>
      <w:suff w:val="nothing"/>
      <w:lvlText w:val="%1%2.%3.%4　"/>
      <w:lvlJc w:val="left"/>
      <w:pPr>
        <w:ind w:left="0" w:firstLine="0"/>
      </w:pPr>
      <w:rPr>
        <w:rFonts w:ascii="黑体" w:eastAsia="黑体" w:hint="eastAsia"/>
        <w:b w:val="0"/>
        <w:i w:val="0"/>
        <w:sz w:val="21"/>
      </w:rPr>
    </w:lvl>
    <w:lvl w:ilvl="4">
      <w:start w:val="1"/>
      <w:numFmt w:val="decimal"/>
      <w:pStyle w:val="a8"/>
      <w:suff w:val="nothing"/>
      <w:lvlText w:val="%1%2.%3.%4.%5　"/>
      <w:lvlJc w:val="left"/>
      <w:pPr>
        <w:ind w:left="0" w:firstLine="0"/>
      </w:pPr>
      <w:rPr>
        <w:rFonts w:ascii="黑体" w:eastAsia="黑体" w:hint="eastAsia"/>
        <w:b w:val="0"/>
        <w:i w:val="0"/>
        <w:sz w:val="21"/>
      </w:rPr>
    </w:lvl>
    <w:lvl w:ilvl="5">
      <w:start w:val="1"/>
      <w:numFmt w:val="decimal"/>
      <w:pStyle w:val="a9"/>
      <w:suff w:val="nothing"/>
      <w:lvlText w:val="%1%2.%3.%4.%5.%6　"/>
      <w:lvlJc w:val="left"/>
      <w:pPr>
        <w:ind w:left="0" w:firstLine="0"/>
      </w:pPr>
      <w:rPr>
        <w:rFonts w:ascii="黑体" w:eastAsia="黑体" w:hint="eastAsia"/>
        <w:b w:val="0"/>
        <w:i w:val="0"/>
        <w:sz w:val="21"/>
      </w:rPr>
    </w:lvl>
    <w:lvl w:ilvl="6">
      <w:start w:val="1"/>
      <w:numFmt w:val="decimal"/>
      <w:pStyle w:val="aa"/>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46492717">
    <w:abstractNumId w:val="1"/>
  </w:num>
  <w:num w:numId="3" w16cid:durableId="117106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838"/>
    <w:rsid w:val="00044B03"/>
    <w:rsid w:val="000564F6"/>
    <w:rsid w:val="00057C50"/>
    <w:rsid w:val="0007271C"/>
    <w:rsid w:val="00077B87"/>
    <w:rsid w:val="00083D62"/>
    <w:rsid w:val="00093711"/>
    <w:rsid w:val="000C5572"/>
    <w:rsid w:val="000C6ED2"/>
    <w:rsid w:val="000D2BA1"/>
    <w:rsid w:val="000E0EB3"/>
    <w:rsid w:val="00101337"/>
    <w:rsid w:val="00106D8E"/>
    <w:rsid w:val="00107FA6"/>
    <w:rsid w:val="001336A7"/>
    <w:rsid w:val="001366DD"/>
    <w:rsid w:val="001407D3"/>
    <w:rsid w:val="0014129B"/>
    <w:rsid w:val="00164101"/>
    <w:rsid w:val="00176CC1"/>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6DB1"/>
    <w:rsid w:val="00277345"/>
    <w:rsid w:val="0027791C"/>
    <w:rsid w:val="0028530B"/>
    <w:rsid w:val="00285841"/>
    <w:rsid w:val="00293048"/>
    <w:rsid w:val="00293121"/>
    <w:rsid w:val="002A391A"/>
    <w:rsid w:val="002C04B6"/>
    <w:rsid w:val="002D3A9F"/>
    <w:rsid w:val="002E2B56"/>
    <w:rsid w:val="002F3045"/>
    <w:rsid w:val="00305109"/>
    <w:rsid w:val="0031256A"/>
    <w:rsid w:val="0031561A"/>
    <w:rsid w:val="00317D74"/>
    <w:rsid w:val="003257DB"/>
    <w:rsid w:val="00352B42"/>
    <w:rsid w:val="00357168"/>
    <w:rsid w:val="00360683"/>
    <w:rsid w:val="0036737F"/>
    <w:rsid w:val="00373823"/>
    <w:rsid w:val="003813CC"/>
    <w:rsid w:val="00382E74"/>
    <w:rsid w:val="003A00FA"/>
    <w:rsid w:val="003A0364"/>
    <w:rsid w:val="003A509B"/>
    <w:rsid w:val="003B6441"/>
    <w:rsid w:val="003C1B72"/>
    <w:rsid w:val="003F7535"/>
    <w:rsid w:val="00401889"/>
    <w:rsid w:val="00410BC2"/>
    <w:rsid w:val="00413119"/>
    <w:rsid w:val="004172C0"/>
    <w:rsid w:val="004252F2"/>
    <w:rsid w:val="004276CF"/>
    <w:rsid w:val="00430513"/>
    <w:rsid w:val="00435663"/>
    <w:rsid w:val="00436EE9"/>
    <w:rsid w:val="00463563"/>
    <w:rsid w:val="004803B5"/>
    <w:rsid w:val="004B2F65"/>
    <w:rsid w:val="004B6E6F"/>
    <w:rsid w:val="004F08C5"/>
    <w:rsid w:val="004F4747"/>
    <w:rsid w:val="004F6F77"/>
    <w:rsid w:val="00503787"/>
    <w:rsid w:val="0050411A"/>
    <w:rsid w:val="00505FBC"/>
    <w:rsid w:val="00507EB6"/>
    <w:rsid w:val="00515FFC"/>
    <w:rsid w:val="00520FFB"/>
    <w:rsid w:val="005251AE"/>
    <w:rsid w:val="00534D5E"/>
    <w:rsid w:val="00534FAE"/>
    <w:rsid w:val="00545EB7"/>
    <w:rsid w:val="00583F98"/>
    <w:rsid w:val="00596690"/>
    <w:rsid w:val="005A4896"/>
    <w:rsid w:val="005B7647"/>
    <w:rsid w:val="005D56E9"/>
    <w:rsid w:val="005F13A9"/>
    <w:rsid w:val="00601423"/>
    <w:rsid w:val="00606BF2"/>
    <w:rsid w:val="00622C35"/>
    <w:rsid w:val="006252E3"/>
    <w:rsid w:val="00650FED"/>
    <w:rsid w:val="006878C7"/>
    <w:rsid w:val="00690184"/>
    <w:rsid w:val="006965B4"/>
    <w:rsid w:val="006A01A1"/>
    <w:rsid w:val="006B0B1B"/>
    <w:rsid w:val="006B6D21"/>
    <w:rsid w:val="006B75F5"/>
    <w:rsid w:val="006E5B41"/>
    <w:rsid w:val="006F64E7"/>
    <w:rsid w:val="00705D75"/>
    <w:rsid w:val="007417C1"/>
    <w:rsid w:val="00746F2B"/>
    <w:rsid w:val="00747D95"/>
    <w:rsid w:val="00752097"/>
    <w:rsid w:val="00756D5D"/>
    <w:rsid w:val="00761E21"/>
    <w:rsid w:val="00776D4B"/>
    <w:rsid w:val="0079502D"/>
    <w:rsid w:val="00795550"/>
    <w:rsid w:val="007A2FC6"/>
    <w:rsid w:val="007A5AAC"/>
    <w:rsid w:val="007C21C2"/>
    <w:rsid w:val="007D4B87"/>
    <w:rsid w:val="007E4007"/>
    <w:rsid w:val="007E628D"/>
    <w:rsid w:val="0082096B"/>
    <w:rsid w:val="0082331F"/>
    <w:rsid w:val="008257DF"/>
    <w:rsid w:val="008368E2"/>
    <w:rsid w:val="008618FE"/>
    <w:rsid w:val="008665F7"/>
    <w:rsid w:val="0086666E"/>
    <w:rsid w:val="00870FA5"/>
    <w:rsid w:val="00874660"/>
    <w:rsid w:val="008A102E"/>
    <w:rsid w:val="008A766F"/>
    <w:rsid w:val="008B18A3"/>
    <w:rsid w:val="008B31A7"/>
    <w:rsid w:val="008B34EE"/>
    <w:rsid w:val="008C756A"/>
    <w:rsid w:val="008E1C98"/>
    <w:rsid w:val="008F54B9"/>
    <w:rsid w:val="008F5B83"/>
    <w:rsid w:val="00910049"/>
    <w:rsid w:val="0091708A"/>
    <w:rsid w:val="00932F00"/>
    <w:rsid w:val="009435E7"/>
    <w:rsid w:val="00966791"/>
    <w:rsid w:val="00970E88"/>
    <w:rsid w:val="0097271F"/>
    <w:rsid w:val="00973E61"/>
    <w:rsid w:val="00981821"/>
    <w:rsid w:val="00987820"/>
    <w:rsid w:val="009943E0"/>
    <w:rsid w:val="009A16C4"/>
    <w:rsid w:val="009A27FC"/>
    <w:rsid w:val="009A488E"/>
    <w:rsid w:val="009A5078"/>
    <w:rsid w:val="009A6F90"/>
    <w:rsid w:val="009B1FF6"/>
    <w:rsid w:val="009C3768"/>
    <w:rsid w:val="009D56C3"/>
    <w:rsid w:val="009E6D91"/>
    <w:rsid w:val="009F0E3F"/>
    <w:rsid w:val="009F7A24"/>
    <w:rsid w:val="009F7A4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8519C"/>
    <w:rsid w:val="00A91142"/>
    <w:rsid w:val="00AB1353"/>
    <w:rsid w:val="00AC01B1"/>
    <w:rsid w:val="00AC09D3"/>
    <w:rsid w:val="00AD0EA1"/>
    <w:rsid w:val="00AD2695"/>
    <w:rsid w:val="00AD39DA"/>
    <w:rsid w:val="00AE029F"/>
    <w:rsid w:val="00AF01D8"/>
    <w:rsid w:val="00B01C45"/>
    <w:rsid w:val="00B05A42"/>
    <w:rsid w:val="00B22220"/>
    <w:rsid w:val="00B47E23"/>
    <w:rsid w:val="00B47E66"/>
    <w:rsid w:val="00B743AB"/>
    <w:rsid w:val="00B803DE"/>
    <w:rsid w:val="00B97970"/>
    <w:rsid w:val="00BA15CF"/>
    <w:rsid w:val="00BA3C4F"/>
    <w:rsid w:val="00BB2288"/>
    <w:rsid w:val="00BB2A59"/>
    <w:rsid w:val="00BB3D50"/>
    <w:rsid w:val="00BB5CFC"/>
    <w:rsid w:val="00BC18B9"/>
    <w:rsid w:val="00BC3BB1"/>
    <w:rsid w:val="00BD4F24"/>
    <w:rsid w:val="00BE6F2E"/>
    <w:rsid w:val="00BF050A"/>
    <w:rsid w:val="00BF0689"/>
    <w:rsid w:val="00BF746A"/>
    <w:rsid w:val="00C11FCB"/>
    <w:rsid w:val="00C21DF8"/>
    <w:rsid w:val="00C23788"/>
    <w:rsid w:val="00C25FCF"/>
    <w:rsid w:val="00C37003"/>
    <w:rsid w:val="00C51238"/>
    <w:rsid w:val="00C52B4D"/>
    <w:rsid w:val="00C62D4B"/>
    <w:rsid w:val="00C70FF4"/>
    <w:rsid w:val="00C869DA"/>
    <w:rsid w:val="00C9265C"/>
    <w:rsid w:val="00CA5205"/>
    <w:rsid w:val="00CB0852"/>
    <w:rsid w:val="00CB2FF6"/>
    <w:rsid w:val="00D06630"/>
    <w:rsid w:val="00D237D4"/>
    <w:rsid w:val="00D30ADB"/>
    <w:rsid w:val="00D311EA"/>
    <w:rsid w:val="00D77694"/>
    <w:rsid w:val="00D80910"/>
    <w:rsid w:val="00D81489"/>
    <w:rsid w:val="00D837B2"/>
    <w:rsid w:val="00DB46BB"/>
    <w:rsid w:val="00DB5CCC"/>
    <w:rsid w:val="00DD0DFD"/>
    <w:rsid w:val="00DD68A5"/>
    <w:rsid w:val="00DE3052"/>
    <w:rsid w:val="00DE3ACA"/>
    <w:rsid w:val="00DE7470"/>
    <w:rsid w:val="00E0481B"/>
    <w:rsid w:val="00E15D39"/>
    <w:rsid w:val="00E16774"/>
    <w:rsid w:val="00E33675"/>
    <w:rsid w:val="00E34260"/>
    <w:rsid w:val="00E40AC7"/>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535"/>
    <w:rsid w:val="00F06A1A"/>
    <w:rsid w:val="00F27E12"/>
    <w:rsid w:val="00F319AF"/>
    <w:rsid w:val="00F40C1D"/>
    <w:rsid w:val="00F42768"/>
    <w:rsid w:val="00F43CD1"/>
    <w:rsid w:val="00F51C15"/>
    <w:rsid w:val="00F63ADB"/>
    <w:rsid w:val="00F741B8"/>
    <w:rsid w:val="00F80E17"/>
    <w:rsid w:val="00F878B5"/>
    <w:rsid w:val="00F91EFF"/>
    <w:rsid w:val="00F92513"/>
    <w:rsid w:val="00F943A4"/>
    <w:rsid w:val="00F96275"/>
    <w:rsid w:val="00F97976"/>
    <w:rsid w:val="00FB5476"/>
    <w:rsid w:val="00FC26FD"/>
    <w:rsid w:val="00FD6D58"/>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3">
    <w:name w:val="heading 3"/>
    <w:basedOn w:val="ab"/>
    <w:next w:val="ab"/>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caption"/>
    <w:basedOn w:val="ab"/>
    <w:next w:val="ab"/>
    <w:uiPriority w:val="35"/>
    <w:unhideWhenUsed/>
    <w:qFormat/>
    <w:pPr>
      <w:jc w:val="center"/>
    </w:pPr>
    <w:rPr>
      <w:rFonts w:asciiTheme="majorHAnsi" w:eastAsia="黑体" w:hAnsiTheme="majorHAnsi" w:cstheme="majorBidi"/>
      <w:szCs w:val="20"/>
    </w:rPr>
  </w:style>
  <w:style w:type="paragraph" w:styleId="af0">
    <w:name w:val="Body Text Indent"/>
    <w:basedOn w:val="ab"/>
    <w:link w:val="af1"/>
    <w:autoRedefine/>
    <w:qFormat/>
    <w:pPr>
      <w:spacing w:line="300" w:lineRule="auto"/>
      <w:ind w:firstLineChars="200" w:firstLine="420"/>
    </w:pPr>
    <w:rPr>
      <w:rFonts w:ascii="Times New Roman" w:eastAsia="宋体" w:hAnsi="宋体" w:cs="Times New Roman"/>
      <w:szCs w:val="20"/>
    </w:rPr>
  </w:style>
  <w:style w:type="paragraph" w:styleId="af2">
    <w:name w:val="Date"/>
    <w:basedOn w:val="ab"/>
    <w:next w:val="ab"/>
    <w:link w:val="af3"/>
    <w:autoRedefine/>
    <w:uiPriority w:val="99"/>
    <w:semiHidden/>
    <w:unhideWhenUsed/>
    <w:qFormat/>
    <w:pPr>
      <w:ind w:leftChars="2500" w:left="100"/>
    </w:pPr>
  </w:style>
  <w:style w:type="paragraph" w:styleId="af4">
    <w:name w:val="endnote text"/>
    <w:basedOn w:val="ab"/>
    <w:link w:val="af5"/>
    <w:autoRedefine/>
    <w:uiPriority w:val="99"/>
    <w:qFormat/>
    <w:pPr>
      <w:snapToGrid w:val="0"/>
      <w:jc w:val="left"/>
    </w:pPr>
    <w:rPr>
      <w:rFonts w:ascii="Calibri" w:eastAsia="宋体" w:hAnsi="Calibri" w:cs="Times New Roman"/>
      <w:szCs w:val="24"/>
    </w:rPr>
  </w:style>
  <w:style w:type="paragraph" w:styleId="af6">
    <w:name w:val="Balloon Text"/>
    <w:basedOn w:val="ab"/>
    <w:link w:val="af7"/>
    <w:autoRedefine/>
    <w:uiPriority w:val="99"/>
    <w:semiHidden/>
    <w:unhideWhenUsed/>
    <w:qFormat/>
    <w:rPr>
      <w:sz w:val="18"/>
      <w:szCs w:val="18"/>
    </w:rPr>
  </w:style>
  <w:style w:type="paragraph" w:styleId="af8">
    <w:name w:val="footer"/>
    <w:basedOn w:val="ab"/>
    <w:link w:val="af9"/>
    <w:uiPriority w:val="99"/>
    <w:unhideWhenUsed/>
    <w:qFormat/>
    <w:pPr>
      <w:tabs>
        <w:tab w:val="center" w:pos="4153"/>
        <w:tab w:val="right" w:pos="8306"/>
      </w:tabs>
      <w:snapToGrid w:val="0"/>
      <w:jc w:val="left"/>
    </w:pPr>
    <w:rPr>
      <w:sz w:val="18"/>
      <w:szCs w:val="18"/>
    </w:rPr>
  </w:style>
  <w:style w:type="paragraph" w:styleId="afa">
    <w:name w:val="header"/>
    <w:basedOn w:val="ab"/>
    <w:link w:val="af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semiHidden/>
    <w:unhideWhenUsed/>
    <w:qFormat/>
  </w:style>
  <w:style w:type="paragraph" w:styleId="afc">
    <w:name w:val="Normal (Web)"/>
    <w:basedOn w:val="ab"/>
    <w:unhideWhenUsed/>
    <w:qFormat/>
    <w:pPr>
      <w:widowControl/>
      <w:spacing w:before="100" w:beforeAutospacing="1" w:after="100" w:afterAutospacing="1"/>
      <w:jc w:val="left"/>
    </w:pPr>
    <w:rPr>
      <w:rFonts w:ascii="宋体" w:eastAsia="宋体" w:hAnsi="宋体" w:cs="宋体"/>
      <w:kern w:val="0"/>
      <w:sz w:val="24"/>
      <w:szCs w:val="24"/>
    </w:rPr>
  </w:style>
  <w:style w:type="table" w:styleId="afd">
    <w:name w:val="Table Grid"/>
    <w:basedOn w:val="a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c"/>
    <w:qFormat/>
  </w:style>
  <w:style w:type="character" w:customStyle="1" w:styleId="30">
    <w:name w:val="标题 3 字符"/>
    <w:basedOn w:val="ac"/>
    <w:link w:val="3"/>
    <w:autoRedefine/>
    <w:uiPriority w:val="9"/>
    <w:qFormat/>
    <w:rPr>
      <w:rFonts w:ascii="Times New Roman" w:hAnsi="Times New Roman"/>
      <w:b/>
      <w:bCs/>
      <w:szCs w:val="32"/>
    </w:rPr>
  </w:style>
  <w:style w:type="character" w:customStyle="1" w:styleId="af9">
    <w:name w:val="页脚 字符"/>
    <w:basedOn w:val="ac"/>
    <w:link w:val="af8"/>
    <w:uiPriority w:val="99"/>
    <w:qFormat/>
    <w:rPr>
      <w:sz w:val="18"/>
      <w:szCs w:val="18"/>
    </w:rPr>
  </w:style>
  <w:style w:type="paragraph" w:styleId="aff">
    <w:name w:val="List Paragraph"/>
    <w:basedOn w:val="ab"/>
    <w:autoRedefine/>
    <w:uiPriority w:val="34"/>
    <w:qFormat/>
    <w:pPr>
      <w:ind w:firstLineChars="200" w:firstLine="420"/>
    </w:pPr>
  </w:style>
  <w:style w:type="paragraph" w:customStyle="1" w:styleId="aff0">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0"/>
    <w:autoRedefine/>
    <w:qFormat/>
    <w:rPr>
      <w:rFonts w:ascii="宋体" w:eastAsia="宋体" w:hAnsi="Times New Roman" w:cs="Times New Roman"/>
      <w:kern w:val="0"/>
      <w:szCs w:val="20"/>
    </w:rPr>
  </w:style>
  <w:style w:type="table" w:customStyle="1" w:styleId="1">
    <w:name w:val="浅色底纹1"/>
    <w:basedOn w:val="ad"/>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b">
    <w:name w:val="页眉 字符"/>
    <w:basedOn w:val="ac"/>
    <w:link w:val="afa"/>
    <w:autoRedefine/>
    <w:uiPriority w:val="99"/>
    <w:qFormat/>
    <w:rPr>
      <w:sz w:val="18"/>
      <w:szCs w:val="18"/>
    </w:rPr>
  </w:style>
  <w:style w:type="character" w:customStyle="1" w:styleId="af7">
    <w:name w:val="批注框文本 字符"/>
    <w:basedOn w:val="ac"/>
    <w:link w:val="af6"/>
    <w:autoRedefine/>
    <w:uiPriority w:val="99"/>
    <w:semiHidden/>
    <w:qFormat/>
    <w:rPr>
      <w:sz w:val="18"/>
      <w:szCs w:val="18"/>
    </w:rPr>
  </w:style>
  <w:style w:type="character" w:customStyle="1" w:styleId="af5">
    <w:name w:val="尾注文本 字符"/>
    <w:basedOn w:val="ac"/>
    <w:link w:val="af4"/>
    <w:autoRedefine/>
    <w:uiPriority w:val="99"/>
    <w:qFormat/>
    <w:rPr>
      <w:rFonts w:ascii="Calibri" w:eastAsia="宋体" w:hAnsi="Calibri" w:cs="Times New Roman"/>
      <w:szCs w:val="24"/>
    </w:rPr>
  </w:style>
  <w:style w:type="table" w:customStyle="1" w:styleId="10">
    <w:name w:val="网格型1"/>
    <w:basedOn w:val="ad"/>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日期 字符"/>
    <w:basedOn w:val="ac"/>
    <w:link w:val="af2"/>
    <w:autoRedefine/>
    <w:uiPriority w:val="99"/>
    <w:semiHidden/>
    <w:qFormat/>
  </w:style>
  <w:style w:type="character" w:customStyle="1" w:styleId="af1">
    <w:name w:val="正文文本缩进 字符"/>
    <w:basedOn w:val="ac"/>
    <w:link w:val="af0"/>
    <w:autoRedefine/>
    <w:qFormat/>
    <w:rPr>
      <w:rFonts w:ascii="Times New Roman" w:eastAsia="宋体" w:hAnsi="宋体" w:cs="Times New Roman"/>
      <w:szCs w:val="20"/>
    </w:rPr>
  </w:style>
  <w:style w:type="paragraph" w:customStyle="1" w:styleId="a1">
    <w:name w:val="二级条标题"/>
    <w:basedOn w:val="ab"/>
    <w:next w:val="aff0"/>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c"/>
    <w:autoRedefine/>
    <w:qFormat/>
  </w:style>
  <w:style w:type="paragraph" w:customStyle="1" w:styleId="a">
    <w:name w:val="章标题"/>
    <w:next w:val="aff0"/>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0"/>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1">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2">
    <w:name w:val="标准文件_段"/>
    <w:link w:val="Char0"/>
    <w:rsid w:val="00293121"/>
    <w:pPr>
      <w:autoSpaceDE w:val="0"/>
      <w:autoSpaceDN w:val="0"/>
      <w:ind w:firstLineChars="200" w:firstLine="200"/>
      <w:jc w:val="both"/>
    </w:pPr>
    <w:rPr>
      <w:rFonts w:ascii="宋体" w:eastAsia="宋体" w:hAnsi="Times New Roman" w:cs="Times New Roman"/>
      <w:noProof/>
      <w:sz w:val="21"/>
    </w:rPr>
  </w:style>
  <w:style w:type="paragraph" w:customStyle="1" w:styleId="a7">
    <w:name w:val="标准文件_二级条标题"/>
    <w:next w:val="aff2"/>
    <w:rsid w:val="00293121"/>
    <w:pPr>
      <w:widowControl w:val="0"/>
      <w:numPr>
        <w:ilvl w:val="3"/>
        <w:numId w:val="3"/>
      </w:numPr>
      <w:spacing w:beforeLines="50" w:before="50" w:afterLines="50" w:after="50"/>
      <w:jc w:val="both"/>
      <w:outlineLvl w:val="2"/>
    </w:pPr>
    <w:rPr>
      <w:rFonts w:ascii="黑体" w:eastAsia="黑体" w:hAnsi="Times New Roman" w:cs="Times New Roman"/>
      <w:sz w:val="21"/>
    </w:rPr>
  </w:style>
  <w:style w:type="paragraph" w:customStyle="1" w:styleId="a8">
    <w:name w:val="标准文件_三级条标题"/>
    <w:basedOn w:val="a7"/>
    <w:next w:val="aff2"/>
    <w:rsid w:val="00293121"/>
    <w:pPr>
      <w:widowControl/>
      <w:numPr>
        <w:ilvl w:val="4"/>
      </w:numPr>
      <w:outlineLvl w:val="3"/>
    </w:pPr>
  </w:style>
  <w:style w:type="paragraph" w:customStyle="1" w:styleId="a9">
    <w:name w:val="标准文件_四级条标题"/>
    <w:next w:val="aff2"/>
    <w:rsid w:val="00293121"/>
    <w:pPr>
      <w:widowControl w:val="0"/>
      <w:numPr>
        <w:ilvl w:val="5"/>
        <w:numId w:val="3"/>
      </w:numPr>
      <w:spacing w:beforeLines="50" w:before="50" w:afterLines="50" w:after="50"/>
      <w:jc w:val="both"/>
      <w:outlineLvl w:val="4"/>
    </w:pPr>
    <w:rPr>
      <w:rFonts w:ascii="黑体" w:eastAsia="黑体" w:hAnsi="Times New Roman" w:cs="Times New Roman"/>
      <w:sz w:val="21"/>
    </w:rPr>
  </w:style>
  <w:style w:type="paragraph" w:customStyle="1" w:styleId="aa">
    <w:name w:val="标准文件_五级条标题"/>
    <w:next w:val="aff2"/>
    <w:rsid w:val="00293121"/>
    <w:pPr>
      <w:widowControl w:val="0"/>
      <w:numPr>
        <w:ilvl w:val="6"/>
        <w:numId w:val="3"/>
      </w:numPr>
      <w:spacing w:beforeLines="50" w:before="50" w:afterLines="50" w:after="50"/>
      <w:jc w:val="both"/>
      <w:outlineLvl w:val="5"/>
    </w:pPr>
    <w:rPr>
      <w:rFonts w:ascii="黑体" w:eastAsia="黑体" w:hAnsi="Times New Roman" w:cs="Times New Roman"/>
      <w:sz w:val="21"/>
    </w:rPr>
  </w:style>
  <w:style w:type="paragraph" w:customStyle="1" w:styleId="a5">
    <w:name w:val="标准文件_章标题"/>
    <w:next w:val="aff2"/>
    <w:rsid w:val="00293121"/>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f2"/>
    <w:rsid w:val="00293121"/>
    <w:pPr>
      <w:numPr>
        <w:ilvl w:val="2"/>
      </w:numPr>
      <w:spacing w:beforeLines="50" w:before="50" w:afterLines="50" w:after="50"/>
      <w:outlineLvl w:val="1"/>
    </w:pPr>
  </w:style>
  <w:style w:type="paragraph" w:customStyle="1" w:styleId="a2">
    <w:name w:val="标准文件_一级项"/>
    <w:rsid w:val="00293121"/>
    <w:pPr>
      <w:numPr>
        <w:numId w:val="2"/>
      </w:numPr>
    </w:pPr>
    <w:rPr>
      <w:rFonts w:ascii="宋体" w:eastAsia="宋体" w:hAnsi="Times New Roman" w:cs="Times New Roman"/>
      <w:sz w:val="21"/>
    </w:rPr>
  </w:style>
  <w:style w:type="paragraph" w:customStyle="1" w:styleId="a4">
    <w:name w:val="前言标题"/>
    <w:next w:val="ab"/>
    <w:rsid w:val="00293121"/>
    <w:pPr>
      <w:numPr>
        <w:numId w:val="3"/>
      </w:numPr>
      <w:shd w:val="clear" w:color="FFFFFF" w:fill="FFFFFF"/>
      <w:spacing w:before="540" w:after="600"/>
      <w:jc w:val="center"/>
      <w:outlineLvl w:val="0"/>
    </w:pPr>
    <w:rPr>
      <w:rFonts w:ascii="黑体" w:eastAsia="黑体" w:hAnsi="Times New Roman" w:cs="Times New Roman"/>
      <w:sz w:val="32"/>
    </w:rPr>
  </w:style>
  <w:style w:type="paragraph" w:customStyle="1" w:styleId="aff3">
    <w:name w:val="标准文件_一级无标题"/>
    <w:basedOn w:val="a6"/>
    <w:qFormat/>
    <w:rsid w:val="00293121"/>
    <w:pPr>
      <w:spacing w:beforeLines="0" w:before="0" w:afterLines="0" w:after="0"/>
      <w:outlineLvl w:val="9"/>
    </w:pPr>
    <w:rPr>
      <w:rFonts w:ascii="宋体" w:eastAsia="宋体"/>
    </w:rPr>
  </w:style>
  <w:style w:type="paragraph" w:customStyle="1" w:styleId="aff4">
    <w:name w:val="标准文件_二级无标题"/>
    <w:basedOn w:val="a7"/>
    <w:qFormat/>
    <w:rsid w:val="00293121"/>
    <w:pPr>
      <w:spacing w:beforeLines="0" w:before="0" w:afterLines="0" w:after="0"/>
      <w:outlineLvl w:val="9"/>
    </w:pPr>
    <w:rPr>
      <w:rFonts w:ascii="宋体" w:eastAsia="宋体"/>
    </w:rPr>
  </w:style>
  <w:style w:type="paragraph" w:customStyle="1" w:styleId="a3">
    <w:name w:val="标准文件_三级项"/>
    <w:basedOn w:val="ab"/>
    <w:rsid w:val="00293121"/>
    <w:pPr>
      <w:numPr>
        <w:ilvl w:val="2"/>
        <w:numId w:val="2"/>
      </w:numPr>
      <w:adjustRightInd w:val="0"/>
      <w:spacing w:line="-300" w:lineRule="auto"/>
    </w:pPr>
    <w:rPr>
      <w:rFonts w:ascii="Times New Roman" w:eastAsia="宋体" w:hAnsi="Times New Roman" w:cs="Times New Roman"/>
      <w:szCs w:val="21"/>
    </w:rPr>
  </w:style>
  <w:style w:type="character" w:customStyle="1" w:styleId="Char0">
    <w:name w:val="标准文件_段 Char"/>
    <w:link w:val="aff2"/>
    <w:rsid w:val="00293121"/>
    <w:rPr>
      <w:rFonts w:ascii="宋体" w:eastAsia="宋体" w:hAnsi="Times New Roman" w:cs="Times New Roman"/>
      <w:noProof/>
      <w:sz w:val="21"/>
    </w:rPr>
  </w:style>
  <w:style w:type="paragraph" w:customStyle="1" w:styleId="2">
    <w:name w:val="标准文件_二级项2"/>
    <w:basedOn w:val="aff2"/>
    <w:qFormat/>
    <w:rsid w:val="00293121"/>
    <w:pPr>
      <w:numPr>
        <w:ilvl w:val="1"/>
        <w:numId w:val="2"/>
      </w:numPr>
      <w:tabs>
        <w:tab w:val="num" w:pos="360"/>
      </w:tabs>
      <w:ind w:left="0" w:firstLineChars="0" w:firstLine="0"/>
    </w:pPr>
  </w:style>
  <w:style w:type="paragraph" w:customStyle="1" w:styleId="aff5">
    <w:name w:val="标准文件_术语条一"/>
    <w:basedOn w:val="aff3"/>
    <w:next w:val="aff2"/>
    <w:qFormat/>
    <w:rsid w:val="0029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F50233D21344E19F14D88FFA3B9C39"/>
        <w:category>
          <w:name w:val="常规"/>
          <w:gallery w:val="placeholder"/>
        </w:category>
        <w:types>
          <w:type w:val="bbPlcHdr"/>
        </w:types>
        <w:behaviors>
          <w:behavior w:val="content"/>
        </w:behaviors>
        <w:guid w:val="{9BDA943A-3A8E-492C-A118-07A3F867F6DA}"/>
      </w:docPartPr>
      <w:docPartBody>
        <w:p w:rsidR="00000000" w:rsidRDefault="005C15BE" w:rsidP="005C15BE">
          <w:pPr>
            <w:pStyle w:val="8AF50233D21344E19F14D88FFA3B9C39"/>
          </w:pPr>
          <w:r w:rsidRPr="00FB6243">
            <w:rPr>
              <w:rStyle w:val="a3"/>
              <w:rFonts w:hint="eastAsia"/>
            </w:rPr>
            <w:t>选择一项。</w:t>
          </w:r>
        </w:p>
      </w:docPartBody>
    </w:docPart>
    <w:docPart>
      <w:docPartPr>
        <w:name w:val="4D51A69A8D8E4302A8E7FC7BC470F73C"/>
        <w:category>
          <w:name w:val="常规"/>
          <w:gallery w:val="placeholder"/>
        </w:category>
        <w:types>
          <w:type w:val="bbPlcHdr"/>
        </w:types>
        <w:behaviors>
          <w:behavior w:val="content"/>
        </w:behaviors>
        <w:guid w:val="{0B991B6F-EF7B-4BCD-97F3-756346E31CB0}"/>
      </w:docPartPr>
      <w:docPartBody>
        <w:p w:rsidR="00000000" w:rsidRDefault="005C15BE" w:rsidP="005C15BE">
          <w:pPr>
            <w:pStyle w:val="4D51A69A8D8E4302A8E7FC7BC470F73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5BE"/>
    <w:rsid w:val="000D2BA1"/>
    <w:rsid w:val="005C15BE"/>
    <w:rsid w:val="00AD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15BE"/>
    <w:rPr>
      <w:color w:val="808080"/>
    </w:rPr>
  </w:style>
  <w:style w:type="paragraph" w:customStyle="1" w:styleId="8AF50233D21344E19F14D88FFA3B9C39">
    <w:name w:val="8AF50233D21344E19F14D88FFA3B9C39"/>
    <w:rsid w:val="005C15BE"/>
    <w:pPr>
      <w:widowControl w:val="0"/>
    </w:pPr>
  </w:style>
  <w:style w:type="paragraph" w:customStyle="1" w:styleId="4D51A69A8D8E4302A8E7FC7BC470F73C">
    <w:name w:val="4D51A69A8D8E4302A8E7FC7BC470F73C"/>
    <w:rsid w:val="005C15B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1647</Words>
  <Characters>9389</Characters>
  <Application>Microsoft Office Word</Application>
  <DocSecurity>0</DocSecurity>
  <Lines>78</Lines>
  <Paragraphs>22</Paragraphs>
  <ScaleCrop>false</ScaleCrop>
  <Company>Lenovo</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70</cp:revision>
  <dcterms:created xsi:type="dcterms:W3CDTF">2019-06-25T01:51:00Z</dcterms:created>
  <dcterms:modified xsi:type="dcterms:W3CDTF">2026-01-28T08:34:00Z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