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90328">
      <w:pPr>
        <w:widowControl/>
        <w:jc w:val="left"/>
        <w:rPr>
          <w:rFonts w:asciiTheme="minorEastAsia" w:hAnsiTheme="minorEastAsia"/>
          <w:b/>
          <w:sz w:val="32"/>
          <w:szCs w:val="32"/>
        </w:rPr>
      </w:pPr>
      <w:r>
        <w:rPr>
          <w:rFonts w:asciiTheme="minorEastAsia" w:hAnsiTheme="minorEastAsia"/>
          <w:sz w:val="28"/>
          <w:szCs w:val="28"/>
        </w:rPr>
        <w:t>附件</w:t>
      </w:r>
      <w:r>
        <w:rPr>
          <w:rFonts w:hint="eastAsia" w:asciiTheme="minorEastAsia" w:hAnsiTheme="minorEastAsia"/>
          <w:sz w:val="28"/>
          <w:szCs w:val="28"/>
        </w:rPr>
        <w:t>2</w:t>
      </w:r>
      <w:r>
        <w:rPr>
          <w:rFonts w:asciiTheme="minorEastAsia" w:hAnsiTheme="minorEastAsia"/>
          <w:sz w:val="28"/>
          <w:szCs w:val="28"/>
        </w:rPr>
        <w:t>：</w:t>
      </w:r>
    </w:p>
    <w:p w14:paraId="2FB088A4">
      <w:pPr>
        <w:jc w:val="center"/>
        <w:rPr>
          <w:rFonts w:hint="eastAsia" w:asciiTheme="minorEastAsia" w:hAnsiTheme="minorEastAsia"/>
          <w:b/>
          <w:sz w:val="32"/>
          <w:szCs w:val="32"/>
          <w:lang w:eastAsia="zh-CN"/>
        </w:rPr>
      </w:pPr>
      <w:bookmarkStart w:id="0" w:name="团体标准编制说明（参考样式）"/>
      <w:bookmarkEnd w:id="0"/>
      <w:r>
        <w:rPr>
          <w:rFonts w:hint="eastAsia" w:asciiTheme="minorEastAsia" w:hAnsiTheme="minorEastAsia"/>
          <w:b/>
          <w:sz w:val="32"/>
          <w:szCs w:val="32"/>
          <w:lang w:eastAsia="zh-CN"/>
        </w:rPr>
        <w:t>《火电配套电化学储能系统联合运行技术规范》</w:t>
      </w:r>
    </w:p>
    <w:p w14:paraId="5A2E67D0">
      <w:pPr>
        <w:jc w:val="center"/>
        <w:rPr>
          <w:rFonts w:hint="eastAsia" w:asciiTheme="minorEastAsia" w:hAnsiTheme="minorEastAsia" w:eastAsiaTheme="minorEastAsia"/>
          <w:b/>
          <w:sz w:val="32"/>
          <w:szCs w:val="32"/>
          <w:lang w:eastAsia="zh-CN"/>
        </w:rPr>
      </w:pPr>
      <w:r>
        <w:rPr>
          <w:rFonts w:asciiTheme="minorEastAsia" w:hAnsiTheme="minorEastAsia"/>
          <w:b/>
          <w:sz w:val="32"/>
          <w:szCs w:val="32"/>
        </w:rPr>
        <w:t>团体标准编制说明</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征求意见稿</w:t>
      </w:r>
      <w:r>
        <w:rPr>
          <w:rFonts w:hint="eastAsia" w:asciiTheme="minorEastAsia" w:hAnsiTheme="minorEastAsia"/>
          <w:b/>
          <w:sz w:val="32"/>
          <w:szCs w:val="32"/>
          <w:lang w:eastAsia="zh-CN"/>
        </w:rPr>
        <w:t>）</w:t>
      </w:r>
    </w:p>
    <w:p w14:paraId="28D9714B">
      <w:pPr>
        <w:spacing w:line="360" w:lineRule="auto"/>
        <w:ind w:firstLine="480" w:firstLineChars="200"/>
        <w:rPr>
          <w:rFonts w:asciiTheme="minorEastAsia" w:hAnsiTheme="minorEastAsia"/>
          <w:sz w:val="24"/>
          <w:szCs w:val="24"/>
        </w:rPr>
      </w:pPr>
    </w:p>
    <w:p w14:paraId="78B9E916">
      <w:pPr>
        <w:spacing w:line="360" w:lineRule="auto"/>
        <w:ind w:firstLine="643" w:firstLineChars="200"/>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一、工作简况</w:t>
      </w:r>
    </w:p>
    <w:p w14:paraId="3A06621B">
      <w:pPr>
        <w:adjustRightInd w:val="0"/>
        <w:snapToGrid w:val="0"/>
        <w:spacing w:line="360" w:lineRule="auto"/>
        <w:ind w:left="479" w:leftChars="228" w:firstLine="0" w:firstLineChars="0"/>
        <w:jc w:val="left"/>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b/>
          <w:sz w:val="24"/>
          <w:szCs w:val="24"/>
        </w:rPr>
        <w:t>1.1工作</w:t>
      </w:r>
      <w:r>
        <w:rPr>
          <w:rFonts w:asciiTheme="minorEastAsia" w:hAnsiTheme="minorEastAsia"/>
          <w:b/>
          <w:sz w:val="24"/>
          <w:szCs w:val="24"/>
        </w:rPr>
        <w:t>任务来源</w:t>
      </w:r>
    </w:p>
    <w:p w14:paraId="0652DD66">
      <w:pPr>
        <w:spacing w:line="360" w:lineRule="auto"/>
        <w:ind w:firstLine="480"/>
        <w:rPr>
          <w:rFonts w:hint="eastAsia" w:ascii="宋体" w:hAnsi="宋体" w:eastAsia="宋体" w:cs="宋体"/>
          <w:sz w:val="24"/>
          <w:szCs w:val="24"/>
          <w:lang w:eastAsia="zh-CN"/>
        </w:rPr>
      </w:pPr>
      <w:r>
        <w:rPr>
          <w:rFonts w:hint="eastAsia" w:asciiTheme="minorEastAsia" w:hAnsiTheme="minorEastAsia" w:eastAsiaTheme="minorEastAsia"/>
          <w:sz w:val="24"/>
          <w:lang w:val="en-US" w:eastAsia="zh-CN"/>
        </w:rPr>
        <w:t>火电在我国一直占据主要地位，而电力一直在行业内发展迅速。在“双碳”目标推动下，火电低碳转型和储能技术推广</w:t>
      </w:r>
      <w:r>
        <w:rPr>
          <w:rFonts w:hint="eastAsia" w:asciiTheme="minorEastAsia" w:hAnsiTheme="minorEastAsia"/>
          <w:sz w:val="24"/>
          <w:lang w:val="en-US" w:eastAsia="zh-CN"/>
        </w:rPr>
        <w:t>已成为趋势</w:t>
      </w:r>
      <w:r>
        <w:rPr>
          <w:rFonts w:ascii="宋体" w:hAnsi="宋体" w:eastAsia="宋体" w:cs="宋体"/>
          <w:sz w:val="24"/>
          <w:szCs w:val="24"/>
        </w:rPr>
        <w:t>。火电配套电化学储能系统联合运行技术</w:t>
      </w:r>
      <w:r>
        <w:rPr>
          <w:rFonts w:hint="eastAsia" w:ascii="宋体" w:hAnsi="宋体" w:eastAsia="宋体" w:cs="宋体"/>
          <w:sz w:val="24"/>
          <w:szCs w:val="24"/>
          <w:lang w:val="en-US" w:eastAsia="zh-CN"/>
        </w:rPr>
        <w:t>，作为一种将电化学储能系统与火电机组相结合，通过协同运行提升电力系统灵活性和稳定性的技术。通过</w:t>
      </w:r>
      <w:r>
        <w:rPr>
          <w:rFonts w:ascii="宋体" w:hAnsi="宋体" w:eastAsia="宋体" w:cs="宋体"/>
          <w:sz w:val="24"/>
          <w:szCs w:val="24"/>
        </w:rPr>
        <w:t>依托电化学储能毫秒级响应的优势弥补火电机组调频响应慢、调节精度有限的短板，显著提升电网调频性能与频率稳定性，满足高比例新能源接入下的快速调频需求</w:t>
      </w:r>
      <w:r>
        <w:rPr>
          <w:rFonts w:hint="eastAsia" w:ascii="宋体" w:hAnsi="宋体" w:eastAsia="宋体" w:cs="宋体"/>
          <w:sz w:val="24"/>
          <w:szCs w:val="24"/>
          <w:lang w:eastAsia="zh-CN"/>
        </w:rPr>
        <w:t>。</w:t>
      </w:r>
      <w:r>
        <w:rPr>
          <w:rFonts w:ascii="宋体" w:hAnsi="宋体" w:eastAsia="宋体" w:cs="宋体"/>
          <w:sz w:val="24"/>
          <w:szCs w:val="24"/>
        </w:rPr>
        <w:t>能让储能系统承担短时高频调频任务，减少火电机组的调节频率和幅度，降低设备磨损、燃料消耗与运维成本，延长机组使用寿命</w:t>
      </w:r>
      <w:r>
        <w:rPr>
          <w:rFonts w:hint="eastAsia" w:ascii="宋体" w:hAnsi="宋体" w:eastAsia="宋体" w:cs="宋体"/>
          <w:sz w:val="24"/>
          <w:szCs w:val="24"/>
          <w:lang w:eastAsia="zh-CN"/>
        </w:rPr>
        <w:t>。</w:t>
      </w:r>
    </w:p>
    <w:p w14:paraId="363D6852">
      <w:pPr>
        <w:spacing w:line="360" w:lineRule="auto"/>
        <w:ind w:firstLine="480"/>
        <w:rPr>
          <w:rFonts w:hint="default" w:ascii="宋体" w:hAnsi="宋体" w:eastAsia="宋体" w:cs="宋体"/>
          <w:sz w:val="24"/>
          <w:szCs w:val="24"/>
          <w:lang w:val="en-US" w:eastAsia="zh-CN"/>
        </w:rPr>
      </w:pPr>
      <w:r>
        <w:rPr>
          <w:rFonts w:hint="eastAsia" w:ascii="宋体" w:hAnsi="宋体" w:eastAsia="宋体" w:cs="宋体"/>
          <w:sz w:val="24"/>
          <w:szCs w:val="24"/>
        </w:rPr>
        <w:t>然而，目前国内外尚无针对火电配套电化学储能系统联合运行的专项标准。标准的缺失易导致运行缺乏统一的参数要求，从而缺乏统一的运行是否正常的指标评定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同时，标准的缺失也容易导致行业内技术无法畅通交流，存在各自为战的情况，不利于行业内技术的流通和进步，从而阻碍行业规模化推广，不利于提升电厂配置储能的积极性。</w:t>
      </w:r>
      <w:r>
        <w:rPr>
          <w:rFonts w:ascii="宋体" w:hAnsi="宋体" w:eastAsia="宋体" w:cs="宋体"/>
          <w:sz w:val="24"/>
          <w:szCs w:val="24"/>
        </w:rPr>
        <w:t>因此，制定《火电配套电化学储能系统联合运行技术规范》团体标准已势在必行，此举可推动火电配套电化学储能系统联合运行形成统一标准化要求，有效减少系统非计划停运时间、降低检修运维成本，全面提升项目整体经济效益。</w:t>
      </w:r>
    </w:p>
    <w:p w14:paraId="51CBC2F5">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经标准起草组</w:t>
      </w:r>
      <w:r>
        <w:rPr>
          <w:rFonts w:hint="eastAsia" w:ascii="宋体" w:hAnsi="宋体" w:eastAsia="宋体" w:cs="宋体"/>
          <w:sz w:val="24"/>
          <w:szCs w:val="24"/>
          <w:lang w:val="en-US" w:eastAsia="zh-CN"/>
        </w:rPr>
        <w:t>及专家组多次调研论证，特于2025年12月22日立项本标</w:t>
      </w:r>
      <w:r>
        <w:rPr>
          <w:rFonts w:hint="eastAsia" w:ascii="宋体" w:hAnsi="宋体" w:eastAsia="宋体" w:cs="宋体"/>
          <w:color w:val="000000"/>
          <w:sz w:val="24"/>
          <w:szCs w:val="24"/>
          <w:lang w:val="en-US" w:eastAsia="zh-CN"/>
        </w:rPr>
        <w:t>准。</w:t>
      </w:r>
    </w:p>
    <w:p w14:paraId="5A298AEE">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1.2主要工作过程</w:t>
      </w:r>
    </w:p>
    <w:p w14:paraId="1E054DD2">
      <w:pPr>
        <w:spacing w:line="360" w:lineRule="auto"/>
        <w:ind w:firstLine="482" w:firstLineChars="200"/>
        <w:rPr>
          <w:rFonts w:hint="eastAsia" w:asciiTheme="minorEastAsia" w:hAnsiTheme="minorEastAsia"/>
          <w:sz w:val="24"/>
          <w:szCs w:val="24"/>
          <w:lang w:val="en-US" w:eastAsia="zh-CN"/>
        </w:rPr>
      </w:pPr>
      <w:r>
        <w:rPr>
          <w:rFonts w:hint="eastAsia" w:asciiTheme="minorEastAsia" w:hAnsiTheme="minorEastAsia"/>
          <w:b/>
          <w:sz w:val="24"/>
          <w:szCs w:val="24"/>
        </w:rPr>
        <w:t>1.2.1主要参加单位</w:t>
      </w:r>
    </w:p>
    <w:p w14:paraId="3D1A6DCB">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本标准主要起草单位：华电电力科学研究院有限公司、中国电力工程顾问集团华北电力设计院有限公司</w:t>
      </w:r>
      <w:r>
        <w:rPr>
          <w:rFonts w:hint="eastAsia" w:ascii="宋体" w:hAnsi="宋体" w:eastAsia="宋体" w:cs="宋体"/>
          <w:color w:val="000000"/>
          <w:sz w:val="24"/>
          <w:szCs w:val="24"/>
          <w:lang w:val="en-US" w:eastAsia="zh-CN"/>
        </w:rPr>
        <w:t>、华兴中科标准技术（北京）有限公司</w:t>
      </w:r>
      <w:r>
        <w:rPr>
          <w:rFonts w:hint="eastAsia" w:ascii="宋体" w:hAnsi="宋体" w:eastAsia="宋体" w:cs="宋体"/>
          <w:color w:val="000000"/>
          <w:sz w:val="24"/>
          <w:szCs w:val="24"/>
          <w:lang w:val="en-US" w:eastAsia="zh-CN"/>
        </w:rPr>
        <w:t>等。起草单位主要参与草案的修改，测试方法验证等标准工作。</w:t>
      </w:r>
    </w:p>
    <w:p w14:paraId="5AFA31BB">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1.2.2工作分工</w:t>
      </w:r>
    </w:p>
    <w:p w14:paraId="27ADD060">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1.2.2.1第一次工作会议</w:t>
      </w:r>
    </w:p>
    <w:p w14:paraId="571A6935">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2026年02月05日，线上开启</w:t>
      </w:r>
      <w:bookmarkStart w:id="1" w:name="OLE_LINK2"/>
      <w:r>
        <w:rPr>
          <w:rFonts w:hint="eastAsia" w:ascii="宋体" w:hAnsi="宋体" w:eastAsia="宋体" w:cs="宋体"/>
          <w:color w:val="000000"/>
          <w:sz w:val="24"/>
          <w:szCs w:val="24"/>
          <w:lang w:val="en-US" w:eastAsia="zh-CN"/>
        </w:rPr>
        <w:t>《火电配套电化学储能系统联合运行技术规范》</w:t>
      </w:r>
      <w:bookmarkEnd w:id="1"/>
      <w:r>
        <w:rPr>
          <w:rFonts w:hint="eastAsia" w:ascii="宋体" w:hAnsi="宋体" w:eastAsia="宋体" w:cs="宋体"/>
          <w:color w:val="000000"/>
          <w:sz w:val="24"/>
          <w:szCs w:val="24"/>
          <w:lang w:val="en-US" w:eastAsia="zh-CN"/>
        </w:rPr>
        <w:t>标准的启动会议。华电电力科学研究院有限公司技术专责徐帆宣讲了《火电配套电化学储能系统联合运行技术规范》的标准草案，多家参编单位共同讨论。</w:t>
      </w:r>
    </w:p>
    <w:p w14:paraId="710358F1">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lang w:val="en-US" w:eastAsia="zh-CN"/>
        </w:rPr>
        <w:t>1.</w:t>
      </w:r>
      <w:r>
        <w:rPr>
          <w:rFonts w:hint="eastAsia" w:asciiTheme="minorEastAsia" w:hAnsiTheme="minorEastAsia"/>
          <w:b/>
          <w:sz w:val="24"/>
          <w:szCs w:val="24"/>
        </w:rPr>
        <w:t>2.</w:t>
      </w:r>
      <w:r>
        <w:rPr>
          <w:rFonts w:hint="eastAsia" w:asciiTheme="minorEastAsia" w:hAnsiTheme="minorEastAsia"/>
          <w:b/>
          <w:sz w:val="24"/>
          <w:szCs w:val="24"/>
          <w:lang w:val="en-US" w:eastAsia="zh-CN"/>
        </w:rPr>
        <w:t>3</w:t>
      </w:r>
      <w:r>
        <w:rPr>
          <w:rFonts w:hint="eastAsia" w:asciiTheme="minorEastAsia" w:hAnsiTheme="minorEastAsia"/>
          <w:b/>
          <w:sz w:val="24"/>
          <w:szCs w:val="24"/>
        </w:rPr>
        <w:t>工作进度安排</w:t>
      </w:r>
    </w:p>
    <w:p w14:paraId="4838EF14">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2025年9-10月，项目市场调研。</w:t>
      </w:r>
    </w:p>
    <w:p w14:paraId="3907A5FA">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2025年11月，开启立项论证会议，项目申报立项。</w:t>
      </w:r>
    </w:p>
    <w:p w14:paraId="71293749">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2025年12月，编写团体标准项目草案，召开标准启动会。</w:t>
      </w:r>
    </w:p>
    <w:p w14:paraId="3072E4FF">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2026年2月，公开征求意见。</w:t>
      </w:r>
    </w:p>
    <w:p w14:paraId="22D90887">
      <w:pPr>
        <w:spacing w:line="360" w:lineRule="auto"/>
        <w:ind w:firstLine="480" w:firstLineChars="200"/>
        <w:rPr>
          <w:rFonts w:hint="eastAsia" w:ascii="宋体" w:hAnsi="宋体" w:eastAsia="宋体" w:cs="宋体"/>
          <w:color w:val="000000"/>
          <w:sz w:val="24"/>
          <w:szCs w:val="24"/>
          <w:highlight w:val="none"/>
          <w:lang w:val="en-US" w:eastAsia="zh-CN"/>
        </w:rPr>
      </w:pPr>
      <w:bookmarkStart w:id="2" w:name="_GoBack"/>
      <w:bookmarkEnd w:id="2"/>
      <w:r>
        <w:rPr>
          <w:rFonts w:hint="eastAsia" w:ascii="宋体" w:hAnsi="宋体" w:eastAsia="宋体" w:cs="宋体"/>
          <w:color w:val="000000"/>
          <w:sz w:val="24"/>
          <w:szCs w:val="24"/>
          <w:highlight w:val="none"/>
          <w:lang w:val="en-US" w:eastAsia="zh-CN"/>
        </w:rPr>
        <w:t>2026年3月，召开标准审定会。</w:t>
      </w:r>
    </w:p>
    <w:p w14:paraId="05DA9E90">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2026年4月，报批，发布。</w:t>
      </w:r>
    </w:p>
    <w:p w14:paraId="74048C45">
      <w:pPr>
        <w:spacing w:line="360" w:lineRule="auto"/>
        <w:ind w:firstLine="643" w:firstLineChars="200"/>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二、标准编制原则</w:t>
      </w:r>
    </w:p>
    <w:p w14:paraId="226EC2A6">
      <w:pPr>
        <w:spacing w:line="360" w:lineRule="auto"/>
        <w:ind w:firstLine="480"/>
        <w:rPr>
          <w:rFonts w:hint="eastAsia" w:ascii="仿宋_GB2312" w:hAnsi="宋体" w:eastAsia="仿宋_GB2312" w:cs="宋体"/>
          <w:color w:val="000000"/>
          <w:sz w:val="32"/>
          <w:szCs w:val="32"/>
          <w:lang w:val="en-US" w:eastAsia="zh-CN"/>
        </w:rPr>
      </w:pPr>
      <w:r>
        <w:rPr>
          <w:rFonts w:hint="eastAsia" w:ascii="宋体" w:hAnsi="宋体" w:eastAsia="宋体" w:cs="宋体"/>
          <w:color w:val="000000"/>
          <w:sz w:val="24"/>
          <w:szCs w:val="24"/>
          <w:lang w:val="en-US" w:eastAsia="zh-CN"/>
        </w:rPr>
        <w:t>标准起草小组在编制标准过程中，以国家、行业现有的标准为制订基础，结合我国目前火电配套电化学储能系统联合运行技术现状，按照GB/T 1.1—2020《标准化工作导则 第1部分：标准化文件的结构和起草规则》的规定及相关要求编制。</w:t>
      </w:r>
    </w:p>
    <w:p w14:paraId="302E1373">
      <w:pPr>
        <w:numPr>
          <w:ilvl w:val="0"/>
          <w:numId w:val="0"/>
        </w:numPr>
        <w:spacing w:line="360" w:lineRule="auto"/>
        <w:ind w:firstLine="643" w:firstLineChars="200"/>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三、标准主要内容的确定</w:t>
      </w:r>
    </w:p>
    <w:p w14:paraId="30E1638E">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标准征求意见稿包括7个部分，主要内容如下：</w:t>
      </w:r>
    </w:p>
    <w:p w14:paraId="20E13B0F">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1、范围</w:t>
      </w:r>
    </w:p>
    <w:p w14:paraId="62B7F2A4">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本文件规定了火电配套电化学储能系统联合运行的缩略语、总体要求、技术要求及测试方法。</w:t>
      </w:r>
    </w:p>
    <w:p w14:paraId="12F40771">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本文件适用于火电配套电化学储能系统联合运行的设计、运行、测试。</w:t>
      </w:r>
    </w:p>
    <w:p w14:paraId="3CEC3157">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2、规范性引用文件</w:t>
      </w:r>
    </w:p>
    <w:p w14:paraId="1CEC857A">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列出了本文件引用的标准文件。</w:t>
      </w:r>
    </w:p>
    <w:p w14:paraId="5FC7E6D8">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3、术语和定义</w:t>
      </w:r>
    </w:p>
    <w:p w14:paraId="1FB5C7AB">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列出了需要界定的术语和定义。</w:t>
      </w:r>
    </w:p>
    <w:p w14:paraId="379580F5">
      <w:pPr>
        <w:numPr>
          <w:ilvl w:val="0"/>
          <w:numId w:val="0"/>
        </w:numPr>
        <w:spacing w:line="360" w:lineRule="auto"/>
        <w:ind w:firstLine="480" w:firstLineChars="0"/>
        <w:rPr>
          <w:rFonts w:hint="default"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lang w:val="en-US" w:eastAsia="zh-CN"/>
        </w:rPr>
        <w:t>缩略语</w:t>
      </w:r>
    </w:p>
    <w:p w14:paraId="380B3BB9">
      <w:pPr>
        <w:numPr>
          <w:ilvl w:val="0"/>
          <w:numId w:val="0"/>
        </w:num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本章节规定了火电配套电化学储能系统联合运行中的五个关键缩略语。</w:t>
      </w:r>
    </w:p>
    <w:p w14:paraId="11E8C9FA">
      <w:pPr>
        <w:numPr>
          <w:ilvl w:val="0"/>
          <w:numId w:val="0"/>
        </w:num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5、总体要求</w:t>
      </w:r>
    </w:p>
    <w:p w14:paraId="466C9008">
      <w:pPr>
        <w:numPr>
          <w:ilvl w:val="0"/>
          <w:numId w:val="0"/>
        </w:num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本章节规定了火电配套电化学储能系统联合运行技术中的系统框架、系统配置要求和运行环境条件。</w:t>
      </w:r>
    </w:p>
    <w:p w14:paraId="55E2D915">
      <w:pPr>
        <w:numPr>
          <w:ilvl w:val="0"/>
          <w:numId w:val="0"/>
        </w:num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6、技术要求</w:t>
      </w:r>
    </w:p>
    <w:p w14:paraId="0BF74672">
      <w:pPr>
        <w:numPr>
          <w:ilvl w:val="0"/>
          <w:numId w:val="0"/>
        </w:num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章节规定了火电配套电化学储能系统联合运行技术中的电池系统要求、电池管理系统要求、储能变流系统要求、联合运行要求和安全与保护要求。其中安全与保护要求中包含继电保护配置、接地与防雷和并网与接口要求。</w:t>
      </w:r>
    </w:p>
    <w:p w14:paraId="2596DEAE">
      <w:pPr>
        <w:numPr>
          <w:ilvl w:val="0"/>
          <w:numId w:val="0"/>
        </w:num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7、测试方法</w:t>
      </w:r>
    </w:p>
    <w:p w14:paraId="18435371">
      <w:pPr>
        <w:numPr>
          <w:ilvl w:val="0"/>
          <w:numId w:val="0"/>
        </w:num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章节规定了火电配套电化学储能系统联合运行技术的测试环境、系统检查、电池系统测试、电池管理系统测试储能变流系统测试、联合运行控制系统测试、储能系统联合运行性能测试、安全与保护测试和并网与接口测试的具体测试步骤。实现统一测试操作规范，避免操作差异导致结果偏差，确保测试数据客观准确。</w:t>
      </w:r>
    </w:p>
    <w:p w14:paraId="5A87F069">
      <w:pPr>
        <w:spacing w:line="360" w:lineRule="auto"/>
        <w:ind w:firstLine="643" w:firstLineChars="200"/>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四、与国际、国外同类标准水平的对比情况</w:t>
      </w:r>
    </w:p>
    <w:p w14:paraId="4A0D442F">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经查，暂无相同类型的国际标准与国外标准，故没有相应的国际标准、国外标准可采用。本标准达到国内先进水平。</w:t>
      </w:r>
    </w:p>
    <w:p w14:paraId="4803203E">
      <w:pPr>
        <w:spacing w:line="360" w:lineRule="auto"/>
        <w:ind w:firstLine="643" w:firstLineChars="200"/>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五、与国内相关标准的关系</w:t>
      </w:r>
    </w:p>
    <w:p w14:paraId="76733A58">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本标准的制定过程、技术要求的选定、试验方法的确定、检验项目设置等符合现行法律法规和强制性国家标准的规定。</w:t>
      </w:r>
    </w:p>
    <w:p w14:paraId="106BBAF6">
      <w:pPr>
        <w:spacing w:line="360" w:lineRule="auto"/>
        <w:ind w:firstLine="643" w:firstLineChars="200"/>
        <w:rPr>
          <w:rFonts w:hint="eastAsia" w:ascii="仿宋" w:hAnsi="仿宋" w:eastAsia="仿宋" w:cs="仿宋"/>
          <w:b/>
          <w:bCs/>
          <w:color w:val="000000"/>
          <w:kern w:val="0"/>
          <w:sz w:val="32"/>
          <w:szCs w:val="32"/>
          <w:lang w:val="en-US" w:eastAsia="zh-CN" w:bidi="ar-SA"/>
        </w:rPr>
      </w:pPr>
      <w:r>
        <w:rPr>
          <w:rFonts w:hint="eastAsia" w:ascii="仿宋" w:hAnsi="仿宋" w:eastAsia="仿宋" w:cs="仿宋"/>
          <w:b/>
          <w:bCs/>
          <w:color w:val="000000"/>
          <w:kern w:val="0"/>
          <w:sz w:val="32"/>
          <w:szCs w:val="32"/>
          <w:lang w:val="en-US" w:eastAsia="zh-CN" w:bidi="ar-SA"/>
        </w:rPr>
        <w:t>六、重大分歧意见的处理经过和依据</w:t>
      </w:r>
    </w:p>
    <w:p w14:paraId="5952FB4E">
      <w:pPr>
        <w:spacing w:line="360" w:lineRule="auto"/>
        <w:ind w:firstLine="48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w:t>
      </w:r>
    </w:p>
    <w:p w14:paraId="0D3DEB06">
      <w:pPr>
        <w:pStyle w:val="12"/>
        <w:numPr>
          <w:ilvl w:val="1"/>
          <w:numId w:val="0"/>
        </w:numPr>
        <w:spacing w:before="156" w:after="156"/>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七</w:t>
      </w:r>
      <w:r>
        <w:rPr>
          <w:rFonts w:hint="eastAsia" w:ascii="仿宋" w:hAnsi="仿宋" w:eastAsia="仿宋" w:cs="仿宋"/>
          <w:b/>
          <w:bCs/>
          <w:color w:val="000000"/>
          <w:sz w:val="32"/>
          <w:szCs w:val="32"/>
        </w:rPr>
        <w:t>、标准作为强制性或推荐性标准的建议</w:t>
      </w:r>
    </w:p>
    <w:p w14:paraId="3ED3B036">
      <w:pPr>
        <w:spacing w:line="360" w:lineRule="auto"/>
        <w:ind w:firstLine="480"/>
        <w:rPr>
          <w:rFonts w:ascii="仿宋_GB2312" w:hAnsi="宋体" w:eastAsia="仿宋_GB2312" w:cs="宋体"/>
          <w:color w:val="000000"/>
          <w:sz w:val="32"/>
          <w:szCs w:val="32"/>
        </w:rPr>
      </w:pPr>
      <w:r>
        <w:rPr>
          <w:rFonts w:hint="eastAsia" w:ascii="宋体" w:hAnsi="宋体" w:eastAsia="宋体" w:cs="宋体"/>
          <w:color w:val="000000"/>
          <w:sz w:val="24"/>
          <w:szCs w:val="24"/>
          <w:lang w:val="en-US" w:eastAsia="zh-CN"/>
        </w:rPr>
        <w:t>建议该标准作为推荐性团体标准。</w:t>
      </w:r>
    </w:p>
    <w:p w14:paraId="69AEB6A5">
      <w:pPr>
        <w:spacing w:after="156" w:afterLines="50" w:line="360" w:lineRule="auto"/>
        <w:ind w:right="960" w:firstLine="643" w:firstLineChars="200"/>
        <w:jc w:val="both"/>
        <w:outlineLvl w:val="1"/>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八、其他</w:t>
      </w:r>
    </w:p>
    <w:p w14:paraId="2DD6524A">
      <w:pPr>
        <w:spacing w:after="156" w:afterLines="50" w:line="360" w:lineRule="auto"/>
        <w:ind w:right="960" w:firstLine="480" w:firstLineChars="200"/>
        <w:jc w:val="both"/>
        <w:outlineLvl w:val="1"/>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本标准不涉及专利。由于本标准首次制定，没有特殊要求。</w:t>
      </w:r>
    </w:p>
    <w:p w14:paraId="4FEDF76A">
      <w:pPr>
        <w:spacing w:after="156" w:afterLines="50" w:line="360" w:lineRule="auto"/>
        <w:ind w:right="960"/>
        <w:jc w:val="right"/>
        <w:outlineLvl w:val="1"/>
        <w:rPr>
          <w:rFonts w:ascii="仿宋" w:hAnsi="仿宋" w:eastAsia="仿宋" w:cs="仿宋"/>
          <w:kern w:val="0"/>
          <w:sz w:val="32"/>
          <w:szCs w:val="32"/>
        </w:rPr>
      </w:pPr>
      <w:r>
        <w:rPr>
          <w:rFonts w:hint="eastAsia" w:ascii="仿宋" w:hAnsi="仿宋" w:eastAsia="仿宋" w:cs="仿宋"/>
          <w:kern w:val="0"/>
          <w:sz w:val="32"/>
          <w:szCs w:val="32"/>
        </w:rPr>
        <w:t>团体标准起草组</w:t>
      </w:r>
    </w:p>
    <w:p w14:paraId="13DD841C">
      <w:pPr>
        <w:spacing w:after="156" w:afterLines="50" w:line="360" w:lineRule="auto"/>
        <w:ind w:right="1280"/>
        <w:jc w:val="right"/>
        <w:outlineLvl w:val="1"/>
      </w:pPr>
      <w:r>
        <w:rPr>
          <w:rFonts w:hint="eastAsia" w:ascii="仿宋" w:hAnsi="仿宋" w:eastAsia="仿宋" w:cs="仿宋"/>
          <w:kern w:val="0"/>
          <w:sz w:val="32"/>
          <w:szCs w:val="32"/>
        </w:rPr>
        <w:t>20</w:t>
      </w:r>
      <w:r>
        <w:rPr>
          <w:rFonts w:hint="eastAsia" w:ascii="仿宋" w:hAnsi="仿宋" w:eastAsia="仿宋" w:cs="仿宋"/>
          <w:kern w:val="0"/>
          <w:sz w:val="32"/>
          <w:szCs w:val="32"/>
          <w:lang w:val="en-US" w:eastAsia="zh-CN"/>
        </w:rPr>
        <w:t>26</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月</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62D9">
    <w:pPr>
      <w:pStyle w:val="3"/>
      <w:framePr w:wrap="around" w:vAnchor="text" w:hAnchor="page" w:x="5941" w:y="73"/>
      <w:rPr>
        <w:rStyle w:val="9"/>
        <w:sz w:val="21"/>
      </w:rPr>
    </w:pPr>
    <w:r>
      <w:rPr>
        <w:rStyle w:val="9"/>
        <w:sz w:val="21"/>
      </w:rPr>
      <w:fldChar w:fldCharType="begin"/>
    </w:r>
    <w:r>
      <w:rPr>
        <w:rStyle w:val="9"/>
        <w:sz w:val="21"/>
      </w:rPr>
      <w:instrText xml:space="preserve">PAGE  </w:instrText>
    </w:r>
    <w:r>
      <w:rPr>
        <w:rStyle w:val="9"/>
        <w:sz w:val="21"/>
      </w:rPr>
      <w:fldChar w:fldCharType="separate"/>
    </w:r>
    <w:r>
      <w:rPr>
        <w:rStyle w:val="9"/>
        <w:sz w:val="21"/>
      </w:rPr>
      <w:t>10</w:t>
    </w:r>
    <w:r>
      <w:rPr>
        <w:rStyle w:val="9"/>
        <w:sz w:val="21"/>
      </w:rPr>
      <w:fldChar w:fldCharType="end"/>
    </w:r>
  </w:p>
  <w:p w14:paraId="56E8293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F1C0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D5118"/>
    <w:multiLevelType w:val="multilevel"/>
    <w:tmpl w:val="033D5118"/>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22"/>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2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
      <w:suff w:val="nothing"/>
      <w:lvlText w:val="%1%2　"/>
      <w:lvlJc w:val="left"/>
      <w:pPr>
        <w:ind w:left="0" w:firstLine="0"/>
      </w:pPr>
      <w:rPr>
        <w:rFonts w:hint="eastAsia" w:ascii="黑体" w:eastAsia="黑体"/>
        <w:b w:val="0"/>
        <w:i w:val="0"/>
        <w:sz w:val="21"/>
      </w:rPr>
    </w:lvl>
    <w:lvl w:ilvl="2" w:tentative="0">
      <w:start w:val="1"/>
      <w:numFmt w:val="decimal"/>
      <w:pStyle w:val="1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19"/>
      <w:suff w:val="nothing"/>
      <w:lvlText w:val="%1%2.%3.%4　"/>
      <w:lvlJc w:val="left"/>
      <w:pPr>
        <w:ind w:left="142" w:firstLine="0"/>
      </w:pPr>
      <w:rPr>
        <w:rFonts w:hint="eastAsia" w:ascii="黑体" w:eastAsia="黑体"/>
        <w:b w:val="0"/>
        <w:i w:val="0"/>
        <w:color w:val="auto"/>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jFmODQ3MjE4MTQwYmU4MzA4YTU3N2MzZmFjYzUifQ=="/>
  </w:docVars>
  <w:rsids>
    <w:rsidRoot w:val="0050107B"/>
    <w:rsid w:val="00014C5B"/>
    <w:rsid w:val="0001605A"/>
    <w:rsid w:val="00017177"/>
    <w:rsid w:val="000204F8"/>
    <w:rsid w:val="00023156"/>
    <w:rsid w:val="00026693"/>
    <w:rsid w:val="00030DB7"/>
    <w:rsid w:val="00035E3A"/>
    <w:rsid w:val="000362E6"/>
    <w:rsid w:val="00040546"/>
    <w:rsid w:val="0004364A"/>
    <w:rsid w:val="00052B27"/>
    <w:rsid w:val="0005487E"/>
    <w:rsid w:val="00054E3B"/>
    <w:rsid w:val="00062BB5"/>
    <w:rsid w:val="00062BFE"/>
    <w:rsid w:val="000636E0"/>
    <w:rsid w:val="00064D22"/>
    <w:rsid w:val="00072B32"/>
    <w:rsid w:val="00075547"/>
    <w:rsid w:val="0008004C"/>
    <w:rsid w:val="00083128"/>
    <w:rsid w:val="000837DC"/>
    <w:rsid w:val="00091DEE"/>
    <w:rsid w:val="00093403"/>
    <w:rsid w:val="000978F1"/>
    <w:rsid w:val="000A01DD"/>
    <w:rsid w:val="000A0FE6"/>
    <w:rsid w:val="000A0FF2"/>
    <w:rsid w:val="000A334A"/>
    <w:rsid w:val="000A3D4F"/>
    <w:rsid w:val="000B1204"/>
    <w:rsid w:val="000B1CFD"/>
    <w:rsid w:val="000B246C"/>
    <w:rsid w:val="000C12ED"/>
    <w:rsid w:val="000C6846"/>
    <w:rsid w:val="000C6D46"/>
    <w:rsid w:val="000D082C"/>
    <w:rsid w:val="000D3ED3"/>
    <w:rsid w:val="000D4167"/>
    <w:rsid w:val="000D6BAE"/>
    <w:rsid w:val="000E3035"/>
    <w:rsid w:val="000F277A"/>
    <w:rsid w:val="00103B4C"/>
    <w:rsid w:val="001054C7"/>
    <w:rsid w:val="00112935"/>
    <w:rsid w:val="00120129"/>
    <w:rsid w:val="0013279E"/>
    <w:rsid w:val="001335F8"/>
    <w:rsid w:val="00134FD2"/>
    <w:rsid w:val="00135547"/>
    <w:rsid w:val="00140AA8"/>
    <w:rsid w:val="001530A4"/>
    <w:rsid w:val="00155B2A"/>
    <w:rsid w:val="001565B1"/>
    <w:rsid w:val="001566C2"/>
    <w:rsid w:val="00163C64"/>
    <w:rsid w:val="001668D1"/>
    <w:rsid w:val="00170C8C"/>
    <w:rsid w:val="0017273D"/>
    <w:rsid w:val="00174EB5"/>
    <w:rsid w:val="0017516C"/>
    <w:rsid w:val="00184044"/>
    <w:rsid w:val="001865C6"/>
    <w:rsid w:val="001907BD"/>
    <w:rsid w:val="00196075"/>
    <w:rsid w:val="001B25E4"/>
    <w:rsid w:val="001B2612"/>
    <w:rsid w:val="001B370C"/>
    <w:rsid w:val="001B67B8"/>
    <w:rsid w:val="001B760A"/>
    <w:rsid w:val="001C6FFD"/>
    <w:rsid w:val="001D43B6"/>
    <w:rsid w:val="001E6D29"/>
    <w:rsid w:val="001F7532"/>
    <w:rsid w:val="001F7D49"/>
    <w:rsid w:val="00203C87"/>
    <w:rsid w:val="00212BB2"/>
    <w:rsid w:val="00221B68"/>
    <w:rsid w:val="0022761C"/>
    <w:rsid w:val="00227D66"/>
    <w:rsid w:val="00230CFD"/>
    <w:rsid w:val="0023695A"/>
    <w:rsid w:val="00240451"/>
    <w:rsid w:val="00247B29"/>
    <w:rsid w:val="002500A7"/>
    <w:rsid w:val="00255C06"/>
    <w:rsid w:val="00267B1F"/>
    <w:rsid w:val="00293FE2"/>
    <w:rsid w:val="002942BE"/>
    <w:rsid w:val="0029507E"/>
    <w:rsid w:val="00297431"/>
    <w:rsid w:val="002A29A4"/>
    <w:rsid w:val="002A6D1E"/>
    <w:rsid w:val="002B0AB5"/>
    <w:rsid w:val="002B6F05"/>
    <w:rsid w:val="002B7C82"/>
    <w:rsid w:val="002C231D"/>
    <w:rsid w:val="002C50BC"/>
    <w:rsid w:val="002C5983"/>
    <w:rsid w:val="002D5025"/>
    <w:rsid w:val="002E1DC7"/>
    <w:rsid w:val="002E2D4E"/>
    <w:rsid w:val="00300F76"/>
    <w:rsid w:val="00303C42"/>
    <w:rsid w:val="00306866"/>
    <w:rsid w:val="00306E16"/>
    <w:rsid w:val="00307BB8"/>
    <w:rsid w:val="0031031F"/>
    <w:rsid w:val="0031670F"/>
    <w:rsid w:val="00320DF6"/>
    <w:rsid w:val="00327CD6"/>
    <w:rsid w:val="003314AC"/>
    <w:rsid w:val="00341DCE"/>
    <w:rsid w:val="00353984"/>
    <w:rsid w:val="00354432"/>
    <w:rsid w:val="003606C8"/>
    <w:rsid w:val="00370AD1"/>
    <w:rsid w:val="00373214"/>
    <w:rsid w:val="003804A0"/>
    <w:rsid w:val="00385C4E"/>
    <w:rsid w:val="003904D4"/>
    <w:rsid w:val="00391D77"/>
    <w:rsid w:val="003A26F5"/>
    <w:rsid w:val="003A4B7C"/>
    <w:rsid w:val="003C2A5A"/>
    <w:rsid w:val="003C318B"/>
    <w:rsid w:val="003C360F"/>
    <w:rsid w:val="003C5DFA"/>
    <w:rsid w:val="003D322C"/>
    <w:rsid w:val="003D5F31"/>
    <w:rsid w:val="003F1797"/>
    <w:rsid w:val="003F6289"/>
    <w:rsid w:val="004024FD"/>
    <w:rsid w:val="004026A0"/>
    <w:rsid w:val="0040520C"/>
    <w:rsid w:val="00410CDF"/>
    <w:rsid w:val="00411F42"/>
    <w:rsid w:val="00411FD5"/>
    <w:rsid w:val="00413C56"/>
    <w:rsid w:val="00414D14"/>
    <w:rsid w:val="00425C96"/>
    <w:rsid w:val="00442D7A"/>
    <w:rsid w:val="00445C75"/>
    <w:rsid w:val="00450354"/>
    <w:rsid w:val="00463240"/>
    <w:rsid w:val="004747C6"/>
    <w:rsid w:val="0047775B"/>
    <w:rsid w:val="00477E26"/>
    <w:rsid w:val="00485A88"/>
    <w:rsid w:val="0048678A"/>
    <w:rsid w:val="00493B96"/>
    <w:rsid w:val="00495DDE"/>
    <w:rsid w:val="004B0199"/>
    <w:rsid w:val="004B5B58"/>
    <w:rsid w:val="004C02F3"/>
    <w:rsid w:val="004C42C2"/>
    <w:rsid w:val="004C6C3F"/>
    <w:rsid w:val="004C799F"/>
    <w:rsid w:val="004D568B"/>
    <w:rsid w:val="004E1816"/>
    <w:rsid w:val="004E4698"/>
    <w:rsid w:val="004E6E8C"/>
    <w:rsid w:val="004F0E3E"/>
    <w:rsid w:val="004F16B8"/>
    <w:rsid w:val="004F2979"/>
    <w:rsid w:val="004F2C44"/>
    <w:rsid w:val="004F6EB2"/>
    <w:rsid w:val="004F7772"/>
    <w:rsid w:val="0050107B"/>
    <w:rsid w:val="005032F7"/>
    <w:rsid w:val="005202A3"/>
    <w:rsid w:val="00527240"/>
    <w:rsid w:val="00532191"/>
    <w:rsid w:val="005355B3"/>
    <w:rsid w:val="00537858"/>
    <w:rsid w:val="005443CD"/>
    <w:rsid w:val="00544955"/>
    <w:rsid w:val="0054639A"/>
    <w:rsid w:val="005520A1"/>
    <w:rsid w:val="00563444"/>
    <w:rsid w:val="005635B7"/>
    <w:rsid w:val="00564146"/>
    <w:rsid w:val="00564F03"/>
    <w:rsid w:val="00574C54"/>
    <w:rsid w:val="00576B34"/>
    <w:rsid w:val="00583B69"/>
    <w:rsid w:val="00584C9B"/>
    <w:rsid w:val="00586621"/>
    <w:rsid w:val="00590226"/>
    <w:rsid w:val="00591707"/>
    <w:rsid w:val="005A160B"/>
    <w:rsid w:val="005A1CC9"/>
    <w:rsid w:val="005A22E5"/>
    <w:rsid w:val="005A5598"/>
    <w:rsid w:val="005B050F"/>
    <w:rsid w:val="005B2435"/>
    <w:rsid w:val="005C2474"/>
    <w:rsid w:val="005C4BAF"/>
    <w:rsid w:val="005C7E8F"/>
    <w:rsid w:val="005D598F"/>
    <w:rsid w:val="005D5D29"/>
    <w:rsid w:val="005E340C"/>
    <w:rsid w:val="005E744C"/>
    <w:rsid w:val="005F17DE"/>
    <w:rsid w:val="005F3C70"/>
    <w:rsid w:val="0060241D"/>
    <w:rsid w:val="006050CE"/>
    <w:rsid w:val="00607E7D"/>
    <w:rsid w:val="00620E42"/>
    <w:rsid w:val="0062472C"/>
    <w:rsid w:val="00626CBD"/>
    <w:rsid w:val="00631A1F"/>
    <w:rsid w:val="00633F10"/>
    <w:rsid w:val="0063786A"/>
    <w:rsid w:val="00640970"/>
    <w:rsid w:val="00640D1D"/>
    <w:rsid w:val="00641ACC"/>
    <w:rsid w:val="006431FB"/>
    <w:rsid w:val="006449F3"/>
    <w:rsid w:val="006540F4"/>
    <w:rsid w:val="006555AA"/>
    <w:rsid w:val="006577A4"/>
    <w:rsid w:val="006638D9"/>
    <w:rsid w:val="00671AD3"/>
    <w:rsid w:val="00673C2A"/>
    <w:rsid w:val="00684D3C"/>
    <w:rsid w:val="00691359"/>
    <w:rsid w:val="00693259"/>
    <w:rsid w:val="00694780"/>
    <w:rsid w:val="006976CB"/>
    <w:rsid w:val="006A0596"/>
    <w:rsid w:val="006A0AF5"/>
    <w:rsid w:val="006A25D3"/>
    <w:rsid w:val="006A28A6"/>
    <w:rsid w:val="006A5167"/>
    <w:rsid w:val="006A6CCD"/>
    <w:rsid w:val="006B0E0B"/>
    <w:rsid w:val="006B2101"/>
    <w:rsid w:val="006C11CA"/>
    <w:rsid w:val="006C337D"/>
    <w:rsid w:val="006D1FDF"/>
    <w:rsid w:val="006D26CD"/>
    <w:rsid w:val="006D2DEE"/>
    <w:rsid w:val="006D379D"/>
    <w:rsid w:val="006E40C1"/>
    <w:rsid w:val="006E5BF8"/>
    <w:rsid w:val="006F2408"/>
    <w:rsid w:val="006F3D83"/>
    <w:rsid w:val="006F4E99"/>
    <w:rsid w:val="006F5212"/>
    <w:rsid w:val="006F5F2D"/>
    <w:rsid w:val="00704A5F"/>
    <w:rsid w:val="007101C7"/>
    <w:rsid w:val="00710AC9"/>
    <w:rsid w:val="00713C4B"/>
    <w:rsid w:val="0071595F"/>
    <w:rsid w:val="00715C39"/>
    <w:rsid w:val="00715DBA"/>
    <w:rsid w:val="00725C76"/>
    <w:rsid w:val="00735AC5"/>
    <w:rsid w:val="00744B9E"/>
    <w:rsid w:val="0075419A"/>
    <w:rsid w:val="007557CC"/>
    <w:rsid w:val="007569BE"/>
    <w:rsid w:val="00764686"/>
    <w:rsid w:val="00765705"/>
    <w:rsid w:val="007810D6"/>
    <w:rsid w:val="007823FE"/>
    <w:rsid w:val="00785B1B"/>
    <w:rsid w:val="00785CD5"/>
    <w:rsid w:val="0078652A"/>
    <w:rsid w:val="00786DBB"/>
    <w:rsid w:val="007874A9"/>
    <w:rsid w:val="00790118"/>
    <w:rsid w:val="00790C49"/>
    <w:rsid w:val="0079101E"/>
    <w:rsid w:val="007A04B7"/>
    <w:rsid w:val="007A5F8D"/>
    <w:rsid w:val="007A7606"/>
    <w:rsid w:val="007A7E19"/>
    <w:rsid w:val="007B10AC"/>
    <w:rsid w:val="007C403E"/>
    <w:rsid w:val="007D04F6"/>
    <w:rsid w:val="007D19F6"/>
    <w:rsid w:val="007D2CE6"/>
    <w:rsid w:val="007D2E3C"/>
    <w:rsid w:val="007D3CF0"/>
    <w:rsid w:val="007D64B8"/>
    <w:rsid w:val="007E4E4A"/>
    <w:rsid w:val="007F0332"/>
    <w:rsid w:val="007F19B5"/>
    <w:rsid w:val="00800EEB"/>
    <w:rsid w:val="0080185F"/>
    <w:rsid w:val="00802BEC"/>
    <w:rsid w:val="00804692"/>
    <w:rsid w:val="00806467"/>
    <w:rsid w:val="00807A61"/>
    <w:rsid w:val="0081054D"/>
    <w:rsid w:val="00811C74"/>
    <w:rsid w:val="0081216B"/>
    <w:rsid w:val="00812780"/>
    <w:rsid w:val="0081597F"/>
    <w:rsid w:val="00820A86"/>
    <w:rsid w:val="00821832"/>
    <w:rsid w:val="0083372B"/>
    <w:rsid w:val="00844705"/>
    <w:rsid w:val="008501A8"/>
    <w:rsid w:val="0085577A"/>
    <w:rsid w:val="008562D3"/>
    <w:rsid w:val="00860826"/>
    <w:rsid w:val="008629D8"/>
    <w:rsid w:val="008660EE"/>
    <w:rsid w:val="00875A6F"/>
    <w:rsid w:val="008843AD"/>
    <w:rsid w:val="00885896"/>
    <w:rsid w:val="00886E13"/>
    <w:rsid w:val="008A4A72"/>
    <w:rsid w:val="008B1DC6"/>
    <w:rsid w:val="008B2DA2"/>
    <w:rsid w:val="008B4430"/>
    <w:rsid w:val="008B5E1E"/>
    <w:rsid w:val="008B6ABD"/>
    <w:rsid w:val="008C258D"/>
    <w:rsid w:val="008C671B"/>
    <w:rsid w:val="008C7D8E"/>
    <w:rsid w:val="008D2A92"/>
    <w:rsid w:val="008D3504"/>
    <w:rsid w:val="008E0BC8"/>
    <w:rsid w:val="008E3B0C"/>
    <w:rsid w:val="008E795C"/>
    <w:rsid w:val="008F5A9D"/>
    <w:rsid w:val="008F6557"/>
    <w:rsid w:val="00902BDA"/>
    <w:rsid w:val="00904327"/>
    <w:rsid w:val="00905D0C"/>
    <w:rsid w:val="009202D8"/>
    <w:rsid w:val="0092567C"/>
    <w:rsid w:val="00925724"/>
    <w:rsid w:val="00926721"/>
    <w:rsid w:val="00927987"/>
    <w:rsid w:val="0093070D"/>
    <w:rsid w:val="00932552"/>
    <w:rsid w:val="00942159"/>
    <w:rsid w:val="00952342"/>
    <w:rsid w:val="0095603A"/>
    <w:rsid w:val="009561A0"/>
    <w:rsid w:val="009563A6"/>
    <w:rsid w:val="009678BA"/>
    <w:rsid w:val="00974E81"/>
    <w:rsid w:val="009757F6"/>
    <w:rsid w:val="00982E78"/>
    <w:rsid w:val="00983093"/>
    <w:rsid w:val="00990F1B"/>
    <w:rsid w:val="00993D61"/>
    <w:rsid w:val="009975FE"/>
    <w:rsid w:val="009A0864"/>
    <w:rsid w:val="009A416D"/>
    <w:rsid w:val="009B32F0"/>
    <w:rsid w:val="009B396A"/>
    <w:rsid w:val="009B4BA9"/>
    <w:rsid w:val="009C03E0"/>
    <w:rsid w:val="009C18CF"/>
    <w:rsid w:val="009C3B0C"/>
    <w:rsid w:val="009C6A4F"/>
    <w:rsid w:val="009D3E05"/>
    <w:rsid w:val="009D62A5"/>
    <w:rsid w:val="009D7292"/>
    <w:rsid w:val="009D7832"/>
    <w:rsid w:val="009E134A"/>
    <w:rsid w:val="009E1CD3"/>
    <w:rsid w:val="009E303B"/>
    <w:rsid w:val="009E3D00"/>
    <w:rsid w:val="00A005D9"/>
    <w:rsid w:val="00A152D3"/>
    <w:rsid w:val="00A23E10"/>
    <w:rsid w:val="00A25555"/>
    <w:rsid w:val="00A30FE9"/>
    <w:rsid w:val="00A4506E"/>
    <w:rsid w:val="00A560D4"/>
    <w:rsid w:val="00A565B9"/>
    <w:rsid w:val="00A619C3"/>
    <w:rsid w:val="00A752CC"/>
    <w:rsid w:val="00A7566C"/>
    <w:rsid w:val="00A91E74"/>
    <w:rsid w:val="00A9629F"/>
    <w:rsid w:val="00AA0018"/>
    <w:rsid w:val="00AA14C8"/>
    <w:rsid w:val="00AA1535"/>
    <w:rsid w:val="00AA3093"/>
    <w:rsid w:val="00AA3DDC"/>
    <w:rsid w:val="00AA5F4C"/>
    <w:rsid w:val="00AA6F58"/>
    <w:rsid w:val="00AB4972"/>
    <w:rsid w:val="00AB7F9D"/>
    <w:rsid w:val="00AC1238"/>
    <w:rsid w:val="00AC4657"/>
    <w:rsid w:val="00AC5A64"/>
    <w:rsid w:val="00AD31A6"/>
    <w:rsid w:val="00AD5CD2"/>
    <w:rsid w:val="00AE3CE4"/>
    <w:rsid w:val="00AE582F"/>
    <w:rsid w:val="00AF3B34"/>
    <w:rsid w:val="00B01A05"/>
    <w:rsid w:val="00B02772"/>
    <w:rsid w:val="00B119F5"/>
    <w:rsid w:val="00B130DF"/>
    <w:rsid w:val="00B15C35"/>
    <w:rsid w:val="00B16DB7"/>
    <w:rsid w:val="00B246D4"/>
    <w:rsid w:val="00B26C25"/>
    <w:rsid w:val="00B4029B"/>
    <w:rsid w:val="00B412F7"/>
    <w:rsid w:val="00B46634"/>
    <w:rsid w:val="00B500CC"/>
    <w:rsid w:val="00B5411D"/>
    <w:rsid w:val="00B54D21"/>
    <w:rsid w:val="00B60754"/>
    <w:rsid w:val="00B6405C"/>
    <w:rsid w:val="00B64D42"/>
    <w:rsid w:val="00B65864"/>
    <w:rsid w:val="00B9530F"/>
    <w:rsid w:val="00B9553C"/>
    <w:rsid w:val="00B96156"/>
    <w:rsid w:val="00B965CE"/>
    <w:rsid w:val="00BA00E5"/>
    <w:rsid w:val="00BA5F32"/>
    <w:rsid w:val="00BB0764"/>
    <w:rsid w:val="00BB0EBE"/>
    <w:rsid w:val="00BB487B"/>
    <w:rsid w:val="00BB5F38"/>
    <w:rsid w:val="00BB6A27"/>
    <w:rsid w:val="00BB7E7C"/>
    <w:rsid w:val="00BC230B"/>
    <w:rsid w:val="00BC2DF1"/>
    <w:rsid w:val="00BC56F6"/>
    <w:rsid w:val="00BD2532"/>
    <w:rsid w:val="00BE1415"/>
    <w:rsid w:val="00BE5D0C"/>
    <w:rsid w:val="00BF1275"/>
    <w:rsid w:val="00C02D90"/>
    <w:rsid w:val="00C07BA6"/>
    <w:rsid w:val="00C138A0"/>
    <w:rsid w:val="00C160EA"/>
    <w:rsid w:val="00C17213"/>
    <w:rsid w:val="00C210D8"/>
    <w:rsid w:val="00C24AAD"/>
    <w:rsid w:val="00C25DB8"/>
    <w:rsid w:val="00C302B5"/>
    <w:rsid w:val="00C3054F"/>
    <w:rsid w:val="00C559D6"/>
    <w:rsid w:val="00C6342E"/>
    <w:rsid w:val="00C65CC8"/>
    <w:rsid w:val="00C7314C"/>
    <w:rsid w:val="00C807B4"/>
    <w:rsid w:val="00C866F9"/>
    <w:rsid w:val="00C86A1F"/>
    <w:rsid w:val="00C92C6E"/>
    <w:rsid w:val="00CC1093"/>
    <w:rsid w:val="00CC4FC5"/>
    <w:rsid w:val="00CC623C"/>
    <w:rsid w:val="00CD592A"/>
    <w:rsid w:val="00CD7AD3"/>
    <w:rsid w:val="00CE1EA4"/>
    <w:rsid w:val="00CE36E6"/>
    <w:rsid w:val="00CF09BF"/>
    <w:rsid w:val="00CF7FDB"/>
    <w:rsid w:val="00D038A1"/>
    <w:rsid w:val="00D10831"/>
    <w:rsid w:val="00D13F49"/>
    <w:rsid w:val="00D2033D"/>
    <w:rsid w:val="00D24C79"/>
    <w:rsid w:val="00D26D97"/>
    <w:rsid w:val="00D35874"/>
    <w:rsid w:val="00D47BCD"/>
    <w:rsid w:val="00D53F8B"/>
    <w:rsid w:val="00D56DDE"/>
    <w:rsid w:val="00D648C1"/>
    <w:rsid w:val="00D73146"/>
    <w:rsid w:val="00D736BD"/>
    <w:rsid w:val="00D75FBE"/>
    <w:rsid w:val="00D81681"/>
    <w:rsid w:val="00D82871"/>
    <w:rsid w:val="00D858A3"/>
    <w:rsid w:val="00D907A8"/>
    <w:rsid w:val="00D90C7D"/>
    <w:rsid w:val="00DA536E"/>
    <w:rsid w:val="00DB4924"/>
    <w:rsid w:val="00DB5A21"/>
    <w:rsid w:val="00DC3619"/>
    <w:rsid w:val="00DC62ED"/>
    <w:rsid w:val="00DC71C4"/>
    <w:rsid w:val="00DD19F9"/>
    <w:rsid w:val="00DE0ABD"/>
    <w:rsid w:val="00DE3EFB"/>
    <w:rsid w:val="00DE4AF9"/>
    <w:rsid w:val="00DF4F6A"/>
    <w:rsid w:val="00DF7B9F"/>
    <w:rsid w:val="00E11B00"/>
    <w:rsid w:val="00E13849"/>
    <w:rsid w:val="00E14BDD"/>
    <w:rsid w:val="00E16B21"/>
    <w:rsid w:val="00E16E65"/>
    <w:rsid w:val="00E20F14"/>
    <w:rsid w:val="00E24F87"/>
    <w:rsid w:val="00E254F6"/>
    <w:rsid w:val="00E270FC"/>
    <w:rsid w:val="00E44A31"/>
    <w:rsid w:val="00E50799"/>
    <w:rsid w:val="00E5529A"/>
    <w:rsid w:val="00E57B9A"/>
    <w:rsid w:val="00E608A0"/>
    <w:rsid w:val="00E62A28"/>
    <w:rsid w:val="00E65D01"/>
    <w:rsid w:val="00E70C4A"/>
    <w:rsid w:val="00E715A5"/>
    <w:rsid w:val="00E747FC"/>
    <w:rsid w:val="00E76BA5"/>
    <w:rsid w:val="00E80257"/>
    <w:rsid w:val="00E81D78"/>
    <w:rsid w:val="00E82FAE"/>
    <w:rsid w:val="00E94FCA"/>
    <w:rsid w:val="00EA4F14"/>
    <w:rsid w:val="00EB30D9"/>
    <w:rsid w:val="00EB4FF9"/>
    <w:rsid w:val="00EC1EA1"/>
    <w:rsid w:val="00EC3320"/>
    <w:rsid w:val="00EC759E"/>
    <w:rsid w:val="00ED1B99"/>
    <w:rsid w:val="00ED2366"/>
    <w:rsid w:val="00ED5BAE"/>
    <w:rsid w:val="00EE452C"/>
    <w:rsid w:val="00F07478"/>
    <w:rsid w:val="00F21D8B"/>
    <w:rsid w:val="00F242CF"/>
    <w:rsid w:val="00F319D4"/>
    <w:rsid w:val="00F43D35"/>
    <w:rsid w:val="00F44F0E"/>
    <w:rsid w:val="00F534A0"/>
    <w:rsid w:val="00F5676D"/>
    <w:rsid w:val="00F652BA"/>
    <w:rsid w:val="00F65BDA"/>
    <w:rsid w:val="00F70331"/>
    <w:rsid w:val="00F71EEE"/>
    <w:rsid w:val="00F72810"/>
    <w:rsid w:val="00F73010"/>
    <w:rsid w:val="00F85A83"/>
    <w:rsid w:val="00F86429"/>
    <w:rsid w:val="00F90871"/>
    <w:rsid w:val="00FA0CEE"/>
    <w:rsid w:val="00FA2849"/>
    <w:rsid w:val="00FA464B"/>
    <w:rsid w:val="00FA491A"/>
    <w:rsid w:val="00FA5123"/>
    <w:rsid w:val="00FA5BF9"/>
    <w:rsid w:val="00FB4FB9"/>
    <w:rsid w:val="00FB698F"/>
    <w:rsid w:val="00FB7E86"/>
    <w:rsid w:val="00FC2B3F"/>
    <w:rsid w:val="00FD17F0"/>
    <w:rsid w:val="00FE612D"/>
    <w:rsid w:val="00FF2471"/>
    <w:rsid w:val="00FF41CA"/>
    <w:rsid w:val="00FF71FB"/>
    <w:rsid w:val="07A34FF1"/>
    <w:rsid w:val="0BF03BBA"/>
    <w:rsid w:val="1548607B"/>
    <w:rsid w:val="1708028A"/>
    <w:rsid w:val="18523DEF"/>
    <w:rsid w:val="1E0866D0"/>
    <w:rsid w:val="23EA558E"/>
    <w:rsid w:val="26D623A8"/>
    <w:rsid w:val="27F21AE8"/>
    <w:rsid w:val="2C6E6774"/>
    <w:rsid w:val="2CCE1561"/>
    <w:rsid w:val="34072B02"/>
    <w:rsid w:val="42B2248E"/>
    <w:rsid w:val="473C5600"/>
    <w:rsid w:val="48E8041B"/>
    <w:rsid w:val="4C3E387A"/>
    <w:rsid w:val="50B06EF5"/>
    <w:rsid w:val="5235306E"/>
    <w:rsid w:val="57264E93"/>
    <w:rsid w:val="575171CD"/>
    <w:rsid w:val="5A507C47"/>
    <w:rsid w:val="5B803C50"/>
    <w:rsid w:val="5CD115BF"/>
    <w:rsid w:val="5DA279C8"/>
    <w:rsid w:val="62FB0B5A"/>
    <w:rsid w:val="6D196605"/>
    <w:rsid w:val="6D30063E"/>
    <w:rsid w:val="70FB7800"/>
    <w:rsid w:val="75862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page number"/>
    <w:basedOn w:val="8"/>
    <w:qFormat/>
    <w:uiPriority w:val="0"/>
  </w:style>
  <w:style w:type="character" w:customStyle="1" w:styleId="10">
    <w:name w:val="页眉 Char"/>
    <w:basedOn w:val="8"/>
    <w:link w:val="4"/>
    <w:qFormat/>
    <w:uiPriority w:val="0"/>
    <w:rPr>
      <w:sz w:val="18"/>
      <w:szCs w:val="18"/>
    </w:rPr>
  </w:style>
  <w:style w:type="character" w:customStyle="1" w:styleId="11">
    <w:name w:val="页脚 Char"/>
    <w:basedOn w:val="8"/>
    <w:link w:val="3"/>
    <w:qFormat/>
    <w:uiPriority w:val="99"/>
    <w:rPr>
      <w:sz w:val="18"/>
      <w:szCs w:val="18"/>
    </w:rPr>
  </w:style>
  <w:style w:type="paragraph" w:customStyle="1" w:styleId="12">
    <w:name w:val="一级条标题"/>
    <w:next w:val="1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5">
    <w:name w:val="标准文件_章标题"/>
    <w:next w:val="1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标准文件_一级条标题"/>
    <w:basedOn w:val="15"/>
    <w:next w:val="16"/>
    <w:qFormat/>
    <w:uiPriority w:val="0"/>
    <w:pPr>
      <w:numPr>
        <w:ilvl w:val="2"/>
      </w:numPr>
      <w:spacing w:before="50" w:beforeLines="50" w:after="50" w:afterLines="50"/>
      <w:outlineLvl w:val="1"/>
    </w:pPr>
  </w:style>
  <w:style w:type="paragraph" w:customStyle="1" w:styleId="18">
    <w:name w:val="标准文件_二级无标题"/>
    <w:basedOn w:val="19"/>
    <w:qFormat/>
    <w:uiPriority w:val="0"/>
    <w:pPr>
      <w:spacing w:before="0" w:beforeLines="0" w:after="0" w:afterLines="0"/>
      <w:outlineLvl w:val="9"/>
    </w:pPr>
    <w:rPr>
      <w:rFonts w:ascii="宋体" w:eastAsia="宋体"/>
    </w:rPr>
  </w:style>
  <w:style w:type="paragraph" w:customStyle="1" w:styleId="19">
    <w:name w:val="标准文件_二级条标题"/>
    <w:next w:val="1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styleId="20">
    <w:name w:val="List Paragraph"/>
    <w:basedOn w:val="1"/>
    <w:qFormat/>
    <w:uiPriority w:val="34"/>
    <w:pPr>
      <w:ind w:firstLine="420" w:firstLineChars="200"/>
    </w:pPr>
  </w:style>
  <w:style w:type="paragraph" w:customStyle="1" w:styleId="21">
    <w:name w:val="标准文件_正文表标题"/>
    <w:next w:val="16"/>
    <w:qFormat/>
    <w:uiPriority w:val="0"/>
    <w:pPr>
      <w:numPr>
        <w:ilvl w:val="0"/>
        <w:numId w:val="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2">
    <w:name w:val="标准文件_一级无标题"/>
    <w:qFormat/>
    <w:uiPriority w:val="0"/>
    <w:pPr>
      <w:keepNext w:val="0"/>
      <w:keepLines w:val="0"/>
      <w:widowControl/>
      <w:numPr>
        <w:ilvl w:val="2"/>
        <w:numId w:val="4"/>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 w:type="character" w:customStyle="1" w:styleId="23">
    <w:name w:val="标准文件_段 Char"/>
    <w:basedOn w:val="8"/>
    <w:qFormat/>
    <w:uiPriority w:val="0"/>
    <w:rPr>
      <w:rFonts w:hint="eastAsia" w:ascii="宋体" w:hAnsi="宋体" w:eastAsia="宋体" w:cs="宋体"/>
      <w:sz w:val="21"/>
    </w:rPr>
  </w:style>
  <w:style w:type="paragraph" w:customStyle="1" w:styleId="24">
    <w:name w:val="标准文件_表格"/>
    <w:basedOn w:val="1"/>
    <w:qFormat/>
    <w:uiPriority w:val="0"/>
    <w:pPr>
      <w:keepNext w:val="0"/>
      <w:keepLines w:val="0"/>
      <w:widowControl/>
      <w:suppressLineNumbers w:val="0"/>
      <w:autoSpaceDE w:val="0"/>
      <w:autoSpaceDN w:val="0"/>
      <w:adjustRightInd/>
      <w:spacing w:before="0" w:beforeAutospacing="0" w:after="0" w:afterAutospacing="0" w:line="240" w:lineRule="auto"/>
      <w:ind w:left="0" w:right="0"/>
      <w:jc w:val="center"/>
    </w:pPr>
    <w:rPr>
      <w:rFonts w:hint="eastAsia" w:ascii="宋体" w:hAnsi="Times New Roman" w:eastAsia="宋体" w:cs="Times New Roman"/>
      <w:kern w:val="0"/>
      <w:sz w:val="18"/>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1696</Words>
  <Characters>1766</Characters>
  <Lines>22</Lines>
  <Paragraphs>6</Paragraphs>
  <TotalTime>5</TotalTime>
  <ScaleCrop>false</ScaleCrop>
  <LinksUpToDate>false</LinksUpToDate>
  <CharactersWithSpaces>1768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2022-11-04T03:33:00Z</dcterms:created>
  <dc:creator>张蓉</dc:creator>
  <cp:lastModifiedBy>不二</cp:lastModifiedBy>
  <dcterms:modified xsi:type="dcterms:W3CDTF">2026-02-09T02:38:35Z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930B2312FF7F40CBA4C37F0646DEB403_13</vt:lpwstr>
  </property>
  <property fmtid="{D5CDD505-2E9C-101B-9397-08002B2CF9AE}" pid="4" name="KSOTemplateDocerSaveRecord">
    <vt:lpwstr>eyJoZGlkIjoiYTBiMDI5YTdlOGFkNWVjYWJlNWUzZGZhMjc4MDI2ZmEiLCJ1c2VySWQiOiIxMTQ2OTcxNjU4In0=</vt:lpwstr>
  </property>
</Properties>
</file>