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1E75F">
      <w:pPr>
        <w:widowControl/>
        <w:jc w:val="left"/>
        <w:rPr>
          <w:rFonts w:hint="eastAsia" w:asciiTheme="minorEastAsia" w:hAnsiTheme="minorEastAsia"/>
          <w:b/>
          <w:sz w:val="32"/>
          <w:szCs w:val="32"/>
        </w:rPr>
      </w:pPr>
      <w:r>
        <w:rPr>
          <w:rFonts w:asciiTheme="minorEastAsia" w:hAnsiTheme="minorEastAsia"/>
          <w:sz w:val="28"/>
          <w:szCs w:val="28"/>
        </w:rPr>
        <w:t>附件</w:t>
      </w:r>
      <w:r>
        <w:rPr>
          <w:rFonts w:hint="eastAsia" w:asciiTheme="minorEastAsia" w:hAnsiTheme="minorEastAsia"/>
          <w:sz w:val="28"/>
          <w:szCs w:val="28"/>
        </w:rPr>
        <w:t>2</w:t>
      </w:r>
      <w:r>
        <w:rPr>
          <w:rFonts w:asciiTheme="minorEastAsia" w:hAnsiTheme="minorEastAsia"/>
          <w:sz w:val="28"/>
          <w:szCs w:val="28"/>
        </w:rPr>
        <w:t>：</w:t>
      </w:r>
    </w:p>
    <w:p w14:paraId="6CE4013A">
      <w:pPr>
        <w:jc w:val="center"/>
        <w:rPr>
          <w:rFonts w:hint="eastAsia" w:asciiTheme="minorEastAsia" w:hAnsiTheme="minorEastAsia"/>
          <w:b/>
          <w:sz w:val="32"/>
          <w:szCs w:val="32"/>
        </w:rPr>
      </w:pPr>
      <w:bookmarkStart w:id="0" w:name="团体标准编制说明（参考样式）"/>
      <w:bookmarkEnd w:id="0"/>
      <w:r>
        <w:rPr>
          <w:rFonts w:hint="eastAsia" w:asciiTheme="minorEastAsia" w:hAnsiTheme="minorEastAsia"/>
          <w:b/>
          <w:sz w:val="32"/>
          <w:szCs w:val="32"/>
        </w:rPr>
        <w:t>《失效磷酸铁锂修复再生效果检测方法》</w:t>
      </w:r>
    </w:p>
    <w:p w14:paraId="668941D4">
      <w:pPr>
        <w:jc w:val="center"/>
        <w:rPr>
          <w:rFonts w:hint="eastAsia" w:asciiTheme="minorEastAsia" w:hAnsiTheme="minorEastAsia"/>
          <w:sz w:val="24"/>
          <w:szCs w:val="24"/>
        </w:rPr>
      </w:pPr>
      <w:r>
        <w:rPr>
          <w:rFonts w:asciiTheme="minorEastAsia" w:hAnsiTheme="minorEastAsia"/>
          <w:b/>
          <w:sz w:val="32"/>
          <w:szCs w:val="32"/>
        </w:rPr>
        <w:t>团体标准编制说明</w:t>
      </w:r>
      <w:r>
        <w:rPr>
          <w:rFonts w:hint="eastAsia" w:asciiTheme="minorEastAsia" w:hAnsiTheme="minorEastAsia"/>
          <w:b/>
          <w:sz w:val="32"/>
          <w:szCs w:val="32"/>
        </w:rPr>
        <w:t>（征求意见稿）</w:t>
      </w:r>
    </w:p>
    <w:p w14:paraId="524D7E34">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一、工作简况</w:t>
      </w:r>
    </w:p>
    <w:p w14:paraId="69E8D6A8">
      <w:pPr>
        <w:adjustRightInd w:val="0"/>
        <w:snapToGrid w:val="0"/>
        <w:spacing w:line="360" w:lineRule="auto"/>
        <w:ind w:left="479" w:leftChars="228"/>
        <w:jc w:val="left"/>
        <w:rPr>
          <w:rFonts w:hint="eastAsia" w:asciiTheme="minorEastAsia" w:hAnsiTheme="minorEastAsia"/>
          <w:sz w:val="24"/>
          <w:szCs w:val="24"/>
        </w:rPr>
      </w:pPr>
      <w:r>
        <w:rPr>
          <w:rFonts w:hint="eastAsia" w:asciiTheme="minorEastAsia" w:hAnsiTheme="minorEastAsia"/>
          <w:b/>
          <w:sz w:val="24"/>
          <w:szCs w:val="24"/>
        </w:rPr>
        <w:t>1.1工作</w:t>
      </w:r>
      <w:r>
        <w:rPr>
          <w:rFonts w:asciiTheme="minorEastAsia" w:hAnsiTheme="minorEastAsia"/>
          <w:b/>
          <w:sz w:val="24"/>
          <w:szCs w:val="24"/>
        </w:rPr>
        <w:t>任务来源</w:t>
      </w:r>
    </w:p>
    <w:p w14:paraId="72E122CC">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国家《“十四五”循环经济发展规划》等文件明确了加强动力电池回收利用的目标。在此背景下，产业界已形成共识，即相比于能耗高、流程长的传统湿法或火法回收，对失效磷酸铁锂正极材料进行直接修复是更高效、经济且环境友好的技术路径。该技术能够通过在材料缺失的锂空位直接补锂，恢复其电化学性能，理论可帮助电芯厂降本，修复产品的价格可仅为新料的75%。因此，紧随修复工艺标准之后，制定专门的、统一的修复再生效果检测方法，是评估技术路线可行性、确保再生产品质量、引导产业健康发展的关键政策配套与技术支撑。</w:t>
      </w:r>
    </w:p>
    <w:p w14:paraId="57D9B8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该检测方法的提出，直接针对当前磷酸铁锂修复行业从技术验证迈向规模化商业应用所面临的几大核心痛点。首先，技术路线多样但缺乏统一的评价标尺，目前修复技术包括固相烧结法、水热法、熔盐法、电化学法等多种路线，不同技术修复后的材料性能表现不一，若无标准检测方法，市场将陷入“各自为政、自说自话”的混乱局面。其次，市场供需失衡与信任缺失并存，虽然修复料市场需求旺盛，可修复级正极片价格远高于再生料，但下游电池企业采用修复料时，面临性能与一致性验证的难题，这直接导致行业总体产能利用率低于30%，陷入“货源卡脖子”与“产品不敢用”的双重困境。最后，现有标准体系存在缺口，制定《失效磷酸铁锂修复再生效果检测方法》对于打通技术到市场的关键环节、建立行业互信、提升高质量修复产能利用率具有至关重要的现实必要性。统一标准的建立将为固态电池技术研发和应用提供明确方向，促进企业间技术交流与合作，加快创新成果转化。</w:t>
      </w:r>
    </w:p>
    <w:p w14:paraId="1905B609">
      <w:pPr>
        <w:spacing w:line="360" w:lineRule="auto"/>
        <w:ind w:firstLine="480"/>
        <w:rPr>
          <w:rFonts w:hint="eastAsia" w:ascii="仿宋_GB2312" w:hAnsi="宋体" w:eastAsia="仿宋_GB2312" w:cs="宋体"/>
          <w:color w:val="000000"/>
          <w:sz w:val="32"/>
          <w:szCs w:val="32"/>
        </w:rPr>
      </w:pPr>
      <w:r>
        <w:rPr>
          <w:rFonts w:hint="eastAsia" w:ascii="宋体" w:hAnsi="宋体" w:eastAsia="宋体" w:cs="宋体"/>
          <w:color w:val="000000"/>
          <w:sz w:val="24"/>
          <w:szCs w:val="24"/>
        </w:rPr>
        <w:t>经标准起草组及专家组多次调研论证，根据《团体标准管理规定》有关规定，特立项本标准。标准项目计划编号为T/CASMES-XXX-2026。</w:t>
      </w:r>
    </w:p>
    <w:p w14:paraId="69F3356B">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1.2主要工作过程</w:t>
      </w:r>
    </w:p>
    <w:p w14:paraId="494331D5">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1.2.1主要参加单位</w:t>
      </w:r>
    </w:p>
    <w:p w14:paraId="62E42AE9">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本标准主要起草单位：</w:t>
      </w:r>
      <w:r>
        <w:rPr>
          <w:rFonts w:hint="eastAsia" w:ascii="宋体" w:hAnsi="宋体" w:eastAsia="宋体" w:cs="宋体"/>
          <w:sz w:val="24"/>
          <w:szCs w:val="24"/>
        </w:rPr>
        <w:t>华南理工大学、中山大学、中豫飞马新材料技术创新中心（郑州）有限公司、武汉瑞科美新能源有限责任公司、上海交通大学、湖北回天新材料股份有限公司、广东金晟新能源股份有限公司、中国石油集团工程材料研究院有限公司、华兴中科标准技术(北京)有限公司</w:t>
      </w:r>
      <w:r>
        <w:rPr>
          <w:rFonts w:hint="eastAsia" w:ascii="宋体" w:hAnsi="宋体" w:eastAsia="宋体" w:cs="宋体"/>
          <w:color w:val="000000"/>
          <w:sz w:val="24"/>
          <w:szCs w:val="24"/>
        </w:rPr>
        <w:t>等。起草单位主要参与草案的修改，测试方法验证等标准工作。</w:t>
      </w:r>
    </w:p>
    <w:p w14:paraId="4286DCA8">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本标准主要起草人：张磊、谢昉曦、王选朋、崔洁、曹元成、张虎极、汪冬、李明泽、代欣宇、李磊、袁斌、韩旗英、蒋龙、吕海潮、李乐、李华、任国静、安秀民。</w:t>
      </w:r>
    </w:p>
    <w:p w14:paraId="7FF229E6">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1.2.2工作分工</w:t>
      </w:r>
    </w:p>
    <w:p w14:paraId="0A4DE075">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1.2.2.1第一次工作会议</w:t>
      </w:r>
    </w:p>
    <w:p w14:paraId="10CDADFB">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2026年1月28日，线上开启《失效磷酸铁锂修复再生效果检测方法》标准的讨论会。华南理工大学的张磊介绍标准背景和目标、华南理工大学李明泽宣讲了《失效磷酸铁锂修复再生效果检测方法》的标准草案，多家参编单位共同讨论。</w:t>
      </w:r>
    </w:p>
    <w:p w14:paraId="2305E3AD">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经讨论形成以下意见：</w:t>
      </w:r>
    </w:p>
    <w:p w14:paraId="0B3BEFA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会上成立</w:t>
      </w:r>
      <w:bookmarkStart w:id="1" w:name="_GoBack"/>
      <w:bookmarkEnd w:id="1"/>
      <w:r>
        <w:rPr>
          <w:rFonts w:asciiTheme="minorEastAsia" w:hAnsiTheme="minorEastAsia"/>
          <w:sz w:val="24"/>
          <w:szCs w:val="24"/>
        </w:rPr>
        <w:t>了标准工作小组。</w:t>
      </w:r>
    </w:p>
    <w:p w14:paraId="15648865">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成立</w:t>
      </w:r>
      <w:r>
        <w:rPr>
          <w:rFonts w:hint="eastAsia" w:ascii="宋体" w:hAnsi="宋体" w:eastAsia="宋体" w:cs="宋体"/>
          <w:color w:val="000000"/>
          <w:sz w:val="24"/>
          <w:szCs w:val="24"/>
        </w:rPr>
        <w:t>《失效磷酸铁锂修复再生效果检测方法》</w:t>
      </w:r>
      <w:r>
        <w:rPr>
          <w:rFonts w:asciiTheme="minorEastAsia" w:hAnsiTheme="minorEastAsia"/>
          <w:sz w:val="24"/>
          <w:szCs w:val="24"/>
        </w:rPr>
        <w:t>标准验证工作组，参与单位</w:t>
      </w:r>
      <w:r>
        <w:rPr>
          <w:rFonts w:hint="eastAsia" w:asciiTheme="minorEastAsia" w:hAnsiTheme="minorEastAsia"/>
          <w:sz w:val="24"/>
          <w:szCs w:val="24"/>
        </w:rPr>
        <w:t>9</w:t>
      </w:r>
      <w:r>
        <w:rPr>
          <w:rFonts w:asciiTheme="minorEastAsia" w:hAnsiTheme="minorEastAsia"/>
          <w:sz w:val="24"/>
          <w:szCs w:val="24"/>
        </w:rPr>
        <w:t>家。</w:t>
      </w:r>
    </w:p>
    <w:p w14:paraId="4CD1582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会上针对标准草案及</w:t>
      </w:r>
      <w:r>
        <w:rPr>
          <w:rFonts w:hint="eastAsia" w:asciiTheme="minorEastAsia" w:hAnsiTheme="minorEastAsia"/>
          <w:sz w:val="24"/>
          <w:szCs w:val="24"/>
        </w:rPr>
        <w:t>标准立项论证</w:t>
      </w:r>
      <w:r>
        <w:rPr>
          <w:rFonts w:asciiTheme="minorEastAsia" w:hAnsiTheme="minorEastAsia"/>
          <w:sz w:val="24"/>
          <w:szCs w:val="24"/>
        </w:rPr>
        <w:t>方案提出以下建议：</w:t>
      </w:r>
    </w:p>
    <w:p w14:paraId="245440F3">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2.1）</w:t>
      </w:r>
      <w:r>
        <w:rPr>
          <w:rFonts w:hint="eastAsia" w:asciiTheme="minorEastAsia" w:hAnsiTheme="minorEastAsia"/>
          <w:sz w:val="24"/>
          <w:szCs w:val="24"/>
        </w:rPr>
        <w:t>草案</w:t>
      </w:r>
      <w:r>
        <w:rPr>
          <w:rFonts w:asciiTheme="minorEastAsia" w:hAnsiTheme="minorEastAsia"/>
          <w:sz w:val="24"/>
          <w:szCs w:val="24"/>
        </w:rPr>
        <w:t>分发给工作组单位，由工作组单位逐一检查</w:t>
      </w:r>
      <w:r>
        <w:rPr>
          <w:rFonts w:hint="eastAsia" w:ascii="宋体" w:hAnsi="宋体" w:eastAsia="宋体" w:cs="宋体"/>
          <w:color w:val="000000"/>
          <w:sz w:val="24"/>
          <w:szCs w:val="24"/>
        </w:rPr>
        <w:t>。</w:t>
      </w:r>
    </w:p>
    <w:p w14:paraId="5C8F13A1">
      <w:pPr>
        <w:spacing w:line="360" w:lineRule="auto"/>
        <w:ind w:firstLine="480" w:firstLineChars="200"/>
        <w:rPr>
          <w:rFonts w:hint="eastAsia" w:ascii="宋体" w:hAnsi="宋体" w:eastAsia="宋体" w:cs="宋体"/>
          <w:color w:val="000000"/>
          <w:sz w:val="24"/>
          <w:szCs w:val="24"/>
        </w:rPr>
      </w:pPr>
      <w:r>
        <w:rPr>
          <w:rFonts w:hint="eastAsia" w:asciiTheme="minorEastAsia" w:hAnsiTheme="minorEastAsia"/>
          <w:sz w:val="24"/>
          <w:szCs w:val="24"/>
        </w:rPr>
        <w:t>2.2）</w:t>
      </w:r>
      <w:r>
        <w:rPr>
          <w:rFonts w:asciiTheme="minorEastAsia" w:hAnsiTheme="minorEastAsia"/>
          <w:sz w:val="24"/>
          <w:szCs w:val="24"/>
        </w:rPr>
        <w:t>会</w:t>
      </w:r>
      <w:r>
        <w:rPr>
          <w:rFonts w:hint="eastAsia" w:asciiTheme="minorEastAsia" w:hAnsiTheme="minorEastAsia"/>
          <w:sz w:val="24"/>
          <w:szCs w:val="24"/>
        </w:rPr>
        <w:t>上</w:t>
      </w:r>
      <w:r>
        <w:rPr>
          <w:rFonts w:asciiTheme="minorEastAsia" w:hAnsiTheme="minorEastAsia"/>
          <w:sz w:val="24"/>
          <w:szCs w:val="24"/>
        </w:rPr>
        <w:t>工作组单位完成</w:t>
      </w:r>
      <w:r>
        <w:rPr>
          <w:rFonts w:hint="eastAsia" w:asciiTheme="minorEastAsia" w:hAnsiTheme="minorEastAsia"/>
          <w:sz w:val="24"/>
          <w:szCs w:val="24"/>
        </w:rPr>
        <w:t>试验数据</w:t>
      </w:r>
      <w:r>
        <w:rPr>
          <w:rFonts w:asciiTheme="minorEastAsia" w:hAnsiTheme="minorEastAsia"/>
          <w:sz w:val="24"/>
          <w:szCs w:val="24"/>
        </w:rPr>
        <w:t>、</w:t>
      </w:r>
      <w:r>
        <w:rPr>
          <w:rFonts w:hint="eastAsia" w:asciiTheme="minorEastAsia" w:hAnsiTheme="minorEastAsia"/>
          <w:sz w:val="24"/>
          <w:szCs w:val="24"/>
        </w:rPr>
        <w:t>产品技术要求和参数的确定及修改</w:t>
      </w:r>
      <w:r>
        <w:rPr>
          <w:rFonts w:asciiTheme="minorEastAsia" w:hAnsiTheme="minorEastAsia"/>
          <w:sz w:val="24"/>
          <w:szCs w:val="24"/>
        </w:rPr>
        <w:t>，并</w:t>
      </w:r>
      <w:r>
        <w:rPr>
          <w:rFonts w:hint="eastAsia" w:asciiTheme="minorEastAsia" w:hAnsiTheme="minorEastAsia"/>
          <w:sz w:val="24"/>
          <w:szCs w:val="24"/>
        </w:rPr>
        <w:t>统一征集意见交由标准起草组确认。</w:t>
      </w:r>
    </w:p>
    <w:p w14:paraId="5F38C154">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1.2.2.2工作进度安排</w:t>
      </w:r>
    </w:p>
    <w:p w14:paraId="48E623F9">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2025年11月，项目市场调研。</w:t>
      </w:r>
    </w:p>
    <w:p w14:paraId="6CDB3905">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2025年12月，项目申报立项。</w:t>
      </w:r>
    </w:p>
    <w:p w14:paraId="38DAD0A8">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2026年1月，编写团体标准项目草案，召开标准讨论会。</w:t>
      </w:r>
    </w:p>
    <w:p w14:paraId="76FC3656">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2026年2月—3月，公开征求意见。</w:t>
      </w:r>
    </w:p>
    <w:p w14:paraId="4049DB9A">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2026年4月—5月，召开标准审定会。</w:t>
      </w:r>
    </w:p>
    <w:p w14:paraId="79DC0AC2">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2026年6月—7月，报批，发布。</w:t>
      </w:r>
    </w:p>
    <w:p w14:paraId="04F03B0A">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二、标准编制原则</w:t>
      </w:r>
    </w:p>
    <w:p w14:paraId="5A106C24">
      <w:pPr>
        <w:spacing w:line="360" w:lineRule="auto"/>
        <w:ind w:firstLine="480"/>
        <w:rPr>
          <w:rFonts w:hint="eastAsia" w:ascii="仿宋_GB2312" w:hAnsi="宋体" w:eastAsia="仿宋_GB2312" w:cs="宋体"/>
          <w:color w:val="000000"/>
          <w:sz w:val="32"/>
          <w:szCs w:val="32"/>
        </w:rPr>
      </w:pPr>
      <w:r>
        <w:rPr>
          <w:rFonts w:hint="eastAsia" w:ascii="宋体" w:hAnsi="宋体" w:eastAsia="宋体" w:cs="宋体"/>
          <w:color w:val="000000"/>
          <w:sz w:val="24"/>
          <w:szCs w:val="24"/>
        </w:rPr>
        <w:t>标准起草小组在编制标准过程中，以国家、行业现有的标准为制订基础，结合我国目前失效磷酸铁锂修复再生效果检测方法的现状，按照GB/T 1.1—2020《标准化工作导则 第1部分：标准化文件的结构和起草规则》的规定及相关要求编制。</w:t>
      </w:r>
    </w:p>
    <w:p w14:paraId="0A241A08">
      <w:pPr>
        <w:spacing w:line="360" w:lineRule="auto"/>
        <w:ind w:firstLine="643" w:firstLineChars="200"/>
        <w:rPr>
          <w:rFonts w:hint="eastAsia" w:ascii="宋体" w:hAnsi="宋体" w:eastAsia="宋体" w:cs="宋体"/>
          <w:color w:val="000000"/>
          <w:sz w:val="24"/>
          <w:szCs w:val="24"/>
        </w:rPr>
      </w:pPr>
      <w:r>
        <w:rPr>
          <w:rFonts w:hint="eastAsia" w:ascii="仿宋" w:hAnsi="仿宋" w:eastAsia="仿宋" w:cs="仿宋"/>
          <w:b/>
          <w:bCs/>
          <w:color w:val="000000"/>
          <w:kern w:val="0"/>
          <w:sz w:val="32"/>
          <w:szCs w:val="32"/>
        </w:rPr>
        <w:t>三、标准主要内容的确定</w:t>
      </w:r>
    </w:p>
    <w:p w14:paraId="17089CFA">
      <w:pPr>
        <w:spacing w:line="36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主要内容：</w:t>
      </w:r>
    </w:p>
    <w:p w14:paraId="65F2F083">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第4章 方法原理</w:t>
      </w:r>
    </w:p>
    <w:p w14:paraId="2B28522E">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阐述了失效磷酸铁锂修复再生效果检测的两类方法原理：一是理化性能检测，包括粒径、水分、比表面积、振实密度、元素含量等多项指标的测定方法与仪器原理；二是电化学性能检测，通过组装模拟电池进行充放电测试，评估比容量、库仑效率与倍率特性。</w:t>
      </w:r>
    </w:p>
    <w:p w14:paraId="388B050C">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：该章节依据行业通用的材料表征与电池测试方法，参照多项国家标准（如GB/T 19077、GB/T 6283、GB/T 19587等）和电化学测试规范，确保检测原理科学、方法可比、结果可靠。</w:t>
      </w:r>
    </w:p>
    <w:p w14:paraId="1AD86145">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第5章 通用要求</w:t>
      </w:r>
    </w:p>
    <w:p w14:paraId="6BBD99D0">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本章从一般要求、人员、场地、贮存和作业安全五个方面规定了检测活动的整体管理要求，包括机构资质、设备校准、样品管理、人员培训与防护、功能分区、安全设施、应急预案等内容。</w:t>
      </w:r>
    </w:p>
    <w:p w14:paraId="04962850">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：基于检测实验室质量管理体系（如ISO/IEC 17025理念）及相关安全环保标准（如GB 2894、GB 15603、GB 18597等），旨在确保检测过程规范、人员安全、环境可控、数据可追溯。</w:t>
      </w:r>
    </w:p>
    <w:p w14:paraId="4CDCB55E">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第6章 修复再生效果检测要求</w:t>
      </w:r>
    </w:p>
    <w:p w14:paraId="567A0DE2">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本章以表格形式明确列出了再生磷酸铁锂的理化性能与电化学性能的具体技术指标，包括外观、晶体结构、元素含量、比容量、循环寿命等关键参数的标准限值。</w:t>
      </w:r>
    </w:p>
    <w:p w14:paraId="0CD102FC">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：指标设定参考了现行磷酸铁锂材料相关国家标准（如GB/T 30835、GB/T 33822等）及行业实际应用要求，旨在为再生材料的质量评价提供明确、统一的判定依据。</w:t>
      </w:r>
    </w:p>
    <w:p w14:paraId="54CD42A0">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第7章 样品制备与处理</w:t>
      </w:r>
    </w:p>
    <w:p w14:paraId="559CE19C">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本章规定了再生磷酸铁锂成品样品的制备方法，要求通过气流分级控制粒径范围，并筛除过大团聚颗粒，确保样品符合检测要求。</w:t>
      </w:r>
    </w:p>
    <w:p w14:paraId="72480730">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：依据粉末样品制备的通用规范（如GB/T 5314）及材料表征对样品均匀性与代表性的要求，确保检测样品能够真实反映批次材料的性能。</w:t>
      </w:r>
    </w:p>
    <w:p w14:paraId="47844886">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第8章 修复再生效果检测与判定</w:t>
      </w:r>
    </w:p>
    <w:p w14:paraId="4708BC2E">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本章详细说明了各项理化与电化学性能的具体检测方法、依据标准、操作步骤，并规定了样品判定规则与复检程序。</w:t>
      </w:r>
    </w:p>
    <w:p w14:paraId="159D50CE">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：检测方法全面引用现行国家标准（如GB/T 46514、GB/T 41704、YS/T 1028.4等），确保检测操作标准化；判定与复检规则遵循抽样检验通则（GB/T 13732），保证结果公正性与批次评价科学性。</w:t>
      </w:r>
    </w:p>
    <w:p w14:paraId="3D6733A4">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第9章 环境保护要求</w:t>
      </w:r>
    </w:p>
    <w:p w14:paraId="4151FB13">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本章对检测过程中可能产生的废水、废气、噪声、固体废物及废弃电池的管理提出了明确的环保要求，强调污染物应达标排放、废物应分类处置。</w:t>
      </w:r>
    </w:p>
    <w:p w14:paraId="6292F49B">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依据国家环境保护相关法规与标准（如GB 8978、GB 16297、GB 18597、HJ 2025等），旨在规范检测活动的环境管理，防控二次污染，履行环保责任。</w:t>
      </w:r>
    </w:p>
    <w:p w14:paraId="195A174A">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第10章 检测记录和检测报告</w:t>
      </w:r>
    </w:p>
    <w:p w14:paraId="6435C296">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本章规定了检测记录和报告至少应包含的内容要素，包括样品信息、检测条件、数据结果、判定结论及责任人员信息等，确保检测过程可追溯、报告完整可靠。</w:t>
      </w:r>
    </w:p>
    <w:p w14:paraId="12469AB3">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遵循检测实验室记录与报告管理的通用准则，保证信息的完整性、真实性和可追溯性，满足质量管理和客户需求。</w:t>
      </w:r>
    </w:p>
    <w:p w14:paraId="327B3C51">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附录A（资料性） 修复再生磷酸铁锂化学分析方法：主元素和杂质元素含量的测定——电感耦合等离子体发射光谱法（ICP-OES）</w:t>
      </w:r>
    </w:p>
    <w:p w14:paraId="4F24B908">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本附录详细规定了使用ICP-OES测定再生磷酸铁锂中锂、铁、磷等主元素及铝、铜等杂质元素含量的方法，包括试剂、仪器条件、样品处理、分析步骤与精密度要求。</w:t>
      </w:r>
    </w:p>
    <w:p w14:paraId="75418DD6">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依据：方法主要参照GB/T 33822-2025等相关国家标准，并针对再生材料特点进行了适配，确保元素含量检测的准确性、重复性与可比性。</w:t>
      </w:r>
    </w:p>
    <w:p w14:paraId="4A18839E">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附录B（资料性）修复再生磷酸铁锂化学分析方法：氟离子含量的测定方法</w:t>
      </w:r>
    </w:p>
    <w:p w14:paraId="51D45019">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本附录规定了采用离子选择电极法测定再生磷酸铁锂中氟离子含量的详细步骤，包括样品碱熔前处理、标准曲线绘制、结果计算等内容。</w:t>
      </w:r>
    </w:p>
    <w:p w14:paraId="4B19F54C">
      <w:pPr>
        <w:spacing w:line="360" w:lineRule="auto"/>
        <w:ind w:firstLine="480"/>
        <w:rPr>
          <w:rFonts w:hint="eastAsia" w:ascii="宋体" w:hAnsi="宋体" w:eastAsia="宋体" w:cs="宋体"/>
          <w:color w:val="000000"/>
          <w:sz w:val="24"/>
          <w:szCs w:val="24"/>
        </w:rPr>
      </w:pPr>
      <w:r>
        <w:rPr>
          <w:rFonts w:hint="eastAsia" w:ascii="宋体" w:hAnsi="宋体" w:eastAsia="宋体" w:cs="宋体"/>
          <w:b/>
          <w:bCs/>
          <w:color w:val="000000"/>
          <w:sz w:val="24"/>
          <w:szCs w:val="24"/>
        </w:rPr>
        <w:t>依据</w:t>
      </w:r>
      <w:r>
        <w:rPr>
          <w:rFonts w:hint="eastAsia" w:ascii="宋体" w:hAnsi="宋体" w:eastAsia="宋体" w:cs="宋体"/>
          <w:color w:val="000000"/>
          <w:sz w:val="24"/>
          <w:szCs w:val="24"/>
        </w:rPr>
        <w:t>：方法依据GB/T 21057《无机化工产品中氟含量测定的通用方法 离子选择性电极法》，并适配再生磷酸铁锂样品特性，确保氟含量检测的准确性与可靠性。</w:t>
      </w:r>
    </w:p>
    <w:p w14:paraId="200F9576">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四、与国际、国外同类标准水平的对比情况</w:t>
      </w:r>
    </w:p>
    <w:p w14:paraId="45CB8951">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经查，暂无相同类型的国际标准与国外标准，故没有相应的国际标准、国外标准可采用。本标准达到国内先进水平。</w:t>
      </w:r>
    </w:p>
    <w:p w14:paraId="15384376">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五、与国内相关标准的关系</w:t>
      </w:r>
    </w:p>
    <w:p w14:paraId="72BB1837">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本标准的制定过程、技术要求的选定、试验方法的确定、检验项目设置等符合现行法律法规和强制性国家标准的规定。</w:t>
      </w:r>
    </w:p>
    <w:p w14:paraId="4AC113B2">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六、重大分歧意见的处理经过和依据</w:t>
      </w:r>
    </w:p>
    <w:p w14:paraId="6CD56BBC">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无。</w:t>
      </w:r>
    </w:p>
    <w:p w14:paraId="170A1C02">
      <w:pPr>
        <w:pStyle w:val="15"/>
        <w:numPr>
          <w:ilvl w:val="1"/>
          <w:numId w:val="0"/>
        </w:numPr>
        <w:spacing w:before="156" w:after="156"/>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七、标准作为强制性或推荐性标准的建议</w:t>
      </w:r>
    </w:p>
    <w:p w14:paraId="262464C3">
      <w:pPr>
        <w:spacing w:line="360" w:lineRule="auto"/>
        <w:ind w:firstLine="480"/>
        <w:rPr>
          <w:rFonts w:hint="eastAsia" w:ascii="仿宋_GB2312" w:hAnsi="宋体" w:eastAsia="仿宋_GB2312" w:cs="宋体"/>
          <w:color w:val="000000"/>
          <w:sz w:val="32"/>
          <w:szCs w:val="32"/>
        </w:rPr>
      </w:pPr>
      <w:r>
        <w:rPr>
          <w:rFonts w:hint="eastAsia" w:ascii="宋体" w:hAnsi="宋体" w:eastAsia="宋体" w:cs="宋体"/>
          <w:color w:val="000000"/>
          <w:sz w:val="24"/>
          <w:szCs w:val="24"/>
        </w:rPr>
        <w:t>建议该标准作为推荐性团体标准。</w:t>
      </w:r>
    </w:p>
    <w:p w14:paraId="6D59E696">
      <w:pPr>
        <w:spacing w:after="156" w:afterLines="50" w:line="360" w:lineRule="auto"/>
        <w:ind w:right="960" w:firstLine="643" w:firstLineChars="200"/>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八、其他</w:t>
      </w:r>
    </w:p>
    <w:p w14:paraId="5CBD268A">
      <w:pPr>
        <w:spacing w:after="156" w:afterLines="50" w:line="360" w:lineRule="auto"/>
        <w:ind w:right="960"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本标准不涉及专利。由于本标准首次制定，没有特殊要求。</w:t>
      </w:r>
    </w:p>
    <w:p w14:paraId="603DB34A">
      <w:pPr>
        <w:spacing w:after="156" w:afterLines="50" w:line="360" w:lineRule="auto"/>
        <w:ind w:right="960"/>
        <w:jc w:val="right"/>
        <w:outlineLvl w:val="1"/>
        <w:rPr>
          <w:rFonts w:hint="eastAsia" w:ascii="仿宋" w:hAnsi="仿宋" w:eastAsia="仿宋" w:cs="仿宋"/>
          <w:kern w:val="0"/>
          <w:sz w:val="32"/>
          <w:szCs w:val="32"/>
        </w:rPr>
      </w:pPr>
      <w:r>
        <w:rPr>
          <w:rFonts w:hint="eastAsia" w:ascii="仿宋" w:hAnsi="仿宋" w:eastAsia="仿宋" w:cs="仿宋"/>
          <w:kern w:val="0"/>
          <w:sz w:val="32"/>
          <w:szCs w:val="32"/>
        </w:rPr>
        <w:t>团体标准起草组</w:t>
      </w:r>
    </w:p>
    <w:p w14:paraId="1A30BD2E">
      <w:pPr>
        <w:spacing w:after="156" w:afterLines="50" w:line="360" w:lineRule="auto"/>
        <w:ind w:right="960"/>
        <w:jc w:val="right"/>
        <w:outlineLvl w:val="1"/>
      </w:pPr>
      <w:r>
        <w:rPr>
          <w:rFonts w:hint="eastAsia" w:ascii="仿宋" w:hAnsi="仿宋" w:eastAsia="仿宋" w:cs="仿宋"/>
          <w:kern w:val="0"/>
          <w:sz w:val="32"/>
          <w:szCs w:val="32"/>
        </w:rPr>
        <w:t>2026年1月</w:t>
      </w: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0F49">
    <w:pPr>
      <w:pStyle w:val="5"/>
      <w:framePr w:wrap="around" w:vAnchor="text" w:hAnchor="page" w:x="5941" w:y="73"/>
      <w:rPr>
        <w:rStyle w:val="11"/>
        <w:sz w:val="21"/>
      </w:rPr>
    </w:pPr>
    <w:r>
      <w:rPr>
        <w:rStyle w:val="11"/>
        <w:sz w:val="21"/>
      </w:rPr>
      <w:fldChar w:fldCharType="begin"/>
    </w:r>
    <w:r>
      <w:rPr>
        <w:rStyle w:val="11"/>
        <w:sz w:val="21"/>
      </w:rPr>
      <w:instrText xml:space="preserve">PAGE  </w:instrText>
    </w:r>
    <w:r>
      <w:rPr>
        <w:rStyle w:val="11"/>
        <w:sz w:val="21"/>
      </w:rPr>
      <w:fldChar w:fldCharType="separate"/>
    </w:r>
    <w:r>
      <w:rPr>
        <w:rStyle w:val="11"/>
        <w:sz w:val="21"/>
      </w:rPr>
      <w:t>10</w:t>
    </w:r>
    <w:r>
      <w:rPr>
        <w:rStyle w:val="11"/>
        <w:sz w:val="21"/>
      </w:rPr>
      <w:fldChar w:fldCharType="end"/>
    </w:r>
  </w:p>
  <w:p w14:paraId="2A58AD6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532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290BB"/>
    <w:multiLevelType w:val="multilevel"/>
    <w:tmpl w:val="F46290BB"/>
    <w:lvl w:ilvl="0" w:tentative="0">
      <w:start w:val="1"/>
      <w:numFmt w:val="lowerLetter"/>
      <w:pStyle w:val="25"/>
      <w:lvlText w:val="%1)"/>
      <w:lvlJc w:val="left"/>
      <w:pPr>
        <w:tabs>
          <w:tab w:val="left" w:pos="851"/>
        </w:tabs>
        <w:ind w:left="851" w:hanging="426"/>
      </w:pPr>
      <w:rPr>
        <w:rFonts w:hint="eastAsia" w:ascii="宋体" w:hAnsi="Times New Roman" w:eastAsia="宋体" w:cs="宋体"/>
        <w:sz w:val="21"/>
      </w:rPr>
    </w:lvl>
    <w:lvl w:ilvl="1" w:tentative="0">
      <w:start w:val="1"/>
      <w:numFmt w:val="decimal"/>
      <w:lvlText w:val="%2)"/>
      <w:lvlJc w:val="left"/>
      <w:pPr>
        <w:tabs>
          <w:tab w:val="left" w:pos="1276"/>
        </w:tabs>
        <w:ind w:left="1276" w:hanging="425"/>
      </w:pPr>
      <w:rPr>
        <w:rFonts w:hint="eastAsia" w:ascii="宋体" w:hAnsi="Times New Roman" w:eastAsia="宋体" w:cs="宋体"/>
        <w:sz w:val="21"/>
      </w:rPr>
    </w:lvl>
    <w:lvl w:ilvl="2" w:tentative="0">
      <w:start w:val="1"/>
      <w:numFmt w:val="decimal"/>
      <w:lvlText w:val="(%3)"/>
      <w:lvlJc w:val="left"/>
      <w:pPr>
        <w:ind w:left="1702" w:hanging="425"/>
      </w:pPr>
      <w:rPr>
        <w:rFonts w:hint="eastAsia" w:ascii="宋体" w:hAnsi="Times New Roman" w:eastAsia="宋体" w:cs="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A723D05"/>
    <w:multiLevelType w:val="multilevel"/>
    <w:tmpl w:val="3A723D05"/>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1135" w:firstLine="0"/>
      </w:pPr>
      <w:rPr>
        <w:rFonts w:hint="eastAsia" w:ascii="黑体" w:hAnsi="Times New Roman" w:eastAsia="黑体" w:cs="黑体"/>
        <w:b w:val="0"/>
        <w:i w:val="0"/>
        <w:sz w:val="21"/>
      </w:rPr>
    </w:lvl>
    <w:lvl w:ilvl="4" w:tentative="0">
      <w:start w:val="1"/>
      <w:numFmt w:val="decimal"/>
      <w:pStyle w:val="27"/>
      <w:suff w:val="nothing"/>
      <w:lvlText w:val="%1%2.%3.%4.%5　"/>
      <w:lvlJc w:val="left"/>
      <w:pPr>
        <w:ind w:left="3403"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646260FA"/>
    <w:multiLevelType w:val="multilevel"/>
    <w:tmpl w:val="646260FA"/>
    <w:lvl w:ilvl="0" w:tentative="0">
      <w:start w:val="1"/>
      <w:numFmt w:val="decimal"/>
      <w:pStyle w:val="2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22"/>
      <w:suff w:val="nothing"/>
      <w:lvlText w:val="%1%2.%3.%4　"/>
      <w:lvlJc w:val="left"/>
      <w:pPr>
        <w:ind w:left="142"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jFmODQ3MjE4MTQwYmU4MzA4YTU3N2MzZmFjYzUifQ=="/>
  </w:docVars>
  <w:rsids>
    <w:rsidRoot w:val="0050107B"/>
    <w:rsid w:val="00014C5B"/>
    <w:rsid w:val="0001605A"/>
    <w:rsid w:val="00017177"/>
    <w:rsid w:val="000204F8"/>
    <w:rsid w:val="00023156"/>
    <w:rsid w:val="00026693"/>
    <w:rsid w:val="00030DB7"/>
    <w:rsid w:val="00035E3A"/>
    <w:rsid w:val="000362E6"/>
    <w:rsid w:val="00040546"/>
    <w:rsid w:val="0004364A"/>
    <w:rsid w:val="00052B27"/>
    <w:rsid w:val="0005487E"/>
    <w:rsid w:val="00054E3B"/>
    <w:rsid w:val="00062BB5"/>
    <w:rsid w:val="00062BFE"/>
    <w:rsid w:val="000636E0"/>
    <w:rsid w:val="00064D22"/>
    <w:rsid w:val="00072B32"/>
    <w:rsid w:val="00075547"/>
    <w:rsid w:val="0008004C"/>
    <w:rsid w:val="00083128"/>
    <w:rsid w:val="000837DC"/>
    <w:rsid w:val="00091DEE"/>
    <w:rsid w:val="00093403"/>
    <w:rsid w:val="000978F1"/>
    <w:rsid w:val="000A01DD"/>
    <w:rsid w:val="000A0FE6"/>
    <w:rsid w:val="000A0FF2"/>
    <w:rsid w:val="000A334A"/>
    <w:rsid w:val="000A3D4F"/>
    <w:rsid w:val="000B1204"/>
    <w:rsid w:val="000B1CFD"/>
    <w:rsid w:val="000B246C"/>
    <w:rsid w:val="000C12ED"/>
    <w:rsid w:val="000C6846"/>
    <w:rsid w:val="000C6D46"/>
    <w:rsid w:val="000D082C"/>
    <w:rsid w:val="000D3ED3"/>
    <w:rsid w:val="000D4167"/>
    <w:rsid w:val="000D6BAE"/>
    <w:rsid w:val="000E3035"/>
    <w:rsid w:val="000F277A"/>
    <w:rsid w:val="00103B4C"/>
    <w:rsid w:val="001054C7"/>
    <w:rsid w:val="00112935"/>
    <w:rsid w:val="00120129"/>
    <w:rsid w:val="00131F91"/>
    <w:rsid w:val="0013279E"/>
    <w:rsid w:val="001335F8"/>
    <w:rsid w:val="00134FD2"/>
    <w:rsid w:val="00135547"/>
    <w:rsid w:val="00140AA8"/>
    <w:rsid w:val="001530A4"/>
    <w:rsid w:val="00155B2A"/>
    <w:rsid w:val="001565B1"/>
    <w:rsid w:val="001566C2"/>
    <w:rsid w:val="00163C64"/>
    <w:rsid w:val="001668D1"/>
    <w:rsid w:val="00170C8C"/>
    <w:rsid w:val="0017273D"/>
    <w:rsid w:val="00174EB5"/>
    <w:rsid w:val="0017516C"/>
    <w:rsid w:val="00184044"/>
    <w:rsid w:val="001865C6"/>
    <w:rsid w:val="001907BD"/>
    <w:rsid w:val="001920E6"/>
    <w:rsid w:val="00196075"/>
    <w:rsid w:val="001B25E4"/>
    <w:rsid w:val="001B2612"/>
    <w:rsid w:val="001B370C"/>
    <w:rsid w:val="001B67B8"/>
    <w:rsid w:val="001B760A"/>
    <w:rsid w:val="001C6FFD"/>
    <w:rsid w:val="001D43B6"/>
    <w:rsid w:val="001E6D29"/>
    <w:rsid w:val="001F7532"/>
    <w:rsid w:val="001F7D49"/>
    <w:rsid w:val="00203C87"/>
    <w:rsid w:val="00212BB2"/>
    <w:rsid w:val="00221B68"/>
    <w:rsid w:val="0022761C"/>
    <w:rsid w:val="00227D66"/>
    <w:rsid w:val="00230CFD"/>
    <w:rsid w:val="0023695A"/>
    <w:rsid w:val="00240451"/>
    <w:rsid w:val="00247B29"/>
    <w:rsid w:val="002500A7"/>
    <w:rsid w:val="00255C06"/>
    <w:rsid w:val="00267B1F"/>
    <w:rsid w:val="00293FE2"/>
    <w:rsid w:val="002942BE"/>
    <w:rsid w:val="0029507E"/>
    <w:rsid w:val="00297431"/>
    <w:rsid w:val="002A29A4"/>
    <w:rsid w:val="002A6D1E"/>
    <w:rsid w:val="002B0AB5"/>
    <w:rsid w:val="002B6F05"/>
    <w:rsid w:val="002B7C82"/>
    <w:rsid w:val="002C231D"/>
    <w:rsid w:val="002C50BC"/>
    <w:rsid w:val="002C5983"/>
    <w:rsid w:val="002D5025"/>
    <w:rsid w:val="002E1DC7"/>
    <w:rsid w:val="002E2D4E"/>
    <w:rsid w:val="00300F76"/>
    <w:rsid w:val="00303C42"/>
    <w:rsid w:val="00306866"/>
    <w:rsid w:val="00306E16"/>
    <w:rsid w:val="00307BB8"/>
    <w:rsid w:val="0031031F"/>
    <w:rsid w:val="0031670F"/>
    <w:rsid w:val="00320DF6"/>
    <w:rsid w:val="00327CD6"/>
    <w:rsid w:val="003314AC"/>
    <w:rsid w:val="00341DCE"/>
    <w:rsid w:val="00353984"/>
    <w:rsid w:val="00354432"/>
    <w:rsid w:val="003606C8"/>
    <w:rsid w:val="00370AD1"/>
    <w:rsid w:val="00373214"/>
    <w:rsid w:val="003804A0"/>
    <w:rsid w:val="00385C4E"/>
    <w:rsid w:val="003904D4"/>
    <w:rsid w:val="00391D77"/>
    <w:rsid w:val="003A26F5"/>
    <w:rsid w:val="003A4B7C"/>
    <w:rsid w:val="003C2A5A"/>
    <w:rsid w:val="003C318B"/>
    <w:rsid w:val="003C360F"/>
    <w:rsid w:val="003C5DFA"/>
    <w:rsid w:val="003D322C"/>
    <w:rsid w:val="003D5F31"/>
    <w:rsid w:val="003F1797"/>
    <w:rsid w:val="003F6289"/>
    <w:rsid w:val="004024FD"/>
    <w:rsid w:val="004026A0"/>
    <w:rsid w:val="0040520C"/>
    <w:rsid w:val="00410CDF"/>
    <w:rsid w:val="00411F42"/>
    <w:rsid w:val="00411FD5"/>
    <w:rsid w:val="00413C56"/>
    <w:rsid w:val="00414D14"/>
    <w:rsid w:val="00420C88"/>
    <w:rsid w:val="00425C96"/>
    <w:rsid w:val="00442D7A"/>
    <w:rsid w:val="00445C75"/>
    <w:rsid w:val="00450354"/>
    <w:rsid w:val="004573DE"/>
    <w:rsid w:val="00463240"/>
    <w:rsid w:val="004747C6"/>
    <w:rsid w:val="0047775B"/>
    <w:rsid w:val="00477E26"/>
    <w:rsid w:val="00485A88"/>
    <w:rsid w:val="0048678A"/>
    <w:rsid w:val="00493B96"/>
    <w:rsid w:val="00495DDE"/>
    <w:rsid w:val="004B0199"/>
    <w:rsid w:val="004B5B58"/>
    <w:rsid w:val="004C02F3"/>
    <w:rsid w:val="004C42C2"/>
    <w:rsid w:val="004C6C3F"/>
    <w:rsid w:val="004C799F"/>
    <w:rsid w:val="004D568B"/>
    <w:rsid w:val="004E011B"/>
    <w:rsid w:val="004E1816"/>
    <w:rsid w:val="004E4698"/>
    <w:rsid w:val="004E6E8C"/>
    <w:rsid w:val="004F0E3E"/>
    <w:rsid w:val="004F16B8"/>
    <w:rsid w:val="004F2979"/>
    <w:rsid w:val="004F2C44"/>
    <w:rsid w:val="004F4FC9"/>
    <w:rsid w:val="004F6EB2"/>
    <w:rsid w:val="004F7772"/>
    <w:rsid w:val="0050107B"/>
    <w:rsid w:val="005032F7"/>
    <w:rsid w:val="005202A3"/>
    <w:rsid w:val="00527240"/>
    <w:rsid w:val="00532191"/>
    <w:rsid w:val="005355B3"/>
    <w:rsid w:val="00537858"/>
    <w:rsid w:val="00540FDF"/>
    <w:rsid w:val="005443CD"/>
    <w:rsid w:val="00544955"/>
    <w:rsid w:val="0054639A"/>
    <w:rsid w:val="005520A1"/>
    <w:rsid w:val="00563444"/>
    <w:rsid w:val="005635B7"/>
    <w:rsid w:val="00564146"/>
    <w:rsid w:val="00564F03"/>
    <w:rsid w:val="00574C54"/>
    <w:rsid w:val="00576B34"/>
    <w:rsid w:val="00583B69"/>
    <w:rsid w:val="00584C9B"/>
    <w:rsid w:val="00586621"/>
    <w:rsid w:val="00590226"/>
    <w:rsid w:val="00591707"/>
    <w:rsid w:val="005A160B"/>
    <w:rsid w:val="005A1CC9"/>
    <w:rsid w:val="005A22E5"/>
    <w:rsid w:val="005A5598"/>
    <w:rsid w:val="005B050F"/>
    <w:rsid w:val="005B2435"/>
    <w:rsid w:val="005C2474"/>
    <w:rsid w:val="005C4BAF"/>
    <w:rsid w:val="005C7E8F"/>
    <w:rsid w:val="005D4614"/>
    <w:rsid w:val="005D598F"/>
    <w:rsid w:val="005D5D29"/>
    <w:rsid w:val="005E340C"/>
    <w:rsid w:val="005E744C"/>
    <w:rsid w:val="005F17DE"/>
    <w:rsid w:val="005F3C70"/>
    <w:rsid w:val="0060241D"/>
    <w:rsid w:val="006050CE"/>
    <w:rsid w:val="00607E7D"/>
    <w:rsid w:val="00620E42"/>
    <w:rsid w:val="0062472C"/>
    <w:rsid w:val="00626CBD"/>
    <w:rsid w:val="00631A1F"/>
    <w:rsid w:val="00633F10"/>
    <w:rsid w:val="0063786A"/>
    <w:rsid w:val="00640970"/>
    <w:rsid w:val="00640D1D"/>
    <w:rsid w:val="00641ACC"/>
    <w:rsid w:val="006431FB"/>
    <w:rsid w:val="006449F3"/>
    <w:rsid w:val="006540F4"/>
    <w:rsid w:val="006555AA"/>
    <w:rsid w:val="006577A4"/>
    <w:rsid w:val="006638D9"/>
    <w:rsid w:val="00671AD3"/>
    <w:rsid w:val="00673C2A"/>
    <w:rsid w:val="00684D3C"/>
    <w:rsid w:val="00691359"/>
    <w:rsid w:val="00693259"/>
    <w:rsid w:val="00694780"/>
    <w:rsid w:val="006976CB"/>
    <w:rsid w:val="006A0596"/>
    <w:rsid w:val="006A0AF5"/>
    <w:rsid w:val="006A25D3"/>
    <w:rsid w:val="006A28A6"/>
    <w:rsid w:val="006A5167"/>
    <w:rsid w:val="006A6CCD"/>
    <w:rsid w:val="006B0E0B"/>
    <w:rsid w:val="006B2101"/>
    <w:rsid w:val="006C11CA"/>
    <w:rsid w:val="006C21D7"/>
    <w:rsid w:val="006C337D"/>
    <w:rsid w:val="006D1FDF"/>
    <w:rsid w:val="006D26CD"/>
    <w:rsid w:val="006D2DEE"/>
    <w:rsid w:val="006D379D"/>
    <w:rsid w:val="006E40C1"/>
    <w:rsid w:val="006E5BF8"/>
    <w:rsid w:val="006F2408"/>
    <w:rsid w:val="006F3D83"/>
    <w:rsid w:val="006F4E99"/>
    <w:rsid w:val="006F5212"/>
    <w:rsid w:val="006F5F2D"/>
    <w:rsid w:val="00704A5F"/>
    <w:rsid w:val="007101C7"/>
    <w:rsid w:val="00710AC9"/>
    <w:rsid w:val="00713C4B"/>
    <w:rsid w:val="0071595F"/>
    <w:rsid w:val="00715C39"/>
    <w:rsid w:val="00715DBA"/>
    <w:rsid w:val="00725C76"/>
    <w:rsid w:val="00735AC5"/>
    <w:rsid w:val="00744B9E"/>
    <w:rsid w:val="0075419A"/>
    <w:rsid w:val="007557CC"/>
    <w:rsid w:val="007569BE"/>
    <w:rsid w:val="00764686"/>
    <w:rsid w:val="00765705"/>
    <w:rsid w:val="007810D6"/>
    <w:rsid w:val="007823FE"/>
    <w:rsid w:val="00785B1B"/>
    <w:rsid w:val="00785CD5"/>
    <w:rsid w:val="0078652A"/>
    <w:rsid w:val="00786DBB"/>
    <w:rsid w:val="007874A9"/>
    <w:rsid w:val="00790118"/>
    <w:rsid w:val="00790C49"/>
    <w:rsid w:val="0079101E"/>
    <w:rsid w:val="007A04B7"/>
    <w:rsid w:val="007A5F8D"/>
    <w:rsid w:val="007A7606"/>
    <w:rsid w:val="007A7E19"/>
    <w:rsid w:val="007B10AC"/>
    <w:rsid w:val="007C403E"/>
    <w:rsid w:val="007D04F6"/>
    <w:rsid w:val="007D19F6"/>
    <w:rsid w:val="007D2CE6"/>
    <w:rsid w:val="007D2E3C"/>
    <w:rsid w:val="007D3CF0"/>
    <w:rsid w:val="007D64B8"/>
    <w:rsid w:val="007E4E4A"/>
    <w:rsid w:val="007F0332"/>
    <w:rsid w:val="007F19B5"/>
    <w:rsid w:val="00800EEB"/>
    <w:rsid w:val="0080185F"/>
    <w:rsid w:val="00802BEC"/>
    <w:rsid w:val="00804692"/>
    <w:rsid w:val="00806467"/>
    <w:rsid w:val="00807A61"/>
    <w:rsid w:val="0081054D"/>
    <w:rsid w:val="00811C74"/>
    <w:rsid w:val="0081216B"/>
    <w:rsid w:val="00812780"/>
    <w:rsid w:val="0081597F"/>
    <w:rsid w:val="00820A86"/>
    <w:rsid w:val="00821832"/>
    <w:rsid w:val="0083372B"/>
    <w:rsid w:val="00844705"/>
    <w:rsid w:val="008501A8"/>
    <w:rsid w:val="0085577A"/>
    <w:rsid w:val="008562D3"/>
    <w:rsid w:val="00860826"/>
    <w:rsid w:val="008629D8"/>
    <w:rsid w:val="008660EE"/>
    <w:rsid w:val="00875A6F"/>
    <w:rsid w:val="008843AD"/>
    <w:rsid w:val="00885896"/>
    <w:rsid w:val="00886E13"/>
    <w:rsid w:val="008A4A72"/>
    <w:rsid w:val="008B1DC6"/>
    <w:rsid w:val="008B2DA2"/>
    <w:rsid w:val="008B4430"/>
    <w:rsid w:val="008B5E1E"/>
    <w:rsid w:val="008B6ABD"/>
    <w:rsid w:val="008C258D"/>
    <w:rsid w:val="008C671B"/>
    <w:rsid w:val="008C7D8E"/>
    <w:rsid w:val="008D2A92"/>
    <w:rsid w:val="008D3504"/>
    <w:rsid w:val="008E0BC8"/>
    <w:rsid w:val="008E3B0C"/>
    <w:rsid w:val="008E795C"/>
    <w:rsid w:val="008F5A9D"/>
    <w:rsid w:val="008F6557"/>
    <w:rsid w:val="00902BDA"/>
    <w:rsid w:val="00904327"/>
    <w:rsid w:val="00905D0C"/>
    <w:rsid w:val="009202D8"/>
    <w:rsid w:val="0092567C"/>
    <w:rsid w:val="00925724"/>
    <w:rsid w:val="00926721"/>
    <w:rsid w:val="00927987"/>
    <w:rsid w:val="0093070D"/>
    <w:rsid w:val="00932552"/>
    <w:rsid w:val="00942159"/>
    <w:rsid w:val="00952342"/>
    <w:rsid w:val="0095603A"/>
    <w:rsid w:val="009561A0"/>
    <w:rsid w:val="009563A6"/>
    <w:rsid w:val="009678BA"/>
    <w:rsid w:val="00974E81"/>
    <w:rsid w:val="009757F6"/>
    <w:rsid w:val="00977D38"/>
    <w:rsid w:val="00982E78"/>
    <w:rsid w:val="00983093"/>
    <w:rsid w:val="00990F1B"/>
    <w:rsid w:val="00993D61"/>
    <w:rsid w:val="009975FE"/>
    <w:rsid w:val="009A0864"/>
    <w:rsid w:val="009A416D"/>
    <w:rsid w:val="009B32F0"/>
    <w:rsid w:val="009B396A"/>
    <w:rsid w:val="009B4BA9"/>
    <w:rsid w:val="009C03E0"/>
    <w:rsid w:val="009C18CF"/>
    <w:rsid w:val="009C3B0C"/>
    <w:rsid w:val="009C6A4F"/>
    <w:rsid w:val="009D3E05"/>
    <w:rsid w:val="009D62A5"/>
    <w:rsid w:val="009D7292"/>
    <w:rsid w:val="009D7832"/>
    <w:rsid w:val="009E134A"/>
    <w:rsid w:val="009E1CD3"/>
    <w:rsid w:val="009E303B"/>
    <w:rsid w:val="009E3D00"/>
    <w:rsid w:val="009F130C"/>
    <w:rsid w:val="00A005D9"/>
    <w:rsid w:val="00A152D3"/>
    <w:rsid w:val="00A23E10"/>
    <w:rsid w:val="00A25555"/>
    <w:rsid w:val="00A30FE9"/>
    <w:rsid w:val="00A4506E"/>
    <w:rsid w:val="00A560D4"/>
    <w:rsid w:val="00A565B9"/>
    <w:rsid w:val="00A619C3"/>
    <w:rsid w:val="00A752CC"/>
    <w:rsid w:val="00A7566C"/>
    <w:rsid w:val="00A91E74"/>
    <w:rsid w:val="00A9629F"/>
    <w:rsid w:val="00AA0018"/>
    <w:rsid w:val="00AA14C8"/>
    <w:rsid w:val="00AA1535"/>
    <w:rsid w:val="00AA3093"/>
    <w:rsid w:val="00AA3DDC"/>
    <w:rsid w:val="00AA5F4C"/>
    <w:rsid w:val="00AA6F58"/>
    <w:rsid w:val="00AB4972"/>
    <w:rsid w:val="00AB7F9D"/>
    <w:rsid w:val="00AC1238"/>
    <w:rsid w:val="00AC4657"/>
    <w:rsid w:val="00AC5A64"/>
    <w:rsid w:val="00AD31A6"/>
    <w:rsid w:val="00AD5CD2"/>
    <w:rsid w:val="00AE3CE4"/>
    <w:rsid w:val="00AE582F"/>
    <w:rsid w:val="00AF3B34"/>
    <w:rsid w:val="00B01A05"/>
    <w:rsid w:val="00B02772"/>
    <w:rsid w:val="00B119F5"/>
    <w:rsid w:val="00B130DF"/>
    <w:rsid w:val="00B15C35"/>
    <w:rsid w:val="00B16DB7"/>
    <w:rsid w:val="00B246D4"/>
    <w:rsid w:val="00B26C25"/>
    <w:rsid w:val="00B4029B"/>
    <w:rsid w:val="00B412F7"/>
    <w:rsid w:val="00B46634"/>
    <w:rsid w:val="00B500CC"/>
    <w:rsid w:val="00B5411D"/>
    <w:rsid w:val="00B54D21"/>
    <w:rsid w:val="00B60754"/>
    <w:rsid w:val="00B6405C"/>
    <w:rsid w:val="00B64D42"/>
    <w:rsid w:val="00B65864"/>
    <w:rsid w:val="00B9530F"/>
    <w:rsid w:val="00B9553C"/>
    <w:rsid w:val="00B96156"/>
    <w:rsid w:val="00B965CE"/>
    <w:rsid w:val="00BA00E5"/>
    <w:rsid w:val="00BA5F32"/>
    <w:rsid w:val="00BB0764"/>
    <w:rsid w:val="00BB0EBE"/>
    <w:rsid w:val="00BB487B"/>
    <w:rsid w:val="00BB5F38"/>
    <w:rsid w:val="00BB6A27"/>
    <w:rsid w:val="00BB7E7C"/>
    <w:rsid w:val="00BC230B"/>
    <w:rsid w:val="00BC2DF1"/>
    <w:rsid w:val="00BC56F6"/>
    <w:rsid w:val="00BD2532"/>
    <w:rsid w:val="00BE0207"/>
    <w:rsid w:val="00BE1415"/>
    <w:rsid w:val="00BE5D0C"/>
    <w:rsid w:val="00BF1275"/>
    <w:rsid w:val="00C02D90"/>
    <w:rsid w:val="00C07BA6"/>
    <w:rsid w:val="00C138A0"/>
    <w:rsid w:val="00C160EA"/>
    <w:rsid w:val="00C17213"/>
    <w:rsid w:val="00C210D8"/>
    <w:rsid w:val="00C24AAD"/>
    <w:rsid w:val="00C25DB8"/>
    <w:rsid w:val="00C302B5"/>
    <w:rsid w:val="00C3054F"/>
    <w:rsid w:val="00C559D6"/>
    <w:rsid w:val="00C61748"/>
    <w:rsid w:val="00C6342E"/>
    <w:rsid w:val="00C65CC8"/>
    <w:rsid w:val="00C7314C"/>
    <w:rsid w:val="00C807B4"/>
    <w:rsid w:val="00C866F9"/>
    <w:rsid w:val="00C86A1F"/>
    <w:rsid w:val="00C92C6E"/>
    <w:rsid w:val="00CC1093"/>
    <w:rsid w:val="00CC4FC5"/>
    <w:rsid w:val="00CC623C"/>
    <w:rsid w:val="00CD592A"/>
    <w:rsid w:val="00CD7AD3"/>
    <w:rsid w:val="00CE1EA4"/>
    <w:rsid w:val="00CE36E6"/>
    <w:rsid w:val="00CF09BF"/>
    <w:rsid w:val="00CF3869"/>
    <w:rsid w:val="00CF7FDB"/>
    <w:rsid w:val="00D038A1"/>
    <w:rsid w:val="00D10831"/>
    <w:rsid w:val="00D13F49"/>
    <w:rsid w:val="00D153F0"/>
    <w:rsid w:val="00D2033D"/>
    <w:rsid w:val="00D24C79"/>
    <w:rsid w:val="00D26D97"/>
    <w:rsid w:val="00D35874"/>
    <w:rsid w:val="00D47BCD"/>
    <w:rsid w:val="00D53F8B"/>
    <w:rsid w:val="00D56DDE"/>
    <w:rsid w:val="00D648C1"/>
    <w:rsid w:val="00D73146"/>
    <w:rsid w:val="00D736BD"/>
    <w:rsid w:val="00D75FBE"/>
    <w:rsid w:val="00D81681"/>
    <w:rsid w:val="00D82871"/>
    <w:rsid w:val="00D858A3"/>
    <w:rsid w:val="00D907A8"/>
    <w:rsid w:val="00D90C7D"/>
    <w:rsid w:val="00DA536E"/>
    <w:rsid w:val="00DB4924"/>
    <w:rsid w:val="00DB5A21"/>
    <w:rsid w:val="00DC3619"/>
    <w:rsid w:val="00DC62ED"/>
    <w:rsid w:val="00DC71C4"/>
    <w:rsid w:val="00DD19F9"/>
    <w:rsid w:val="00DE0ABD"/>
    <w:rsid w:val="00DE3EFB"/>
    <w:rsid w:val="00DE4AF9"/>
    <w:rsid w:val="00DF4F6A"/>
    <w:rsid w:val="00DF7B9F"/>
    <w:rsid w:val="00E11B00"/>
    <w:rsid w:val="00E13849"/>
    <w:rsid w:val="00E14BDD"/>
    <w:rsid w:val="00E16B21"/>
    <w:rsid w:val="00E16E65"/>
    <w:rsid w:val="00E20F14"/>
    <w:rsid w:val="00E24F87"/>
    <w:rsid w:val="00E254F6"/>
    <w:rsid w:val="00E270FC"/>
    <w:rsid w:val="00E44A31"/>
    <w:rsid w:val="00E50799"/>
    <w:rsid w:val="00E5529A"/>
    <w:rsid w:val="00E57B9A"/>
    <w:rsid w:val="00E608A0"/>
    <w:rsid w:val="00E62A28"/>
    <w:rsid w:val="00E65D01"/>
    <w:rsid w:val="00E70C4A"/>
    <w:rsid w:val="00E715A5"/>
    <w:rsid w:val="00E747FC"/>
    <w:rsid w:val="00E76BA5"/>
    <w:rsid w:val="00E80257"/>
    <w:rsid w:val="00E81D78"/>
    <w:rsid w:val="00E82FAE"/>
    <w:rsid w:val="00E94FCA"/>
    <w:rsid w:val="00EA4F14"/>
    <w:rsid w:val="00EB30D9"/>
    <w:rsid w:val="00EB4FF9"/>
    <w:rsid w:val="00EC1EA1"/>
    <w:rsid w:val="00EC3320"/>
    <w:rsid w:val="00EC759E"/>
    <w:rsid w:val="00ED1B99"/>
    <w:rsid w:val="00ED2366"/>
    <w:rsid w:val="00ED5BAE"/>
    <w:rsid w:val="00EE452C"/>
    <w:rsid w:val="00F07478"/>
    <w:rsid w:val="00F21D8B"/>
    <w:rsid w:val="00F242CF"/>
    <w:rsid w:val="00F319D4"/>
    <w:rsid w:val="00F43D35"/>
    <w:rsid w:val="00F44F0E"/>
    <w:rsid w:val="00F534A0"/>
    <w:rsid w:val="00F5676D"/>
    <w:rsid w:val="00F652BA"/>
    <w:rsid w:val="00F65BDA"/>
    <w:rsid w:val="00F70331"/>
    <w:rsid w:val="00F71EEE"/>
    <w:rsid w:val="00F72810"/>
    <w:rsid w:val="00F73010"/>
    <w:rsid w:val="00F85A83"/>
    <w:rsid w:val="00F86429"/>
    <w:rsid w:val="00F90871"/>
    <w:rsid w:val="00FA0CEE"/>
    <w:rsid w:val="00FA2849"/>
    <w:rsid w:val="00FA464B"/>
    <w:rsid w:val="00FA491A"/>
    <w:rsid w:val="00FA5123"/>
    <w:rsid w:val="00FA5BF9"/>
    <w:rsid w:val="00FB4FB9"/>
    <w:rsid w:val="00FB698F"/>
    <w:rsid w:val="00FB7E86"/>
    <w:rsid w:val="00FC2B3F"/>
    <w:rsid w:val="00FD17F0"/>
    <w:rsid w:val="00FE612D"/>
    <w:rsid w:val="00FF2471"/>
    <w:rsid w:val="00FF41CA"/>
    <w:rsid w:val="00FF71FB"/>
    <w:rsid w:val="0194064D"/>
    <w:rsid w:val="07A34FF1"/>
    <w:rsid w:val="09772BD9"/>
    <w:rsid w:val="13931BCE"/>
    <w:rsid w:val="1548607B"/>
    <w:rsid w:val="16746A35"/>
    <w:rsid w:val="1E0866D0"/>
    <w:rsid w:val="1E192257"/>
    <w:rsid w:val="2BEF09F4"/>
    <w:rsid w:val="31F9380A"/>
    <w:rsid w:val="36A75D66"/>
    <w:rsid w:val="3C985D4E"/>
    <w:rsid w:val="42B2248E"/>
    <w:rsid w:val="48E8041B"/>
    <w:rsid w:val="4C3E387A"/>
    <w:rsid w:val="50436C87"/>
    <w:rsid w:val="5A507C47"/>
    <w:rsid w:val="5A7B0395"/>
    <w:rsid w:val="6D196605"/>
    <w:rsid w:val="70FB7800"/>
    <w:rsid w:val="734E141F"/>
    <w:rsid w:val="77C97B52"/>
    <w:rsid w:val="7850109B"/>
    <w:rsid w:val="78501DDE"/>
    <w:rsid w:val="7F12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rPr>
  </w:style>
  <w:style w:type="character" w:styleId="11">
    <w:name w:val="page number"/>
    <w:basedOn w:val="9"/>
    <w:autoRedefine/>
    <w:qFormat/>
    <w:uiPriority w:val="0"/>
  </w:style>
  <w:style w:type="character" w:styleId="12">
    <w:name w:val="Hyperlink"/>
    <w:basedOn w:val="9"/>
    <w:semiHidden/>
    <w:unhideWhenUsed/>
    <w:qFormat/>
    <w:uiPriority w:val="99"/>
    <w:rPr>
      <w:color w:val="0000FF"/>
      <w:u w:val="single"/>
    </w:rPr>
  </w:style>
  <w:style w:type="character" w:customStyle="1" w:styleId="13">
    <w:name w:val="页眉 字符"/>
    <w:basedOn w:val="9"/>
    <w:link w:val="6"/>
    <w:autoRedefine/>
    <w:qFormat/>
    <w:uiPriority w:val="0"/>
    <w:rPr>
      <w:sz w:val="18"/>
      <w:szCs w:val="18"/>
    </w:rPr>
  </w:style>
  <w:style w:type="character" w:customStyle="1" w:styleId="14">
    <w:name w:val="页脚 字符"/>
    <w:basedOn w:val="9"/>
    <w:link w:val="5"/>
    <w:autoRedefine/>
    <w:qFormat/>
    <w:uiPriority w:val="99"/>
    <w:rPr>
      <w:sz w:val="18"/>
      <w:szCs w:val="18"/>
    </w:rPr>
  </w:style>
  <w:style w:type="paragraph" w:customStyle="1" w:styleId="15">
    <w:name w:val="一级条标题"/>
    <w:next w:val="16"/>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
    <w:name w:val="标准文件_章标题"/>
    <w:next w:val="1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一级条标题"/>
    <w:basedOn w:val="18"/>
    <w:next w:val="19"/>
    <w:qFormat/>
    <w:uiPriority w:val="0"/>
    <w:pPr>
      <w:numPr>
        <w:ilvl w:val="2"/>
      </w:numPr>
      <w:spacing w:before="50" w:beforeLines="50" w:after="50" w:afterLines="50"/>
      <w:outlineLvl w:val="1"/>
    </w:pPr>
  </w:style>
  <w:style w:type="paragraph" w:customStyle="1" w:styleId="21">
    <w:name w:val="标准文件_二级无标题"/>
    <w:basedOn w:val="22"/>
    <w:qFormat/>
    <w:uiPriority w:val="0"/>
    <w:pPr>
      <w:spacing w:before="0" w:beforeLines="0" w:after="0" w:afterLines="0"/>
      <w:outlineLvl w:val="9"/>
    </w:pPr>
    <w:rPr>
      <w:rFonts w:ascii="宋体" w:eastAsia="宋体"/>
    </w:rPr>
  </w:style>
  <w:style w:type="paragraph" w:customStyle="1" w:styleId="22">
    <w:name w:val="标准文件_二级条标题"/>
    <w:next w:val="1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styleId="23">
    <w:name w:val="List Paragraph"/>
    <w:basedOn w:val="1"/>
    <w:qFormat/>
    <w:uiPriority w:val="34"/>
    <w:pPr>
      <w:ind w:firstLine="420" w:firstLineChars="200"/>
    </w:pPr>
  </w:style>
  <w:style w:type="paragraph" w:customStyle="1" w:styleId="24">
    <w:name w:val="标准文件_正文表标题"/>
    <w:next w:val="19"/>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5">
    <w:name w:val="标准文件_字母编号列项（一级）"/>
    <w:basedOn w:val="1"/>
    <w:qFormat/>
    <w:uiPriority w:val="0"/>
    <w:pPr>
      <w:widowControl/>
      <w:numPr>
        <w:ilvl w:val="0"/>
        <w:numId w:val="4"/>
      </w:numPr>
    </w:pPr>
    <w:rPr>
      <w:rFonts w:hint="eastAsia" w:ascii="宋体" w:hAnsi="Times New Roman" w:eastAsia="宋体" w:cs="Times New Roman"/>
      <w:kern w:val="0"/>
      <w:szCs w:val="20"/>
    </w:rPr>
  </w:style>
  <w:style w:type="character" w:customStyle="1" w:styleId="26">
    <w:name w:val="标准文件_段 Char"/>
    <w:basedOn w:val="9"/>
    <w:qFormat/>
    <w:uiPriority w:val="0"/>
    <w:rPr>
      <w:rFonts w:hint="eastAsia" w:ascii="宋体" w:hAnsi="宋体" w:eastAsia="宋体" w:cs="宋体"/>
      <w:sz w:val="21"/>
    </w:rPr>
  </w:style>
  <w:style w:type="paragraph" w:customStyle="1" w:styleId="27">
    <w:name w:val="标准文件_三级条标题"/>
    <w:qFormat/>
    <w:uiPriority w:val="0"/>
    <w:pPr>
      <w:numPr>
        <w:ilvl w:val="4"/>
        <w:numId w:val="5"/>
      </w:numPr>
      <w:spacing w:before="50" w:beforeLines="50" w:after="50" w:afterLines="50"/>
      <w:jc w:val="both"/>
      <w:outlineLvl w:val="3"/>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0ded0ae1-fca7-4f7c-aa9b-cc59820b833f</errorID>
      <errorWord>仅为</errorWord>
      <group>L1_Word</group>
      <groupName>字词问题</groupName>
      <ability>L2_Typo</ability>
      <abilityName>字词错误</abilityName>
      <candidateList>
        <item>降为</item>
      </candidateList>
      <explain/>
      <paraID>72E122CC</paraID>
      <start>158</start>
      <end>160</end>
      <status>unmodified</status>
      <modifiedWord/>
      <trackRevisions>false</trackRevisions>
    </reviewItem>
    <reviewItem>
      <errorID>90b571c2-1cc0-43a1-9766-f418d2c01100</errorID>
      <errorWord>(</errorWord>
      <group>L1_Format</group>
      <groupName>格式问题</groupName>
      <ability>L2_HalfPunc</ability>
      <abilityName>全半角检查</abilityName>
      <candidateList>
        <item>（</item>
      </candidateList>
      <explain>文本全半角错误。</explain>
      <paraID>62E42AE9</paraID>
      <start>120</start>
      <end>121</end>
      <status>unmodified</status>
      <modifiedWord/>
      <trackRevisions>false</trackRevisions>
    </reviewItem>
    <reviewItem>
      <errorID>b8e9f080-67c7-4cc5-a0b9-2ba1c9d7ec1a</errorID>
      <errorWord>)</errorWord>
      <group>L1_Format</group>
      <groupName>格式问题</groupName>
      <ability>L2_HalfPunc</ability>
      <abilityName>全半角检查</abilityName>
      <candidateList>
        <item>）</item>
      </candidateList>
      <explain>文本全半角错误。</explain>
      <paraID>62E42AE9</paraID>
      <start>123</start>
      <end>124</end>
      <status>unmodified</status>
      <modifiedWord/>
      <trackRevisions>false</trackRevisions>
    </reviewItem>
  </reviewItems>
  <config/>
</contractReview>
</file>

<file path=customXml/itemProps1.xml><?xml version="1.0" encoding="utf-8"?>
<ds:datastoreItem xmlns:ds="http://schemas.openxmlformats.org/officeDocument/2006/customXml" ds:itemID="{c62155e8-fb61-4d00-be56-5587ddadaa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3091</Words>
  <Characters>3317</Characters>
  <Lines>24</Lines>
  <Paragraphs>6</Paragraphs>
  <TotalTime>7</TotalTime>
  <ScaleCrop>false</ScaleCrop>
  <LinksUpToDate>false</LinksUpToDate>
  <CharactersWithSpaces>3348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2022-11-04T03:33:00Z</dcterms:created>
  <dc:creator>张蓉</dc:creator>
  <cp:lastModifiedBy>不二</cp:lastModifiedBy>
  <dcterms:modified xsi:type="dcterms:W3CDTF">2026-02-08T04:00:28Z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AEABAC4BCF274BAC81FFB356D2FBB73B_13</vt:lpwstr>
  </property>
  <property fmtid="{D5CDD505-2E9C-101B-9397-08002B2CF9AE}" pid="4" name="KSOTemplateDocerSaveRecord">
    <vt:lpwstr>eyJoZGlkIjoiYWQzZjI1YWU3ODdjY2I5M2FjZWJhYTJiMTYwYjU0ODciLCJ1c2VySWQiOiIxMTQ2OTcxNjU4In0=</vt:lpwstr>
  </property>
</Properties>
</file>