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518BA"/>
    <w:p w14:paraId="2DA283D8"/>
    <w:p w14:paraId="4EA8BB14"/>
    <w:p w14:paraId="3A1DBE4A"/>
    <w:p w14:paraId="2219F66D"/>
    <w:p w14:paraId="590F6965"/>
    <w:p w14:paraId="3F4B3191"/>
    <w:p w14:paraId="42B95467"/>
    <w:p w14:paraId="5AE7CD41">
      <w:pPr>
        <w:spacing w:line="600" w:lineRule="auto"/>
      </w:pPr>
    </w:p>
    <w:p w14:paraId="09BA2EA7">
      <w:pPr>
        <w:spacing w:line="360" w:lineRule="auto"/>
        <w:jc w:val="center"/>
        <w:rPr>
          <w:rFonts w:hint="eastAsia" w:ascii="黑体" w:hAnsi="黑体" w:eastAsia="黑体" w:cs="黑体"/>
          <w:sz w:val="44"/>
          <w:szCs w:val="44"/>
        </w:rPr>
      </w:pPr>
      <w:r>
        <w:rPr>
          <w:rFonts w:hint="eastAsia" w:ascii="黑体" w:hAnsi="黑体" w:eastAsia="黑体" w:cs="黑体"/>
          <w:sz w:val="44"/>
          <w:szCs w:val="44"/>
        </w:rPr>
        <w:t>中国中小企业协会团体标准</w:t>
      </w:r>
    </w:p>
    <w:p w14:paraId="469C6FB2">
      <w:pPr>
        <w:spacing w:line="360" w:lineRule="auto"/>
        <w:jc w:val="center"/>
        <w:rPr>
          <w:rFonts w:hint="eastAsia" w:ascii="黑体" w:hAnsi="黑体" w:eastAsia="黑体" w:cs="黑体"/>
          <w:sz w:val="44"/>
          <w:szCs w:val="44"/>
        </w:rPr>
      </w:pPr>
    </w:p>
    <w:p w14:paraId="7A75CDE3">
      <w:pPr>
        <w:spacing w:line="360" w:lineRule="auto"/>
        <w:jc w:val="center"/>
        <w:rPr>
          <w:rFonts w:hint="eastAsia" w:ascii="黑体" w:hAnsi="黑体" w:eastAsia="黑体" w:cs="黑体"/>
          <w:sz w:val="44"/>
          <w:szCs w:val="44"/>
        </w:rPr>
      </w:pPr>
      <w:r>
        <w:rPr>
          <w:rFonts w:hint="eastAsia" w:ascii="黑体" w:hAnsi="黑体" w:eastAsia="黑体" w:cs="黑体"/>
          <w:sz w:val="44"/>
          <w:szCs w:val="44"/>
        </w:rPr>
        <w:t>《固态微波源通用技术规范》</w:t>
      </w:r>
    </w:p>
    <w:p w14:paraId="14686F95">
      <w:pPr>
        <w:jc w:val="center"/>
        <w:rPr>
          <w:rFonts w:hint="eastAsia" w:ascii="黑体" w:hAnsi="黑体" w:eastAsia="黑体" w:cs="黑体"/>
          <w:sz w:val="44"/>
          <w:szCs w:val="44"/>
        </w:rPr>
      </w:pPr>
    </w:p>
    <w:p w14:paraId="058D732F">
      <w:pPr>
        <w:jc w:val="center"/>
        <w:rPr>
          <w:rFonts w:hint="eastAsia" w:ascii="黑体" w:hAnsi="黑体" w:eastAsia="黑体" w:cs="黑体"/>
          <w:sz w:val="44"/>
          <w:szCs w:val="44"/>
        </w:rPr>
      </w:pPr>
      <w:r>
        <w:rPr>
          <w:rFonts w:hint="eastAsia" w:ascii="黑体" w:hAnsi="黑体" w:eastAsia="黑体" w:cs="黑体"/>
          <w:sz w:val="44"/>
          <w:szCs w:val="44"/>
        </w:rPr>
        <w:t>编制说明</w:t>
      </w:r>
    </w:p>
    <w:p w14:paraId="1E889390">
      <w:pPr>
        <w:jc w:val="center"/>
        <w:rPr>
          <w:rFonts w:hint="eastAsia" w:ascii="等线" w:hAnsi="等线" w:eastAsia="等线"/>
          <w:szCs w:val="22"/>
        </w:rPr>
      </w:pPr>
    </w:p>
    <w:p w14:paraId="7891CBB5">
      <w:pPr>
        <w:jc w:val="center"/>
        <w:rPr>
          <w:rFonts w:hint="eastAsia" w:ascii="等线" w:hAnsi="等线" w:eastAsia="等线"/>
          <w:szCs w:val="22"/>
        </w:rPr>
      </w:pPr>
    </w:p>
    <w:p w14:paraId="0C40DB23">
      <w:pPr>
        <w:jc w:val="center"/>
        <w:rPr>
          <w:rFonts w:hint="eastAsia" w:ascii="等线" w:hAnsi="等线" w:eastAsia="等线"/>
          <w:szCs w:val="22"/>
        </w:rPr>
      </w:pPr>
    </w:p>
    <w:p w14:paraId="2F239546">
      <w:pPr>
        <w:jc w:val="center"/>
        <w:rPr>
          <w:rFonts w:hint="eastAsia" w:ascii="等线" w:hAnsi="等线" w:eastAsia="等线"/>
          <w:szCs w:val="22"/>
        </w:rPr>
      </w:pPr>
      <w:bookmarkStart w:id="0" w:name="_GoBack"/>
      <w:bookmarkEnd w:id="0"/>
    </w:p>
    <w:p w14:paraId="032263D1">
      <w:pPr>
        <w:jc w:val="center"/>
        <w:rPr>
          <w:rFonts w:hint="eastAsia" w:ascii="等线" w:hAnsi="等线" w:eastAsia="等线"/>
          <w:szCs w:val="22"/>
        </w:rPr>
      </w:pPr>
    </w:p>
    <w:p w14:paraId="595C040B">
      <w:pPr>
        <w:jc w:val="center"/>
        <w:rPr>
          <w:rFonts w:hint="eastAsia" w:ascii="等线" w:hAnsi="等线" w:eastAsia="等线"/>
          <w:szCs w:val="22"/>
        </w:rPr>
      </w:pPr>
    </w:p>
    <w:p w14:paraId="3A13FFE7">
      <w:pPr>
        <w:jc w:val="center"/>
        <w:rPr>
          <w:rFonts w:hint="eastAsia" w:ascii="等线" w:hAnsi="等线" w:eastAsia="等线"/>
          <w:szCs w:val="22"/>
        </w:rPr>
      </w:pPr>
    </w:p>
    <w:p w14:paraId="2C4D0C99">
      <w:pPr>
        <w:jc w:val="center"/>
        <w:rPr>
          <w:rFonts w:hint="eastAsia" w:ascii="等线" w:hAnsi="等线" w:eastAsia="等线"/>
          <w:szCs w:val="22"/>
        </w:rPr>
      </w:pPr>
    </w:p>
    <w:p w14:paraId="22E90E98">
      <w:pPr>
        <w:jc w:val="center"/>
        <w:rPr>
          <w:rFonts w:hint="eastAsia" w:ascii="等线" w:hAnsi="等线" w:eastAsia="等线"/>
          <w:szCs w:val="22"/>
        </w:rPr>
      </w:pPr>
    </w:p>
    <w:p w14:paraId="61E19BDB">
      <w:pPr>
        <w:jc w:val="center"/>
        <w:rPr>
          <w:rFonts w:hint="eastAsia" w:ascii="等线" w:hAnsi="等线" w:eastAsia="等线"/>
          <w:szCs w:val="22"/>
        </w:rPr>
      </w:pPr>
    </w:p>
    <w:p w14:paraId="27251B11">
      <w:pPr>
        <w:jc w:val="center"/>
        <w:rPr>
          <w:rFonts w:hint="eastAsia" w:ascii="等线" w:hAnsi="等线" w:eastAsia="等线"/>
          <w:szCs w:val="22"/>
        </w:rPr>
      </w:pPr>
    </w:p>
    <w:p w14:paraId="558C3457">
      <w:pPr>
        <w:jc w:val="center"/>
        <w:rPr>
          <w:rFonts w:hint="eastAsia" w:ascii="黑体" w:hAnsi="黑体" w:eastAsia="黑体" w:cs="黑体"/>
          <w:sz w:val="28"/>
          <w:szCs w:val="28"/>
        </w:rPr>
      </w:pPr>
      <w:r>
        <w:rPr>
          <w:rFonts w:hint="eastAsia" w:ascii="黑体" w:hAnsi="黑体" w:eastAsia="黑体" w:cs="黑体"/>
          <w:sz w:val="28"/>
          <w:szCs w:val="28"/>
        </w:rPr>
        <w:t>团体标准起草组</w:t>
      </w:r>
    </w:p>
    <w:p w14:paraId="7EC0CD49">
      <w:pPr>
        <w:jc w:val="center"/>
        <w:rPr>
          <w:rFonts w:hint="eastAsia" w:ascii="黑体" w:hAnsi="黑体" w:eastAsia="黑体" w:cs="黑体"/>
          <w:sz w:val="28"/>
          <w:szCs w:val="28"/>
        </w:rPr>
      </w:pPr>
      <w:r>
        <w:rPr>
          <w:rFonts w:hint="eastAsia" w:ascii="黑体" w:hAnsi="黑体" w:eastAsia="黑体" w:cs="黑体"/>
          <w:sz w:val="28"/>
          <w:szCs w:val="28"/>
        </w:rPr>
        <w:t>二零二</w:t>
      </w:r>
      <w:r>
        <w:rPr>
          <w:rFonts w:hint="eastAsia" w:ascii="黑体" w:hAnsi="黑体" w:eastAsia="黑体" w:cs="黑体"/>
          <w:sz w:val="28"/>
          <w:szCs w:val="28"/>
          <w:lang w:val="en-US" w:eastAsia="zh-CN"/>
        </w:rPr>
        <w:t>六</w:t>
      </w:r>
      <w:r>
        <w:rPr>
          <w:rFonts w:hint="eastAsia" w:ascii="黑体" w:hAnsi="黑体" w:eastAsia="黑体" w:cs="黑体"/>
          <w:sz w:val="28"/>
          <w:szCs w:val="28"/>
        </w:rPr>
        <w:t>年</w:t>
      </w:r>
      <w:r>
        <w:rPr>
          <w:rFonts w:hint="eastAsia" w:ascii="黑体" w:hAnsi="黑体" w:eastAsia="黑体" w:cs="黑体"/>
          <w:sz w:val="28"/>
          <w:szCs w:val="28"/>
          <w:lang w:val="en-US" w:eastAsia="zh-CN"/>
        </w:rPr>
        <w:t>二</w:t>
      </w:r>
      <w:r>
        <w:rPr>
          <w:rFonts w:hint="eastAsia" w:ascii="黑体" w:hAnsi="黑体" w:eastAsia="黑体" w:cs="黑体"/>
          <w:sz w:val="28"/>
          <w:szCs w:val="28"/>
        </w:rPr>
        <w:t>月</w:t>
      </w:r>
    </w:p>
    <w:p w14:paraId="45906800"/>
    <w:p w14:paraId="4FF292DA"/>
    <w:p w14:paraId="27F8A0A5"/>
    <w:p w14:paraId="08379F8E">
      <w:pPr>
        <w:rPr>
          <w:rFonts w:hint="eastAsia" w:ascii="宋体" w:hAnsi="宋体" w:cs="宋体"/>
          <w:b/>
          <w:bCs/>
          <w:sz w:val="28"/>
          <w:szCs w:val="28"/>
        </w:rPr>
        <w:sectPr>
          <w:pgSz w:w="11906" w:h="16838"/>
          <w:pgMar w:top="1440" w:right="1800" w:bottom="1440" w:left="1800" w:header="851" w:footer="992" w:gutter="0"/>
          <w:cols w:space="720" w:num="1"/>
          <w:docGrid w:type="lines" w:linePitch="312" w:charSpace="0"/>
        </w:sectPr>
      </w:pPr>
    </w:p>
    <w:p w14:paraId="58F0B43F">
      <w:pPr>
        <w:numPr>
          <w:ilvl w:val="0"/>
          <w:numId w:val="1"/>
        </w:numPr>
        <w:spacing w:line="360" w:lineRule="auto"/>
        <w:ind w:firstLine="0"/>
        <w:jc w:val="left"/>
        <w:rPr>
          <w:rFonts w:hint="eastAsia" w:ascii="宋体" w:hAnsi="宋体"/>
          <w:b/>
          <w:bCs/>
          <w:sz w:val="28"/>
          <w:szCs w:val="28"/>
        </w:rPr>
      </w:pPr>
      <w:r>
        <w:rPr>
          <w:rFonts w:hint="eastAsia" w:ascii="宋体" w:hAnsi="宋体"/>
          <w:b/>
          <w:bCs/>
          <w:sz w:val="28"/>
          <w:szCs w:val="28"/>
        </w:rPr>
        <w:t>工作简况</w:t>
      </w:r>
    </w:p>
    <w:p w14:paraId="253FAE6E">
      <w:pPr>
        <w:ind w:left="420"/>
        <w:rPr>
          <w:rFonts w:hint="eastAsia" w:ascii="宋体" w:hAnsi="宋体" w:cs="宋体"/>
          <w:b/>
          <w:bCs/>
          <w:sz w:val="28"/>
          <w:szCs w:val="28"/>
        </w:rPr>
      </w:pPr>
      <w:r>
        <w:rPr>
          <w:rFonts w:hint="eastAsia" w:ascii="宋体" w:hAnsi="宋体" w:cs="宋体"/>
          <w:b/>
          <w:bCs/>
          <w:sz w:val="28"/>
          <w:szCs w:val="28"/>
        </w:rPr>
        <w:t>（一）任务来源</w:t>
      </w:r>
    </w:p>
    <w:p w14:paraId="171367C3">
      <w:pPr>
        <w:ind w:firstLine="560" w:firstLineChars="200"/>
        <w:rPr>
          <w:rFonts w:hint="eastAsia" w:ascii="宋体" w:hAnsi="宋体" w:cs="宋体"/>
          <w:sz w:val="28"/>
          <w:szCs w:val="28"/>
        </w:rPr>
      </w:pPr>
      <w:r>
        <w:rPr>
          <w:rFonts w:hint="eastAsia" w:ascii="宋体" w:hAnsi="宋体" w:cs="宋体"/>
          <w:sz w:val="28"/>
          <w:szCs w:val="28"/>
        </w:rPr>
        <w:t>为响应市场需求和满足固态微波源产品质量提升的需要，依据《中华人民共和国标准化法》，以及《团体标准管理规定》的相关规定，济南晶芯半导体有限公司联合相关单位共同提出《固态微波源通用技术规范》团体标准制定计划。</w:t>
      </w:r>
    </w:p>
    <w:p w14:paraId="325B6D13">
      <w:pPr>
        <w:ind w:left="420"/>
        <w:rPr>
          <w:rFonts w:hint="eastAsia" w:ascii="宋体" w:hAnsi="宋体" w:cs="宋体"/>
          <w:b/>
          <w:bCs/>
          <w:sz w:val="28"/>
          <w:szCs w:val="28"/>
        </w:rPr>
      </w:pPr>
      <w:r>
        <w:rPr>
          <w:rFonts w:hint="eastAsia" w:ascii="宋体" w:hAnsi="宋体" w:cs="宋体"/>
          <w:b/>
          <w:bCs/>
          <w:sz w:val="28"/>
          <w:szCs w:val="28"/>
        </w:rPr>
        <w:t>（二）制定背景及目的</w:t>
      </w:r>
    </w:p>
    <w:p w14:paraId="11396FC3">
      <w:pPr>
        <w:ind w:firstLine="560" w:firstLineChars="200"/>
        <w:rPr>
          <w:rFonts w:hint="eastAsia" w:ascii="宋体" w:hAnsi="宋体" w:cs="宋体"/>
          <w:sz w:val="28"/>
          <w:szCs w:val="28"/>
        </w:rPr>
      </w:pPr>
      <w:r>
        <w:rPr>
          <w:rFonts w:hint="eastAsia" w:ascii="宋体" w:hAnsi="宋体" w:cs="宋体"/>
          <w:sz w:val="28"/>
          <w:szCs w:val="28"/>
        </w:rPr>
        <w:t>固态微波源是一种利用固态电子器件(如半导体器件、固态微波功率放大器等)产生微波信号的装置。相较于传统的磁控管和速调管，它在多个领域展现出了显著的优势。首先，在医疗美容领域，固态微波源凭借频率稳定性高、功率可调性强及控温精准(±1℃)等优势实现了肿瘤精准消融、非接触理疗、局部脂肪选择性破坏及术后康复，这些都显著降低了对健康组织的损伤；其次，在能源领域，其高稳定性还可以保障石油化工重质油轻质化过程的均匀加热与高效转化；而在微波照明方面，其驱动的全光谱光源可提供无频闪、高显色性照明，满足手术对光环境的严苛要求；此外，在半导体制造中，固态微波源作为PECVD与MPCVD工艺的核心能量源，可助力高质量薄膜制备与金刚石材料的低温可控沉积。因此，固态微波源凭借其难以替代的技术价值，其应用和需求将会不断增长扩大，固态微波源技术将成为工业、医疗、能源、环保、科研等多个领域不可或缺的核心部件。</w:t>
      </w:r>
    </w:p>
    <w:p w14:paraId="5B431D15">
      <w:pPr>
        <w:ind w:firstLine="560" w:firstLineChars="200"/>
        <w:rPr>
          <w:rFonts w:ascii="宋体" w:hAnsi="宋体" w:cs="宋体"/>
          <w:sz w:val="28"/>
          <w:szCs w:val="28"/>
        </w:rPr>
      </w:pPr>
      <w:r>
        <w:rPr>
          <w:rFonts w:hint="eastAsia" w:ascii="宋体" w:hAnsi="宋体" w:cs="宋体"/>
          <w:sz w:val="28"/>
          <w:szCs w:val="28"/>
        </w:rPr>
        <w:t>随着科技的不断进步，固态微波源正逐步取代传统电真空器件，成为推动多个行业装备升级的关键力量，但其技术水平的差异性已成为制约多个行业装备升级的瓶颈。此外，由于市场上缺乏可参考的固态微波源的生产指导标准及规范，导致不同厂家生产的固态微波源在性能、安全性和可靠性方面存在较大差异。这不仅影响了用户的使用体验，也给行业的健康发展带来了挑战。为此，制定与固态微波源有关的标准变得尤为重要。</w:t>
      </w:r>
    </w:p>
    <w:p w14:paraId="0D209FD3">
      <w:pPr>
        <w:ind w:firstLine="560" w:firstLineChars="200"/>
        <w:rPr>
          <w:rFonts w:hint="eastAsia" w:ascii="宋体" w:hAnsi="宋体" w:cs="宋体"/>
          <w:sz w:val="28"/>
          <w:szCs w:val="28"/>
        </w:rPr>
      </w:pPr>
      <w:r>
        <w:rPr>
          <w:rFonts w:hint="eastAsia" w:ascii="宋体" w:hAnsi="宋体" w:cs="宋体"/>
          <w:sz w:val="28"/>
          <w:szCs w:val="28"/>
        </w:rPr>
        <w:t>综上所述，制定《固态微波源通用技术规范》团体标准，将为生产固态微波源提供科学合理的指导规范，有利于保障固态微波源的生产质量，进而有助于减少因产品质量问题而导致的产品事故、有利于保护用户的生命与财产安全。此外标准的制定与发布，将有利于进一步推动企业加大对固态微波源的研究，这不仅有利于提升产品的质量、增加企业自身竞争力，也有助于推动固态微波源行业的可持续发展。</w:t>
      </w:r>
    </w:p>
    <w:p w14:paraId="787443A5">
      <w:pPr>
        <w:ind w:left="420"/>
        <w:rPr>
          <w:rFonts w:hint="eastAsia" w:ascii="宋体" w:hAnsi="宋体" w:cs="宋体"/>
          <w:b/>
          <w:bCs/>
          <w:sz w:val="28"/>
          <w:szCs w:val="28"/>
        </w:rPr>
      </w:pPr>
      <w:r>
        <w:rPr>
          <w:rFonts w:hint="eastAsia" w:ascii="宋体" w:hAnsi="宋体" w:cs="宋体"/>
          <w:b/>
          <w:bCs/>
          <w:sz w:val="28"/>
          <w:szCs w:val="28"/>
        </w:rPr>
        <w:t>（三）编制依据</w:t>
      </w:r>
    </w:p>
    <w:p w14:paraId="12EB60F6">
      <w:pPr>
        <w:ind w:firstLine="560" w:firstLineChars="200"/>
        <w:rPr>
          <w:rFonts w:ascii="宋体" w:hAnsi="宋体" w:cs="宋体"/>
          <w:sz w:val="28"/>
          <w:szCs w:val="28"/>
        </w:rPr>
      </w:pPr>
      <w:r>
        <w:rPr>
          <w:rFonts w:hint="eastAsia" w:ascii="宋体" w:hAnsi="宋体" w:cs="宋体"/>
          <w:sz w:val="28"/>
          <w:szCs w:val="28"/>
        </w:rPr>
        <w:t>本标准立足于国家出台的有关</w:t>
      </w:r>
      <w:r>
        <w:rPr>
          <w:rFonts w:hint="eastAsia" w:ascii="宋体" w:hAnsi="宋体" w:cs="宋体"/>
          <w:sz w:val="28"/>
          <w:szCs w:val="28"/>
          <w:lang w:val="en-US" w:eastAsia="zh-CN"/>
        </w:rPr>
        <w:t>半导体器件</w:t>
      </w:r>
      <w:r>
        <w:rPr>
          <w:rFonts w:hint="eastAsia" w:ascii="宋体" w:hAnsi="宋体" w:cs="宋体"/>
          <w:sz w:val="28"/>
          <w:szCs w:val="28"/>
        </w:rPr>
        <w:t>的相关标准，结合起草单位的生产实际，旨在提供一项具有科学导向的固态微波源通用技术标准。本标准</w:t>
      </w:r>
      <w:r>
        <w:rPr>
          <w:rFonts w:hint="eastAsia" w:ascii="宋体" w:hAnsi="宋体" w:cs="宋体"/>
          <w:sz w:val="28"/>
          <w:szCs w:val="28"/>
          <w:lang w:val="en-US" w:eastAsia="zh-CN"/>
        </w:rPr>
        <w:t>格式</w:t>
      </w:r>
      <w:r>
        <w:rPr>
          <w:rFonts w:hint="eastAsia" w:ascii="宋体" w:hAnsi="宋体" w:cs="宋体"/>
          <w:sz w:val="28"/>
          <w:szCs w:val="28"/>
        </w:rPr>
        <w:t>按GB/T 1.1-2020《标准化工作导则 第1部分：标准化文件的结构和起草规则》的规定</w:t>
      </w:r>
      <w:r>
        <w:rPr>
          <w:rFonts w:hint="eastAsia" w:ascii="宋体" w:hAnsi="宋体" w:cs="宋体"/>
          <w:sz w:val="28"/>
          <w:szCs w:val="28"/>
          <w:lang w:val="en-US" w:eastAsia="zh-CN"/>
        </w:rPr>
        <w:t>执行</w:t>
      </w:r>
      <w:r>
        <w:rPr>
          <w:rFonts w:hint="eastAsia" w:ascii="宋体" w:hAnsi="宋体" w:cs="宋体"/>
          <w:sz w:val="28"/>
          <w:szCs w:val="28"/>
        </w:rPr>
        <w:t>。</w:t>
      </w:r>
    </w:p>
    <w:p w14:paraId="53F48DC3">
      <w:pPr>
        <w:ind w:left="420"/>
        <w:rPr>
          <w:rFonts w:hint="eastAsia" w:ascii="宋体" w:hAnsi="宋体" w:cs="宋体"/>
          <w:b/>
          <w:bCs/>
          <w:sz w:val="28"/>
          <w:szCs w:val="28"/>
        </w:rPr>
      </w:pPr>
      <w:r>
        <w:rPr>
          <w:rFonts w:hint="eastAsia" w:ascii="宋体" w:hAnsi="宋体" w:cs="宋体"/>
          <w:b/>
          <w:bCs/>
          <w:sz w:val="28"/>
          <w:szCs w:val="28"/>
        </w:rPr>
        <w:t>（四）</w:t>
      </w:r>
      <w:r>
        <w:rPr>
          <w:rFonts w:ascii="宋体" w:hAnsi="宋体" w:cs="宋体"/>
          <w:b/>
          <w:bCs/>
          <w:sz w:val="28"/>
          <w:szCs w:val="28"/>
        </w:rPr>
        <w:t>编制过程</w:t>
      </w:r>
    </w:p>
    <w:p w14:paraId="67EF4E39">
      <w:pPr>
        <w:topLinePunct/>
        <w:spacing w:line="360" w:lineRule="auto"/>
        <w:ind w:firstLine="562" w:firstLineChars="200"/>
        <w:jc w:val="left"/>
        <w:rPr>
          <w:rFonts w:hint="eastAsia" w:ascii="宋体" w:hAnsi="宋体"/>
          <w:b/>
          <w:bCs/>
          <w:sz w:val="28"/>
          <w:szCs w:val="28"/>
        </w:rPr>
      </w:pPr>
      <w:r>
        <w:rPr>
          <w:rFonts w:hint="eastAsia" w:ascii="宋体" w:hAnsi="宋体"/>
          <w:b/>
          <w:bCs/>
          <w:sz w:val="28"/>
          <w:szCs w:val="28"/>
        </w:rPr>
        <w:t>1、项目立项阶段</w:t>
      </w:r>
    </w:p>
    <w:p w14:paraId="6298DF7C">
      <w:pPr>
        <w:topLinePunct/>
        <w:spacing w:line="360" w:lineRule="auto"/>
        <w:ind w:firstLine="560" w:firstLineChars="200"/>
        <w:jc w:val="left"/>
        <w:rPr>
          <w:rFonts w:hint="eastAsia" w:ascii="宋体" w:hAnsi="宋体"/>
          <w:sz w:val="28"/>
          <w:szCs w:val="28"/>
        </w:rPr>
      </w:pPr>
      <w:r>
        <w:rPr>
          <w:rFonts w:hint="eastAsia" w:ascii="宋体" w:hAnsi="宋体" w:cs="宋体"/>
          <w:sz w:val="28"/>
          <w:szCs w:val="28"/>
        </w:rPr>
        <w:t>由济南晶芯半导体有限公司</w:t>
      </w:r>
      <w:r>
        <w:rPr>
          <w:rFonts w:hint="eastAsia" w:ascii="宋体" w:hAnsi="宋体"/>
          <w:sz w:val="28"/>
          <w:szCs w:val="28"/>
        </w:rPr>
        <w:t>等相关单位的</w:t>
      </w:r>
      <w:r>
        <w:rPr>
          <w:rFonts w:ascii="宋体" w:hAnsi="宋体"/>
          <w:sz w:val="28"/>
          <w:szCs w:val="28"/>
        </w:rPr>
        <w:t>技术人员共同成立了标准起草组，制定了详细的工作方案和实施计划，</w:t>
      </w:r>
      <w:r>
        <w:rPr>
          <w:rFonts w:hint="eastAsia" w:ascii="宋体" w:hAnsi="宋体"/>
          <w:sz w:val="28"/>
          <w:szCs w:val="28"/>
        </w:rPr>
        <w:t>研究分析</w:t>
      </w:r>
      <w:r>
        <w:rPr>
          <w:rFonts w:hint="eastAsia" w:ascii="宋体" w:hAnsi="宋体" w:cs="宋体"/>
          <w:sz w:val="28"/>
          <w:szCs w:val="28"/>
        </w:rPr>
        <w:t>固态微波源</w:t>
      </w:r>
      <w:r>
        <w:rPr>
          <w:rFonts w:hint="eastAsia" w:ascii="宋体" w:hAnsi="宋体"/>
          <w:sz w:val="28"/>
          <w:szCs w:val="28"/>
        </w:rPr>
        <w:t>领域标准制修订情况和行业发展现状</w:t>
      </w:r>
      <w:r>
        <w:rPr>
          <w:rFonts w:ascii="宋体" w:hAnsi="宋体"/>
          <w:sz w:val="28"/>
          <w:szCs w:val="28"/>
        </w:rPr>
        <w:t>，在此基础上结合</w:t>
      </w:r>
      <w:r>
        <w:rPr>
          <w:rFonts w:hint="eastAsia" w:ascii="宋体" w:hAnsi="宋体"/>
          <w:sz w:val="28"/>
          <w:szCs w:val="28"/>
        </w:rPr>
        <w:t>起草单位的</w:t>
      </w:r>
      <w:r>
        <w:rPr>
          <w:rFonts w:hint="eastAsia" w:ascii="宋体" w:hAnsi="宋体"/>
          <w:sz w:val="28"/>
          <w:szCs w:val="28"/>
          <w:lang w:val="en-US" w:eastAsia="zh-CN"/>
        </w:rPr>
        <w:t>技术研究成果和生产检验经验</w:t>
      </w:r>
      <w:r>
        <w:rPr>
          <w:rFonts w:ascii="宋体" w:hAnsi="宋体"/>
          <w:sz w:val="28"/>
          <w:szCs w:val="28"/>
        </w:rPr>
        <w:t>，多次召开内部研讨会议，确定了标准名称</w:t>
      </w:r>
      <w:r>
        <w:rPr>
          <w:rFonts w:hint="eastAsia" w:ascii="宋体" w:hAnsi="宋体"/>
          <w:sz w:val="28"/>
          <w:szCs w:val="28"/>
        </w:rPr>
        <w:t>。并向中国中小企业协会提交了</w:t>
      </w:r>
      <w:r>
        <w:rPr>
          <w:rFonts w:hint="eastAsia" w:ascii="宋体" w:hAnsi="宋体" w:cs="宋体"/>
          <w:sz w:val="28"/>
          <w:szCs w:val="28"/>
        </w:rPr>
        <w:t>《固态微波源通用技术规范》团体标准制订申请，</w:t>
      </w:r>
      <w:r>
        <w:rPr>
          <w:rFonts w:ascii="宋体" w:hAnsi="宋体"/>
          <w:sz w:val="28"/>
          <w:szCs w:val="28"/>
        </w:rPr>
        <w:t>完成该项团体标准的立项工作。</w:t>
      </w:r>
    </w:p>
    <w:p w14:paraId="1DC27EC7">
      <w:pPr>
        <w:topLinePunct/>
        <w:spacing w:line="360" w:lineRule="auto"/>
        <w:ind w:firstLine="562" w:firstLineChars="200"/>
        <w:jc w:val="left"/>
        <w:rPr>
          <w:rFonts w:hint="eastAsia" w:ascii="宋体" w:hAnsi="宋体"/>
          <w:b/>
          <w:bCs/>
          <w:sz w:val="28"/>
          <w:szCs w:val="28"/>
        </w:rPr>
      </w:pPr>
      <w:r>
        <w:rPr>
          <w:rFonts w:hint="eastAsia" w:ascii="宋体" w:hAnsi="宋体"/>
          <w:b/>
          <w:bCs/>
          <w:sz w:val="28"/>
          <w:szCs w:val="28"/>
        </w:rPr>
        <w:t>2、理论研究阶段</w:t>
      </w:r>
    </w:p>
    <w:p w14:paraId="016F3BC8">
      <w:pPr>
        <w:topLinePunct/>
        <w:spacing w:line="360" w:lineRule="auto"/>
        <w:ind w:firstLine="560" w:firstLineChars="200"/>
        <w:jc w:val="left"/>
        <w:rPr>
          <w:rFonts w:hint="eastAsia" w:ascii="宋体" w:hAnsi="宋体"/>
          <w:sz w:val="28"/>
          <w:szCs w:val="28"/>
        </w:rPr>
      </w:pPr>
      <w:r>
        <w:rPr>
          <w:rFonts w:hint="eastAsia" w:ascii="宋体" w:hAnsi="宋体"/>
          <w:sz w:val="28"/>
          <w:szCs w:val="28"/>
        </w:rPr>
        <w:t>标准起草组广泛搜集相关标准和国外技术资料，进行了大量的研究分析、资料查证工作，确定了标准的制定原则，结合起草单位在</w:t>
      </w:r>
      <w:r>
        <w:rPr>
          <w:rFonts w:hint="eastAsia" w:ascii="宋体" w:hAnsi="宋体" w:cs="宋体"/>
          <w:sz w:val="28"/>
          <w:szCs w:val="28"/>
        </w:rPr>
        <w:t>固态微波源</w:t>
      </w:r>
      <w:r>
        <w:rPr>
          <w:rFonts w:hint="eastAsia" w:ascii="宋体" w:hAnsi="宋体" w:cs="宋体"/>
          <w:sz w:val="28"/>
          <w:szCs w:val="28"/>
          <w:lang w:val="en-US" w:eastAsia="zh-CN"/>
        </w:rPr>
        <w:t>方面</w:t>
      </w:r>
      <w:r>
        <w:rPr>
          <w:rFonts w:hint="eastAsia" w:ascii="宋体" w:hAnsi="宋体" w:cs="宋体"/>
          <w:sz w:val="28"/>
          <w:szCs w:val="28"/>
        </w:rPr>
        <w:t>的</w:t>
      </w:r>
      <w:r>
        <w:rPr>
          <w:rFonts w:hint="eastAsia" w:ascii="宋体" w:hAnsi="宋体"/>
          <w:sz w:val="28"/>
          <w:szCs w:val="28"/>
          <w:lang w:val="en-US" w:eastAsia="zh-CN"/>
        </w:rPr>
        <w:t>技术研究成果和生产检验经验</w:t>
      </w:r>
      <w:r>
        <w:rPr>
          <w:rFonts w:hint="eastAsia" w:ascii="宋体" w:hAnsi="宋体"/>
          <w:sz w:val="28"/>
          <w:szCs w:val="28"/>
        </w:rPr>
        <w:t>，为标准的起草奠定了基础，为标准的具体起草指明</w:t>
      </w:r>
      <w:r>
        <w:rPr>
          <w:rFonts w:hint="eastAsia" w:ascii="宋体" w:hAnsi="宋体"/>
          <w:sz w:val="28"/>
          <w:szCs w:val="28"/>
          <w:lang w:val="en-US" w:eastAsia="zh-CN"/>
        </w:rPr>
        <w:t>了</w:t>
      </w:r>
      <w:r>
        <w:rPr>
          <w:rFonts w:hint="eastAsia" w:ascii="宋体" w:hAnsi="宋体"/>
          <w:sz w:val="28"/>
          <w:szCs w:val="28"/>
        </w:rPr>
        <w:t>方向。</w:t>
      </w:r>
    </w:p>
    <w:p w14:paraId="0D51AFEA">
      <w:pPr>
        <w:topLinePunct/>
        <w:spacing w:line="360" w:lineRule="auto"/>
        <w:ind w:firstLine="562" w:firstLineChars="200"/>
        <w:jc w:val="left"/>
        <w:rPr>
          <w:rFonts w:hint="eastAsia" w:ascii="宋体" w:hAnsi="宋体"/>
          <w:sz w:val="28"/>
          <w:szCs w:val="28"/>
        </w:rPr>
      </w:pPr>
      <w:r>
        <w:rPr>
          <w:rFonts w:hint="eastAsia" w:ascii="宋体" w:hAnsi="宋体"/>
          <w:b/>
          <w:bCs/>
          <w:sz w:val="28"/>
          <w:szCs w:val="28"/>
        </w:rPr>
        <w:t>3、</w:t>
      </w:r>
      <w:r>
        <w:rPr>
          <w:rFonts w:ascii="宋体" w:hAnsi="宋体"/>
          <w:b/>
          <w:bCs/>
          <w:sz w:val="28"/>
          <w:szCs w:val="28"/>
        </w:rPr>
        <w:t>标准起草阶段</w:t>
      </w:r>
    </w:p>
    <w:p w14:paraId="11D6517E">
      <w:pPr>
        <w:topLinePunct/>
        <w:spacing w:line="360" w:lineRule="auto"/>
        <w:ind w:firstLine="560" w:firstLineChars="200"/>
        <w:jc w:val="left"/>
        <w:rPr>
          <w:rFonts w:hint="eastAsia" w:ascii="宋体" w:hAnsi="宋体"/>
          <w:sz w:val="28"/>
          <w:szCs w:val="28"/>
        </w:rPr>
      </w:pPr>
      <w:r>
        <w:rPr>
          <w:rFonts w:hint="eastAsia" w:ascii="宋体" w:hAnsi="宋体"/>
          <w:sz w:val="28"/>
          <w:szCs w:val="28"/>
        </w:rPr>
        <w:t>标准起草组通过调研国内外相关标准，结合固态微波源的技术和应用要求，拟定标准框架（涵盖工作环境、技术要求、试验方法、检验规则、标志、包装、运输和贮存）；组织专家团队开展专题研讨，确定固态微波源的技术内容和编写标准草案条文，明确固态微波源的技术要求（包括外观质量、外形尺寸</w:t>
      </w:r>
      <w:r>
        <w:rPr>
          <w:rFonts w:hint="eastAsia" w:ascii="宋体" w:hAnsi="宋体"/>
          <w:sz w:val="28"/>
          <w:szCs w:val="28"/>
          <w:lang w:val="en-US" w:eastAsia="zh-CN"/>
        </w:rPr>
        <w:t>及允许偏差</w:t>
      </w:r>
      <w:r>
        <w:rPr>
          <w:rFonts w:hint="eastAsia" w:ascii="宋体" w:hAnsi="宋体"/>
          <w:sz w:val="28"/>
          <w:szCs w:val="28"/>
        </w:rPr>
        <w:t>、电性能、控制系统、环境适应性、安全性、电磁兼容性和可靠性）和试验方法，再对固态微波源的检验规则、标志、包装、运输和贮存进行规定；同步征求固态微波源</w:t>
      </w:r>
      <w:r>
        <w:rPr>
          <w:rFonts w:hint="eastAsia" w:ascii="宋体" w:hAnsi="宋体" w:cs="宋体"/>
          <w:sz w:val="28"/>
          <w:szCs w:val="28"/>
        </w:rPr>
        <w:t>领域和制造行业内的企业、专家</w:t>
      </w:r>
      <w:r>
        <w:rPr>
          <w:rFonts w:hint="eastAsia" w:ascii="宋体" w:hAnsi="宋体"/>
          <w:sz w:val="28"/>
          <w:szCs w:val="28"/>
        </w:rPr>
        <w:t>意见，反复修订完善文本，确保标准的科学性、可操作性和行业适用性，形成了《</w:t>
      </w:r>
      <w:r>
        <w:rPr>
          <w:rFonts w:hint="eastAsia" w:ascii="宋体" w:hAnsi="宋体" w:cs="宋体"/>
          <w:sz w:val="28"/>
          <w:szCs w:val="28"/>
        </w:rPr>
        <w:t>固态微波源通用技术规范</w:t>
      </w:r>
      <w:r>
        <w:rPr>
          <w:rFonts w:hint="eastAsia" w:ascii="宋体" w:hAnsi="宋体"/>
          <w:sz w:val="28"/>
          <w:szCs w:val="28"/>
        </w:rPr>
        <w:t>》（标准草案稿）。</w:t>
      </w:r>
    </w:p>
    <w:p w14:paraId="66010C10">
      <w:pPr>
        <w:topLinePunct/>
        <w:spacing w:line="360" w:lineRule="auto"/>
        <w:ind w:firstLine="562" w:firstLineChars="200"/>
        <w:jc w:val="left"/>
        <w:rPr>
          <w:rFonts w:hint="eastAsia" w:ascii="宋体" w:hAnsi="宋体"/>
          <w:b/>
          <w:bCs/>
          <w:sz w:val="28"/>
          <w:szCs w:val="28"/>
        </w:rPr>
      </w:pPr>
      <w:r>
        <w:rPr>
          <w:rFonts w:ascii="宋体" w:hAnsi="宋体"/>
          <w:b/>
          <w:bCs/>
          <w:sz w:val="28"/>
          <w:szCs w:val="28"/>
        </w:rPr>
        <w:t>4、标准征求意见阶段</w:t>
      </w:r>
    </w:p>
    <w:p w14:paraId="5138B1FB">
      <w:pPr>
        <w:topLinePunct/>
        <w:spacing w:line="360" w:lineRule="auto"/>
        <w:ind w:firstLine="560" w:firstLineChars="200"/>
        <w:jc w:val="left"/>
        <w:rPr>
          <w:rFonts w:hint="eastAsia" w:ascii="宋体" w:hAnsi="宋体"/>
          <w:sz w:val="28"/>
          <w:szCs w:val="28"/>
        </w:rPr>
      </w:pPr>
      <w:r>
        <w:rPr>
          <w:rFonts w:hint="eastAsia" w:ascii="宋体" w:hAnsi="宋体"/>
          <w:sz w:val="28"/>
          <w:szCs w:val="28"/>
        </w:rPr>
        <w:t>形成标准草案稿之后，标准起草组召开了多次专家研讨会，从标准框架、标准具体内容等角度广泛征求多方意见，正式形成《</w:t>
      </w:r>
      <w:r>
        <w:rPr>
          <w:rFonts w:hint="eastAsia" w:ascii="宋体" w:hAnsi="宋体" w:cs="宋体"/>
          <w:sz w:val="28"/>
          <w:szCs w:val="28"/>
        </w:rPr>
        <w:t>固态微波源通用技术规范</w:t>
      </w:r>
      <w:r>
        <w:rPr>
          <w:rFonts w:hint="eastAsia" w:ascii="宋体" w:hAnsi="宋体"/>
          <w:sz w:val="28"/>
          <w:szCs w:val="28"/>
        </w:rPr>
        <w:t>》（征求意见稿）。形成征求意见稿后，标准起草组通过线上、线下等渠道进行广泛征求意见；同时组织专家论证会，重点研讨</w:t>
      </w:r>
      <w:r>
        <w:rPr>
          <w:rFonts w:hint="eastAsia" w:ascii="宋体" w:hAnsi="宋体" w:cs="宋体"/>
          <w:sz w:val="28"/>
          <w:szCs w:val="28"/>
        </w:rPr>
        <w:t>固态微波源技术要求</w:t>
      </w:r>
      <w:r>
        <w:rPr>
          <w:rFonts w:hint="eastAsia" w:ascii="宋体" w:hAnsi="宋体"/>
          <w:sz w:val="28"/>
          <w:szCs w:val="28"/>
        </w:rPr>
        <w:t>的合理性、适用性和科学性，以及对试验方法的可操作性进行深入研讨；对收集的书面意见进行系统汇总、分类整理和逐条分析，由标准起草组研究采纳或回复，对存在争议的条款组织专题论证，形成意见处理汇总表；根据反馈意见对标准内容进行多轮修改完善，确保各方关切得到合理回应，最终形成标准《</w:t>
      </w:r>
      <w:r>
        <w:rPr>
          <w:rFonts w:hint="eastAsia" w:ascii="宋体" w:hAnsi="宋体" w:cs="宋体"/>
          <w:sz w:val="28"/>
          <w:szCs w:val="28"/>
        </w:rPr>
        <w:t>固态微波源通用技术规范</w:t>
      </w:r>
      <w:r>
        <w:rPr>
          <w:rFonts w:hint="eastAsia" w:ascii="宋体" w:hAnsi="宋体"/>
          <w:sz w:val="28"/>
          <w:szCs w:val="28"/>
        </w:rPr>
        <w:t>》（送审稿）。</w:t>
      </w:r>
    </w:p>
    <w:p w14:paraId="0710C0CE">
      <w:pPr>
        <w:topLinePunct/>
        <w:spacing w:line="360" w:lineRule="auto"/>
        <w:ind w:firstLine="562" w:firstLineChars="200"/>
        <w:jc w:val="left"/>
        <w:rPr>
          <w:rFonts w:hint="eastAsia" w:ascii="宋体" w:hAnsi="宋体"/>
          <w:b/>
          <w:bCs/>
          <w:sz w:val="28"/>
          <w:szCs w:val="28"/>
        </w:rPr>
      </w:pPr>
      <w:r>
        <w:rPr>
          <w:rFonts w:hint="eastAsia" w:ascii="宋体" w:hAnsi="宋体"/>
          <w:b/>
          <w:bCs/>
          <w:sz w:val="28"/>
          <w:szCs w:val="28"/>
        </w:rPr>
        <w:t>5、专家审核</w:t>
      </w:r>
    </w:p>
    <w:p w14:paraId="28C1516A">
      <w:pPr>
        <w:topLinePunct/>
        <w:spacing w:line="360" w:lineRule="auto"/>
        <w:ind w:firstLine="560" w:firstLineChars="200"/>
        <w:jc w:val="left"/>
        <w:rPr>
          <w:rFonts w:hint="eastAsia" w:ascii="宋体" w:hAnsi="宋体"/>
          <w:color w:val="000000"/>
          <w:sz w:val="28"/>
          <w:szCs w:val="28"/>
        </w:rPr>
      </w:pPr>
      <w:r>
        <w:rPr>
          <w:rFonts w:hint="eastAsia" w:ascii="宋体" w:hAnsi="宋体"/>
          <w:color w:val="000000"/>
          <w:sz w:val="28"/>
          <w:szCs w:val="28"/>
        </w:rPr>
        <w:t>本标准拟定于2026年</w:t>
      </w:r>
      <w:r>
        <w:rPr>
          <w:rFonts w:hint="eastAsia" w:ascii="宋体" w:hAnsi="宋体"/>
          <w:color w:val="000000"/>
          <w:sz w:val="28"/>
          <w:szCs w:val="28"/>
          <w:lang w:val="en-US" w:eastAsia="zh-CN"/>
        </w:rPr>
        <w:t>3</w:t>
      </w:r>
      <w:r>
        <w:rPr>
          <w:rFonts w:hint="eastAsia" w:ascii="宋体" w:hAnsi="宋体"/>
          <w:color w:val="000000"/>
          <w:sz w:val="28"/>
          <w:szCs w:val="28"/>
        </w:rPr>
        <w:t>月</w:t>
      </w:r>
      <w:r>
        <w:rPr>
          <w:rFonts w:hint="eastAsia" w:ascii="宋体" w:hAnsi="宋体"/>
          <w:color w:val="000000"/>
          <w:sz w:val="28"/>
          <w:szCs w:val="28"/>
          <w:lang w:val="en-US" w:eastAsia="zh-CN"/>
        </w:rPr>
        <w:t>开展专家审核工作</w:t>
      </w:r>
      <w:r>
        <w:rPr>
          <w:rFonts w:hint="eastAsia" w:ascii="宋体" w:hAnsi="宋体"/>
          <w:color w:val="000000"/>
          <w:sz w:val="28"/>
          <w:szCs w:val="28"/>
        </w:rPr>
        <w:t>。</w:t>
      </w:r>
    </w:p>
    <w:p w14:paraId="1B5D1A4A">
      <w:pPr>
        <w:topLinePunct/>
        <w:spacing w:line="360" w:lineRule="auto"/>
        <w:ind w:firstLine="562" w:firstLineChars="200"/>
        <w:jc w:val="left"/>
        <w:rPr>
          <w:rFonts w:hint="eastAsia" w:ascii="宋体" w:hAnsi="宋体"/>
          <w:b/>
          <w:bCs/>
          <w:color w:val="000000"/>
          <w:sz w:val="28"/>
          <w:szCs w:val="28"/>
        </w:rPr>
      </w:pPr>
      <w:r>
        <w:rPr>
          <w:rFonts w:hint="eastAsia" w:ascii="宋体" w:hAnsi="宋体"/>
          <w:b/>
          <w:bCs/>
          <w:color w:val="000000"/>
          <w:sz w:val="28"/>
          <w:szCs w:val="28"/>
        </w:rPr>
        <w:t>6、发布</w:t>
      </w:r>
    </w:p>
    <w:p w14:paraId="5DC646FF">
      <w:pPr>
        <w:topLinePunct/>
        <w:spacing w:line="360" w:lineRule="auto"/>
        <w:ind w:firstLine="560" w:firstLineChars="200"/>
        <w:jc w:val="left"/>
        <w:rPr>
          <w:rFonts w:hint="eastAsia" w:ascii="宋体" w:hAnsi="宋体"/>
          <w:color w:val="FF0000"/>
          <w:sz w:val="28"/>
          <w:szCs w:val="28"/>
        </w:rPr>
      </w:pPr>
      <w:r>
        <w:rPr>
          <w:rFonts w:hint="eastAsia" w:ascii="宋体" w:hAnsi="宋体"/>
          <w:color w:val="000000"/>
          <w:sz w:val="28"/>
          <w:szCs w:val="28"/>
        </w:rPr>
        <w:t>本标准拟定于</w:t>
      </w:r>
      <w:r>
        <w:rPr>
          <w:rFonts w:ascii="宋体" w:hAnsi="宋体"/>
          <w:color w:val="000000"/>
          <w:sz w:val="28"/>
          <w:szCs w:val="28"/>
        </w:rPr>
        <w:t>202</w:t>
      </w:r>
      <w:r>
        <w:rPr>
          <w:rFonts w:hint="eastAsia" w:ascii="宋体" w:hAnsi="宋体"/>
          <w:color w:val="000000"/>
          <w:sz w:val="28"/>
          <w:szCs w:val="28"/>
        </w:rPr>
        <w:t>6年</w:t>
      </w:r>
      <w:r>
        <w:rPr>
          <w:rFonts w:hint="eastAsia" w:ascii="宋体" w:hAnsi="宋体"/>
          <w:color w:val="000000"/>
          <w:sz w:val="28"/>
          <w:szCs w:val="28"/>
          <w:lang w:val="en-US" w:eastAsia="zh-CN"/>
        </w:rPr>
        <w:t>3</w:t>
      </w:r>
      <w:r>
        <w:rPr>
          <w:rFonts w:hint="eastAsia" w:ascii="宋体" w:hAnsi="宋体"/>
          <w:color w:val="000000"/>
          <w:sz w:val="28"/>
          <w:szCs w:val="28"/>
        </w:rPr>
        <w:t>月发布并实施</w:t>
      </w:r>
      <w:r>
        <w:rPr>
          <w:rFonts w:hint="eastAsia" w:ascii="宋体" w:hAnsi="宋体"/>
          <w:sz w:val="28"/>
          <w:szCs w:val="28"/>
        </w:rPr>
        <w:t>。</w:t>
      </w:r>
    </w:p>
    <w:p w14:paraId="1A9E94BB">
      <w:pPr>
        <w:ind w:left="420"/>
        <w:rPr>
          <w:rFonts w:hint="eastAsia" w:ascii="宋体" w:hAnsi="宋体" w:cs="宋体"/>
          <w:b/>
          <w:bCs/>
          <w:sz w:val="28"/>
          <w:szCs w:val="28"/>
        </w:rPr>
      </w:pPr>
      <w:r>
        <w:rPr>
          <w:rFonts w:hint="eastAsia" w:ascii="宋体" w:hAnsi="宋体" w:cs="宋体"/>
          <w:b/>
          <w:bCs/>
          <w:sz w:val="28"/>
          <w:szCs w:val="28"/>
        </w:rPr>
        <w:t>（五）主要起草单位及起草人所做的工作</w:t>
      </w:r>
    </w:p>
    <w:p w14:paraId="50BC9995">
      <w:pPr>
        <w:topLinePunct/>
        <w:spacing w:line="360" w:lineRule="auto"/>
        <w:ind w:firstLine="562" w:firstLineChars="200"/>
        <w:jc w:val="left"/>
        <w:rPr>
          <w:rFonts w:hint="eastAsia" w:ascii="宋体" w:hAnsi="宋体"/>
          <w:b/>
          <w:bCs/>
          <w:sz w:val="28"/>
          <w:szCs w:val="28"/>
        </w:rPr>
      </w:pPr>
      <w:r>
        <w:rPr>
          <w:rFonts w:hint="eastAsia" w:ascii="宋体" w:hAnsi="宋体"/>
          <w:b/>
          <w:bCs/>
          <w:sz w:val="28"/>
          <w:szCs w:val="28"/>
        </w:rPr>
        <w:t>1、主要起草单位</w:t>
      </w:r>
    </w:p>
    <w:p w14:paraId="6E5CC630">
      <w:pPr>
        <w:topLinePunct/>
        <w:spacing w:line="360" w:lineRule="auto"/>
        <w:ind w:firstLine="560" w:firstLineChars="200"/>
        <w:jc w:val="left"/>
        <w:rPr>
          <w:rFonts w:hint="eastAsia" w:ascii="宋体" w:hAnsi="宋体" w:cs="宋体"/>
          <w:sz w:val="28"/>
          <w:szCs w:val="28"/>
        </w:rPr>
      </w:pPr>
      <w:r>
        <w:rPr>
          <w:rFonts w:hint="eastAsia" w:ascii="宋体" w:hAnsi="宋体"/>
          <w:color w:val="000000"/>
          <w:sz w:val="28"/>
          <w:szCs w:val="28"/>
        </w:rPr>
        <w:t>济南晶芯半导体有限公司、扬州弘思百佳科技有限公司、纵坐标（江苏）标准技术服务有限公司</w:t>
      </w:r>
      <w:r>
        <w:rPr>
          <w:rFonts w:hint="eastAsia" w:ascii="宋体" w:hAnsi="宋体"/>
          <w:sz w:val="28"/>
          <w:szCs w:val="28"/>
        </w:rPr>
        <w:t>。</w:t>
      </w:r>
    </w:p>
    <w:p w14:paraId="782C1034">
      <w:pPr>
        <w:topLinePunct/>
        <w:spacing w:line="360" w:lineRule="auto"/>
        <w:ind w:firstLine="562" w:firstLineChars="200"/>
        <w:jc w:val="left"/>
        <w:rPr>
          <w:rFonts w:hint="eastAsia" w:ascii="宋体" w:hAnsi="宋体"/>
          <w:b/>
          <w:bCs/>
          <w:sz w:val="28"/>
          <w:szCs w:val="28"/>
        </w:rPr>
      </w:pPr>
      <w:r>
        <w:rPr>
          <w:rFonts w:ascii="宋体" w:hAnsi="宋体"/>
          <w:b/>
          <w:bCs/>
          <w:sz w:val="28"/>
          <w:szCs w:val="28"/>
        </w:rPr>
        <w:t>2</w:t>
      </w:r>
      <w:r>
        <w:rPr>
          <w:rFonts w:hint="eastAsia" w:ascii="宋体" w:hAnsi="宋体"/>
          <w:b/>
          <w:bCs/>
          <w:sz w:val="28"/>
          <w:szCs w:val="28"/>
        </w:rPr>
        <w:t>、工作内容</w:t>
      </w:r>
    </w:p>
    <w:p w14:paraId="4D7682F7">
      <w:pPr>
        <w:topLinePunct/>
        <w:spacing w:line="360" w:lineRule="auto"/>
        <w:ind w:firstLine="560" w:firstLineChars="200"/>
        <w:jc w:val="left"/>
        <w:rPr>
          <w:rFonts w:hint="eastAsia" w:ascii="宋体" w:hAnsi="宋体"/>
          <w:sz w:val="28"/>
          <w:szCs w:val="28"/>
        </w:rPr>
      </w:pPr>
      <w:r>
        <w:rPr>
          <w:rFonts w:hint="eastAsia" w:ascii="宋体" w:hAnsi="宋体"/>
          <w:sz w:val="28"/>
          <w:szCs w:val="28"/>
        </w:rPr>
        <w:t>（1）</w:t>
      </w:r>
      <w:r>
        <w:rPr>
          <w:rFonts w:hint="eastAsia" w:ascii="宋体" w:hAnsi="宋体"/>
          <w:color w:val="000000"/>
          <w:sz w:val="28"/>
          <w:szCs w:val="28"/>
        </w:rPr>
        <w:t>济南晶芯半导体有限公司</w:t>
      </w:r>
      <w:r>
        <w:rPr>
          <w:rFonts w:hint="eastAsia" w:ascii="宋体" w:hAnsi="宋体"/>
          <w:sz w:val="28"/>
          <w:szCs w:val="28"/>
        </w:rPr>
        <w:t>主要负责标准制定过程的协调工作；负责标准制定工作，资料查询、标准正文及编制说明、标准草案起草、方法验证等工作。</w:t>
      </w:r>
    </w:p>
    <w:p w14:paraId="568B231B">
      <w:pPr>
        <w:topLinePunct/>
        <w:spacing w:line="360" w:lineRule="auto"/>
        <w:ind w:firstLine="560" w:firstLineChars="200"/>
        <w:jc w:val="left"/>
        <w:rPr>
          <w:rFonts w:hint="eastAsia" w:ascii="宋体" w:hAnsi="宋体"/>
          <w:sz w:val="28"/>
          <w:szCs w:val="28"/>
        </w:rPr>
      </w:pPr>
      <w:r>
        <w:rPr>
          <w:rFonts w:hint="eastAsia" w:ascii="宋体" w:hAnsi="宋体"/>
          <w:sz w:val="28"/>
          <w:szCs w:val="28"/>
        </w:rPr>
        <w:t>（2）扬州弘思百佳科技有限公司、纵坐标（江苏）标准技术服务有限公司主要参与资料查询、标准正文草案修改、方法验证等。</w:t>
      </w:r>
    </w:p>
    <w:p w14:paraId="32CEB9CC">
      <w:pPr>
        <w:numPr>
          <w:ilvl w:val="0"/>
          <w:numId w:val="1"/>
        </w:numPr>
        <w:ind w:firstLine="0"/>
        <w:rPr>
          <w:rFonts w:hint="eastAsia" w:ascii="宋体" w:hAnsi="宋体" w:cs="宋体"/>
          <w:b/>
          <w:bCs/>
          <w:sz w:val="28"/>
          <w:szCs w:val="28"/>
        </w:rPr>
      </w:pPr>
      <w:r>
        <w:rPr>
          <w:rFonts w:hint="eastAsia" w:ascii="宋体" w:hAnsi="宋体" w:cs="宋体"/>
          <w:b/>
          <w:bCs/>
          <w:sz w:val="28"/>
          <w:szCs w:val="28"/>
        </w:rPr>
        <w:t>标准编制原则</w:t>
      </w:r>
    </w:p>
    <w:p w14:paraId="3FBA8BAB">
      <w:pPr>
        <w:ind w:left="420"/>
        <w:rPr>
          <w:rFonts w:hint="eastAsia" w:ascii="宋体" w:hAnsi="宋体" w:cs="宋体"/>
          <w:b/>
          <w:bCs/>
          <w:sz w:val="28"/>
          <w:szCs w:val="28"/>
        </w:rPr>
      </w:pPr>
      <w:r>
        <w:rPr>
          <w:rFonts w:hint="eastAsia" w:ascii="宋体" w:hAnsi="宋体" w:cs="宋体"/>
          <w:b/>
          <w:bCs/>
          <w:sz w:val="28"/>
          <w:szCs w:val="28"/>
        </w:rPr>
        <w:t>（一）标准编制原则</w:t>
      </w:r>
    </w:p>
    <w:p w14:paraId="728D00AD">
      <w:pPr>
        <w:ind w:firstLine="560" w:firstLineChars="200"/>
        <w:rPr>
          <w:rFonts w:hint="eastAsia" w:ascii="宋体" w:hAnsi="宋体" w:cs="宋体"/>
          <w:sz w:val="28"/>
          <w:szCs w:val="28"/>
        </w:rPr>
      </w:pPr>
      <w:r>
        <w:rPr>
          <w:rFonts w:hint="eastAsia" w:ascii="宋体" w:hAnsi="宋体" w:cs="宋体"/>
          <w:sz w:val="28"/>
          <w:szCs w:val="28"/>
        </w:rPr>
        <w:t>本标准按照GB/T 1.1《标准化工作导则 第1部分：标准化文件的结构和起草规则》的规定编写。为使本标准具有先进性、适时性和实用性，且同时满足公开、透明、公平和公正要求，标准起草组严格按照以下原则进行工作：</w:t>
      </w:r>
    </w:p>
    <w:p w14:paraId="265FD9B8">
      <w:pPr>
        <w:ind w:firstLine="560" w:firstLineChars="200"/>
        <w:rPr>
          <w:rFonts w:hint="eastAsia" w:ascii="宋体" w:hAnsi="宋体" w:cs="宋体"/>
          <w:sz w:val="28"/>
          <w:szCs w:val="28"/>
        </w:rPr>
      </w:pPr>
      <w:r>
        <w:rPr>
          <w:rFonts w:hint="eastAsia" w:ascii="宋体" w:hAnsi="宋体" w:cs="宋体"/>
          <w:sz w:val="28"/>
          <w:szCs w:val="28"/>
        </w:rPr>
        <w:t>1、标准的科学性、协调性和一致性；</w:t>
      </w:r>
    </w:p>
    <w:p w14:paraId="46303ED6">
      <w:pPr>
        <w:ind w:firstLine="560" w:firstLineChars="200"/>
        <w:rPr>
          <w:rFonts w:hint="eastAsia" w:ascii="宋体" w:hAnsi="宋体" w:cs="宋体"/>
          <w:sz w:val="28"/>
          <w:szCs w:val="28"/>
        </w:rPr>
      </w:pPr>
      <w:r>
        <w:rPr>
          <w:rFonts w:hint="eastAsia" w:ascii="宋体" w:hAnsi="宋体" w:cs="宋体"/>
          <w:sz w:val="28"/>
          <w:szCs w:val="28"/>
        </w:rPr>
        <w:t>2、标准实施中的适用性、规范性和可操作性。</w:t>
      </w:r>
    </w:p>
    <w:p w14:paraId="43E76D29">
      <w:pPr>
        <w:ind w:left="420"/>
        <w:rPr>
          <w:rFonts w:hint="eastAsia" w:ascii="宋体" w:hAnsi="宋体" w:cs="宋体"/>
          <w:b/>
          <w:bCs/>
          <w:sz w:val="28"/>
          <w:szCs w:val="28"/>
        </w:rPr>
      </w:pPr>
      <w:r>
        <w:rPr>
          <w:rFonts w:hint="eastAsia" w:ascii="宋体" w:hAnsi="宋体" w:cs="宋体"/>
          <w:b/>
          <w:bCs/>
          <w:sz w:val="28"/>
          <w:szCs w:val="28"/>
        </w:rPr>
        <w:t xml:space="preserve">（二）标准主要技术内容 </w:t>
      </w:r>
    </w:p>
    <w:p w14:paraId="20539A6F">
      <w:pPr>
        <w:ind w:firstLine="560" w:firstLineChars="200"/>
        <w:rPr>
          <w:rFonts w:hint="eastAsia" w:ascii="宋体" w:hAnsi="宋体" w:cs="宋体"/>
          <w:b/>
          <w:bCs/>
          <w:sz w:val="28"/>
          <w:szCs w:val="28"/>
        </w:rPr>
      </w:pPr>
      <w:r>
        <w:rPr>
          <w:rFonts w:hint="eastAsia" w:ascii="宋体" w:hAnsi="宋体" w:cs="宋体"/>
          <w:sz w:val="28"/>
          <w:szCs w:val="28"/>
        </w:rPr>
        <w:t>本标准征求意见稿包括8个章节，主要内容如下：</w:t>
      </w:r>
    </w:p>
    <w:p w14:paraId="42585450">
      <w:pPr>
        <w:ind w:firstLine="562" w:firstLineChars="200"/>
        <w:rPr>
          <w:rFonts w:hint="eastAsia" w:ascii="宋体" w:hAnsi="宋体" w:cs="宋体"/>
          <w:b/>
          <w:bCs/>
          <w:sz w:val="28"/>
          <w:szCs w:val="28"/>
        </w:rPr>
      </w:pPr>
      <w:r>
        <w:rPr>
          <w:rFonts w:hint="eastAsia" w:ascii="宋体" w:hAnsi="宋体" w:cs="宋体"/>
          <w:b/>
          <w:bCs/>
          <w:sz w:val="28"/>
          <w:szCs w:val="28"/>
        </w:rPr>
        <w:t>1、范围</w:t>
      </w:r>
    </w:p>
    <w:p w14:paraId="073E3843">
      <w:pPr>
        <w:ind w:firstLine="560" w:firstLineChars="200"/>
        <w:rPr>
          <w:rFonts w:hint="eastAsia" w:ascii="宋体" w:hAnsi="宋体" w:cs="宋体"/>
          <w:sz w:val="28"/>
          <w:szCs w:val="28"/>
        </w:rPr>
      </w:pPr>
      <w:r>
        <w:rPr>
          <w:rFonts w:hint="eastAsia" w:ascii="宋体" w:hAnsi="宋体" w:cs="宋体"/>
          <w:sz w:val="28"/>
          <w:szCs w:val="28"/>
        </w:rPr>
        <w:t>本文件规定了固态微波源的工作环境、技术要求、试验方法、检验规则、标志、包装、运输和贮存。</w:t>
      </w:r>
    </w:p>
    <w:p w14:paraId="31168089">
      <w:pPr>
        <w:ind w:firstLine="560" w:firstLineChars="200"/>
        <w:rPr>
          <w:rFonts w:hint="eastAsia" w:ascii="宋体" w:hAnsi="宋体" w:cs="宋体"/>
          <w:sz w:val="28"/>
          <w:szCs w:val="28"/>
        </w:rPr>
      </w:pPr>
      <w:r>
        <w:rPr>
          <w:rFonts w:hint="eastAsia" w:ascii="宋体" w:hAnsi="宋体" w:cs="宋体"/>
          <w:sz w:val="28"/>
          <w:szCs w:val="28"/>
        </w:rPr>
        <w:t>本文件适用于工作频率为2.4 GHz～2.5 GHz和5.725 GHz～5.875 GHz的固态微波源。</w:t>
      </w:r>
    </w:p>
    <w:p w14:paraId="3BEA0015">
      <w:pPr>
        <w:ind w:firstLine="562" w:firstLineChars="200"/>
        <w:rPr>
          <w:rFonts w:hint="eastAsia" w:ascii="宋体" w:hAnsi="宋体" w:cs="宋体"/>
          <w:b/>
          <w:bCs/>
          <w:sz w:val="28"/>
          <w:szCs w:val="28"/>
        </w:rPr>
      </w:pPr>
      <w:r>
        <w:rPr>
          <w:rFonts w:hint="eastAsia" w:ascii="宋体" w:hAnsi="宋体" w:cs="宋体"/>
          <w:b/>
          <w:bCs/>
          <w:sz w:val="28"/>
          <w:szCs w:val="28"/>
        </w:rPr>
        <w:t>2、规范性引用文件</w:t>
      </w:r>
    </w:p>
    <w:p w14:paraId="3983529C">
      <w:pPr>
        <w:ind w:firstLine="560" w:firstLineChars="200"/>
        <w:rPr>
          <w:rFonts w:hint="eastAsia" w:ascii="宋体" w:hAnsi="宋体"/>
          <w:sz w:val="28"/>
          <w:szCs w:val="28"/>
        </w:rPr>
      </w:pPr>
      <w:r>
        <w:rPr>
          <w:rFonts w:hint="eastAsia" w:ascii="宋体" w:hAnsi="宋体"/>
          <w:sz w:val="28"/>
          <w:szCs w:val="28"/>
        </w:rPr>
        <w:t>GB/T 191 包装储运图示标志</w:t>
      </w:r>
    </w:p>
    <w:p w14:paraId="201EB372">
      <w:pPr>
        <w:ind w:firstLine="560" w:firstLineChars="200"/>
        <w:rPr>
          <w:rFonts w:hint="eastAsia" w:ascii="宋体" w:hAnsi="宋体"/>
          <w:sz w:val="28"/>
          <w:szCs w:val="28"/>
        </w:rPr>
      </w:pPr>
      <w:r>
        <w:rPr>
          <w:rFonts w:hint="eastAsia" w:ascii="宋体" w:hAnsi="宋体"/>
          <w:sz w:val="28"/>
          <w:szCs w:val="28"/>
        </w:rPr>
        <w:t>GB/T 2828.1-2012 计数抽样检验程序 第1部分：按接收质量限（AQL）检索的逐批检验抽样计划</w:t>
      </w:r>
    </w:p>
    <w:p w14:paraId="28597E03">
      <w:pPr>
        <w:ind w:firstLine="560" w:firstLineChars="200"/>
        <w:rPr>
          <w:rFonts w:hint="eastAsia" w:ascii="宋体" w:hAnsi="宋体"/>
          <w:sz w:val="28"/>
          <w:szCs w:val="28"/>
        </w:rPr>
      </w:pPr>
      <w:r>
        <w:rPr>
          <w:rFonts w:hint="eastAsia" w:ascii="宋体" w:hAnsi="宋体"/>
          <w:sz w:val="28"/>
          <w:szCs w:val="28"/>
        </w:rPr>
        <w:t>GB 5959.6 电热装置的安全 第6部分： 工业微波加热设备的安全规范</w:t>
      </w:r>
    </w:p>
    <w:p w14:paraId="3EB8E38F">
      <w:pPr>
        <w:ind w:firstLine="560" w:firstLineChars="200"/>
        <w:rPr>
          <w:rFonts w:hint="eastAsia" w:ascii="宋体" w:hAnsi="宋体"/>
          <w:sz w:val="28"/>
          <w:szCs w:val="28"/>
        </w:rPr>
      </w:pPr>
      <w:r>
        <w:rPr>
          <w:rFonts w:hint="eastAsia" w:ascii="宋体" w:hAnsi="宋体"/>
          <w:sz w:val="28"/>
          <w:szCs w:val="28"/>
        </w:rPr>
        <w:t>GB/T 9969 工业产品使用说明书 总则</w:t>
      </w:r>
    </w:p>
    <w:p w14:paraId="29221D0F">
      <w:pPr>
        <w:ind w:firstLine="560" w:firstLineChars="200"/>
        <w:rPr>
          <w:rFonts w:hint="eastAsia" w:ascii="宋体" w:hAnsi="宋体"/>
          <w:sz w:val="28"/>
          <w:szCs w:val="28"/>
        </w:rPr>
      </w:pPr>
      <w:r>
        <w:rPr>
          <w:rFonts w:hint="eastAsia" w:ascii="宋体" w:hAnsi="宋体"/>
          <w:sz w:val="28"/>
          <w:szCs w:val="28"/>
        </w:rPr>
        <w:t>GB/T 13306 标牌</w:t>
      </w:r>
    </w:p>
    <w:p w14:paraId="5DD8CF1A">
      <w:pPr>
        <w:ind w:firstLine="560" w:firstLineChars="200"/>
        <w:rPr>
          <w:rFonts w:hint="eastAsia" w:ascii="宋体" w:hAnsi="宋体"/>
          <w:sz w:val="28"/>
          <w:szCs w:val="28"/>
        </w:rPr>
      </w:pPr>
      <w:r>
        <w:rPr>
          <w:rFonts w:hint="eastAsia" w:ascii="宋体" w:hAnsi="宋体"/>
          <w:sz w:val="28"/>
          <w:szCs w:val="28"/>
        </w:rPr>
        <w:t>GB/T 13384 机电产品包装通用技术条件</w:t>
      </w:r>
    </w:p>
    <w:p w14:paraId="3E40FB59">
      <w:pPr>
        <w:ind w:firstLine="560" w:firstLineChars="200"/>
        <w:rPr>
          <w:rFonts w:hint="eastAsia" w:ascii="宋体" w:hAnsi="宋体"/>
          <w:sz w:val="28"/>
          <w:szCs w:val="28"/>
        </w:rPr>
      </w:pPr>
      <w:r>
        <w:rPr>
          <w:rFonts w:hint="eastAsia" w:ascii="宋体" w:hAnsi="宋体"/>
          <w:sz w:val="28"/>
          <w:szCs w:val="28"/>
        </w:rPr>
        <w:t>GB/T 16895.21 低压电气装置 第4-41部分：安全防护 电击防护</w:t>
      </w:r>
    </w:p>
    <w:p w14:paraId="19DE8B46">
      <w:pPr>
        <w:ind w:firstLine="560" w:firstLineChars="200"/>
        <w:rPr>
          <w:rFonts w:hint="eastAsia" w:ascii="宋体" w:hAnsi="宋体"/>
          <w:sz w:val="28"/>
          <w:szCs w:val="28"/>
        </w:rPr>
      </w:pPr>
      <w:r>
        <w:rPr>
          <w:rFonts w:hint="eastAsia" w:ascii="宋体" w:hAnsi="宋体"/>
          <w:sz w:val="28"/>
          <w:szCs w:val="28"/>
        </w:rPr>
        <w:t>GB/T 30790.5 色漆和清漆 防护涂料体系对钢结构的防腐蚀保护 第5部分：防护涂料体系</w:t>
      </w:r>
    </w:p>
    <w:p w14:paraId="778BE353">
      <w:pPr>
        <w:ind w:firstLine="560" w:firstLineChars="200"/>
        <w:rPr>
          <w:rFonts w:hint="eastAsia" w:ascii="宋体" w:hAnsi="宋体"/>
          <w:sz w:val="28"/>
          <w:szCs w:val="28"/>
        </w:rPr>
      </w:pPr>
      <w:r>
        <w:rPr>
          <w:rFonts w:hint="eastAsia" w:ascii="宋体" w:hAnsi="宋体"/>
          <w:sz w:val="28"/>
          <w:szCs w:val="28"/>
        </w:rPr>
        <w:t>GBZ 2.2-2007 工作场所有害因素职业接触限值 第2部分：物理因素</w:t>
      </w:r>
    </w:p>
    <w:p w14:paraId="01E9605E">
      <w:pPr>
        <w:ind w:firstLine="560" w:firstLineChars="200"/>
        <w:rPr>
          <w:rFonts w:hint="eastAsia" w:ascii="宋体" w:hAnsi="宋体"/>
          <w:sz w:val="28"/>
          <w:szCs w:val="28"/>
        </w:rPr>
      </w:pPr>
      <w:r>
        <w:rPr>
          <w:rFonts w:hint="eastAsia" w:ascii="宋体" w:hAnsi="宋体"/>
          <w:sz w:val="28"/>
          <w:szCs w:val="28"/>
        </w:rPr>
        <w:t>GJB 899A 可靠性鉴定和验收试验</w:t>
      </w:r>
    </w:p>
    <w:p w14:paraId="2FE62149">
      <w:pPr>
        <w:ind w:firstLine="560" w:firstLineChars="200"/>
        <w:rPr>
          <w:rFonts w:hint="eastAsia" w:ascii="宋体" w:hAnsi="宋体"/>
          <w:sz w:val="28"/>
          <w:szCs w:val="28"/>
        </w:rPr>
      </w:pPr>
      <w:r>
        <w:rPr>
          <w:rFonts w:hint="eastAsia" w:ascii="宋体" w:hAnsi="宋体"/>
          <w:sz w:val="28"/>
          <w:szCs w:val="28"/>
        </w:rPr>
        <w:t>GJB 2650 微波元器件性能测试方法</w:t>
      </w:r>
    </w:p>
    <w:p w14:paraId="1FC3CE1A">
      <w:pPr>
        <w:ind w:firstLine="560" w:firstLineChars="200"/>
        <w:rPr>
          <w:rFonts w:hint="eastAsia" w:ascii="宋体" w:hAnsi="宋体"/>
          <w:sz w:val="28"/>
          <w:szCs w:val="28"/>
        </w:rPr>
      </w:pPr>
      <w:r>
        <w:rPr>
          <w:rFonts w:hint="eastAsia" w:ascii="宋体" w:hAnsi="宋体"/>
          <w:sz w:val="28"/>
          <w:szCs w:val="28"/>
        </w:rPr>
        <w:t>GJB 5847-2006 射频和微波固态放大器通用规范</w:t>
      </w:r>
    </w:p>
    <w:p w14:paraId="796784F9">
      <w:pPr>
        <w:ind w:firstLine="560" w:firstLineChars="200"/>
        <w:rPr>
          <w:rFonts w:hint="eastAsia"/>
        </w:rPr>
      </w:pPr>
      <w:r>
        <w:rPr>
          <w:rFonts w:hint="eastAsia" w:ascii="宋体" w:hAnsi="宋体"/>
          <w:sz w:val="28"/>
          <w:szCs w:val="28"/>
        </w:rPr>
        <w:t>YY 9706.102-2021 医用电气设备 第1-2部分：基本安全和基本性能的通用要求 并列标准：电磁兼容 要求和试验</w:t>
      </w:r>
    </w:p>
    <w:p w14:paraId="76CC7F2A">
      <w:pPr>
        <w:ind w:firstLine="562" w:firstLineChars="200"/>
        <w:rPr>
          <w:rFonts w:hint="eastAsia" w:ascii="宋体" w:hAnsi="宋体" w:cs="宋体"/>
          <w:b/>
          <w:bCs/>
          <w:sz w:val="28"/>
          <w:szCs w:val="28"/>
        </w:rPr>
      </w:pPr>
      <w:r>
        <w:rPr>
          <w:rFonts w:hint="eastAsia" w:ascii="宋体" w:hAnsi="宋体" w:cs="宋体"/>
          <w:b/>
          <w:bCs/>
          <w:sz w:val="28"/>
          <w:szCs w:val="28"/>
        </w:rPr>
        <w:t>3、术语和定义</w:t>
      </w:r>
    </w:p>
    <w:p w14:paraId="2721D28D">
      <w:pPr>
        <w:ind w:firstLine="560" w:firstLineChars="200"/>
        <w:rPr>
          <w:rFonts w:hint="eastAsia" w:ascii="宋体" w:hAnsi="宋体" w:cs="宋体"/>
          <w:sz w:val="28"/>
          <w:szCs w:val="28"/>
        </w:rPr>
      </w:pPr>
      <w:r>
        <w:rPr>
          <w:rFonts w:hint="eastAsia" w:ascii="宋体" w:hAnsi="宋体" w:cs="宋体"/>
          <w:sz w:val="28"/>
          <w:szCs w:val="28"/>
        </w:rPr>
        <w:t>对“微波”、“固态微波源”、“</w:t>
      </w:r>
      <w:r>
        <w:rPr>
          <w:rFonts w:hint="eastAsia" w:ascii="宋体" w:hAnsi="宋体" w:cs="宋体"/>
          <w:sz w:val="28"/>
          <w:szCs w:val="28"/>
          <w:lang w:val="en-US" w:eastAsia="zh-CN"/>
        </w:rPr>
        <w:t>工作电压</w:t>
      </w:r>
      <w:r>
        <w:rPr>
          <w:rFonts w:hint="eastAsia" w:ascii="宋体" w:hAnsi="宋体" w:cs="宋体"/>
          <w:sz w:val="28"/>
          <w:szCs w:val="28"/>
        </w:rPr>
        <w:t>”、“</w:t>
      </w:r>
      <w:r>
        <w:rPr>
          <w:rFonts w:hint="eastAsia" w:ascii="宋体" w:hAnsi="宋体" w:cs="宋体"/>
          <w:sz w:val="28"/>
          <w:szCs w:val="28"/>
          <w:lang w:val="en-US" w:eastAsia="zh-CN"/>
        </w:rPr>
        <w:t>占空比</w:t>
      </w:r>
      <w:r>
        <w:rPr>
          <w:rFonts w:hint="eastAsia" w:ascii="宋体" w:hAnsi="宋体" w:cs="宋体"/>
          <w:sz w:val="28"/>
          <w:szCs w:val="28"/>
        </w:rPr>
        <w:t>”、“电压驻波比”等术语进行了界定。</w:t>
      </w:r>
    </w:p>
    <w:p w14:paraId="4E2866F6">
      <w:pPr>
        <w:ind w:firstLine="562" w:firstLineChars="200"/>
        <w:rPr>
          <w:rFonts w:hint="eastAsia" w:ascii="宋体" w:hAnsi="宋体" w:cs="宋体"/>
          <w:b/>
          <w:bCs/>
          <w:sz w:val="28"/>
          <w:szCs w:val="28"/>
        </w:rPr>
      </w:pPr>
      <w:r>
        <w:rPr>
          <w:rFonts w:hint="eastAsia" w:ascii="宋体" w:hAnsi="宋体" w:cs="宋体"/>
          <w:b/>
          <w:bCs/>
          <w:sz w:val="28"/>
          <w:szCs w:val="28"/>
        </w:rPr>
        <w:t>4、主要技术内容</w:t>
      </w:r>
    </w:p>
    <w:p w14:paraId="2F37C72B">
      <w:pPr>
        <w:ind w:firstLine="560" w:firstLineChars="200"/>
        <w:rPr>
          <w:rFonts w:hint="eastAsia" w:ascii="宋体" w:hAnsi="宋体" w:cs="宋体"/>
          <w:sz w:val="28"/>
          <w:szCs w:val="28"/>
        </w:rPr>
      </w:pPr>
      <w:r>
        <w:rPr>
          <w:rFonts w:hint="eastAsia" w:ascii="宋体" w:hAnsi="宋体" w:cs="宋体"/>
          <w:sz w:val="28"/>
          <w:szCs w:val="28"/>
        </w:rPr>
        <w:t>第四章 工作环境：本章节对固态微波源的工作环境进行了规定。</w:t>
      </w:r>
    </w:p>
    <w:p w14:paraId="307A1B59">
      <w:pPr>
        <w:ind w:firstLine="560" w:firstLineChars="200"/>
        <w:rPr>
          <w:rFonts w:hint="eastAsia" w:ascii="宋体" w:hAnsi="宋体" w:cs="宋体"/>
          <w:sz w:val="28"/>
          <w:szCs w:val="28"/>
        </w:rPr>
      </w:pPr>
      <w:r>
        <w:rPr>
          <w:rFonts w:hint="eastAsia" w:ascii="宋体" w:hAnsi="宋体" w:cs="宋体"/>
          <w:sz w:val="28"/>
          <w:szCs w:val="28"/>
        </w:rPr>
        <w:t>第五章 技术要求：本章节对固态微波源的技术要求进行了规定。包括：</w:t>
      </w:r>
      <w:r>
        <w:rPr>
          <w:rFonts w:hint="eastAsia" w:ascii="宋体" w:hAnsi="宋体"/>
          <w:sz w:val="28"/>
          <w:szCs w:val="28"/>
        </w:rPr>
        <w:t>外观质量、外形尺寸</w:t>
      </w:r>
      <w:r>
        <w:rPr>
          <w:rFonts w:hint="eastAsia" w:ascii="宋体" w:hAnsi="宋体"/>
          <w:sz w:val="28"/>
          <w:szCs w:val="28"/>
          <w:lang w:val="en-US" w:eastAsia="zh-CN"/>
        </w:rPr>
        <w:t>及允许偏差</w:t>
      </w:r>
      <w:r>
        <w:rPr>
          <w:rFonts w:hint="eastAsia" w:ascii="宋体" w:hAnsi="宋体"/>
          <w:sz w:val="28"/>
          <w:szCs w:val="28"/>
        </w:rPr>
        <w:t>、电性能、控制系统、环境适应性、安全性、电磁兼容性和可靠性。</w:t>
      </w:r>
    </w:p>
    <w:p w14:paraId="481CD3E1">
      <w:pPr>
        <w:ind w:firstLine="560" w:firstLineChars="200"/>
        <w:rPr>
          <w:rFonts w:hint="default" w:ascii="宋体" w:hAnsi="宋体" w:eastAsia="宋体" w:cs="宋体"/>
          <w:sz w:val="28"/>
          <w:szCs w:val="28"/>
          <w:lang w:val="en-US" w:eastAsia="zh-CN"/>
        </w:rPr>
      </w:pPr>
      <w:r>
        <w:rPr>
          <w:rFonts w:hint="eastAsia" w:ascii="宋体" w:hAnsi="宋体" w:cs="宋体"/>
          <w:sz w:val="28"/>
          <w:szCs w:val="28"/>
        </w:rPr>
        <w:t>第六章 试验方法：本章节</w:t>
      </w:r>
      <w:r>
        <w:rPr>
          <w:rFonts w:hint="eastAsia" w:ascii="宋体" w:hAnsi="宋体" w:cs="宋体"/>
          <w:sz w:val="28"/>
          <w:szCs w:val="28"/>
          <w:lang w:val="en-US" w:eastAsia="zh-CN"/>
        </w:rPr>
        <w:t>对</w:t>
      </w:r>
      <w:r>
        <w:rPr>
          <w:rFonts w:hint="eastAsia" w:ascii="宋体" w:hAnsi="宋体" w:cs="宋体"/>
          <w:sz w:val="28"/>
          <w:szCs w:val="28"/>
        </w:rPr>
        <w:t>固态微波源技术要求</w:t>
      </w:r>
      <w:r>
        <w:rPr>
          <w:rFonts w:hint="eastAsia" w:ascii="宋体" w:hAnsi="宋体" w:cs="宋体"/>
          <w:sz w:val="28"/>
          <w:szCs w:val="28"/>
          <w:lang w:val="en-US" w:eastAsia="zh-CN"/>
        </w:rPr>
        <w:t>的试验方法进行了规定。</w:t>
      </w:r>
    </w:p>
    <w:p w14:paraId="6F5F4764">
      <w:pPr>
        <w:ind w:firstLine="560" w:firstLineChars="200"/>
        <w:rPr>
          <w:rFonts w:hint="eastAsia" w:ascii="宋体" w:hAnsi="宋体" w:cs="宋体"/>
          <w:sz w:val="28"/>
          <w:szCs w:val="28"/>
        </w:rPr>
      </w:pPr>
      <w:r>
        <w:rPr>
          <w:rFonts w:hint="eastAsia" w:ascii="宋体" w:hAnsi="宋体" w:cs="宋体"/>
          <w:sz w:val="28"/>
          <w:szCs w:val="28"/>
        </w:rPr>
        <w:t>第七章 检验规则：本章节对固态微波源的出厂检验和型式检验</w:t>
      </w:r>
      <w:r>
        <w:rPr>
          <w:rFonts w:hint="eastAsia" w:ascii="宋体" w:hAnsi="宋体" w:cs="宋体"/>
          <w:sz w:val="28"/>
          <w:szCs w:val="28"/>
          <w:lang w:val="en-US" w:eastAsia="zh-CN"/>
        </w:rPr>
        <w:t>要求</w:t>
      </w:r>
      <w:r>
        <w:rPr>
          <w:rFonts w:hint="eastAsia" w:ascii="宋体" w:hAnsi="宋体" w:cs="宋体"/>
          <w:sz w:val="28"/>
          <w:szCs w:val="28"/>
        </w:rPr>
        <w:t>进行了规定。</w:t>
      </w:r>
    </w:p>
    <w:p w14:paraId="75D2171F">
      <w:pPr>
        <w:ind w:firstLine="560" w:firstLineChars="200"/>
        <w:rPr>
          <w:rFonts w:hint="eastAsia" w:ascii="宋体" w:hAnsi="宋体" w:cs="宋体"/>
          <w:sz w:val="28"/>
          <w:szCs w:val="28"/>
        </w:rPr>
      </w:pPr>
      <w:r>
        <w:rPr>
          <w:rFonts w:hint="eastAsia" w:ascii="宋体" w:hAnsi="宋体" w:cs="宋体"/>
          <w:sz w:val="28"/>
          <w:szCs w:val="28"/>
        </w:rPr>
        <w:t>第八章 标志、包装、运输和贮存：本章节对固态微波源的标志、包装、运输和贮存</w:t>
      </w:r>
      <w:r>
        <w:rPr>
          <w:rFonts w:hint="eastAsia" w:ascii="宋体" w:hAnsi="宋体" w:cs="宋体"/>
          <w:sz w:val="28"/>
          <w:szCs w:val="28"/>
          <w:lang w:val="en-US" w:eastAsia="zh-CN"/>
        </w:rPr>
        <w:t>要求</w:t>
      </w:r>
      <w:r>
        <w:rPr>
          <w:rFonts w:hint="eastAsia" w:ascii="宋体" w:hAnsi="宋体" w:cs="宋体"/>
          <w:sz w:val="28"/>
          <w:szCs w:val="28"/>
        </w:rPr>
        <w:t>进行了规定。</w:t>
      </w:r>
    </w:p>
    <w:p w14:paraId="34B8E691">
      <w:pPr>
        <w:numPr>
          <w:ilvl w:val="0"/>
          <w:numId w:val="1"/>
        </w:numPr>
        <w:ind w:firstLine="0"/>
        <w:rPr>
          <w:rFonts w:hint="eastAsia" w:ascii="宋体" w:hAnsi="宋体" w:cs="宋体"/>
          <w:sz w:val="28"/>
          <w:szCs w:val="28"/>
        </w:rPr>
      </w:pPr>
      <w:r>
        <w:rPr>
          <w:rFonts w:hint="eastAsia" w:ascii="宋体" w:hAnsi="宋体" w:cs="宋体"/>
          <w:b/>
          <w:bCs/>
          <w:sz w:val="28"/>
          <w:szCs w:val="28"/>
        </w:rPr>
        <w:t>主要试验（或验证）情况分析</w:t>
      </w:r>
    </w:p>
    <w:p w14:paraId="34720764">
      <w:pPr>
        <w:ind w:firstLine="560" w:firstLineChars="200"/>
        <w:rPr>
          <w:rFonts w:hint="eastAsia" w:ascii="宋体" w:hAnsi="宋体" w:cs="宋体"/>
          <w:sz w:val="28"/>
          <w:szCs w:val="28"/>
        </w:rPr>
      </w:pPr>
      <w:r>
        <w:rPr>
          <w:rFonts w:hint="eastAsia" w:ascii="宋体" w:hAnsi="宋体" w:cs="宋体"/>
          <w:sz w:val="28"/>
          <w:szCs w:val="28"/>
        </w:rPr>
        <w:t>在《固态微波源通用技术规范》的编制过程中，主要围绕固态微波源的技术要求开展了系统性验证工作。通过对固态微波源的</w:t>
      </w:r>
      <w:r>
        <w:rPr>
          <w:rFonts w:hint="eastAsia" w:ascii="宋体" w:hAnsi="宋体"/>
          <w:sz w:val="28"/>
          <w:szCs w:val="28"/>
        </w:rPr>
        <w:t>电性能、环境适应性、安全性、电磁兼容性和可靠性等核心技术内容</w:t>
      </w:r>
      <w:r>
        <w:rPr>
          <w:rFonts w:hint="eastAsia" w:ascii="宋体" w:hAnsi="宋体" w:cs="宋体"/>
          <w:sz w:val="28"/>
          <w:szCs w:val="28"/>
        </w:rPr>
        <w:t>进行试验验证，并通过查阅相关文献资料和相关标准，收集整理了固态微波源的技术资料，再结合行业调研和专家论证，对固态微波源技术要求的适用性和合理性进行系统性的检验，</w:t>
      </w:r>
      <w:r>
        <w:rPr>
          <w:rFonts w:hint="eastAsia" w:ascii="宋体" w:hAnsi="宋体" w:cs="宋体"/>
          <w:sz w:val="28"/>
          <w:szCs w:val="28"/>
          <w:lang w:val="en-US" w:eastAsia="zh-CN"/>
        </w:rPr>
        <w:t>为标准的起草提供了充分的依据</w:t>
      </w:r>
      <w:r>
        <w:rPr>
          <w:rFonts w:hint="eastAsia" w:ascii="宋体" w:hAnsi="宋体" w:cs="宋体"/>
          <w:sz w:val="28"/>
          <w:szCs w:val="28"/>
        </w:rPr>
        <w:t>。</w:t>
      </w:r>
    </w:p>
    <w:p w14:paraId="15926272">
      <w:pPr>
        <w:numPr>
          <w:ilvl w:val="0"/>
          <w:numId w:val="1"/>
        </w:numPr>
        <w:ind w:firstLine="0"/>
        <w:rPr>
          <w:rFonts w:hint="eastAsia" w:ascii="宋体" w:hAnsi="宋体" w:cs="宋体"/>
          <w:b/>
          <w:bCs/>
          <w:sz w:val="28"/>
          <w:szCs w:val="28"/>
        </w:rPr>
      </w:pPr>
      <w:r>
        <w:rPr>
          <w:rFonts w:hint="eastAsia" w:ascii="宋体" w:hAnsi="宋体" w:cs="宋体"/>
          <w:b/>
          <w:bCs/>
          <w:sz w:val="28"/>
          <w:szCs w:val="28"/>
        </w:rPr>
        <w:t>标准中涉及专利情况</w:t>
      </w:r>
    </w:p>
    <w:p w14:paraId="2BD75E19">
      <w:pPr>
        <w:ind w:firstLine="560" w:firstLineChars="200"/>
        <w:rPr>
          <w:rFonts w:hint="eastAsia" w:ascii="宋体" w:hAnsi="宋体" w:cs="宋体"/>
          <w:sz w:val="28"/>
          <w:szCs w:val="28"/>
        </w:rPr>
      </w:pPr>
      <w:r>
        <w:rPr>
          <w:rFonts w:hint="eastAsia" w:ascii="宋体" w:hAnsi="宋体" w:cs="宋体"/>
          <w:sz w:val="28"/>
          <w:szCs w:val="28"/>
        </w:rPr>
        <w:t>本标准不涉及专利。</w:t>
      </w:r>
    </w:p>
    <w:p w14:paraId="00419EC8">
      <w:pPr>
        <w:numPr>
          <w:ilvl w:val="0"/>
          <w:numId w:val="1"/>
        </w:numPr>
        <w:ind w:firstLine="0"/>
        <w:rPr>
          <w:rFonts w:hint="eastAsia" w:ascii="宋体" w:hAnsi="宋体" w:cs="宋体"/>
          <w:b/>
          <w:bCs/>
          <w:sz w:val="28"/>
          <w:szCs w:val="28"/>
        </w:rPr>
      </w:pPr>
      <w:r>
        <w:rPr>
          <w:rFonts w:hint="eastAsia" w:ascii="宋体" w:hAnsi="宋体" w:cs="宋体"/>
          <w:b/>
          <w:bCs/>
          <w:sz w:val="28"/>
          <w:szCs w:val="28"/>
        </w:rPr>
        <w:t>预期达到的效益（经济、效益、生态等），对产业发展的作用的情况</w:t>
      </w:r>
    </w:p>
    <w:p w14:paraId="70750CE2">
      <w:pPr>
        <w:ind w:firstLine="560" w:firstLineChars="200"/>
        <w:rPr>
          <w:rFonts w:hint="eastAsia" w:ascii="宋体" w:hAnsi="宋体" w:cs="宋体"/>
          <w:sz w:val="28"/>
          <w:szCs w:val="28"/>
        </w:rPr>
      </w:pPr>
      <w:r>
        <w:rPr>
          <w:rFonts w:hint="eastAsia" w:ascii="宋体" w:hAnsi="宋体" w:cs="宋体"/>
          <w:sz w:val="28"/>
          <w:szCs w:val="28"/>
          <w:lang w:val="en-US" w:eastAsia="zh-CN"/>
        </w:rPr>
        <w:t>本标准的制定与实施将为</w:t>
      </w:r>
      <w:r>
        <w:rPr>
          <w:rFonts w:hint="eastAsia" w:ascii="宋体" w:hAnsi="宋体" w:cs="宋体"/>
          <w:sz w:val="28"/>
          <w:szCs w:val="28"/>
        </w:rPr>
        <w:t>固态微波源的生产和检验提供科学的指导，可有效提升固态微波源的生产技术水平、淘汰落后产能，保证固态微波源的使用性能和稳定性，提高生产效率，减少生产成本和推动绿色制造。</w:t>
      </w:r>
      <w:r>
        <w:rPr>
          <w:rFonts w:hint="eastAsia" w:ascii="宋体" w:hAnsi="宋体" w:cs="宋体"/>
          <w:sz w:val="28"/>
          <w:szCs w:val="28"/>
          <w:lang w:val="en-US" w:eastAsia="zh-CN"/>
        </w:rPr>
        <w:t>本标准的制定与实施</w:t>
      </w:r>
      <w:r>
        <w:rPr>
          <w:rFonts w:hint="eastAsia" w:ascii="宋体" w:hAnsi="宋体" w:cs="宋体"/>
          <w:sz w:val="28"/>
          <w:szCs w:val="28"/>
        </w:rPr>
        <w:t>有助于增强企业自身的市场竞争力，推动固态微波源行业的可持续发展。</w:t>
      </w:r>
    </w:p>
    <w:p w14:paraId="557C3D14">
      <w:pPr>
        <w:numPr>
          <w:ilvl w:val="0"/>
          <w:numId w:val="1"/>
        </w:numPr>
        <w:rPr>
          <w:rFonts w:hint="eastAsia" w:ascii="宋体" w:hAnsi="宋体" w:cs="宋体"/>
          <w:b/>
          <w:bCs/>
          <w:sz w:val="28"/>
          <w:szCs w:val="28"/>
        </w:rPr>
      </w:pPr>
      <w:r>
        <w:rPr>
          <w:rFonts w:hint="eastAsia" w:ascii="宋体" w:hAnsi="宋体" w:cs="宋体"/>
          <w:b/>
          <w:bCs/>
          <w:sz w:val="28"/>
          <w:szCs w:val="28"/>
        </w:rPr>
        <w:t>在标准体系中的位置，与现行相关法律法规、规章及相关标准，特别是强制性标准的协调性</w:t>
      </w:r>
    </w:p>
    <w:p w14:paraId="1A3FFD9D">
      <w:pPr>
        <w:ind w:firstLine="560" w:firstLineChars="200"/>
        <w:rPr>
          <w:rFonts w:hint="eastAsia" w:ascii="宋体" w:hAnsi="宋体" w:cs="宋体"/>
          <w:sz w:val="28"/>
          <w:szCs w:val="28"/>
        </w:rPr>
      </w:pPr>
      <w:r>
        <w:rPr>
          <w:rFonts w:hint="eastAsia" w:ascii="宋体" w:hAnsi="宋体" w:cs="宋体"/>
          <w:sz w:val="28"/>
          <w:szCs w:val="28"/>
        </w:rPr>
        <w:t>符合现行相关法律法规、规章及相关标准，与强制性标准协调一致。</w:t>
      </w:r>
    </w:p>
    <w:p w14:paraId="23F11F3E">
      <w:pPr>
        <w:numPr>
          <w:ilvl w:val="0"/>
          <w:numId w:val="1"/>
        </w:numPr>
        <w:rPr>
          <w:rFonts w:hint="eastAsia" w:ascii="宋体" w:hAnsi="宋体" w:cs="宋体"/>
          <w:b/>
          <w:bCs/>
          <w:sz w:val="28"/>
          <w:szCs w:val="28"/>
        </w:rPr>
      </w:pPr>
      <w:r>
        <w:rPr>
          <w:rFonts w:hint="eastAsia" w:ascii="宋体" w:hAnsi="宋体" w:cs="宋体"/>
          <w:b/>
          <w:bCs/>
          <w:sz w:val="28"/>
          <w:szCs w:val="28"/>
        </w:rPr>
        <w:t>重大分歧意见的处理经过和依据</w:t>
      </w:r>
    </w:p>
    <w:p w14:paraId="744851A1">
      <w:pPr>
        <w:ind w:firstLine="560" w:firstLineChars="200"/>
        <w:rPr>
          <w:rFonts w:hint="eastAsia" w:ascii="宋体" w:hAnsi="宋体" w:cs="宋体"/>
          <w:sz w:val="28"/>
          <w:szCs w:val="28"/>
        </w:rPr>
      </w:pPr>
      <w:r>
        <w:rPr>
          <w:rFonts w:hint="eastAsia" w:ascii="宋体" w:hAnsi="宋体" w:cs="宋体"/>
          <w:sz w:val="28"/>
          <w:szCs w:val="28"/>
        </w:rPr>
        <w:t>无。</w:t>
      </w:r>
    </w:p>
    <w:p w14:paraId="157091F7">
      <w:pPr>
        <w:numPr>
          <w:ilvl w:val="0"/>
          <w:numId w:val="1"/>
        </w:numPr>
        <w:rPr>
          <w:rFonts w:hint="eastAsia" w:ascii="宋体" w:hAnsi="宋体" w:cs="宋体"/>
          <w:b/>
          <w:bCs/>
          <w:sz w:val="28"/>
          <w:szCs w:val="28"/>
        </w:rPr>
      </w:pPr>
      <w:r>
        <w:rPr>
          <w:rFonts w:hint="eastAsia" w:ascii="宋体" w:hAnsi="宋体" w:cs="宋体"/>
          <w:b/>
          <w:bCs/>
          <w:sz w:val="28"/>
          <w:szCs w:val="28"/>
        </w:rPr>
        <w:t>标准性质的建议说明</w:t>
      </w:r>
    </w:p>
    <w:p w14:paraId="1A9C699B">
      <w:pPr>
        <w:ind w:firstLine="560" w:firstLineChars="200"/>
        <w:rPr>
          <w:rFonts w:hint="eastAsia" w:ascii="宋体" w:hAnsi="宋体" w:cs="宋体"/>
          <w:sz w:val="28"/>
          <w:szCs w:val="28"/>
        </w:rPr>
      </w:pPr>
      <w:r>
        <w:rPr>
          <w:rFonts w:hint="eastAsia" w:ascii="宋体" w:hAnsi="宋体" w:cs="宋体"/>
          <w:sz w:val="28"/>
          <w:szCs w:val="28"/>
        </w:rPr>
        <w:t>本标准为团体标准，供社会各界自愿使用。</w:t>
      </w:r>
    </w:p>
    <w:p w14:paraId="7D8C0D9C">
      <w:pPr>
        <w:numPr>
          <w:ilvl w:val="0"/>
          <w:numId w:val="1"/>
        </w:numPr>
        <w:rPr>
          <w:rFonts w:hint="eastAsia" w:ascii="宋体" w:hAnsi="宋体" w:cs="宋体"/>
          <w:b/>
          <w:bCs/>
          <w:sz w:val="28"/>
          <w:szCs w:val="28"/>
        </w:rPr>
      </w:pPr>
      <w:r>
        <w:rPr>
          <w:rFonts w:hint="eastAsia" w:ascii="宋体" w:hAnsi="宋体" w:cs="宋体"/>
          <w:b/>
          <w:bCs/>
          <w:sz w:val="28"/>
          <w:szCs w:val="28"/>
        </w:rPr>
        <w:t>贯彻标准的要求和措施建议</w:t>
      </w:r>
    </w:p>
    <w:p w14:paraId="00F3239E">
      <w:pPr>
        <w:ind w:firstLine="560" w:firstLineChars="200"/>
        <w:rPr>
          <w:rFonts w:hint="eastAsia" w:ascii="宋体" w:hAnsi="宋体" w:cs="宋体"/>
          <w:sz w:val="28"/>
          <w:szCs w:val="28"/>
        </w:rPr>
      </w:pPr>
      <w:r>
        <w:rPr>
          <w:rFonts w:hint="eastAsia" w:ascii="宋体" w:hAnsi="宋体" w:cs="宋体"/>
          <w:sz w:val="28"/>
          <w:szCs w:val="28"/>
        </w:rPr>
        <w:t>标准发布后，应向相关企业进行宣传、贯彻，推荐此标准。标准编制小组定期与相关企业进行交流和征求意见，关注标准的实施效果，注重实施信息和反馈意见的收集、梳理、研究，以此促进标准的有效实施，确保标准的适宜性和有效性。</w:t>
      </w:r>
    </w:p>
    <w:p w14:paraId="0AAA2750">
      <w:pPr>
        <w:numPr>
          <w:ilvl w:val="0"/>
          <w:numId w:val="1"/>
        </w:numPr>
        <w:rPr>
          <w:rFonts w:hint="eastAsia" w:ascii="宋体" w:hAnsi="宋体" w:cs="宋体"/>
          <w:b/>
          <w:bCs/>
          <w:sz w:val="28"/>
          <w:szCs w:val="28"/>
        </w:rPr>
      </w:pPr>
      <w:r>
        <w:rPr>
          <w:rFonts w:hint="eastAsia" w:ascii="宋体" w:hAnsi="宋体" w:cs="宋体"/>
          <w:b/>
          <w:bCs/>
          <w:sz w:val="28"/>
          <w:szCs w:val="28"/>
        </w:rPr>
        <w:t>废止现行相关标准的建议</w:t>
      </w:r>
    </w:p>
    <w:p w14:paraId="3CB2E368">
      <w:pPr>
        <w:ind w:firstLine="560" w:firstLineChars="200"/>
        <w:rPr>
          <w:rFonts w:hint="eastAsia" w:ascii="宋体" w:hAnsi="宋体" w:cs="宋体"/>
          <w:sz w:val="28"/>
          <w:szCs w:val="28"/>
        </w:rPr>
      </w:pPr>
      <w:r>
        <w:rPr>
          <w:rFonts w:hint="eastAsia" w:ascii="宋体" w:hAnsi="宋体" w:cs="宋体"/>
          <w:sz w:val="28"/>
          <w:szCs w:val="28"/>
        </w:rPr>
        <w:t>本标准首次发布。</w:t>
      </w:r>
    </w:p>
    <w:p w14:paraId="35CAECBA">
      <w:pPr>
        <w:numPr>
          <w:ilvl w:val="0"/>
          <w:numId w:val="1"/>
        </w:numPr>
        <w:rPr>
          <w:rFonts w:hint="eastAsia" w:ascii="宋体" w:hAnsi="宋体" w:cs="宋体"/>
          <w:b/>
          <w:bCs/>
          <w:sz w:val="28"/>
          <w:szCs w:val="28"/>
        </w:rPr>
      </w:pPr>
      <w:r>
        <w:rPr>
          <w:rFonts w:hint="eastAsia" w:ascii="宋体" w:hAnsi="宋体" w:cs="宋体"/>
          <w:b/>
          <w:bCs/>
          <w:sz w:val="28"/>
          <w:szCs w:val="28"/>
        </w:rPr>
        <w:t>其他应予说明的事项</w:t>
      </w:r>
    </w:p>
    <w:p w14:paraId="44E878EE">
      <w:pPr>
        <w:ind w:firstLine="560" w:firstLineChars="200"/>
        <w:rPr>
          <w:rFonts w:hint="eastAsia" w:ascii="宋体" w:hAnsi="宋体" w:cs="宋体"/>
          <w:sz w:val="28"/>
          <w:szCs w:val="28"/>
        </w:rPr>
      </w:pPr>
      <w:r>
        <w:rPr>
          <w:rFonts w:hint="eastAsia" w:ascii="宋体" w:hAnsi="宋体" w:cs="宋体"/>
          <w:sz w:val="28"/>
          <w:szCs w:val="28"/>
        </w:rPr>
        <w:t>无。</w:t>
      </w:r>
    </w:p>
    <w:p w14:paraId="257428BD">
      <w:pPr>
        <w:jc w:val="right"/>
        <w:rPr>
          <w:rFonts w:hint="eastAsia" w:ascii="宋体" w:hAnsi="宋体" w:cs="宋体"/>
          <w:color w:val="333333"/>
          <w:sz w:val="28"/>
          <w:szCs w:val="28"/>
          <w:shd w:val="clear" w:color="auto" w:fill="FFFFFF"/>
        </w:rPr>
      </w:pPr>
      <w:r>
        <w:rPr>
          <w:rFonts w:hint="eastAsia" w:ascii="宋体" w:hAnsi="宋体" w:cs="宋体"/>
          <w:sz w:val="28"/>
          <w:szCs w:val="28"/>
        </w:rPr>
        <w:t>《固态微波源通用技术规范》团体标准</w:t>
      </w:r>
      <w:r>
        <w:rPr>
          <w:rFonts w:hint="eastAsia" w:ascii="宋体" w:hAnsi="宋体" w:cs="宋体"/>
          <w:color w:val="333333"/>
          <w:sz w:val="28"/>
          <w:szCs w:val="28"/>
          <w:shd w:val="clear" w:color="auto" w:fill="FFFFFF"/>
        </w:rPr>
        <w:t>起草组</w:t>
      </w:r>
    </w:p>
    <w:p w14:paraId="744BB22C">
      <w:pPr>
        <w:jc w:val="right"/>
        <w:rPr>
          <w:rFonts w:hint="eastAsia" w:ascii="宋体" w:hAnsi="宋体" w:cs="宋体"/>
          <w:color w:val="333333"/>
          <w:sz w:val="28"/>
          <w:szCs w:val="28"/>
          <w:shd w:val="clear" w:color="auto" w:fill="FFFFFF"/>
        </w:rPr>
      </w:pPr>
      <w:r>
        <w:rPr>
          <w:rFonts w:hint="eastAsia" w:ascii="宋体" w:hAnsi="宋体" w:cs="宋体"/>
          <w:color w:val="333333"/>
          <w:sz w:val="28"/>
          <w:szCs w:val="28"/>
          <w:shd w:val="clear" w:color="auto" w:fill="FFFFFF"/>
        </w:rPr>
        <w:t>二零二</w:t>
      </w:r>
      <w:r>
        <w:rPr>
          <w:rFonts w:hint="eastAsia" w:ascii="宋体" w:hAnsi="宋体" w:cs="宋体"/>
          <w:color w:val="333333"/>
          <w:sz w:val="28"/>
          <w:szCs w:val="28"/>
          <w:shd w:val="clear" w:color="auto" w:fill="FFFFFF"/>
          <w:lang w:val="en-US" w:eastAsia="zh-CN"/>
        </w:rPr>
        <w:t>六</w:t>
      </w:r>
      <w:r>
        <w:rPr>
          <w:rFonts w:hint="eastAsia" w:ascii="宋体" w:hAnsi="宋体" w:cs="宋体"/>
          <w:color w:val="333333"/>
          <w:sz w:val="28"/>
          <w:szCs w:val="28"/>
          <w:shd w:val="clear" w:color="auto" w:fill="FFFFFF"/>
        </w:rPr>
        <w:t>年</w:t>
      </w:r>
      <w:r>
        <w:rPr>
          <w:rFonts w:hint="eastAsia" w:ascii="宋体" w:hAnsi="宋体" w:cs="宋体"/>
          <w:color w:val="333333"/>
          <w:sz w:val="28"/>
          <w:szCs w:val="28"/>
          <w:shd w:val="clear" w:color="auto" w:fill="FFFFFF"/>
          <w:lang w:val="en-US" w:eastAsia="zh-CN"/>
        </w:rPr>
        <w:t>二</w:t>
      </w:r>
      <w:r>
        <w:rPr>
          <w:rFonts w:hint="eastAsia" w:ascii="宋体" w:hAnsi="宋体" w:cs="宋体"/>
          <w:color w:val="333333"/>
          <w:sz w:val="28"/>
          <w:szCs w:val="28"/>
          <w:shd w:val="clear" w:color="auto" w:fill="FFFFFF"/>
        </w:rPr>
        <w:t>月</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6E200"/>
    <w:multiLevelType w:val="singleLevel"/>
    <w:tmpl w:val="8A66E200"/>
    <w:lvl w:ilvl="0" w:tentative="0">
      <w:start w:val="1"/>
      <w:numFmt w:val="chineseCounting"/>
      <w:suff w:val="nothing"/>
      <w:lvlText w:val="%1、"/>
      <w:lvlJc w:val="left"/>
      <w:pPr>
        <w:ind w:left="0" w:firstLine="42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4MzM4ZWM2YWJkMjFhM2M1YmVmNzk0ZDM4M2ExMWQifQ=="/>
  </w:docVars>
  <w:rsids>
    <w:rsidRoot w:val="00316F48"/>
    <w:rsid w:val="00004EF0"/>
    <w:rsid w:val="000052F8"/>
    <w:rsid w:val="000171C1"/>
    <w:rsid w:val="00032D8A"/>
    <w:rsid w:val="00040240"/>
    <w:rsid w:val="00057272"/>
    <w:rsid w:val="000740C9"/>
    <w:rsid w:val="00076FCE"/>
    <w:rsid w:val="000A7ECA"/>
    <w:rsid w:val="000B6FD1"/>
    <w:rsid w:val="000B7FE6"/>
    <w:rsid w:val="000D4347"/>
    <w:rsid w:val="000E418A"/>
    <w:rsid w:val="00124BC2"/>
    <w:rsid w:val="00133A79"/>
    <w:rsid w:val="00153CD8"/>
    <w:rsid w:val="0015622F"/>
    <w:rsid w:val="0016191F"/>
    <w:rsid w:val="001658BE"/>
    <w:rsid w:val="00190339"/>
    <w:rsid w:val="0019430A"/>
    <w:rsid w:val="001B0CEC"/>
    <w:rsid w:val="001C26D9"/>
    <w:rsid w:val="001C59FF"/>
    <w:rsid w:val="001E1AF7"/>
    <w:rsid w:val="001E4604"/>
    <w:rsid w:val="00214473"/>
    <w:rsid w:val="00214DBC"/>
    <w:rsid w:val="00217843"/>
    <w:rsid w:val="00250156"/>
    <w:rsid w:val="00254E9E"/>
    <w:rsid w:val="002642BE"/>
    <w:rsid w:val="00292EBD"/>
    <w:rsid w:val="002C56B8"/>
    <w:rsid w:val="002F6A98"/>
    <w:rsid w:val="00316F48"/>
    <w:rsid w:val="003231ED"/>
    <w:rsid w:val="003246BE"/>
    <w:rsid w:val="00362D0F"/>
    <w:rsid w:val="0037662A"/>
    <w:rsid w:val="00377076"/>
    <w:rsid w:val="00384DBA"/>
    <w:rsid w:val="00390A3C"/>
    <w:rsid w:val="003A06B4"/>
    <w:rsid w:val="003A2ABB"/>
    <w:rsid w:val="003B7A82"/>
    <w:rsid w:val="003B7DA9"/>
    <w:rsid w:val="003C3221"/>
    <w:rsid w:val="003C5A0C"/>
    <w:rsid w:val="003C7832"/>
    <w:rsid w:val="003F598F"/>
    <w:rsid w:val="0040665B"/>
    <w:rsid w:val="004174A9"/>
    <w:rsid w:val="00421690"/>
    <w:rsid w:val="004410AC"/>
    <w:rsid w:val="00443771"/>
    <w:rsid w:val="00443A75"/>
    <w:rsid w:val="00462719"/>
    <w:rsid w:val="00475B7B"/>
    <w:rsid w:val="004A4176"/>
    <w:rsid w:val="004A4EB2"/>
    <w:rsid w:val="004A77F3"/>
    <w:rsid w:val="004B2424"/>
    <w:rsid w:val="004D41A8"/>
    <w:rsid w:val="004D47BD"/>
    <w:rsid w:val="004E3B5B"/>
    <w:rsid w:val="004F33E3"/>
    <w:rsid w:val="00503578"/>
    <w:rsid w:val="005308BD"/>
    <w:rsid w:val="005345F3"/>
    <w:rsid w:val="00534DF4"/>
    <w:rsid w:val="00540829"/>
    <w:rsid w:val="00541D4E"/>
    <w:rsid w:val="00542FD6"/>
    <w:rsid w:val="00544A6A"/>
    <w:rsid w:val="00547C4F"/>
    <w:rsid w:val="00564732"/>
    <w:rsid w:val="00575EEF"/>
    <w:rsid w:val="005D2916"/>
    <w:rsid w:val="005D5A7D"/>
    <w:rsid w:val="005F58A5"/>
    <w:rsid w:val="005F7454"/>
    <w:rsid w:val="006054CA"/>
    <w:rsid w:val="00641D5E"/>
    <w:rsid w:val="00643380"/>
    <w:rsid w:val="0066763D"/>
    <w:rsid w:val="006700F8"/>
    <w:rsid w:val="00684A81"/>
    <w:rsid w:val="006B1B6D"/>
    <w:rsid w:val="006B6EC1"/>
    <w:rsid w:val="006B76F3"/>
    <w:rsid w:val="006C5CAE"/>
    <w:rsid w:val="006D3234"/>
    <w:rsid w:val="006D4F9D"/>
    <w:rsid w:val="006D514C"/>
    <w:rsid w:val="006E285D"/>
    <w:rsid w:val="006E7DDF"/>
    <w:rsid w:val="006F73FC"/>
    <w:rsid w:val="007156DC"/>
    <w:rsid w:val="00716173"/>
    <w:rsid w:val="00727B66"/>
    <w:rsid w:val="00731E6A"/>
    <w:rsid w:val="00734B2C"/>
    <w:rsid w:val="007357AA"/>
    <w:rsid w:val="00736800"/>
    <w:rsid w:val="0073777F"/>
    <w:rsid w:val="00752224"/>
    <w:rsid w:val="00764402"/>
    <w:rsid w:val="007A3918"/>
    <w:rsid w:val="007B1FAE"/>
    <w:rsid w:val="00813276"/>
    <w:rsid w:val="00825C26"/>
    <w:rsid w:val="00835444"/>
    <w:rsid w:val="00845118"/>
    <w:rsid w:val="00846D23"/>
    <w:rsid w:val="00852327"/>
    <w:rsid w:val="00853843"/>
    <w:rsid w:val="00857C36"/>
    <w:rsid w:val="00862F71"/>
    <w:rsid w:val="00865DED"/>
    <w:rsid w:val="008A5945"/>
    <w:rsid w:val="008A68C4"/>
    <w:rsid w:val="008D0B8A"/>
    <w:rsid w:val="00906F61"/>
    <w:rsid w:val="009131D4"/>
    <w:rsid w:val="00913538"/>
    <w:rsid w:val="009142DE"/>
    <w:rsid w:val="0092315A"/>
    <w:rsid w:val="00927691"/>
    <w:rsid w:val="009354C8"/>
    <w:rsid w:val="00942F97"/>
    <w:rsid w:val="00955469"/>
    <w:rsid w:val="00957450"/>
    <w:rsid w:val="00973E04"/>
    <w:rsid w:val="00995F0D"/>
    <w:rsid w:val="009B022A"/>
    <w:rsid w:val="009C064D"/>
    <w:rsid w:val="009D7380"/>
    <w:rsid w:val="00A04880"/>
    <w:rsid w:val="00A11630"/>
    <w:rsid w:val="00A842EB"/>
    <w:rsid w:val="00A96B00"/>
    <w:rsid w:val="00B0755F"/>
    <w:rsid w:val="00B13FF5"/>
    <w:rsid w:val="00B3459E"/>
    <w:rsid w:val="00B40A71"/>
    <w:rsid w:val="00B836B3"/>
    <w:rsid w:val="00B92AA0"/>
    <w:rsid w:val="00BC1624"/>
    <w:rsid w:val="00BD1D24"/>
    <w:rsid w:val="00BD2179"/>
    <w:rsid w:val="00BE5976"/>
    <w:rsid w:val="00BE6AC1"/>
    <w:rsid w:val="00BF72AA"/>
    <w:rsid w:val="00C16D87"/>
    <w:rsid w:val="00C40ADD"/>
    <w:rsid w:val="00C70167"/>
    <w:rsid w:val="00C716DB"/>
    <w:rsid w:val="00CB0B2E"/>
    <w:rsid w:val="00CC7D00"/>
    <w:rsid w:val="00CD307E"/>
    <w:rsid w:val="00CE7EB1"/>
    <w:rsid w:val="00CF7C7E"/>
    <w:rsid w:val="00D2076E"/>
    <w:rsid w:val="00D33118"/>
    <w:rsid w:val="00D43B43"/>
    <w:rsid w:val="00D451F7"/>
    <w:rsid w:val="00D45E3D"/>
    <w:rsid w:val="00D514DC"/>
    <w:rsid w:val="00D54DD7"/>
    <w:rsid w:val="00DB3ACC"/>
    <w:rsid w:val="00DB3DBD"/>
    <w:rsid w:val="00DC3567"/>
    <w:rsid w:val="00DD10B3"/>
    <w:rsid w:val="00DF22AE"/>
    <w:rsid w:val="00E32F32"/>
    <w:rsid w:val="00E36A61"/>
    <w:rsid w:val="00E40D1C"/>
    <w:rsid w:val="00E72FF4"/>
    <w:rsid w:val="00E86C1D"/>
    <w:rsid w:val="00EB664A"/>
    <w:rsid w:val="00EB6B96"/>
    <w:rsid w:val="00ED45DC"/>
    <w:rsid w:val="00F22637"/>
    <w:rsid w:val="00F346E3"/>
    <w:rsid w:val="00F34884"/>
    <w:rsid w:val="00F52ED8"/>
    <w:rsid w:val="00F534F6"/>
    <w:rsid w:val="00F80254"/>
    <w:rsid w:val="00FC3C70"/>
    <w:rsid w:val="018A58CB"/>
    <w:rsid w:val="02076F1C"/>
    <w:rsid w:val="036F2FCB"/>
    <w:rsid w:val="03A569EC"/>
    <w:rsid w:val="03EC461B"/>
    <w:rsid w:val="056A7B4C"/>
    <w:rsid w:val="056F72B2"/>
    <w:rsid w:val="05B60A3D"/>
    <w:rsid w:val="068428E9"/>
    <w:rsid w:val="072C0B3B"/>
    <w:rsid w:val="0870581B"/>
    <w:rsid w:val="08732C15"/>
    <w:rsid w:val="08E6788B"/>
    <w:rsid w:val="090B5543"/>
    <w:rsid w:val="091B2577"/>
    <w:rsid w:val="09442803"/>
    <w:rsid w:val="0AB10AB1"/>
    <w:rsid w:val="0B6205C6"/>
    <w:rsid w:val="0C587DE0"/>
    <w:rsid w:val="0CB87790"/>
    <w:rsid w:val="0D5D3E94"/>
    <w:rsid w:val="0D9F625A"/>
    <w:rsid w:val="0E101500"/>
    <w:rsid w:val="0E372937"/>
    <w:rsid w:val="10160593"/>
    <w:rsid w:val="11B60016"/>
    <w:rsid w:val="11F719E4"/>
    <w:rsid w:val="11FB7AA1"/>
    <w:rsid w:val="124B69B1"/>
    <w:rsid w:val="12A83E03"/>
    <w:rsid w:val="12CF1390"/>
    <w:rsid w:val="13A22600"/>
    <w:rsid w:val="14630D56"/>
    <w:rsid w:val="16557ACD"/>
    <w:rsid w:val="198F1699"/>
    <w:rsid w:val="19A215AC"/>
    <w:rsid w:val="1A676352"/>
    <w:rsid w:val="1B8617B7"/>
    <w:rsid w:val="1C4050AC"/>
    <w:rsid w:val="1D1E3640"/>
    <w:rsid w:val="1E191690"/>
    <w:rsid w:val="1ED8781E"/>
    <w:rsid w:val="1F884DA0"/>
    <w:rsid w:val="20344F28"/>
    <w:rsid w:val="20831A0C"/>
    <w:rsid w:val="20AD693D"/>
    <w:rsid w:val="20D109C9"/>
    <w:rsid w:val="21154378"/>
    <w:rsid w:val="213F052D"/>
    <w:rsid w:val="217E28FF"/>
    <w:rsid w:val="21DA519B"/>
    <w:rsid w:val="2389558B"/>
    <w:rsid w:val="246E7F5E"/>
    <w:rsid w:val="27932534"/>
    <w:rsid w:val="282B4E63"/>
    <w:rsid w:val="28500425"/>
    <w:rsid w:val="295C2DFA"/>
    <w:rsid w:val="29922F91"/>
    <w:rsid w:val="2A187669"/>
    <w:rsid w:val="2A573FB2"/>
    <w:rsid w:val="2BD61320"/>
    <w:rsid w:val="2D144117"/>
    <w:rsid w:val="2F5E3E9B"/>
    <w:rsid w:val="302B360A"/>
    <w:rsid w:val="309D61D2"/>
    <w:rsid w:val="30D36097"/>
    <w:rsid w:val="311566B0"/>
    <w:rsid w:val="315216B2"/>
    <w:rsid w:val="3333106F"/>
    <w:rsid w:val="34CA155F"/>
    <w:rsid w:val="36343134"/>
    <w:rsid w:val="37704A11"/>
    <w:rsid w:val="38E452E6"/>
    <w:rsid w:val="398B5BD7"/>
    <w:rsid w:val="39D8725E"/>
    <w:rsid w:val="3A1F234D"/>
    <w:rsid w:val="3C7C5835"/>
    <w:rsid w:val="3DDF7E2A"/>
    <w:rsid w:val="3E323C50"/>
    <w:rsid w:val="3EAD43CC"/>
    <w:rsid w:val="3EB733BF"/>
    <w:rsid w:val="3EBF1A09"/>
    <w:rsid w:val="3FA602F1"/>
    <w:rsid w:val="3FAA4467"/>
    <w:rsid w:val="40D45C40"/>
    <w:rsid w:val="41410A00"/>
    <w:rsid w:val="42A33B1C"/>
    <w:rsid w:val="43540C3F"/>
    <w:rsid w:val="440A3726"/>
    <w:rsid w:val="4417258F"/>
    <w:rsid w:val="44625310"/>
    <w:rsid w:val="47242D51"/>
    <w:rsid w:val="486C2C02"/>
    <w:rsid w:val="488E0DCA"/>
    <w:rsid w:val="4981092F"/>
    <w:rsid w:val="4A3A1087"/>
    <w:rsid w:val="4BC759E5"/>
    <w:rsid w:val="4C0B2731"/>
    <w:rsid w:val="4C433C79"/>
    <w:rsid w:val="4F8B6063"/>
    <w:rsid w:val="4FD74E04"/>
    <w:rsid w:val="501167A6"/>
    <w:rsid w:val="529E71E8"/>
    <w:rsid w:val="531B7AA5"/>
    <w:rsid w:val="538E7ED0"/>
    <w:rsid w:val="561A0193"/>
    <w:rsid w:val="588C0756"/>
    <w:rsid w:val="58FF717A"/>
    <w:rsid w:val="5AAB1367"/>
    <w:rsid w:val="5C62639E"/>
    <w:rsid w:val="5D177188"/>
    <w:rsid w:val="5DC80482"/>
    <w:rsid w:val="5EAB6030"/>
    <w:rsid w:val="60805044"/>
    <w:rsid w:val="608D150F"/>
    <w:rsid w:val="631F543D"/>
    <w:rsid w:val="637B1AF3"/>
    <w:rsid w:val="64A137DB"/>
    <w:rsid w:val="650C50F9"/>
    <w:rsid w:val="65796C9C"/>
    <w:rsid w:val="66E5011A"/>
    <w:rsid w:val="672A3F5C"/>
    <w:rsid w:val="6A4E61B3"/>
    <w:rsid w:val="6B3929BF"/>
    <w:rsid w:val="6BAA11C7"/>
    <w:rsid w:val="6C0E1756"/>
    <w:rsid w:val="6E6B10E2"/>
    <w:rsid w:val="6F1654F2"/>
    <w:rsid w:val="6F63625D"/>
    <w:rsid w:val="700510C2"/>
    <w:rsid w:val="70FA499F"/>
    <w:rsid w:val="711C2B67"/>
    <w:rsid w:val="715E0A8A"/>
    <w:rsid w:val="71FA76C2"/>
    <w:rsid w:val="730B69EF"/>
    <w:rsid w:val="730F0764"/>
    <w:rsid w:val="7434641A"/>
    <w:rsid w:val="77660698"/>
    <w:rsid w:val="7ACF0C4A"/>
    <w:rsid w:val="7ACF1B30"/>
    <w:rsid w:val="7B5A6766"/>
    <w:rsid w:val="7E6E2528"/>
    <w:rsid w:val="7E8D29AE"/>
    <w:rsid w:val="7EE8052D"/>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cs="Cambria"/>
      <w:b/>
      <w:bCs/>
      <w:sz w:val="32"/>
      <w:szCs w:val="32"/>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character" w:customStyle="1" w:styleId="7">
    <w:name w:val="页脚 字符"/>
    <w:link w:val="3"/>
    <w:qFormat/>
    <w:uiPriority w:val="0"/>
    <w:rPr>
      <w:kern w:val="2"/>
      <w:sz w:val="18"/>
      <w:szCs w:val="18"/>
    </w:rPr>
  </w:style>
  <w:style w:type="character" w:customStyle="1" w:styleId="8">
    <w:name w:val="页眉 字符"/>
    <w:link w:val="4"/>
    <w:qFormat/>
    <w:uiPriority w:val="0"/>
    <w:rPr>
      <w:kern w:val="2"/>
      <w:sz w:val="18"/>
      <w:szCs w:val="18"/>
    </w:rPr>
  </w:style>
  <w:style w:type="paragraph" w:customStyle="1" w:styleId="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3629</Words>
  <Characters>3790</Characters>
  <Lines>110</Lines>
  <Paragraphs>85</Paragraphs>
  <TotalTime>7</TotalTime>
  <ScaleCrop>false</ScaleCrop>
  <LinksUpToDate>false</LinksUpToDate>
  <CharactersWithSpaces>3842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2025-12-05T01:49:00Z</dcterms:created>
  <dc:creator>Lenovo</dc:creator>
  <cp:lastModifiedBy>阿北</cp:lastModifiedBy>
  <dcterms:modified xsi:type="dcterms:W3CDTF">2026-02-02T03:25:11Z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81AB58A823D14B79A02F3EEEE2933383_12</vt:lpwstr>
  </property>
  <property fmtid="{D5CDD505-2E9C-101B-9397-08002B2CF9AE}" pid="4" name="KSOTemplateDocerSaveRecord">
    <vt:lpwstr>eyJoZGlkIjoiODk4MzM4ZWM2YWJkMjFhM2M1YmVmNzk0ZDM4M2ExMWQiLCJ1c2VySWQiOiI0NDY1NjM4NjAifQ==</vt:lpwstr>
  </property>
</Properties>
</file>