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13645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1FFF032">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bookmarkStart w:id="43" w:name="_GoBack"/>
            <w:bookmarkEnd w:id="43"/>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313DBDC">
            <w:pPr>
              <w:pStyle w:val="19"/>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 xml:space="preserve">67.080.01 </w:t>
            </w:r>
            <w:r>
              <w:rPr>
                <w:rFonts w:ascii="黑体" w:hAnsi="黑体" w:eastAsia="黑体"/>
                <w:sz w:val="21"/>
                <w:szCs w:val="21"/>
              </w:rPr>
              <w:fldChar w:fldCharType="end"/>
            </w:r>
            <w:bookmarkEnd w:id="0"/>
          </w:p>
        </w:tc>
      </w:tr>
      <w:tr w14:paraId="02855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C85FED7">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7113CDE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0B312869">
                  <w:pPr>
                    <w:pStyle w:val="50"/>
                    <w:framePr w:wrap="notBeside" w:vAnchor="page" w:hAnchor="page" w:x="1372" w:y="568"/>
                    <w:ind w:left="420" w:right="624"/>
                    <w:rPr>
                      <w:rFonts w:hint="default" w:ascii="宋体" w:hAnsi="宋体" w:eastAsia="宋体"/>
                      <w:sz w:val="28"/>
                      <w:szCs w:val="28"/>
                      <w:lang w:val="en-US" w:eastAsia="zh-CN"/>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rPr>
                      <w:rFonts w:hint="eastAsia"/>
                      <w:lang w:val="en-US" w:eastAsia="zh-CN"/>
                    </w:rPr>
                    <w:t>GXTC</w:t>
                  </w:r>
                </w:p>
              </w:tc>
            </w:tr>
          </w:tbl>
          <w:p w14:paraId="2234C49C">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X 24</w:t>
            </w:r>
            <w:r>
              <w:rPr>
                <w:rFonts w:ascii="黑体" w:hAnsi="黑体" w:eastAsia="黑体"/>
                <w:sz w:val="21"/>
                <w:szCs w:val="21"/>
              </w:rPr>
              <w:fldChar w:fldCharType="end"/>
            </w:r>
            <w:bookmarkEnd w:id="1"/>
          </w:p>
        </w:tc>
      </w:tr>
    </w:tbl>
    <w:p w14:paraId="08FA3AE6">
      <w:pPr>
        <w:pStyle w:val="51"/>
        <w:framePr w:w="9639" w:h="624" w:hRule="exact" w:hSpace="181" w:vSpace="181" w:wrap="around" w:hAnchor="page" w:x="1305" w:y="2269"/>
        <w:rPr>
          <w:rFonts w:hint="eastAsia" w:ascii="黑体" w:hAnsi="黑体" w:eastAsia="黑体"/>
          <w:b w:val="0"/>
          <w:bCs w:val="0"/>
          <w:w w:val="100"/>
          <w:sz w:val="48"/>
          <w:szCs w:val="48"/>
        </w:rPr>
      </w:pPr>
      <w:bookmarkStart w:id="2"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2"/>
    <w:p w14:paraId="64E88CE2">
      <w:pPr>
        <w:pStyle w:val="196"/>
      </w:pPr>
      <w:r>
        <w:t>T/</w:t>
      </w:r>
      <w:bookmarkStart w:id="3" w:name="文字1"/>
      <w:r>
        <w:fldChar w:fldCharType="begin">
          <w:ffData>
            <w:name w:val="文字1"/>
            <w:enabled/>
            <w:calcOnExit w:val="0"/>
            <w:textInput>
              <w:default w:val="GXTC"/>
            </w:textInput>
          </w:ffData>
        </w:fldChar>
      </w:r>
      <w:r>
        <w:instrText xml:space="preserve">FORMTEXT</w:instrText>
      </w:r>
      <w:r>
        <w:fldChar w:fldCharType="separate"/>
      </w:r>
      <w:r>
        <w:t>GXTC</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14:paraId="67A555A1">
      <w:pPr>
        <w:pStyle w:val="197"/>
        <w:rPr>
          <w:rFonts w:hint="eastAsia"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754C0373">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99BF0FC">
      <w:pPr>
        <w:pStyle w:val="51"/>
        <w:framePr w:w="9639" w:h="6976" w:hRule="exact" w:hSpace="0" w:vSpace="0" w:wrap="around" w:hAnchor="page" w:y="6408"/>
        <w:jc w:val="center"/>
        <w:rPr>
          <w:rFonts w:hint="eastAsia" w:ascii="黑体" w:hAnsi="黑体" w:eastAsia="黑体"/>
          <w:b w:val="0"/>
          <w:bCs w:val="0"/>
          <w:w w:val="100"/>
        </w:rPr>
      </w:pPr>
    </w:p>
    <w:p w14:paraId="36F67E78">
      <w:pPr>
        <w:pStyle w:val="198"/>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番木瓜干制品加工技术规程</w:t>
      </w:r>
      <w:r>
        <w:fldChar w:fldCharType="end"/>
      </w:r>
      <w:bookmarkEnd w:id="7"/>
    </w:p>
    <w:p w14:paraId="1E7908A4">
      <w:pPr>
        <w:framePr w:w="9639" w:h="6974" w:hRule="exact" w:wrap="around" w:vAnchor="page" w:hAnchor="page" w:x="1419" w:y="6408" w:anchorLock="1"/>
        <w:ind w:left="-1418"/>
      </w:pPr>
    </w:p>
    <w:p w14:paraId="35539929">
      <w:pPr>
        <w:pStyle w:val="126"/>
        <w:framePr w:w="9639" w:h="6974" w:hRule="exact" w:wrap="around" w:vAnchor="page" w:hAnchor="page" w:x="1419" w:y="6408" w:anchorLock="1"/>
        <w:textAlignment w:val="bottom"/>
        <w:rPr>
          <w:rFonts w:eastAsia="黑体"/>
          <w:szCs w:val="28"/>
        </w:rPr>
      </w:pPr>
      <w:r>
        <w:rPr>
          <w:rFonts w:eastAsia="黑体"/>
          <w:b/>
          <w:bCs/>
          <w:szCs w:val="28"/>
        </w:rPr>
        <w:fldChar w:fldCharType="begin">
          <w:ffData>
            <w:name w:val="ESTD_NAME"/>
            <w:enabled/>
            <w:calcOnExit w:val="0"/>
            <w:textInput>
              <w:default w:val="点击此处添加标准名称的英文译名"/>
            </w:textInput>
          </w:ffData>
        </w:fldChar>
      </w:r>
      <w:bookmarkStart w:id="8" w:name="ESTD_NAME"/>
      <w:r>
        <w:rPr>
          <w:rFonts w:eastAsia="黑体"/>
          <w:b/>
          <w:bCs/>
          <w:szCs w:val="28"/>
        </w:rPr>
        <w:instrText xml:space="preserve"> FORMTEXT </w:instrText>
      </w:r>
      <w:r>
        <w:rPr>
          <w:rFonts w:eastAsia="黑体"/>
          <w:b/>
          <w:bCs/>
          <w:szCs w:val="28"/>
        </w:rPr>
        <w:fldChar w:fldCharType="separate"/>
      </w:r>
      <w:r>
        <w:rPr>
          <w:rFonts w:hint="eastAsia" w:eastAsia="黑体"/>
          <w:b/>
          <w:bCs/>
          <w:szCs w:val="28"/>
        </w:rPr>
        <w:t xml:space="preserve">Code of practice for processing dried papaya </w:t>
      </w:r>
      <w:r>
        <w:rPr>
          <w:rFonts w:eastAsia="黑体"/>
          <w:b/>
          <w:bCs/>
          <w:szCs w:val="28"/>
        </w:rPr>
        <w:fldChar w:fldCharType="end"/>
      </w:r>
      <w:bookmarkEnd w:id="8"/>
    </w:p>
    <w:p w14:paraId="1C78131B">
      <w:pPr>
        <w:framePr w:w="9639" w:h="6974" w:hRule="exact" w:wrap="around" w:vAnchor="page" w:hAnchor="page" w:x="1419" w:y="6408" w:anchorLock="1"/>
        <w:spacing w:line="760" w:lineRule="exact"/>
        <w:ind w:left="-1418"/>
      </w:pPr>
    </w:p>
    <w:p w14:paraId="2713967D">
      <w:pPr>
        <w:pStyle w:val="126"/>
        <w:framePr w:w="9639" w:h="6974" w:hRule="exact" w:wrap="around" w:vAnchor="page" w:hAnchor="page" w:x="1419" w:y="6408" w:anchorLock="1"/>
        <w:textAlignment w:val="bottom"/>
        <w:rPr>
          <w:rFonts w:eastAsia="黑体"/>
          <w:szCs w:val="28"/>
        </w:rPr>
      </w:pPr>
    </w:p>
    <w:p w14:paraId="58366423">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fldChar w:fldCharType="separate"/>
      </w:r>
      <w:r>
        <w:rPr>
          <w:sz w:val="24"/>
          <w:szCs w:val="28"/>
        </w:rPr>
        <w:fldChar w:fldCharType="end"/>
      </w:r>
      <w:bookmarkEnd w:id="9"/>
    </w:p>
    <w:p w14:paraId="6A4AC5E1">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0"/>
    </w:p>
    <w:p w14:paraId="68D46927">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fldChar w:fldCharType="separate"/>
      </w:r>
      <w:r>
        <w:rPr>
          <w:b/>
          <w:sz w:val="21"/>
          <w:szCs w:val="28"/>
        </w:rPr>
        <w:fldChar w:fldCharType="end"/>
      </w:r>
      <w:bookmarkEnd w:id="11"/>
    </w:p>
    <w:p w14:paraId="4064443B">
      <w:pPr>
        <w:pStyle w:val="194"/>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发布</w:t>
      </w:r>
    </w:p>
    <w:p w14:paraId="0391CD47">
      <w:pPr>
        <w:pStyle w:val="195"/>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实施</w:t>
      </w:r>
    </w:p>
    <w:p w14:paraId="000FEE76">
      <w:pPr>
        <w:pStyle w:val="152"/>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fldChar w:fldCharType="separate"/>
      </w:r>
      <w:r>
        <w:rPr>
          <w:rFonts w:hAnsi="黑体"/>
          <w:w w:val="100"/>
          <w:sz w:val="28"/>
        </w:rPr>
        <w:t>     </w:t>
      </w:r>
      <w:r>
        <w:rPr>
          <w:rFonts w:hAnsi="黑体"/>
          <w:w w:val="100"/>
          <w:sz w:val="28"/>
        </w:rPr>
        <w:fldChar w:fldCharType="end"/>
      </w:r>
      <w:bookmarkEnd w:id="18"/>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790042E4">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746894E">
      <w:pPr>
        <w:pStyle w:val="90"/>
        <w:spacing w:before="900" w:after="360"/>
        <w:rPr>
          <w:spacing w:val="320"/>
        </w:rPr>
      </w:pPr>
      <w:bookmarkStart w:id="19" w:name="BookMark2"/>
    </w:p>
    <w:p w14:paraId="60102685">
      <w:pPr>
        <w:widowControl/>
        <w:adjustRightInd/>
        <w:spacing w:line="240" w:lineRule="auto"/>
        <w:jc w:val="left"/>
        <w:rPr>
          <w:rFonts w:ascii="黑体" w:hAnsi="Times New Roman" w:eastAsia="黑体"/>
          <w:spacing w:val="320"/>
          <w:kern w:val="0"/>
          <w:sz w:val="32"/>
          <w:szCs w:val="20"/>
        </w:rPr>
      </w:pPr>
      <w:r>
        <w:rPr>
          <w:spacing w:val="320"/>
        </w:rPr>
        <w:br w:type="page"/>
      </w:r>
    </w:p>
    <w:p w14:paraId="63F8A02C">
      <w:pPr>
        <w:pStyle w:val="90"/>
        <w:spacing w:before="900" w:after="360"/>
      </w:pPr>
      <w:r>
        <w:rPr>
          <w:rFonts w:hint="eastAsia"/>
          <w:spacing w:val="320"/>
        </w:rPr>
        <w:t>前</w:t>
      </w:r>
      <w:r>
        <w:rPr>
          <w:rFonts w:hint="eastAsia"/>
        </w:rPr>
        <w:t>言</w:t>
      </w:r>
    </w:p>
    <w:p w14:paraId="60CC6828">
      <w:pPr>
        <w:pStyle w:val="57"/>
        <w:ind w:firstLine="420"/>
      </w:pPr>
      <w:r>
        <w:rPr>
          <w:rFonts w:hint="eastAsia"/>
        </w:rPr>
        <w:t>本文件按照GB/T 1.1—2020《标准化工作导则  第1部分：标准化文件的结构和起草规则》的规定起草。</w:t>
      </w:r>
    </w:p>
    <w:p w14:paraId="182A7018">
      <w:pPr>
        <w:pStyle w:val="57"/>
        <w:ind w:firstLine="420"/>
      </w:pPr>
      <w:r>
        <w:rPr>
          <w:rFonts w:hint="eastAsia"/>
        </w:rPr>
        <w:t>请注意本文件的某些内容可能涉及专利。本文件的发布机构不承担识别专利的责任。</w:t>
      </w:r>
    </w:p>
    <w:p w14:paraId="109BE80E">
      <w:pPr>
        <w:pStyle w:val="57"/>
        <w:ind w:firstLine="420"/>
        <w:rPr>
          <w:rFonts w:hint="eastAsia"/>
          <w:lang w:val="en-US" w:eastAsia="zh-CN"/>
        </w:rPr>
      </w:pPr>
      <w:r>
        <w:rPr>
          <w:rFonts w:hint="eastAsia"/>
        </w:rPr>
        <w:t>本文件由广西壮族自治区亚热带作物研究所提出</w:t>
      </w:r>
      <w:r>
        <w:rPr>
          <w:rFonts w:hint="eastAsia"/>
          <w:lang w:val="en-US" w:eastAsia="zh-CN"/>
        </w:rPr>
        <w:t>并宣贯。</w:t>
      </w:r>
    </w:p>
    <w:p w14:paraId="7B483976">
      <w:pPr>
        <w:pStyle w:val="57"/>
        <w:ind w:firstLine="420"/>
      </w:pPr>
      <w:r>
        <w:rPr>
          <w:rFonts w:hint="eastAsia"/>
          <w:lang w:val="en-US" w:eastAsia="zh-CN"/>
        </w:rPr>
        <w:t>本文件由</w:t>
      </w:r>
      <w:r>
        <w:rPr>
          <w:rFonts w:hint="eastAsia"/>
        </w:rPr>
        <w:t>广西热带作物学会归口。</w:t>
      </w:r>
    </w:p>
    <w:p w14:paraId="7C0DAF97">
      <w:pPr>
        <w:pStyle w:val="57"/>
        <w:ind w:firstLine="420"/>
        <w:rPr>
          <w:rFonts w:hint="eastAsia" w:eastAsia="宋体"/>
          <w:lang w:eastAsia="zh-CN"/>
        </w:rPr>
      </w:pPr>
      <w:r>
        <w:rPr>
          <w:rFonts w:hint="eastAsia"/>
        </w:rPr>
        <w:t>本文件起草单位：广西壮族自治区亚热带作物研究所、广西鸿榆农业有限公司、</w:t>
      </w:r>
      <w:r>
        <w:rPr>
          <w:rFonts w:hint="eastAsia" w:ascii="宋体" w:hAnsi="Times New Roman" w:eastAsia="宋体"/>
          <w:sz w:val="21"/>
          <w:szCs w:val="20"/>
        </w:rPr>
        <w:t>广西农垦明阳农场有限公司</w:t>
      </w:r>
      <w:r>
        <w:rPr>
          <w:rFonts w:hint="eastAsia" w:ascii="宋体" w:eastAsia="宋体"/>
          <w:sz w:val="21"/>
          <w:szCs w:val="20"/>
          <w:lang w:eastAsia="zh-CN"/>
        </w:rPr>
        <w:t>、</w:t>
      </w:r>
      <w:r>
        <w:rPr>
          <w:rFonts w:hint="eastAsia"/>
        </w:rPr>
        <w:t>广西横县万恒生物科技有限公司、广西胜业农业有限公司</w:t>
      </w:r>
      <w:r>
        <w:rPr>
          <w:rFonts w:hint="eastAsia"/>
          <w:lang w:eastAsia="zh-CN"/>
        </w:rPr>
        <w:t>、</w:t>
      </w:r>
      <w:r>
        <w:rPr>
          <w:rFonts w:hint="eastAsia" w:ascii="宋体" w:hAnsi="Times New Roman" w:eastAsia="宋体"/>
          <w:sz w:val="21"/>
          <w:szCs w:val="20"/>
          <w:lang w:val="en-US" w:eastAsia="zh-CN"/>
        </w:rPr>
        <w:t>广西罗城老娘菜食品有限公司</w:t>
      </w:r>
      <w:r>
        <w:rPr>
          <w:rFonts w:hint="eastAsia"/>
          <w:lang w:eastAsia="zh-CN"/>
        </w:rPr>
        <w:t>。</w:t>
      </w:r>
    </w:p>
    <w:p w14:paraId="2430A12A">
      <w:pPr>
        <w:widowControl/>
        <w:adjustRightInd/>
        <w:spacing w:line="240" w:lineRule="auto"/>
        <w:ind w:firstLine="420" w:firstLineChars="200"/>
        <w:jc w:val="left"/>
        <w:rPr>
          <w:rFonts w:ascii="宋体" w:hAnsi="Times New Roman"/>
          <w:kern w:val="0"/>
          <w:szCs w:val="20"/>
        </w:rPr>
      </w:pPr>
      <w:r>
        <w:rPr>
          <w:rFonts w:hint="eastAsia"/>
        </w:rPr>
        <w:t>本文件主要起草人：</w:t>
      </w:r>
      <w:r>
        <w:rPr>
          <w:rFonts w:hint="eastAsia" w:ascii="宋体" w:hAnsi="宋体"/>
          <w:color w:val="auto"/>
          <w:szCs w:val="21"/>
          <w:highlight w:val="none"/>
          <w:lang w:val="en-US" w:eastAsia="zh-CN"/>
        </w:rPr>
        <w:t>艾静汶</w:t>
      </w:r>
      <w:r>
        <w:rPr>
          <w:rFonts w:hint="eastAsia" w:hAnsi="宋体"/>
          <w:color w:val="auto"/>
          <w:szCs w:val="21"/>
          <w:highlight w:val="none"/>
          <w:lang w:val="en-US" w:eastAsia="zh-CN"/>
        </w:rPr>
        <w:t>、</w:t>
      </w:r>
      <w:r>
        <w:rPr>
          <w:rFonts w:hint="eastAsia" w:ascii="宋体" w:hAnsi="宋体"/>
          <w:color w:val="auto"/>
          <w:szCs w:val="21"/>
          <w:highlight w:val="none"/>
          <w:lang w:val="en-US" w:eastAsia="zh-CN"/>
        </w:rPr>
        <w:t>黄欣欣</w:t>
      </w:r>
      <w:r>
        <w:rPr>
          <w:rFonts w:hint="eastAsia" w:hAnsi="宋体"/>
          <w:color w:val="auto"/>
          <w:szCs w:val="21"/>
          <w:highlight w:val="none"/>
          <w:lang w:val="en-US" w:eastAsia="zh-CN"/>
        </w:rPr>
        <w:t>、</w:t>
      </w:r>
      <w:r>
        <w:rPr>
          <w:rFonts w:hint="eastAsia" w:ascii="宋体" w:hAnsi="宋体"/>
          <w:color w:val="auto"/>
          <w:szCs w:val="21"/>
          <w:highlight w:val="none"/>
          <w:lang w:val="en-US" w:eastAsia="zh-CN"/>
        </w:rPr>
        <w:t>龙凌云</w:t>
      </w:r>
      <w:r>
        <w:rPr>
          <w:rFonts w:hint="eastAsia" w:hAnsi="宋体"/>
          <w:color w:val="auto"/>
          <w:szCs w:val="21"/>
          <w:highlight w:val="none"/>
          <w:lang w:val="en-US" w:eastAsia="zh-CN"/>
        </w:rPr>
        <w:t>、</w:t>
      </w:r>
      <w:r>
        <w:rPr>
          <w:rFonts w:hint="eastAsia" w:ascii="宋体" w:hAnsi="宋体"/>
          <w:color w:val="auto"/>
          <w:szCs w:val="21"/>
          <w:highlight w:val="none"/>
          <w:lang w:val="en-US" w:eastAsia="zh-CN"/>
        </w:rPr>
        <w:t>黄秋伟</w:t>
      </w:r>
      <w:r>
        <w:rPr>
          <w:rFonts w:hint="eastAsia" w:hAnsi="宋体"/>
          <w:color w:val="auto"/>
          <w:szCs w:val="21"/>
          <w:highlight w:val="none"/>
          <w:lang w:val="en-US" w:eastAsia="zh-CN"/>
        </w:rPr>
        <w:t>、</w:t>
      </w:r>
      <w:r>
        <w:rPr>
          <w:rFonts w:hint="eastAsia" w:ascii="宋体" w:hAnsi="宋体"/>
          <w:color w:val="auto"/>
          <w:szCs w:val="21"/>
          <w:highlight w:val="none"/>
          <w:lang w:val="en-US" w:eastAsia="zh-CN"/>
        </w:rPr>
        <w:t>谢朝敏</w:t>
      </w:r>
      <w:r>
        <w:rPr>
          <w:rFonts w:hint="eastAsia" w:hAnsi="宋体"/>
          <w:color w:val="auto"/>
          <w:szCs w:val="21"/>
          <w:highlight w:val="none"/>
          <w:lang w:val="en-US" w:eastAsia="zh-CN"/>
        </w:rPr>
        <w:t>、</w:t>
      </w:r>
      <w:r>
        <w:rPr>
          <w:rFonts w:hint="eastAsia" w:ascii="宋体" w:hAnsi="宋体"/>
          <w:color w:val="auto"/>
          <w:szCs w:val="21"/>
          <w:highlight w:val="none"/>
          <w:lang w:val="en-US" w:eastAsia="zh-CN"/>
        </w:rPr>
        <w:t>宾冬梅</w:t>
      </w:r>
      <w:r>
        <w:rPr>
          <w:rFonts w:hint="eastAsia" w:hAnsi="宋体"/>
          <w:color w:val="auto"/>
          <w:szCs w:val="21"/>
          <w:highlight w:val="none"/>
          <w:lang w:val="en-US" w:eastAsia="zh-CN"/>
        </w:rPr>
        <w:t>、</w:t>
      </w:r>
      <w:r>
        <w:rPr>
          <w:rFonts w:hint="eastAsia" w:ascii="宋体" w:hAnsi="宋体"/>
          <w:color w:val="auto"/>
          <w:szCs w:val="21"/>
          <w:highlight w:val="none"/>
          <w:lang w:val="en-US" w:eastAsia="zh-CN"/>
        </w:rPr>
        <w:t>陈燕</w:t>
      </w:r>
      <w:r>
        <w:rPr>
          <w:rFonts w:hint="eastAsia" w:hAnsi="宋体"/>
          <w:color w:val="auto"/>
          <w:szCs w:val="21"/>
          <w:highlight w:val="none"/>
          <w:lang w:val="en-US" w:eastAsia="zh-CN"/>
        </w:rPr>
        <w:t>、</w:t>
      </w:r>
      <w:r>
        <w:rPr>
          <w:rFonts w:hint="eastAsia" w:ascii="宋体" w:hAnsi="宋体"/>
          <w:color w:val="auto"/>
          <w:szCs w:val="21"/>
          <w:highlight w:val="none"/>
        </w:rPr>
        <w:t>周建富</w:t>
      </w:r>
      <w:r>
        <w:rPr>
          <w:rFonts w:hint="eastAsia" w:hAnsi="宋体"/>
          <w:color w:val="auto"/>
          <w:szCs w:val="21"/>
          <w:highlight w:val="none"/>
          <w:lang w:eastAsia="zh-CN"/>
        </w:rPr>
        <w:t>、</w:t>
      </w:r>
      <w:r>
        <w:rPr>
          <w:rFonts w:hint="eastAsia" w:ascii="宋体" w:hAnsi="宋体"/>
          <w:color w:val="auto"/>
          <w:szCs w:val="21"/>
          <w:highlight w:val="none"/>
          <w:lang w:val="en-US" w:eastAsia="zh-CN"/>
        </w:rPr>
        <w:t>苏艳兰</w:t>
      </w:r>
      <w:r>
        <w:rPr>
          <w:rFonts w:hint="eastAsia" w:hAnsi="宋体"/>
          <w:color w:val="auto"/>
          <w:szCs w:val="21"/>
          <w:highlight w:val="none"/>
          <w:lang w:val="en-US" w:eastAsia="zh-CN"/>
        </w:rPr>
        <w:t>、</w:t>
      </w:r>
      <w:r>
        <w:rPr>
          <w:rFonts w:hint="eastAsia" w:ascii="宋体" w:hAnsi="宋体"/>
          <w:color w:val="auto"/>
          <w:szCs w:val="21"/>
          <w:highlight w:val="none"/>
        </w:rPr>
        <w:t>钟章涛</w:t>
      </w:r>
      <w:r>
        <w:rPr>
          <w:rFonts w:hint="eastAsia" w:hAnsi="宋体"/>
          <w:color w:val="auto"/>
          <w:szCs w:val="21"/>
          <w:highlight w:val="none"/>
          <w:lang w:eastAsia="zh-CN"/>
        </w:rPr>
        <w:t>、</w:t>
      </w:r>
      <w:r>
        <w:rPr>
          <w:rFonts w:hint="eastAsia" w:ascii="宋体" w:hAnsi="宋体"/>
          <w:color w:val="auto"/>
          <w:szCs w:val="21"/>
          <w:highlight w:val="none"/>
          <w:lang w:val="en-US" w:eastAsia="zh-CN"/>
        </w:rPr>
        <w:t>刘功德</w:t>
      </w:r>
      <w:r>
        <w:rPr>
          <w:rFonts w:hint="eastAsia" w:hAnsi="宋体"/>
          <w:color w:val="auto"/>
          <w:szCs w:val="21"/>
          <w:highlight w:val="none"/>
          <w:lang w:val="en-US" w:eastAsia="zh-CN"/>
        </w:rPr>
        <w:t>、</w:t>
      </w:r>
      <w:r>
        <w:rPr>
          <w:rFonts w:hint="eastAsia" w:ascii="宋体" w:hAnsi="宋体"/>
          <w:color w:val="auto"/>
          <w:szCs w:val="21"/>
          <w:highlight w:val="none"/>
          <w:lang w:val="en-US" w:eastAsia="zh-CN"/>
        </w:rPr>
        <w:t>李小燕</w:t>
      </w:r>
      <w:r>
        <w:rPr>
          <w:rFonts w:hint="eastAsia" w:hAnsi="宋体"/>
          <w:color w:val="auto"/>
          <w:szCs w:val="21"/>
          <w:highlight w:val="none"/>
          <w:lang w:val="en-US" w:eastAsia="zh-CN"/>
        </w:rPr>
        <w:t>、</w:t>
      </w:r>
      <w:r>
        <w:rPr>
          <w:rFonts w:hint="eastAsia" w:ascii="宋体" w:hAnsi="宋体"/>
          <w:color w:val="auto"/>
          <w:szCs w:val="21"/>
          <w:highlight w:val="none"/>
          <w:lang w:val="en-US" w:eastAsia="zh-CN"/>
        </w:rPr>
        <w:t>李建强</w:t>
      </w:r>
      <w:r>
        <w:rPr>
          <w:rFonts w:hint="eastAsia" w:hAnsi="宋体"/>
          <w:color w:val="auto"/>
          <w:szCs w:val="21"/>
          <w:highlight w:val="none"/>
          <w:lang w:val="en-US" w:eastAsia="zh-CN"/>
        </w:rPr>
        <w:t>、</w:t>
      </w:r>
      <w:r>
        <w:rPr>
          <w:rFonts w:hint="eastAsia" w:ascii="宋体" w:hAnsi="宋体"/>
          <w:color w:val="auto"/>
          <w:szCs w:val="21"/>
          <w:highlight w:val="none"/>
          <w:lang w:val="en-US" w:eastAsia="zh-CN"/>
        </w:rPr>
        <w:t>欧玉维</w:t>
      </w:r>
      <w:r>
        <w:rPr>
          <w:rFonts w:hint="eastAsia" w:hAnsi="宋体"/>
          <w:color w:val="auto"/>
          <w:szCs w:val="21"/>
          <w:highlight w:val="none"/>
          <w:lang w:val="en-US" w:eastAsia="zh-CN"/>
        </w:rPr>
        <w:t>、</w:t>
      </w:r>
      <w:r>
        <w:rPr>
          <w:rFonts w:hint="eastAsia" w:ascii="宋体" w:hAnsi="宋体"/>
          <w:color w:val="auto"/>
          <w:szCs w:val="21"/>
          <w:highlight w:val="none"/>
        </w:rPr>
        <w:t>孙会伍</w:t>
      </w:r>
      <w:r>
        <w:rPr>
          <w:rFonts w:hint="eastAsia" w:hAnsi="宋体"/>
          <w:color w:val="auto"/>
          <w:szCs w:val="21"/>
          <w:highlight w:val="none"/>
          <w:lang w:eastAsia="zh-CN"/>
        </w:rPr>
        <w:t>、</w:t>
      </w:r>
      <w:r>
        <w:rPr>
          <w:rFonts w:hint="eastAsia" w:ascii="宋体" w:hAnsi="宋体"/>
          <w:color w:val="auto"/>
          <w:szCs w:val="21"/>
          <w:highlight w:val="none"/>
        </w:rPr>
        <w:t>刘启华</w:t>
      </w:r>
      <w:r>
        <w:rPr>
          <w:rFonts w:hint="eastAsia" w:hAnsi="宋体"/>
          <w:color w:val="auto"/>
          <w:szCs w:val="21"/>
          <w:highlight w:val="none"/>
          <w:lang w:eastAsia="zh-CN"/>
        </w:rPr>
        <w:t>、</w:t>
      </w:r>
      <w:r>
        <w:rPr>
          <w:rFonts w:hint="eastAsia" w:ascii="宋体" w:hAnsi="宋体"/>
          <w:color w:val="auto"/>
          <w:szCs w:val="21"/>
          <w:highlight w:val="none"/>
          <w:lang w:val="en-US" w:eastAsia="zh-CN"/>
        </w:rPr>
        <w:t>周晓梅</w:t>
      </w:r>
      <w:r>
        <w:rPr>
          <w:rFonts w:hint="eastAsia" w:hAnsi="宋体"/>
          <w:color w:val="auto"/>
          <w:szCs w:val="21"/>
          <w:highlight w:val="none"/>
          <w:lang w:val="en-US" w:eastAsia="zh-CN"/>
        </w:rPr>
        <w:t>、</w:t>
      </w:r>
      <w:r>
        <w:rPr>
          <w:rFonts w:hint="eastAsia" w:ascii="宋体" w:hAnsi="宋体"/>
          <w:color w:val="auto"/>
          <w:szCs w:val="21"/>
          <w:highlight w:val="none"/>
        </w:rPr>
        <w:t>劳明鲜</w:t>
      </w:r>
      <w:r>
        <w:rPr>
          <w:rFonts w:hint="eastAsia" w:hAnsi="宋体"/>
          <w:color w:val="auto"/>
          <w:szCs w:val="21"/>
          <w:highlight w:val="none"/>
          <w:lang w:eastAsia="zh-CN"/>
        </w:rPr>
        <w:t>、</w:t>
      </w:r>
      <w:r>
        <w:rPr>
          <w:rFonts w:hint="eastAsia" w:ascii="宋体" w:hAnsi="宋体"/>
          <w:color w:val="auto"/>
          <w:szCs w:val="21"/>
          <w:highlight w:val="none"/>
          <w:lang w:val="en-US" w:eastAsia="zh-CN"/>
        </w:rPr>
        <w:t>韦雄宝</w:t>
      </w:r>
      <w:r>
        <w:rPr>
          <w:rFonts w:hint="eastAsia" w:hAnsi="宋体"/>
          <w:color w:val="auto"/>
          <w:szCs w:val="21"/>
          <w:highlight w:val="none"/>
          <w:lang w:val="en-US" w:eastAsia="zh-CN"/>
        </w:rPr>
        <w:t>、</w:t>
      </w:r>
      <w:r>
        <w:rPr>
          <w:rFonts w:hint="eastAsia" w:ascii="宋体" w:hAnsi="宋体"/>
          <w:color w:val="auto"/>
          <w:szCs w:val="21"/>
          <w:highlight w:val="none"/>
        </w:rPr>
        <w:t>何青凤</w:t>
      </w:r>
      <w:r>
        <w:rPr>
          <w:rFonts w:hint="eastAsia" w:hAnsi="宋体"/>
          <w:color w:val="auto"/>
          <w:szCs w:val="21"/>
          <w:highlight w:val="none"/>
          <w:lang w:eastAsia="zh-CN"/>
        </w:rPr>
        <w:t>、</w:t>
      </w:r>
      <w:r>
        <w:rPr>
          <w:rFonts w:hint="eastAsia" w:ascii="宋体" w:hAnsi="宋体"/>
          <w:color w:val="auto"/>
          <w:szCs w:val="21"/>
          <w:highlight w:val="none"/>
          <w:lang w:val="en-US" w:eastAsia="zh-CN"/>
        </w:rPr>
        <w:t>林北清</w:t>
      </w:r>
      <w:r>
        <w:rPr>
          <w:rFonts w:hint="eastAsia" w:hAnsi="宋体"/>
          <w:color w:val="auto"/>
          <w:szCs w:val="21"/>
          <w:highlight w:val="none"/>
          <w:lang w:val="en-US" w:eastAsia="zh-CN"/>
        </w:rPr>
        <w:t>、</w:t>
      </w:r>
      <w:r>
        <w:rPr>
          <w:rFonts w:hint="eastAsia" w:ascii="宋体" w:hAnsi="宋体"/>
          <w:color w:val="auto"/>
          <w:szCs w:val="21"/>
          <w:highlight w:val="none"/>
        </w:rPr>
        <w:t>何淑慧</w:t>
      </w:r>
      <w:r>
        <w:rPr>
          <w:rFonts w:hint="eastAsia" w:hAnsi="宋体"/>
          <w:color w:val="auto"/>
          <w:szCs w:val="21"/>
          <w:highlight w:val="none"/>
          <w:lang w:eastAsia="zh-CN"/>
        </w:rPr>
        <w:t>。</w:t>
      </w:r>
      <w:r>
        <w:br w:type="page"/>
      </w:r>
    </w:p>
    <w:p w14:paraId="26F0CE13">
      <w:pPr>
        <w:pStyle w:val="57"/>
        <w:ind w:firstLine="420"/>
      </w:pPr>
    </w:p>
    <w:p w14:paraId="65EF226D">
      <w:pPr>
        <w:widowControl/>
        <w:adjustRightInd/>
        <w:spacing w:line="240" w:lineRule="auto"/>
        <w:jc w:val="left"/>
        <w:rPr>
          <w:rFonts w:ascii="宋体" w:hAnsi="Times New Roman"/>
          <w:kern w:val="0"/>
          <w:szCs w:val="20"/>
        </w:rPr>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p>
    <w:bookmarkEnd w:id="19"/>
    <w:p w14:paraId="06011F03">
      <w:pPr>
        <w:spacing w:line="20" w:lineRule="exact"/>
        <w:jc w:val="center"/>
        <w:rPr>
          <w:rFonts w:hint="eastAsia" w:ascii="黑体" w:hAnsi="黑体" w:eastAsia="黑体"/>
          <w:sz w:val="32"/>
          <w:szCs w:val="32"/>
        </w:rPr>
      </w:pPr>
      <w:bookmarkStart w:id="20" w:name="BookMark4"/>
    </w:p>
    <w:p w14:paraId="4D8113E9">
      <w:pPr>
        <w:spacing w:line="20" w:lineRule="exact"/>
        <w:jc w:val="center"/>
        <w:rPr>
          <w:rFonts w:hint="eastAsia" w:ascii="黑体" w:hAnsi="黑体" w:eastAsia="黑体"/>
          <w:sz w:val="32"/>
          <w:szCs w:val="32"/>
        </w:rPr>
      </w:pPr>
    </w:p>
    <w:sdt>
      <w:sdtPr>
        <w:tag w:val="NEW_STAND_NAME"/>
        <w:id w:val="595910757"/>
        <w:lock w:val="sdtLocked"/>
        <w:placeholder>
          <w:docPart w:val="BBDD119DD7E749228280283FBCA48ED6"/>
        </w:placeholder>
      </w:sdtPr>
      <w:sdtContent>
        <w:p w14:paraId="57594CCF">
          <w:pPr>
            <w:pStyle w:val="178"/>
            <w:spacing w:before="240" w:beforeLines="100" w:after="528" w:afterLines="220"/>
            <w:rPr>
              <w:rFonts w:hint="eastAsia"/>
            </w:rPr>
          </w:pPr>
          <w:bookmarkStart w:id="21" w:name="NEW_STAND_NAME"/>
          <w:r>
            <w:rPr>
              <w:rFonts w:hint="eastAsia"/>
            </w:rPr>
            <w:t>番木瓜干制品加工技术规程</w:t>
          </w:r>
        </w:p>
      </w:sdtContent>
    </w:sdt>
    <w:bookmarkEnd w:id="21"/>
    <w:p w14:paraId="65ACA354">
      <w:pPr>
        <w:pStyle w:val="105"/>
        <w:spacing w:before="240" w:after="240"/>
      </w:pPr>
      <w:bookmarkStart w:id="22" w:name="_Toc97192964"/>
      <w:bookmarkStart w:id="23" w:name="_Toc26986530"/>
      <w:bookmarkStart w:id="24" w:name="_Toc24884218"/>
      <w:bookmarkStart w:id="25" w:name="_Toc26718930"/>
      <w:bookmarkStart w:id="26" w:name="_Toc17233333"/>
      <w:bookmarkStart w:id="27" w:name="_Toc26648465"/>
      <w:bookmarkStart w:id="28" w:name="_Toc17233325"/>
      <w:bookmarkStart w:id="29" w:name="_Toc24884211"/>
      <w:bookmarkStart w:id="30" w:name="_Toc26986771"/>
      <w:r>
        <w:rPr>
          <w:rFonts w:hint="eastAsia"/>
        </w:rPr>
        <w:t>范围</w:t>
      </w:r>
      <w:bookmarkEnd w:id="22"/>
      <w:bookmarkEnd w:id="23"/>
      <w:bookmarkEnd w:id="24"/>
      <w:bookmarkEnd w:id="25"/>
      <w:bookmarkEnd w:id="26"/>
      <w:bookmarkEnd w:id="27"/>
      <w:bookmarkEnd w:id="28"/>
      <w:bookmarkEnd w:id="29"/>
      <w:bookmarkEnd w:id="30"/>
    </w:p>
    <w:p w14:paraId="6B362DCA">
      <w:pPr>
        <w:pStyle w:val="57"/>
        <w:ind w:firstLine="420"/>
      </w:pPr>
      <w:bookmarkStart w:id="31" w:name="_Toc26648466"/>
      <w:bookmarkStart w:id="32" w:name="_Toc24884219"/>
      <w:bookmarkStart w:id="33" w:name="_Toc17233334"/>
      <w:bookmarkStart w:id="34" w:name="_Toc17233326"/>
      <w:bookmarkStart w:id="35" w:name="_Toc24884212"/>
      <w:r>
        <w:rPr>
          <w:rFonts w:hint="eastAsia"/>
        </w:rPr>
        <w:t>本文件界定了番木瓜干制品加工相关的术语和定义，规定了原料、加工过程卫生要求、加工工艺、理化指标等技术要求，明确了标志、标签、包装、贮运规定。</w:t>
      </w:r>
    </w:p>
    <w:p w14:paraId="610FB47E">
      <w:pPr>
        <w:pStyle w:val="57"/>
        <w:ind w:firstLine="420"/>
      </w:pPr>
      <w:r>
        <w:rPr>
          <w:rFonts w:hint="eastAsia"/>
        </w:rPr>
        <w:t>本文件适用于广西境内以番木瓜为原料的番木瓜干制品加工。</w:t>
      </w:r>
    </w:p>
    <w:p w14:paraId="6661F6D8">
      <w:pPr>
        <w:pStyle w:val="105"/>
        <w:spacing w:before="240" w:after="240"/>
      </w:pPr>
      <w:bookmarkStart w:id="36" w:name="_Toc26986531"/>
      <w:bookmarkStart w:id="37" w:name="_Toc26986772"/>
      <w:bookmarkStart w:id="38" w:name="_Toc26718931"/>
      <w:bookmarkStart w:id="39" w:name="_Toc97192965"/>
      <w:r>
        <w:rPr>
          <w:rFonts w:hint="eastAsia"/>
        </w:rPr>
        <w:t>规范性引用文件</w:t>
      </w:r>
      <w:bookmarkEnd w:id="31"/>
      <w:bookmarkEnd w:id="32"/>
      <w:bookmarkEnd w:id="33"/>
      <w:bookmarkEnd w:id="34"/>
      <w:bookmarkEnd w:id="35"/>
      <w:bookmarkEnd w:id="36"/>
      <w:bookmarkEnd w:id="37"/>
      <w:bookmarkEnd w:id="38"/>
      <w:bookmarkEnd w:id="39"/>
    </w:p>
    <w:sdt>
      <w:sdtPr>
        <w:rPr>
          <w:rFonts w:hint="eastAsia"/>
        </w:rPr>
        <w:id w:val="715848253"/>
        <w:placeholder>
          <w:docPart w:val="AB1646D5B5E94F2B9F580223D7863C6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D2631B0">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505FB8C">
      <w:pPr>
        <w:pStyle w:val="57"/>
        <w:ind w:firstLine="420"/>
      </w:pPr>
      <w:r>
        <w:rPr>
          <w:rFonts w:hint="default" w:ascii="Times New Roman"/>
        </w:rPr>
        <w:t>GB/T 2721</w:t>
      </w:r>
      <w:r>
        <w:rPr>
          <w:rFonts w:hint="eastAsia"/>
        </w:rPr>
        <w:t xml:space="preserve">  食用盐</w:t>
      </w:r>
    </w:p>
    <w:p w14:paraId="4473E693">
      <w:pPr>
        <w:pStyle w:val="57"/>
        <w:ind w:firstLine="420"/>
      </w:pPr>
      <w:r>
        <w:rPr>
          <w:rFonts w:hint="default" w:ascii="Times New Roman"/>
        </w:rPr>
        <w:t>GB 2762</w:t>
      </w:r>
      <w:r>
        <w:rPr>
          <w:rFonts w:hint="eastAsia"/>
        </w:rPr>
        <w:t xml:space="preserve">  食品安全国家标准  食品中污染物限量</w:t>
      </w:r>
    </w:p>
    <w:p w14:paraId="64E471F1">
      <w:pPr>
        <w:pStyle w:val="57"/>
        <w:ind w:firstLine="420"/>
      </w:pPr>
      <w:r>
        <w:rPr>
          <w:rFonts w:hint="default" w:ascii="Times New Roman"/>
        </w:rPr>
        <w:t>GB 2763</w:t>
      </w:r>
      <w:r>
        <w:rPr>
          <w:rFonts w:hint="eastAsia"/>
        </w:rPr>
        <w:t xml:space="preserve">  食品安全国家标准  食品中农药最大残留限量</w:t>
      </w:r>
    </w:p>
    <w:p w14:paraId="1E3E334D">
      <w:pPr>
        <w:pStyle w:val="57"/>
        <w:ind w:firstLine="420"/>
      </w:pPr>
      <w:r>
        <w:rPr>
          <w:rFonts w:hint="default" w:ascii="Times New Roman"/>
        </w:rPr>
        <w:t>GB 5749</w:t>
      </w:r>
      <w:r>
        <w:rPr>
          <w:rFonts w:hint="eastAsia"/>
        </w:rPr>
        <w:t xml:space="preserve">  生活饮用水卫生标准</w:t>
      </w:r>
    </w:p>
    <w:p w14:paraId="3A67FEE3">
      <w:pPr>
        <w:pStyle w:val="57"/>
        <w:ind w:firstLine="420"/>
      </w:pPr>
      <w:r>
        <w:rPr>
          <w:rFonts w:hint="default" w:ascii="Times New Roman"/>
        </w:rPr>
        <w:t>GB 7718</w:t>
      </w:r>
      <w:r>
        <w:rPr>
          <w:rFonts w:hint="eastAsia"/>
        </w:rPr>
        <w:t xml:space="preserve">  食品安全国家标准  预包装食品标签通则</w:t>
      </w:r>
    </w:p>
    <w:p w14:paraId="04BFC413">
      <w:pPr>
        <w:pStyle w:val="57"/>
        <w:ind w:firstLine="420"/>
      </w:pPr>
      <w:r>
        <w:rPr>
          <w:rFonts w:hint="default" w:ascii="Times New Roman"/>
        </w:rPr>
        <w:t>GB 28050</w:t>
      </w:r>
      <w:r>
        <w:rPr>
          <w:rFonts w:hint="eastAsia"/>
        </w:rPr>
        <w:t xml:space="preserve">  食品安全国家标准  预包装食品营养标签通则</w:t>
      </w:r>
    </w:p>
    <w:p w14:paraId="06606419">
      <w:pPr>
        <w:pStyle w:val="57"/>
        <w:ind w:firstLine="420"/>
      </w:pPr>
    </w:p>
    <w:p w14:paraId="027B00E8">
      <w:pPr>
        <w:pStyle w:val="105"/>
        <w:spacing w:before="240" w:after="240"/>
      </w:pPr>
      <w:bookmarkStart w:id="40" w:name="_Toc97192966"/>
      <w:r>
        <w:rPr>
          <w:rFonts w:hint="eastAsia"/>
          <w:szCs w:val="21"/>
        </w:rPr>
        <w:t>术语和定</w:t>
      </w:r>
      <w:bookmarkEnd w:id="40"/>
      <w:r>
        <w:rPr>
          <w:rFonts w:hint="eastAsia"/>
          <w:szCs w:val="21"/>
        </w:rPr>
        <w:t>义</w:t>
      </w:r>
    </w:p>
    <w:sdt>
      <w:sdtPr>
        <w:id w:val="-1909835108"/>
        <w:placeholder>
          <w:docPart w:val="7999AE72280C429A81E631881F4643D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3002206">
          <w:pPr>
            <w:pStyle w:val="57"/>
            <w:ind w:firstLine="420"/>
          </w:pPr>
          <w:bookmarkStart w:id="41" w:name="_Toc26986532"/>
          <w:bookmarkEnd w:id="41"/>
          <w:r>
            <w:t>下列术语和定义适用于本文件。</w:t>
          </w:r>
        </w:p>
      </w:sdtContent>
    </w:sdt>
    <w:p w14:paraId="2DC9778D">
      <w:pPr>
        <w:pStyle w:val="224"/>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 xml:space="preserve">番木瓜 </w:t>
      </w:r>
      <w:r>
        <w:rPr>
          <w:rFonts w:ascii="Times New Roman" w:hAnsi="Times New Roman" w:eastAsia="黑体"/>
          <w:b/>
          <w:bCs/>
        </w:rPr>
        <w:t>papaya</w:t>
      </w:r>
    </w:p>
    <w:p w14:paraId="119E9500">
      <w:pPr>
        <w:pStyle w:val="57"/>
        <w:ind w:firstLine="420"/>
      </w:pPr>
      <w:r>
        <w:rPr>
          <w:rFonts w:hint="eastAsia"/>
        </w:rPr>
        <w:t>番木瓜科植物番木瓜</w:t>
      </w:r>
      <w:r>
        <w:rPr>
          <w:rFonts w:hint="eastAsia"/>
          <w:lang w:eastAsia="zh-CN"/>
        </w:rPr>
        <w:t>（</w:t>
      </w:r>
      <w:r>
        <w:rPr>
          <w:rFonts w:ascii="Times New Roman"/>
          <w:i/>
          <w:iCs/>
        </w:rPr>
        <w:t>Carica papaya</w:t>
      </w:r>
      <w:r>
        <w:rPr>
          <w:rFonts w:ascii="Times New Roman"/>
        </w:rPr>
        <w:t xml:space="preserve"> L.</w:t>
      </w:r>
      <w:r>
        <w:rPr>
          <w:rFonts w:hint="eastAsia"/>
          <w:lang w:eastAsia="zh-CN"/>
        </w:rPr>
        <w:t>）</w:t>
      </w:r>
      <w:r>
        <w:rPr>
          <w:rFonts w:hint="eastAsia"/>
        </w:rPr>
        <w:t>的果实，别名：大树木瓜、番瓜、万寿果、广西木瓜等。</w:t>
      </w:r>
    </w:p>
    <w:p w14:paraId="59194A4B">
      <w:pPr>
        <w:pStyle w:val="224"/>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番木瓜干制品</w:t>
      </w:r>
    </w:p>
    <w:p w14:paraId="3729FE0F">
      <w:pPr>
        <w:pStyle w:val="57"/>
        <w:ind w:firstLine="420"/>
      </w:pPr>
      <w:r>
        <w:rPr>
          <w:rFonts w:hint="eastAsia"/>
        </w:rPr>
        <w:t>以番木瓜为原料，经去皮籽、分切、干燥、包装制得的番木瓜制品。</w:t>
      </w:r>
    </w:p>
    <w:p w14:paraId="48E91EC2">
      <w:pPr>
        <w:pStyle w:val="105"/>
        <w:spacing w:before="240" w:after="240"/>
      </w:pPr>
      <w:r>
        <w:rPr>
          <w:rFonts w:hint="eastAsia"/>
        </w:rPr>
        <w:t>基本要求</w:t>
      </w:r>
    </w:p>
    <w:p w14:paraId="2BB2084D">
      <w:pPr>
        <w:pStyle w:val="106"/>
        <w:spacing w:before="120" w:after="120"/>
      </w:pPr>
      <w:r>
        <w:rPr>
          <w:rFonts w:hint="eastAsia"/>
        </w:rPr>
        <w:t>原料</w:t>
      </w:r>
    </w:p>
    <w:p w14:paraId="7ABA029A">
      <w:pPr>
        <w:pStyle w:val="57"/>
        <w:ind w:firstLine="420"/>
        <w:rPr>
          <w:rFonts w:ascii="Times New Roman"/>
        </w:rPr>
      </w:pPr>
      <w:r>
        <w:rPr>
          <w:rFonts w:hint="default" w:ascii="Times New Roman"/>
        </w:rPr>
        <w:t>应符合GB 2762、GB 2763的要求。</w:t>
      </w:r>
    </w:p>
    <w:p w14:paraId="4F716D67">
      <w:pPr>
        <w:pStyle w:val="106"/>
        <w:spacing w:before="120" w:after="120"/>
      </w:pPr>
      <w:r>
        <w:rPr>
          <w:rFonts w:hint="eastAsia"/>
        </w:rPr>
        <w:t>生产用水</w:t>
      </w:r>
    </w:p>
    <w:p w14:paraId="1A5F6152">
      <w:pPr>
        <w:pStyle w:val="57"/>
        <w:ind w:firstLine="420"/>
      </w:pPr>
      <w:r>
        <w:rPr>
          <w:rFonts w:hint="eastAsia"/>
        </w:rPr>
        <w:t>应符合</w:t>
      </w:r>
      <w:r>
        <w:rPr>
          <w:rFonts w:hint="default" w:ascii="Times New Roman"/>
        </w:rPr>
        <w:t>GB 5749</w:t>
      </w:r>
      <w:r>
        <w:rPr>
          <w:rFonts w:hint="eastAsia"/>
        </w:rPr>
        <w:t>的要求。</w:t>
      </w:r>
    </w:p>
    <w:p w14:paraId="1024E047">
      <w:pPr>
        <w:pStyle w:val="106"/>
        <w:spacing w:before="120" w:after="120"/>
      </w:pPr>
      <w:r>
        <w:rPr>
          <w:rFonts w:hint="eastAsia"/>
        </w:rPr>
        <w:t>加工设备</w:t>
      </w:r>
    </w:p>
    <w:p w14:paraId="781F5BBA">
      <w:pPr>
        <w:pStyle w:val="57"/>
        <w:ind w:firstLine="420"/>
      </w:pPr>
      <w:r>
        <w:rPr>
          <w:rFonts w:hint="eastAsia"/>
        </w:rPr>
        <w:t>应符合</w:t>
      </w:r>
      <w:r>
        <w:rPr>
          <w:rFonts w:hint="default" w:ascii="Times New Roman"/>
        </w:rPr>
        <w:t>GB/T 30785</w:t>
      </w:r>
      <w:r>
        <w:rPr>
          <w:rFonts w:hint="eastAsia"/>
        </w:rPr>
        <w:t>的要求</w:t>
      </w:r>
      <w:r>
        <w:rPr>
          <w:rFonts w:hint="eastAsia"/>
          <w:lang w:eastAsia="zh-CN"/>
        </w:rPr>
        <w:t>。</w:t>
      </w:r>
    </w:p>
    <w:p w14:paraId="2D5597EC">
      <w:pPr>
        <w:pStyle w:val="106"/>
        <w:spacing w:before="120" w:after="120"/>
      </w:pPr>
      <w:r>
        <w:rPr>
          <w:rFonts w:hint="eastAsia"/>
        </w:rPr>
        <w:t>场所要求</w:t>
      </w:r>
    </w:p>
    <w:p w14:paraId="679C68F8">
      <w:pPr>
        <w:pStyle w:val="57"/>
        <w:ind w:firstLine="420"/>
      </w:pPr>
      <w:r>
        <w:rPr>
          <w:rFonts w:hint="eastAsia"/>
        </w:rPr>
        <w:t>应</w:t>
      </w:r>
      <w:r>
        <w:rPr>
          <w:rFonts w:hint="eastAsia"/>
          <w:lang w:eastAsia="zh-CN"/>
        </w:rPr>
        <w:t>符合</w:t>
      </w:r>
      <w:r>
        <w:rPr>
          <w:rFonts w:hint="default" w:ascii="Times New Roman"/>
        </w:rPr>
        <w:t xml:space="preserve">GB 14881 </w:t>
      </w:r>
      <w:r>
        <w:rPr>
          <w:rFonts w:hint="eastAsia"/>
        </w:rPr>
        <w:t>的要求。</w:t>
      </w:r>
    </w:p>
    <w:p w14:paraId="461305BE">
      <w:pPr>
        <w:pStyle w:val="105"/>
        <w:spacing w:before="240" w:after="240"/>
      </w:pPr>
      <w:r>
        <w:rPr>
          <w:rFonts w:hint="eastAsia"/>
        </w:rPr>
        <w:t>技术要求</w:t>
      </w:r>
    </w:p>
    <w:p w14:paraId="567E62EC">
      <w:pPr>
        <w:pStyle w:val="106"/>
        <w:spacing w:before="120" w:after="120"/>
      </w:pPr>
      <w:r>
        <w:rPr>
          <w:rFonts w:hint="eastAsia"/>
        </w:rPr>
        <w:t>工艺流程</w:t>
      </w:r>
    </w:p>
    <w:p w14:paraId="3F7FB96B">
      <w:pPr>
        <w:pStyle w:val="57"/>
        <w:ind w:firstLine="420"/>
      </w:pPr>
      <w:r>
        <w:rPr>
          <w:rFonts w:hint="eastAsia"/>
        </w:rPr>
        <w:t>原料挑选→去皮籽→清洗→晾干→分切→干燥→冷却→包装。</w:t>
      </w:r>
    </w:p>
    <w:p w14:paraId="53C006A8">
      <w:pPr>
        <w:pStyle w:val="106"/>
        <w:spacing w:before="120" w:after="120"/>
      </w:pPr>
      <w:r>
        <w:rPr>
          <w:rFonts w:hint="eastAsia"/>
        </w:rPr>
        <w:t>操作要点</w:t>
      </w:r>
    </w:p>
    <w:p w14:paraId="5D7A6A8B">
      <w:pPr>
        <w:pStyle w:val="66"/>
        <w:spacing w:before="120" w:after="120"/>
      </w:pPr>
      <w:r>
        <w:rPr>
          <w:rFonts w:hint="eastAsia"/>
        </w:rPr>
        <w:t>原料挑选</w:t>
      </w:r>
    </w:p>
    <w:p w14:paraId="4F6E94A3">
      <w:pPr>
        <w:pStyle w:val="57"/>
        <w:ind w:firstLine="420"/>
      </w:pPr>
      <w:r>
        <w:rPr>
          <w:rFonts w:hint="eastAsia"/>
        </w:rPr>
        <w:t>宜选用表皮青色，果肉呈白色，肉质坚硬，新鲜无霉烂，无病虫害，无苦味（未经霜冻）的</w:t>
      </w:r>
      <w:r>
        <w:rPr>
          <w:rFonts w:hint="eastAsia"/>
          <w:lang w:val="en-US" w:eastAsia="zh-CN"/>
        </w:rPr>
        <w:t>番</w:t>
      </w:r>
      <w:r>
        <w:rPr>
          <w:rFonts w:hint="eastAsia"/>
        </w:rPr>
        <w:t>木瓜，采收后</w:t>
      </w:r>
      <w:r>
        <w:rPr>
          <w:rFonts w:hint="eastAsia"/>
          <w:lang w:val="en-US" w:eastAsia="zh-CN"/>
        </w:rPr>
        <w:t>贮藏</w:t>
      </w:r>
      <w:r>
        <w:rPr>
          <w:rFonts w:hint="eastAsia"/>
        </w:rPr>
        <w:t>不宜超过三天。</w:t>
      </w:r>
    </w:p>
    <w:p w14:paraId="52161EAC">
      <w:pPr>
        <w:pStyle w:val="66"/>
        <w:spacing w:before="120" w:after="120"/>
      </w:pPr>
      <w:r>
        <w:rPr>
          <w:rFonts w:hint="eastAsia"/>
        </w:rPr>
        <w:t>去皮籽</w:t>
      </w:r>
    </w:p>
    <w:p w14:paraId="5DB03E4F">
      <w:pPr>
        <w:pStyle w:val="57"/>
        <w:ind w:firstLine="420"/>
      </w:pPr>
      <w:r>
        <w:rPr>
          <w:rFonts w:hint="eastAsia"/>
        </w:rPr>
        <w:t>将番木瓜皮、籽、瓤去除干净。</w:t>
      </w:r>
    </w:p>
    <w:p w14:paraId="4B5502E7">
      <w:pPr>
        <w:pStyle w:val="66"/>
        <w:spacing w:before="120" w:after="120"/>
      </w:pPr>
      <w:r>
        <w:rPr>
          <w:rFonts w:hint="eastAsia"/>
        </w:rPr>
        <w:t>清洗</w:t>
      </w:r>
    </w:p>
    <w:p w14:paraId="2DFDB478">
      <w:pPr>
        <w:pStyle w:val="57"/>
        <w:ind w:firstLine="420"/>
      </w:pPr>
      <w:r>
        <w:rPr>
          <w:rFonts w:hint="eastAsia"/>
        </w:rPr>
        <w:t>用</w:t>
      </w:r>
      <w:r>
        <w:rPr>
          <w:rFonts w:hint="eastAsia"/>
          <w:lang w:val="en-US" w:eastAsia="zh-CN"/>
        </w:rPr>
        <w:t>自来水</w:t>
      </w:r>
      <w:r>
        <w:rPr>
          <w:rFonts w:hint="eastAsia"/>
        </w:rPr>
        <w:t>冲洗番木瓜。</w:t>
      </w:r>
    </w:p>
    <w:p w14:paraId="6613D1D3">
      <w:pPr>
        <w:pStyle w:val="66"/>
        <w:spacing w:before="120" w:after="120"/>
      </w:pPr>
      <w:r>
        <w:rPr>
          <w:rFonts w:hint="eastAsia"/>
        </w:rPr>
        <w:t>晾干</w:t>
      </w:r>
    </w:p>
    <w:p w14:paraId="216DE601">
      <w:pPr>
        <w:pStyle w:val="57"/>
        <w:ind w:firstLine="420"/>
      </w:pPr>
      <w:r>
        <w:rPr>
          <w:rFonts w:hint="eastAsia"/>
        </w:rPr>
        <w:t>将番木瓜晾干至表面无水滴。</w:t>
      </w:r>
    </w:p>
    <w:p w14:paraId="3A231388">
      <w:pPr>
        <w:pStyle w:val="66"/>
        <w:spacing w:before="120" w:after="120"/>
      </w:pPr>
      <w:r>
        <w:rPr>
          <w:rFonts w:hint="eastAsia"/>
        </w:rPr>
        <w:t>分切</w:t>
      </w:r>
    </w:p>
    <w:p w14:paraId="3EDF4B9F">
      <w:pPr>
        <w:pStyle w:val="57"/>
        <w:ind w:firstLine="420"/>
      </w:pPr>
      <w:r>
        <w:rPr>
          <w:rFonts w:hint="eastAsia"/>
        </w:rPr>
        <w:t>将番木瓜肉置于分切机内，按产品需求分切为条状或块状。</w:t>
      </w:r>
    </w:p>
    <w:p w14:paraId="498A6755">
      <w:pPr>
        <w:pStyle w:val="66"/>
        <w:spacing w:before="120" w:after="120"/>
      </w:pPr>
      <w:r>
        <w:rPr>
          <w:rFonts w:hint="eastAsia"/>
        </w:rPr>
        <w:t>干燥</w:t>
      </w:r>
    </w:p>
    <w:p w14:paraId="2C931AB5">
      <w:pPr>
        <w:pStyle w:val="57"/>
        <w:ind w:firstLine="420"/>
      </w:pPr>
      <w:r>
        <w:rPr>
          <w:rFonts w:hint="eastAsia"/>
        </w:rPr>
        <w:t>将番木瓜条或块烘干至含水量降低至</w:t>
      </w:r>
      <w:r>
        <w:rPr>
          <w:rFonts w:hint="default" w:ascii="Times New Roman"/>
        </w:rPr>
        <w:t>10%</w:t>
      </w:r>
      <w:r>
        <w:rPr>
          <w:rFonts w:hint="default" w:ascii="Times New Roman" w:hAnsi="Times New Roman"/>
        </w:rPr>
        <w:t>～</w:t>
      </w:r>
      <w:r>
        <w:rPr>
          <w:rFonts w:hint="default" w:ascii="Times New Roman"/>
        </w:rPr>
        <w:t>15%，干燥温度应控制在55</w:t>
      </w:r>
      <w:r>
        <w:rPr>
          <w:rFonts w:hint="default" w:ascii="Times New Roman"/>
          <w:lang w:val="en-US" w:eastAsia="zh-CN"/>
        </w:rPr>
        <w:t xml:space="preserve"> </w:t>
      </w:r>
      <w:r>
        <w:rPr>
          <w:rFonts w:hint="default" w:ascii="Times New Roman"/>
        </w:rPr>
        <w:t>℃</w:t>
      </w:r>
      <w:r>
        <w:rPr>
          <w:rFonts w:hint="default" w:ascii="Times New Roman" w:hAnsi="Times New Roman"/>
        </w:rPr>
        <w:t>～</w:t>
      </w:r>
      <w:r>
        <w:rPr>
          <w:rFonts w:hint="default" w:ascii="Times New Roman"/>
        </w:rPr>
        <w:t>65</w:t>
      </w:r>
      <w:r>
        <w:rPr>
          <w:rFonts w:hint="default" w:ascii="Times New Roman"/>
          <w:lang w:val="en-US" w:eastAsia="zh-CN"/>
        </w:rPr>
        <w:t xml:space="preserve"> </w:t>
      </w:r>
      <w:r>
        <w:rPr>
          <w:rFonts w:hint="default" w:ascii="Times New Roman"/>
        </w:rPr>
        <w:t>℃。</w:t>
      </w:r>
    </w:p>
    <w:p w14:paraId="57633B09">
      <w:pPr>
        <w:pStyle w:val="66"/>
        <w:spacing w:before="120" w:after="120"/>
      </w:pPr>
      <w:r>
        <w:rPr>
          <w:rFonts w:hint="eastAsia"/>
        </w:rPr>
        <w:t>包装</w:t>
      </w:r>
    </w:p>
    <w:p w14:paraId="7512344C">
      <w:pPr>
        <w:pStyle w:val="57"/>
        <w:ind w:firstLine="420"/>
      </w:pPr>
      <w:r>
        <w:rPr>
          <w:rFonts w:hint="eastAsia"/>
        </w:rPr>
        <w:t>将番木瓜干制品装袋后避光贮藏，包装袋应符合</w:t>
      </w:r>
      <w:r>
        <w:rPr>
          <w:rFonts w:hint="default" w:ascii="Times New Roman"/>
        </w:rPr>
        <w:t>GB 15267</w:t>
      </w:r>
      <w:r>
        <w:rPr>
          <w:rFonts w:hint="eastAsia"/>
        </w:rPr>
        <w:t>的要求。</w:t>
      </w:r>
    </w:p>
    <w:p w14:paraId="4DC7DB3D">
      <w:pPr>
        <w:pStyle w:val="105"/>
        <w:spacing w:before="240" w:after="240"/>
      </w:pPr>
      <w:r>
        <w:rPr>
          <w:rFonts w:hint="eastAsia"/>
        </w:rPr>
        <w:t>标签、标志、贮存、运输</w:t>
      </w:r>
    </w:p>
    <w:p w14:paraId="3976B8BD">
      <w:pPr>
        <w:pStyle w:val="106"/>
        <w:spacing w:before="120" w:after="120"/>
      </w:pPr>
      <w:r>
        <w:rPr>
          <w:rFonts w:hint="eastAsia"/>
        </w:rPr>
        <w:t>标签、标志</w:t>
      </w:r>
    </w:p>
    <w:p w14:paraId="2638B5FB">
      <w:pPr>
        <w:pStyle w:val="57"/>
        <w:ind w:firstLine="420"/>
      </w:pPr>
      <w:r>
        <w:rPr>
          <w:rFonts w:hint="eastAsia"/>
        </w:rPr>
        <w:t>产品标签应符合</w:t>
      </w:r>
      <w:r>
        <w:rPr>
          <w:rFonts w:hint="default" w:ascii="Times New Roman"/>
        </w:rPr>
        <w:t>GB 7718、GB 28050</w:t>
      </w:r>
      <w:r>
        <w:rPr>
          <w:rFonts w:hint="eastAsia"/>
        </w:rPr>
        <w:t>的规定。</w:t>
      </w:r>
    </w:p>
    <w:p w14:paraId="39530646">
      <w:pPr>
        <w:pStyle w:val="106"/>
        <w:spacing w:before="120" w:after="120"/>
      </w:pPr>
      <w:r>
        <w:rPr>
          <w:rFonts w:hint="eastAsia"/>
        </w:rPr>
        <w:t>贮存</w:t>
      </w:r>
    </w:p>
    <w:p w14:paraId="23FEBE78">
      <w:pPr>
        <w:pStyle w:val="57"/>
        <w:ind w:firstLine="420"/>
      </w:pPr>
      <w:r>
        <w:rPr>
          <w:rFonts w:hint="eastAsia"/>
        </w:rPr>
        <w:t>产品应贮存于清洁、卫生、干燥的环境，不与有毒、有害、有污染、有异味物品一起存放。长期贮存（超过一年）应贮存在冷藏库，贮藏温度控制在</w:t>
      </w:r>
      <w:r>
        <w:rPr>
          <w:rFonts w:hint="default" w:ascii="Times New Roman"/>
        </w:rPr>
        <w:t>5</w:t>
      </w:r>
      <w:r>
        <w:rPr>
          <w:rFonts w:hint="eastAsia" w:ascii="Times New Roman"/>
          <w:lang w:val="en-US" w:eastAsia="zh-CN"/>
        </w:rPr>
        <w:t xml:space="preserve"> </w:t>
      </w:r>
      <w:r>
        <w:rPr>
          <w:rFonts w:hint="default" w:ascii="Times New Roman"/>
        </w:rPr>
        <w:t>℃</w:t>
      </w:r>
      <w:r>
        <w:rPr>
          <w:rFonts w:hint="default" w:ascii="Times New Roman" w:hAnsi="Times New Roman"/>
        </w:rPr>
        <w:t>～</w:t>
      </w:r>
      <w:r>
        <w:rPr>
          <w:rFonts w:hint="default" w:ascii="Times New Roman"/>
        </w:rPr>
        <w:t>15</w:t>
      </w:r>
      <w:r>
        <w:rPr>
          <w:rFonts w:hint="eastAsia" w:ascii="Times New Roman"/>
          <w:lang w:val="en-US" w:eastAsia="zh-CN"/>
        </w:rPr>
        <w:t xml:space="preserve"> </w:t>
      </w:r>
      <w:r>
        <w:rPr>
          <w:rFonts w:hint="default" w:ascii="Times New Roman"/>
        </w:rPr>
        <w:t>℃</w:t>
      </w:r>
      <w:r>
        <w:rPr>
          <w:rFonts w:hint="eastAsia"/>
        </w:rPr>
        <w:t>。</w:t>
      </w:r>
    </w:p>
    <w:p w14:paraId="0CBEF0D5">
      <w:pPr>
        <w:pStyle w:val="106"/>
        <w:spacing w:before="120" w:after="120"/>
      </w:pPr>
      <w:r>
        <w:rPr>
          <w:rFonts w:hint="eastAsia"/>
        </w:rPr>
        <w:t>运输</w:t>
      </w:r>
    </w:p>
    <w:p w14:paraId="41A74B50">
      <w:pPr>
        <w:pStyle w:val="57"/>
        <w:ind w:firstLine="420"/>
      </w:pPr>
      <w:r>
        <w:rPr>
          <w:rFonts w:hint="eastAsia"/>
        </w:rPr>
        <w:t>常温运输或冷藏运输，不应与有毒、有异味、有污染的物品混装混运。产品在运输过程中应轻拿、轻放。</w:t>
      </w:r>
    </w:p>
    <w:bookmarkEnd w:id="20"/>
    <w:p w14:paraId="2715F67E">
      <w:pPr>
        <w:pStyle w:val="57"/>
        <w:ind w:firstLine="0" w:firstLineChars="0"/>
        <w:jc w:val="center"/>
      </w:pPr>
      <w:bookmarkStart w:id="42" w:name="BookMark8"/>
      <w:r>
        <w:rPr>
          <w:rFonts w:hint="eastAsia"/>
        </w:rPr>
        <w:drawing>
          <wp:inline distT="0" distB="0" distL="0" distR="0">
            <wp:extent cx="1485900" cy="317500"/>
            <wp:effectExtent l="0" t="0" r="0" b="6350"/>
            <wp:docPr id="179786504" name="图片 1"/>
            <wp:cNvGraphicFramePr/>
            <a:graphic xmlns:a="http://schemas.openxmlformats.org/drawingml/2006/main">
              <a:graphicData uri="http://schemas.openxmlformats.org/drawingml/2006/picture">
                <pic:pic xmlns:pic="http://schemas.openxmlformats.org/drawingml/2006/picture">
                  <pic:nvPicPr>
                    <pic:cNvPr id="179786504" name="图片 1"/>
                    <pic:cNvPicPr/>
                  </pic:nvPicPr>
                  <pic:blipFill>
                    <a:blip r:embed="rId21">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2"/>
    </w:p>
    <w:sectPr>
      <w:headerReference r:id="rId14" w:type="default"/>
      <w:footerReference r:id="rId16" w:type="default"/>
      <w:headerReference r:id="rId15" w:type="even"/>
      <w:footerReference r:id="rId17"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BA9E4">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51B56">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63836">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AC865">
    <w:pPr>
      <w:pStyle w:val="53"/>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4A0FA">
    <w:pPr>
      <w:pStyle w:val="53"/>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9ED56">
    <w:pPr>
      <w:pStyle w:val="18"/>
    </w:pPr>
    <w:r>
      <w:fldChar w:fldCharType="begin"/>
    </w:r>
    <w:r>
      <w:instrText xml:space="preserve">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F3A0D">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C3648">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93FE9">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ECB85">
    <w:pPr>
      <w:pStyle w:val="62"/>
      <w:rPr>
        <w:rFonts w:hint="eastAsia"/>
      </w:rPr>
    </w:pPr>
    <w:r>
      <w:fldChar w:fldCharType="begin"/>
    </w:r>
    <w:r>
      <w:instrText xml:space="preserve"> STYLEREF  标准文件_文件编号  \* MERGEFORMAT </w:instrText>
    </w:r>
    <w:r>
      <w:fldChar w:fldCharType="separate"/>
    </w:r>
    <w:r>
      <w:t>T/GXTC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8C949">
    <w:pPr>
      <w:pStyle w:val="19"/>
      <w:jc w:val="right"/>
    </w:pPr>
    <w:r>
      <w:fldChar w:fldCharType="begin"/>
    </w:r>
    <w:r>
      <w:instrText xml:space="preserve"> STYLEREF  标准文件_文件编号  \* MERGEFORMAT </w:instrText>
    </w:r>
    <w:r>
      <w:fldChar w:fldCharType="separate"/>
    </w:r>
    <w:r>
      <w:t>T/GXTC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1B89A">
    <w:pPr>
      <w:pStyle w:val="62"/>
      <w:rPr>
        <w:rFonts w:hint="eastAsia"/>
      </w:rPr>
    </w:pPr>
    <w:r>
      <w:fldChar w:fldCharType="begin"/>
    </w:r>
    <w:r>
      <w:instrText xml:space="preserve"> STYLEREF  标准文件_文件编号  \* MERGEFORMAT </w:instrText>
    </w:r>
    <w:r>
      <w:fldChar w:fldCharType="separate"/>
    </w:r>
    <w:r>
      <w:t>T/GXTC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36703">
    <w:pPr>
      <w:pStyle w:val="19"/>
      <w:jc w:val="right"/>
    </w:pPr>
    <w:r>
      <w:fldChar w:fldCharType="begin"/>
    </w:r>
    <w:r>
      <w:instrText xml:space="preserve"> STYLEREF  标准文件_文件编号  \* MERGEFORMAT </w:instrText>
    </w:r>
    <w:r>
      <w:fldChar w:fldCharType="separate"/>
    </w:r>
    <w:r>
      <w:t>T/GXTC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c5MTUwNjE1MmIwYmQ3NmEzNjY0M2IxYmMzZTQ1YjEifQ=="/>
  </w:docVars>
  <w:rsids>
    <w:rsidRoot w:val="00A7783F"/>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626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3AF8"/>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331C"/>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2E77"/>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C71C2"/>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B5A"/>
    <w:rsid w:val="00711CBA"/>
    <w:rsid w:val="00711FB5"/>
    <w:rsid w:val="00712A01"/>
    <w:rsid w:val="00714F58"/>
    <w:rsid w:val="0071677B"/>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4741C"/>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05D9"/>
    <w:rsid w:val="00A41C79"/>
    <w:rsid w:val="00A41CB5"/>
    <w:rsid w:val="00A42CDF"/>
    <w:rsid w:val="00A43AE1"/>
    <w:rsid w:val="00A4452E"/>
    <w:rsid w:val="00A4472C"/>
    <w:rsid w:val="00A44E69"/>
    <w:rsid w:val="00A4661E"/>
    <w:rsid w:val="00A55BD6"/>
    <w:rsid w:val="00A55D50"/>
    <w:rsid w:val="00A57142"/>
    <w:rsid w:val="00A648CD"/>
    <w:rsid w:val="00A6537A"/>
    <w:rsid w:val="00A67866"/>
    <w:rsid w:val="00A70B07"/>
    <w:rsid w:val="00A723F8"/>
    <w:rsid w:val="00A7783F"/>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3B59"/>
    <w:rsid w:val="00B54ABC"/>
    <w:rsid w:val="00B56FBE"/>
    <w:rsid w:val="00B60ACF"/>
    <w:rsid w:val="00B62B58"/>
    <w:rsid w:val="00B64501"/>
    <w:rsid w:val="00B65149"/>
    <w:rsid w:val="00B66567"/>
    <w:rsid w:val="00B66F52"/>
    <w:rsid w:val="00B66FE5"/>
    <w:rsid w:val="00B718EF"/>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1F24"/>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23FF"/>
    <w:rsid w:val="00DC3067"/>
    <w:rsid w:val="00DC370B"/>
    <w:rsid w:val="00DC5B90"/>
    <w:rsid w:val="00DD00FF"/>
    <w:rsid w:val="00DD0619"/>
    <w:rsid w:val="00DD07FB"/>
    <w:rsid w:val="00DD0E7D"/>
    <w:rsid w:val="00DD25C6"/>
    <w:rsid w:val="00DD4FE5"/>
    <w:rsid w:val="00DD54B0"/>
    <w:rsid w:val="00DD57EE"/>
    <w:rsid w:val="00DD6BCC"/>
    <w:rsid w:val="00DE0A4B"/>
    <w:rsid w:val="00DE2410"/>
    <w:rsid w:val="00DE2939"/>
    <w:rsid w:val="00DE6E81"/>
    <w:rsid w:val="00DE703F"/>
    <w:rsid w:val="00DE7595"/>
    <w:rsid w:val="00DF1961"/>
    <w:rsid w:val="00DF3085"/>
    <w:rsid w:val="00DF44DE"/>
    <w:rsid w:val="00E01138"/>
    <w:rsid w:val="00E02DFB"/>
    <w:rsid w:val="00E030F9"/>
    <w:rsid w:val="00E0311A"/>
    <w:rsid w:val="00E03138"/>
    <w:rsid w:val="00E06404"/>
    <w:rsid w:val="00E11A85"/>
    <w:rsid w:val="00E12495"/>
    <w:rsid w:val="00E134D0"/>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4C7A"/>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4D27"/>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EF871EC"/>
    <w:rsid w:val="1DAE3742"/>
    <w:rsid w:val="20540658"/>
    <w:rsid w:val="24FF4819"/>
    <w:rsid w:val="28613D9C"/>
    <w:rsid w:val="29975DD6"/>
    <w:rsid w:val="403662D8"/>
    <w:rsid w:val="44C12928"/>
    <w:rsid w:val="4BF937DE"/>
    <w:rsid w:val="51114E95"/>
    <w:rsid w:val="6EA279C5"/>
    <w:rsid w:val="7BC36AED"/>
    <w:rsid w:val="7F232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7"/>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6"/>
    <w:semiHidden/>
    <w:unhideWhenUsed/>
    <w:qFormat/>
    <w:uiPriority w:val="99"/>
    <w:rPr>
      <w:sz w:val="18"/>
      <w:szCs w:val="18"/>
    </w:rPr>
  </w:style>
  <w:style w:type="paragraph" w:styleId="18">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4"/>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b/>
      <w:bCs/>
      <w:kern w:val="44"/>
      <w:sz w:val="44"/>
      <w:szCs w:val="44"/>
    </w:rPr>
  </w:style>
  <w:style w:type="character" w:customStyle="1" w:styleId="36">
    <w:name w:val="标题 2 字符"/>
    <w:link w:val="3"/>
    <w:qFormat/>
    <w:uiPriority w:val="0"/>
    <w:rPr>
      <w:rFonts w:ascii="Arial" w:hAnsi="Arial" w:eastAsia="黑体"/>
      <w:b/>
      <w:bCs/>
      <w:kern w:val="2"/>
      <w:sz w:val="32"/>
      <w:szCs w:val="32"/>
    </w:rPr>
  </w:style>
  <w:style w:type="character" w:customStyle="1" w:styleId="37">
    <w:name w:val="标题 3 字符"/>
    <w:link w:val="4"/>
    <w:qFormat/>
    <w:uiPriority w:val="0"/>
    <w:rPr>
      <w:b/>
      <w:bCs/>
      <w:kern w:val="2"/>
      <w:sz w:val="32"/>
      <w:szCs w:val="32"/>
    </w:rPr>
  </w:style>
  <w:style w:type="character" w:customStyle="1" w:styleId="38">
    <w:name w:val="标题 4 字符"/>
    <w:link w:val="5"/>
    <w:qFormat/>
    <w:uiPriority w:val="0"/>
    <w:rPr>
      <w:rFonts w:ascii="Arial" w:hAnsi="Arial" w:eastAsia="黑体"/>
      <w:b/>
      <w:bCs/>
      <w:kern w:val="2"/>
      <w:sz w:val="28"/>
      <w:szCs w:val="28"/>
    </w:rPr>
  </w:style>
  <w:style w:type="character" w:customStyle="1" w:styleId="39">
    <w:name w:val="标题 5 字符"/>
    <w:link w:val="6"/>
    <w:qFormat/>
    <w:uiPriority w:val="0"/>
    <w:rPr>
      <w:b/>
      <w:bCs/>
      <w:kern w:val="2"/>
      <w:sz w:val="28"/>
      <w:szCs w:val="28"/>
    </w:rPr>
  </w:style>
  <w:style w:type="character" w:customStyle="1" w:styleId="40">
    <w:name w:val="标题 6 字符"/>
    <w:link w:val="7"/>
    <w:qFormat/>
    <w:uiPriority w:val="0"/>
    <w:rPr>
      <w:rFonts w:ascii="Arial" w:hAnsi="Arial" w:eastAsia="黑体"/>
      <w:b/>
      <w:bCs/>
      <w:kern w:val="2"/>
      <w:sz w:val="24"/>
      <w:szCs w:val="24"/>
    </w:rPr>
  </w:style>
  <w:style w:type="character" w:customStyle="1" w:styleId="41">
    <w:name w:val="标题 7 字符"/>
    <w:link w:val="8"/>
    <w:qFormat/>
    <w:uiPriority w:val="0"/>
    <w:rPr>
      <w:b/>
      <w:bCs/>
      <w:kern w:val="2"/>
      <w:sz w:val="24"/>
      <w:szCs w:val="24"/>
    </w:rPr>
  </w:style>
  <w:style w:type="character" w:customStyle="1" w:styleId="42">
    <w:name w:val="标题 8 字符"/>
    <w:link w:val="9"/>
    <w:qFormat/>
    <w:uiPriority w:val="0"/>
    <w:rPr>
      <w:rFonts w:ascii="Arial" w:hAnsi="Arial" w:eastAsia="黑体"/>
      <w:kern w:val="2"/>
      <w:sz w:val="24"/>
      <w:szCs w:val="24"/>
    </w:rPr>
  </w:style>
  <w:style w:type="character" w:customStyle="1" w:styleId="43">
    <w:name w:val="标题 9 字符"/>
    <w:link w:val="10"/>
    <w:qFormat/>
    <w:uiPriority w:val="0"/>
    <w:rPr>
      <w:rFonts w:ascii="Arial" w:hAnsi="Arial" w:eastAsia="黑体"/>
      <w:kern w:val="2"/>
      <w:sz w:val="21"/>
      <w:szCs w:val="21"/>
    </w:rPr>
  </w:style>
  <w:style w:type="character" w:customStyle="1" w:styleId="44">
    <w:name w:val="页眉 字符"/>
    <w:link w:val="19"/>
    <w:qFormat/>
    <w:uiPriority w:val="99"/>
    <w:rPr>
      <w:kern w:val="2"/>
      <w:sz w:val="18"/>
      <w:szCs w:val="18"/>
    </w:rPr>
  </w:style>
  <w:style w:type="character" w:customStyle="1" w:styleId="45">
    <w:name w:val="页脚 字符"/>
    <w:link w:val="18"/>
    <w:qFormat/>
    <w:uiPriority w:val="99"/>
    <w:rPr>
      <w:rFonts w:ascii="宋体"/>
      <w:kern w:val="2"/>
      <w:sz w:val="18"/>
      <w:szCs w:val="18"/>
    </w:rPr>
  </w:style>
  <w:style w:type="character" w:customStyle="1" w:styleId="46">
    <w:name w:val="批注框文本 字符"/>
    <w:link w:val="17"/>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kern w:val="2"/>
      <w:sz w:val="21"/>
      <w:szCs w:val="21"/>
    </w:rPr>
  </w:style>
  <w:style w:type="character" w:customStyle="1" w:styleId="49">
    <w:name w:val="标题 字符"/>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4"/>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2"/>
    <w:semiHidden/>
    <w:qFormat/>
    <w:uiPriority w:val="0"/>
    <w:rPr>
      <w:rFonts w:ascii="宋体"/>
      <w:kern w:val="2"/>
      <w:sz w:val="18"/>
      <w:szCs w:val="18"/>
    </w:rPr>
  </w:style>
  <w:style w:type="paragraph" w:customStyle="1" w:styleId="101">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glossaryDocument" Target="glossary/document.xml"/><Relationship Id="rId26" Type="http://schemas.openxmlformats.org/officeDocument/2006/relationships/fontTable" Target="fontTable.xml"/><Relationship Id="rId25" Type="http://schemas.openxmlformats.org/officeDocument/2006/relationships/customXml" Target="../customXml/item3.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3.jpe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BDD119DD7E749228280283FBCA48ED6"/>
        <w:style w:val=""/>
        <w:category>
          <w:name w:val="常规"/>
          <w:gallery w:val="placeholder"/>
        </w:category>
        <w:types>
          <w:type w:val="bbPlcHdr"/>
        </w:types>
        <w:behaviors>
          <w:behavior w:val="content"/>
        </w:behaviors>
        <w:description w:val=""/>
        <w:guid w:val="{B74A7375-709F-43B3-8767-04E7B86F761E}"/>
      </w:docPartPr>
      <w:docPartBody>
        <w:p w14:paraId="59D6F0C6">
          <w:pPr>
            <w:pStyle w:val="5"/>
            <w:rPr>
              <w:rFonts w:hint="eastAsia"/>
            </w:rPr>
          </w:pPr>
          <w:r>
            <w:rPr>
              <w:rStyle w:val="4"/>
              <w:rFonts w:hint="eastAsia"/>
            </w:rPr>
            <w:t>单击或点击此处输入文字。</w:t>
          </w:r>
        </w:p>
      </w:docPartBody>
    </w:docPart>
    <w:docPart>
      <w:docPartPr>
        <w:name w:val="AB1646D5B5E94F2B9F580223D7863C64"/>
        <w:style w:val=""/>
        <w:category>
          <w:name w:val="常规"/>
          <w:gallery w:val="placeholder"/>
        </w:category>
        <w:types>
          <w:type w:val="bbPlcHdr"/>
        </w:types>
        <w:behaviors>
          <w:behavior w:val="content"/>
        </w:behaviors>
        <w:description w:val=""/>
        <w:guid w:val="{FF9C3676-9ED6-4134-A4BF-02721490EA29}"/>
      </w:docPartPr>
      <w:docPartBody>
        <w:p w14:paraId="661BF2A3">
          <w:pPr>
            <w:pStyle w:val="6"/>
            <w:rPr>
              <w:rFonts w:hint="eastAsia"/>
            </w:rPr>
          </w:pPr>
          <w:r>
            <w:rPr>
              <w:rStyle w:val="4"/>
              <w:rFonts w:hint="eastAsia"/>
            </w:rPr>
            <w:t>选择一项。</w:t>
          </w:r>
        </w:p>
      </w:docPartBody>
    </w:docPart>
    <w:docPart>
      <w:docPartPr>
        <w:name w:val="7999AE72280C429A81E631881F4643DE"/>
        <w:style w:val=""/>
        <w:category>
          <w:name w:val="常规"/>
          <w:gallery w:val="placeholder"/>
        </w:category>
        <w:types>
          <w:type w:val="bbPlcHdr"/>
        </w:types>
        <w:behaviors>
          <w:behavior w:val="content"/>
        </w:behaviors>
        <w:description w:val=""/>
        <w:guid w:val="{70228271-FCC9-45AA-A9EB-9D94C24F2035}"/>
      </w:docPartPr>
      <w:docPartBody>
        <w:p w14:paraId="1C3D8780">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5B4"/>
    <w:rsid w:val="000C3AF8"/>
    <w:rsid w:val="008575B4"/>
    <w:rsid w:val="00910EC8"/>
    <w:rsid w:val="00DC23FF"/>
    <w:rsid w:val="00EE5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BBDD119DD7E749228280283FBCA48ED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AB1646D5B5E94F2B9F580223D7863C64"/>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7999AE72280C429A81E631881F4643D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ea612648-bff7-425e-9e48-9a1117147709</errorID>
      <errorWord>。。</errorWord>
      <group>L1_Punc</group>
      <groupName>标点问题</groupName>
      <ability>L2_Punc</ability>
      <abilityName>标点符号检查</abilityName>
      <candidateList>
        <item>。</item>
      </candidateList>
      <explain/>
      <paraID>7D184763</paraID>
      <start>16</start>
      <end>19</end>
      <status>modified</status>
      <modifiedWord>。</modifiedWord>
      <trackRevisions>true</trackRevisions>
    </reviewItem>
    <reviewItem>
      <errorID>a16972d9-492a-4316-816e-78d755aa8a70</errorID>
      <errorWord>符</errorWord>
      <group>L1_Word</group>
      <groupName>字词问题</groupName>
      <ability>L2_Typo</ability>
      <abilityName>字词错误</abilityName>
      <candidateList>
        <item>符合</item>
      </candidateList>
      <explain>〈动〉（数量、形状、情节等）相合：～事实｜这些产品不～质量标准。</explain>
      <paraID>3579E8D5</paraID>
      <start>1</start>
      <end>4</end>
      <status>modified</status>
      <modifiedWord>符合</modifiedWord>
      <trackRevisions>true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72ba0d-6e36-4c0a-994b-c8f850424fbe}">
  <ds:schemaRefs/>
</ds:datastoreItem>
</file>

<file path=customXml/itemProps3.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6</Pages>
  <Words>1207</Words>
  <Characters>1389</Characters>
  <Lines>12</Lines>
  <Paragraphs>3</Paragraphs>
  <TotalTime>1</TotalTime>
  <ScaleCrop>false</ScaleCrop>
  <LinksUpToDate>false</LinksUpToDate>
  <CharactersWithSpaces>1457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2026-01-14T03:30:00Z</dcterms:created>
  <dc:creator>艾静汶</dc:creator>
  <dc:description>&lt;config cover="true" show_menu="true" version="1.0.0" doctype="SDKXY"&gt;_x000d_
&lt;/config&gt;</dc:description>
  <cp:lastModifiedBy>ljx</cp:lastModifiedBy>
  <cp:lastPrinted>2021-02-02T08:22:00Z</cp:lastPrinted>
  <dcterms:modified xsi:type="dcterms:W3CDTF">2026-02-05T03:29:10Z</dcterms:modified>
  <dc:title>团体标准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2052-12.1.0.24657</vt:lpwstr>
  </property>
  <property fmtid="{D5CDD505-2E9C-101B-9397-08002B2CF9AE}" pid="15" name="ICV">
    <vt:lpwstr>E74E7E44CE664EFFA6A71679ADB25321_13</vt:lpwstr>
  </property>
  <property fmtid="{D5CDD505-2E9C-101B-9397-08002B2CF9AE}" pid="16" name="KSOTemplateDocerSaveRecord">
    <vt:lpwstr>eyJoZGlkIjoiMzg2M2FkY2IxYzM1OTU4ODUxMDFiMzMzYWYyOTY1NTgiLCJ1c2VySWQiOiI3MDY1NDIzOTAifQ==</vt:lpwstr>
  </property>
</Properties>
</file>