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1DC3">
      <w:pPr>
        <w:pStyle w:val="2"/>
        <w:spacing w:before="0" w:beforeLines="0" w:after="312" w:afterLines="100" w:line="400" w:lineRule="exact"/>
        <w:jc w:val="both"/>
        <w:rPr>
          <w:rFonts w:hint="eastAsia" w:asciiTheme="minorEastAsia" w:hAnsiTheme="minorEastAsia" w:eastAsiaTheme="minorEastAsia"/>
          <w:color w:val="0000FF"/>
          <w:sz w:val="36"/>
          <w:szCs w:val="36"/>
        </w:rPr>
      </w:pPr>
    </w:p>
    <w:p w14:paraId="714A2809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48E30A1C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0D966EEF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《解酒醒酒营养干预指南》</w:t>
      </w:r>
    </w:p>
    <w:p w14:paraId="151C1C73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征求意见稿</w:t>
      </w:r>
    </w:p>
    <w:p w14:paraId="7B0EED04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团体标准编制说明</w:t>
      </w:r>
    </w:p>
    <w:p w14:paraId="0436FA03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7C817B24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25A21D25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4A80D3B5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168C56CB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2BB8E192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4132DCE6">
      <w:pPr>
        <w:jc w:val="both"/>
        <w:rPr>
          <w:rFonts w:hint="eastAsia" w:ascii="黑体" w:hAnsi="黑体" w:eastAsia="黑体" w:cs="黑体"/>
          <w:b/>
          <w:bCs/>
          <w:sz w:val="52"/>
          <w:szCs w:val="52"/>
        </w:rPr>
      </w:pPr>
    </w:p>
    <w:p w14:paraId="3E0D8FA3">
      <w:pPr>
        <w:jc w:val="center"/>
        <w:rPr>
          <w:rFonts w:ascii="Times New Roman" w:hAnsi="Times New Roman" w:eastAsia="宋体" w:cs="Times New Roman"/>
          <w:kern w:val="0"/>
          <w:sz w:val="32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标准编制项目组</w:t>
      </w:r>
    </w:p>
    <w:p w14:paraId="334A522F">
      <w:pPr>
        <w:spacing w:line="360" w:lineRule="auto"/>
        <w:jc w:val="center"/>
        <w:rPr>
          <w:rFonts w:hint="eastAsia" w:asciiTheme="minorEastAsia" w:hAnsiTheme="minorEastAsia"/>
          <w:color w:val="0000FF"/>
          <w:sz w:val="36"/>
          <w:szCs w:val="36"/>
        </w:rPr>
      </w:pP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202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年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月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kern w:val="0"/>
          <w:sz w:val="32"/>
          <w:szCs w:val="24"/>
        </w:rPr>
        <w:t>日</w:t>
      </w:r>
      <w:r>
        <w:rPr>
          <w:rFonts w:hint="eastAsia" w:asciiTheme="minorEastAsia" w:hAnsiTheme="minorEastAsia"/>
          <w:color w:val="0000FF"/>
          <w:sz w:val="36"/>
          <w:szCs w:val="36"/>
        </w:rPr>
        <w:br w:type="page"/>
      </w:r>
    </w:p>
    <w:p w14:paraId="501B70A3">
      <w:pPr>
        <w:pStyle w:val="2"/>
        <w:spacing w:before="0" w:beforeLines="0" w:after="312" w:afterLines="100" w:line="360" w:lineRule="auto"/>
        <w:rPr>
          <w:rFonts w:hint="default" w:asciiTheme="minorEastAsia" w:hAnsiTheme="minorEastAsia" w:eastAsia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《解酒醒酒营养干预指南》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征求意见稿</w:t>
      </w:r>
    </w:p>
    <w:p w14:paraId="170ACF06">
      <w:pPr>
        <w:pStyle w:val="2"/>
        <w:spacing w:before="0" w:beforeLines="0" w:after="312" w:afterLines="100" w:line="360" w:lineRule="auto"/>
      </w:pPr>
      <w:r>
        <w:rPr>
          <w:rFonts w:hint="eastAsia" w:asciiTheme="minorEastAsia" w:hAnsiTheme="minorEastAsia" w:eastAsiaTheme="minorEastAsia"/>
          <w:sz w:val="36"/>
          <w:szCs w:val="36"/>
        </w:rPr>
        <w:t>团体标准编制说明</w:t>
      </w:r>
    </w:p>
    <w:p w14:paraId="1203D87F">
      <w:pPr>
        <w:spacing w:line="360" w:lineRule="auto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一、工作简况</w:t>
      </w:r>
    </w:p>
    <w:p w14:paraId="0F45CBCD">
      <w:pPr>
        <w:numPr>
          <w:ilvl w:val="0"/>
          <w:numId w:val="1"/>
        </w:numPr>
        <w:spacing w:afterAutospacing="0" w:line="360" w:lineRule="auto"/>
        <w:ind w:left="0" w:leftChars="0" w:firstLine="420" w:firstLineChars="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任务来源</w:t>
      </w:r>
    </w:p>
    <w:p w14:paraId="3E1B312E">
      <w:pPr>
        <w:pStyle w:val="1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饮酒后不适及酒精对机体的潜在损伤是普遍健康问题，我国成年人群中饮酒后出现头痛、恶心等不适症状的比例达75%以上，长期过量饮酒还会增加肝脏、胃肠道疾病风险。当前市场解酒醒酒相关产品乱象频发：部分产品添加违禁成分，如西地那非衍生物，存在安全隐患；产品功效宣称夸大，如“快速解酒、千杯不醉”，缺乏科学依据；营养成分搭配混乱，未针对酒精代谢机制设计，干预效果不佳。</w:t>
      </w:r>
    </w:p>
    <w:p w14:paraId="740F689C">
      <w:pPr>
        <w:pStyle w:val="13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现行国家标准仅覆盖食品通用安全要求（如GB2760、GB2762），未针对“解酒醒酒营养干预”制定专项规范，行业缺乏统</w:t>
      </w:r>
      <w:r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一的成分选择、干预方案及安全管控标准，消费者难以辨别产品优劣。在此背景下，为规范解酒醒酒营养干预行为，保障消费者健康权益，纽诺健康科学（中国）有限公司于2026年1月向中国食品药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品企业质量安全促进会提出《解酒醒酒营养干预指南》团体标准立项申请。本标准旨在通过明确营养干预原则、成分要求、干预方案等核心内容，为消费者、企业、健康管理机构提供科学依据，推动行业向“安全、科学、合规”方向发展。</w:t>
      </w:r>
    </w:p>
    <w:p w14:paraId="3E5E021C">
      <w:pPr>
        <w:numPr>
          <w:ilvl w:val="0"/>
          <w:numId w:val="1"/>
        </w:numPr>
        <w:spacing w:afterAutospacing="0" w:line="360" w:lineRule="auto"/>
        <w:ind w:left="0" w:leftChars="0" w:firstLine="420" w:firstLineChars="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起草单位</w:t>
      </w:r>
    </w:p>
    <w:p w14:paraId="7E128B33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纽诺健康科学（中国）有限公司深耕健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康食品领域多年，具备解酒醒酒营养成分研究、干预方案研发的成熟经验，已完成多项酒精代谢相关临床实践项目。负责牵头开展文献研究、行业调研，结合自身研发数据验证标准条款的可操作性；联动食品生产企业、医疗机构（消化内科、肝病科）、第三方检测机构组建协作网络，收集不同饮酒场景的干预需求与安全数据，确保标准内容贴合产业实际与消费者健康需求。</w:t>
      </w:r>
    </w:p>
    <w:p w14:paraId="72305AB8">
      <w:pPr>
        <w:numPr>
          <w:ilvl w:val="0"/>
          <w:numId w:val="1"/>
        </w:numPr>
        <w:spacing w:afterAutospacing="0" w:line="360" w:lineRule="auto"/>
        <w:ind w:left="0" w:leftChars="0" w:firstLine="420" w:firstLineChars="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主要起草人</w:t>
      </w:r>
    </w:p>
    <w:p w14:paraId="03E6DAC3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highlight w:val="none"/>
          <w:lang w:val="en-US" w:eastAsia="zh-CN" w:bidi="ar-SA"/>
        </w:rPr>
        <w:t>本标准由李阳、魏建军、韩雪梅等专业人士共同起草。起草团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队涵盖营养学、药理学、消化内科、食品科学等领域，核心成员拥有10年以上酒精代谢与营养干预研究经验，熟悉酒精在体内的代谢路径及营养成分的干预机制，对药食同源成分的安全性与功效性有深入研究，为标准的科学性、严谨性与实用性提供保障。</w:t>
      </w:r>
    </w:p>
    <w:p w14:paraId="3990B972">
      <w:pPr>
        <w:numPr>
          <w:ilvl w:val="0"/>
          <w:numId w:val="1"/>
        </w:numPr>
        <w:spacing w:afterAutospacing="0" w:line="360" w:lineRule="auto"/>
        <w:ind w:left="0" w:leftChars="0" w:firstLine="420" w:firstLineChars="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主要工作</w:t>
      </w:r>
    </w:p>
    <w:p w14:paraId="23819301">
      <w:pPr>
        <w:pStyle w:val="13"/>
        <w:numPr>
          <w:ilvl w:val="0"/>
          <w:numId w:val="2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资料收集与研究</w:t>
      </w:r>
    </w:p>
    <w:p w14:paraId="54C1B122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系统收集国内外相关法规标准、临床文献与科研数据，包括GB2760《食品安全国家标准食品添加剂使用标准》、GB28050《食品安全国家标准预包装食品营养标签通则》、《酒精性肝病诊疗指南（2024版）》、国际酒精研究协会（ISA）相关报告等25余项资料，分析国内外解酒营养干预的技术差异（如欧美侧重肝脏保护成分，国内重视药食同源成分应用）；研读酒精代谢酶（ADH、ALDH）激活机制、营养成分干预效果文献，梳理“成分添加不规范”“干预方案无针对性”“安全管控缺失”等典型问题，为标准条款设定提供理论依据。</w:t>
      </w:r>
    </w:p>
    <w:p w14:paraId="591C0C7C">
      <w:pPr>
        <w:pStyle w:val="13"/>
        <w:numPr>
          <w:ilvl w:val="0"/>
          <w:numId w:val="2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调研与分析</w:t>
      </w:r>
    </w:p>
    <w:p w14:paraId="47B96953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通过三类方式开展调研：走访30家解酒产品生产企业，发现60%企业存在“成分标注模糊”“违禁成分添加”问题；联合12家医疗机构，收集500例饮酒人群干预案例，明确维生素B族、葛根提取物、半胱氨酸等成分的干预有效性；面向2000余名消费者开展问卷，82%关注“产品安全性”，78%希望获得“分场景干预指导”。基于调研结果，确定标准需重点解决“成分安全规范”“干预方案精准化”“功效宣称科学”“适用人群明确”四大核心问题。</w:t>
      </w:r>
    </w:p>
    <w:p w14:paraId="6AD3F8CE">
      <w:pPr>
        <w:pStyle w:val="13"/>
        <w:numPr>
          <w:ilvl w:val="0"/>
          <w:numId w:val="2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标准草案起草</w:t>
      </w:r>
    </w:p>
    <w:p w14:paraId="434D9B15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依据GB/T1.1—2020《标准化工作导则第1部分：标准化文件的结构和起草规则》，结合调研结果与临床数据，起草标准草案。草案涵盖“范围、规范性引用文件、术语和定义、总体原则、营养干预成分及要求、干预方案、适用人群与禁忌人群、注意事项”8大章节，将“核心营养成分量化”“分场景（饮酒前/中/后）干预方案”“违禁成分禁用清单”等核心诉求转化为具体条款，确保标准兼具科学性与实操性。</w:t>
      </w:r>
    </w:p>
    <w:p w14:paraId="5E46D90F">
      <w:pPr>
        <w:pStyle w:val="13"/>
        <w:numPr>
          <w:ilvl w:val="0"/>
          <w:numId w:val="2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立项报批材料准备</w:t>
      </w:r>
    </w:p>
    <w:p w14:paraId="042E933B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整理完善标准立项申报材料，包括立项申请表、编制说明、标准草案、调研分析报告、企业验证数据（如成分干预效果试验报告、安全性检测数据）等文件；邀请营养学专家、消化内科医生对草案条款进行初步审核，修正“成分推荐剂量”“禁忌人群范围”等不合理内容，确保申报材料内容详实、格式规范，为标准立项审批奠定基础。</w:t>
      </w:r>
    </w:p>
    <w:p w14:paraId="2FB4E443">
      <w:pPr>
        <w:numPr>
          <w:ilvl w:val="0"/>
          <w:numId w:val="2"/>
        </w:numPr>
        <w:spacing w:afterAutospacing="0" w:line="360" w:lineRule="auto"/>
        <w:ind w:left="0" w:leftChars="0"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立项审查</w:t>
      </w:r>
    </w:p>
    <w:p w14:paraId="7FF46D4E">
      <w:pPr>
        <w:numPr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2026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年 </w:t>
      </w:r>
      <w:r>
        <w:rPr>
          <w:rFonts w:hint="eastAsia" w:ascii="宋体" w:hAnsi="宋体"/>
          <w:sz w:val="24"/>
          <w:szCs w:val="24"/>
        </w:rPr>
        <w:t>1月15日14:00-17:00(周</w:t>
      </w:r>
      <w:r>
        <w:rPr>
          <w:rFonts w:hint="eastAsia" w:ascii="宋体" w:hAnsi="宋体"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sz w:val="24"/>
          <w:szCs w:val="24"/>
        </w:rPr>
        <w:t>）14:00～16:00，通过“腾讯会议”（会议ID：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517-430-911</w:t>
      </w:r>
      <w:r>
        <w:rPr>
          <w:rFonts w:hint="eastAsia" w:ascii="宋体" w:hAnsi="宋体"/>
          <w:sz w:val="24"/>
          <w:szCs w:val="24"/>
        </w:rPr>
        <w:t>）中国食品药品企业质量安全促进会组织召开立项审查会，邀请相关领域专家组成评审组，对标准项目的科学性、必要性、可操作性、技术内容和结构框架等进行全面评审。与会专家深入细致讨论，提出修改意见和建议，并集体商议及投票表决，一致同意该团体标准立项。随即报请促进会批准立项。</w:t>
      </w:r>
    </w:p>
    <w:p w14:paraId="2BFCA91F">
      <w:pPr>
        <w:numPr>
          <w:ilvl w:val="0"/>
          <w:numId w:val="2"/>
        </w:numPr>
        <w:spacing w:afterAutospacing="0" w:line="360" w:lineRule="auto"/>
        <w:ind w:left="0" w:leftChars="0"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标准草案完善</w:t>
      </w:r>
    </w:p>
    <w:p w14:paraId="54F40077">
      <w:pPr>
        <w:numPr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</w:rPr>
        <w:t>根据立项审查会专家提出的意见和建议，起草工作组逐条研究、充分论证，对标准文本进行系统性修改完善。修改完成后，在起草单位内部组织召开专家论证会，邀请行业权威专家对修改后的标准文本进行二次审核，重点核查技术指标的合理性、文本表述的规范性以及修改内容的完整性。经过多轮研讨和修改完善，最终形成标准征求意见稿，并上报促进会审核并公开征求意见。</w:t>
      </w:r>
      <w:bookmarkStart w:id="0" w:name="_GoBack"/>
      <w:bookmarkEnd w:id="0"/>
    </w:p>
    <w:p w14:paraId="63670E8A">
      <w:pPr>
        <w:numPr>
          <w:ilvl w:val="0"/>
          <w:numId w:val="3"/>
        </w:numPr>
        <w:spacing w:afterAutospacing="0" w:line="360" w:lineRule="auto"/>
        <w:jc w:val="left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标准编制原则和确定标准主要内容及其论据</w:t>
      </w:r>
    </w:p>
    <w:p w14:paraId="5AEC6281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（一）标准编制原则</w:t>
      </w:r>
    </w:p>
    <w:p w14:paraId="1172888C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1. 科学循证与安全优先</w:t>
      </w:r>
    </w:p>
    <w:p w14:paraId="7B2F61B7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所有技术要求均基于酒精代谢机制与权威研究数据，如 “维生素 B 族辅助激活 ADH、ALDH 酶活性” 参考《酒精代谢的分子机制研究》结论，“葛根提取物加速乙醇转化” 依据临床干预试验数据；严格遵循食品安全国标，明确禁用违禁成分，限定成分使用范围与剂量，确保干预过程安全无风险。</w:t>
      </w:r>
    </w:p>
    <w:p w14:paraId="2167146A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2.针对性与实用性兼顾</w:t>
      </w:r>
    </w:p>
    <w:p w14:paraId="04D8A1CB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针对酒精代谢的关键环节（乙醇→乙醛→乙酸），筛选具有明确干预作用的营养成分（如半胱氨酸促进谷胱甘肽合成，清除乙醛）；分饮酒前（预防）、饮酒中（缓解）、饮酒后（修复）设计差异化方案，操作简单易行（如饮食干预、口服补充剂），适配不同消费场景，便于消费者实际应用。</w:t>
      </w:r>
    </w:p>
    <w:p w14:paraId="1A8A12F8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3.温和性与辅助性并重</w:t>
      </w:r>
    </w:p>
    <w:p w14:paraId="5D3ADA29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强调干预方案温和无刺激，优先选择天然、易消化的原料（如蜂蜜、益生菌、药食同源提取物），避免对胃肠道、肝脏造成额外负担；明确 “营养干预仅为辅助手段，不能替代酒精代谢与医疗救治”，引导消费者理性饮酒，避免夸大标准功效。</w:t>
      </w:r>
    </w:p>
    <w:p w14:paraId="13D2F927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4.合规性与包容性统一</w:t>
      </w:r>
    </w:p>
    <w:p w14:paraId="6427671F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核心条款与 GB 2760、GB 2762、GB 28050 等现行国标无缝衔接，成分使用符合食品添加剂与污染物限量要求；兼顾不同人群需求，针对糖尿病患者、过敏体质者等特殊群体制定差异化要求，提升标准包容性。</w:t>
      </w:r>
    </w:p>
    <w:p w14:paraId="114594D2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（二）标准主要内容</w:t>
      </w:r>
    </w:p>
    <w:p w14:paraId="6E961FFC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1. 标准范围</w:t>
      </w:r>
    </w:p>
    <w:p w14:paraId="6612F20B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规定解酒醒酒营养干预的总体原则、营养干预成分及要求、干预方案、适用人群与禁忌人群和注意事项；适用于健康成年人饮酒后或饮酒过程中的营养干预，也可为食品企业、健康管理机构提供产品研发与营养指导依据。</w:t>
      </w:r>
    </w:p>
    <w:p w14:paraId="2BEE3937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结合调研中 95% 的需求集中于健康成年人群，明确核心适用范围，排除未成年人、孕妇等禁止饮酒群体，边界清晰。</w:t>
      </w:r>
    </w:p>
    <w:p w14:paraId="2D5747D9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2.术语和定义</w:t>
      </w:r>
    </w:p>
    <w:p w14:paraId="13ECDE96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界定 “解酒醒酒营养干预”“功能性成分”“酒精代谢”“干预周期” 4 个核心术语：</w:t>
      </w:r>
    </w:p>
    <w:p w14:paraId="759A72D5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“解酒醒酒营养干预”：定义为 “通过补充营养素、功能性成分及相关食品，辅助加速酒精代谢、减轻机体损伤、缓解酒后不适的干预方式”，明确核心目标与实施路径；</w:t>
      </w:r>
    </w:p>
    <w:p w14:paraId="47A68911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“功能性成分”：限定为 “具有辅助解酒、保护肝脏、缓解不适等生理活性的成分”，明确成分属性；</w:t>
      </w:r>
    </w:p>
    <w:p w14:paraId="45425203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其余术语统一行业表述，避免概念混淆。</w:t>
      </w:r>
    </w:p>
    <w:p w14:paraId="28A18EE1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3.总体原则</w:t>
      </w:r>
    </w:p>
    <w:p w14:paraId="09C25191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确立 “安全性、针对性、温和性、辅助性” 四大原则：</w:t>
      </w:r>
    </w:p>
    <w:p w14:paraId="1AEA3B7A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安全性：原料与成分符合食品安全国标，无有毒有害物质；</w:t>
      </w:r>
    </w:p>
    <w:p w14:paraId="1A1A8483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针对性：聚焦酒精代谢关键环节与酒后不适症状设计方案；</w:t>
      </w:r>
    </w:p>
    <w:p w14:paraId="2A4FBBBE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温和性：优先选择天然、易消化成分，避免额外器官刺激；</w:t>
      </w:r>
    </w:p>
    <w:p w14:paraId="60865C3B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辅助性：明确干预不能替代酒精代谢与医疗救治，引导适量饮酒。</w:t>
      </w:r>
    </w:p>
    <w:p w14:paraId="6BAA5696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4.营养干预成分及要求</w:t>
      </w:r>
    </w:p>
    <w:p w14:paraId="3FFBCCAE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核心营养成分：明确维生素 B 族、维生素 C、半胱氨酸、锌、硒等成分的作用（如维生素 C 清除自由基、锌激活代谢酶），确保成分选择与酒精代谢需求精准匹配；</w:t>
      </w:r>
    </w:p>
    <w:p w14:paraId="47044C3C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功能性成分：涵盖植物提取物（葛根、枳椇子、姜黄等）、活性物质（黄酮类、多糖、多酚）、其他功能性成分（蜂蜜、益生菌、膳食纤维），详细说明每种成分的解酒机理，如枳椇子提取物加速乙醛排出、益生菌调节肠道菌群；</w:t>
      </w:r>
    </w:p>
    <w:p w14:paraId="1E033279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常见干预食品：分类列出果蔬类、碳水化合物类、蛋白质类代表食品（如梨、米粥、鸡蛋），明确其作用机制（如延缓酒精吸收、形成胃黏膜保护膜）；</w:t>
      </w:r>
    </w:p>
    <w:p w14:paraId="444A0973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成分使用要求：符合 GB 2760、GB 2762 等国标，来源可追溯，特殊人群需控制特定成分含量（如糖尿病患者限糖）。</w:t>
      </w:r>
    </w:p>
    <w:p w14:paraId="275B355F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5.干预方案</w:t>
      </w:r>
    </w:p>
    <w:p w14:paraId="0378D9B6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分场景干预：饮酒前 1-2 小时进食碳水与蛋白质食物、补充维生素 B 族等预防不适；饮酒中每饮 100mL 酒精饮品搭配 200-300mL 温水，补充蜂蜜或益生菌饮品缓解刺激；饮酒后补充水分电解质、服用枳椇子提取物等修复损伤；</w:t>
      </w:r>
    </w:p>
    <w:p w14:paraId="34BD6631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干预周期：单次饮酒干预 24-48 小时，长期饮酒人群可日常基础补充，剂量按每日推荐摄入量执行。</w:t>
      </w:r>
    </w:p>
    <w:p w14:paraId="07CA94FA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6.适用人群与禁忌人群</w:t>
      </w:r>
    </w:p>
    <w:p w14:paraId="42D61561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适用人群：健康成年人（酒后不适者、高频饮酒需保健者、特殊场合需预防不适者）；</w:t>
      </w:r>
    </w:p>
    <w:p w14:paraId="378C0729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禁忌人群：酒精中毒患者（需立即就医）、肝脏 / 胃肠道疾病患者、糖尿病患者、过敏体质者（需专业指导或避免使用）、孕妇、哺乳期女性、未成年人（禁止饮酒与干预）、成分过敏者。</w:t>
      </w:r>
    </w:p>
    <w:p w14:paraId="0873486F">
      <w:pPr>
        <w:numPr>
          <w:ilvl w:val="0"/>
          <w:numId w:val="0"/>
        </w:numPr>
        <w:spacing w:afterAutospacing="0" w:line="360" w:lineRule="auto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7.注意事项</w:t>
      </w:r>
    </w:p>
    <w:p w14:paraId="416A0219">
      <w:pPr>
        <w:numPr>
          <w:ilvl w:val="0"/>
          <w:numId w:val="0"/>
        </w:numPr>
        <w:spacing w:afterAutospacing="0" w:line="360" w:lineRule="auto"/>
        <w:ind w:firstLine="480" w:firstLineChars="200"/>
        <w:jc w:val="left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明确产品需在保质期内使用，不可依赖干预产品过量饮酒，不适症状持续 48 小时以上需就医，长期饮酒者应减少饮酒量，避免营养素叠加过量服用，特殊人群需针对性调整方案。</w:t>
      </w:r>
    </w:p>
    <w:p w14:paraId="32F85EE4">
      <w:pPr>
        <w:pStyle w:val="2"/>
        <w:spacing w:line="360" w:lineRule="auto"/>
        <w:jc w:val="both"/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三、与现行法律法规及标准的符合性说明</w:t>
      </w:r>
    </w:p>
    <w:p w14:paraId="1D9E4BEA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本标准严格依据 GB/T 1.1—2020《标准化工作导则 第 1 部分：标准化文件的结构和起草规则》起草，全面遵循《中华人民共和国食品安全法》《消费者权益保护法》等法律法规，核心条款与现行国家标准无缝衔接：</w:t>
      </w:r>
    </w:p>
    <w:p w14:paraId="72A7821A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成分安全方面：营养成分与功能性成分的使用符合 GB 2760《食品安全国家标准 食品添加剂使用标准》，污染物限量符合 GB 2762，营养标签标注要求契合 GB 28050；</w:t>
      </w:r>
    </w:p>
    <w:p w14:paraId="4A1EAAC1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生产卫生方面：原料生产过程符合 GB 14881《食品安全国家标准 食品生产通用卫生规范》，确保成分来源安全可追溯；</w:t>
      </w:r>
    </w:p>
    <w:p w14:paraId="597647F0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健康引导方面：明确 “过量饮酒有害健康”“营养干预不能替代医疗救治”，符合《健康中国行动（2019-2030 年）》中 “合理膳食、限制饮酒” 的要求。</w:t>
      </w:r>
    </w:p>
    <w:p w14:paraId="56331CAC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此外，本标准在现行国标的基础上，针对 “解酒醒酒营养干预” 补充专项要求，如分场景干预方案、功能性成分选择与剂量、适用与禁忌人群界定等，形成对现行标准的有效补充，既不违背法律法规与国标要求，又能精准解决行业乱象，具备科学性与合规性。</w:t>
      </w:r>
    </w:p>
    <w:p w14:paraId="675E7961">
      <w:pPr>
        <w:pStyle w:val="2"/>
        <w:spacing w:line="360" w:lineRule="auto"/>
        <w:jc w:val="both"/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四、重大分歧意见的处理经过和依据</w:t>
      </w:r>
    </w:p>
    <w:p w14:paraId="1AEECB41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本团体标准编制过程中，起草单位、行业企业、医疗机构、检测机构及专家代表通过多轮研讨、实地调研与数据验证，就标准核心条款达成高度共识。编制组围绕营养干预成分选择、剂量设定、干预方案设计、适用与禁忌人群界定等关键内容，充分吸纳各方意见，结合酒精代谢机制与食品安全要求反复论证，未出现重大分歧意见。所有技术要求、条款设定均基于科学循证与行业实践，既保障标准的科学性与合规性，又兼顾实操性与产业适配性，为标准的顺利推进与落地实施奠定了坚实基础。</w:t>
      </w:r>
    </w:p>
    <w:p w14:paraId="32676257">
      <w:pPr>
        <w:pStyle w:val="2"/>
        <w:spacing w:line="360" w:lineRule="auto"/>
        <w:jc w:val="both"/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五、贯彻协会标准的要求和措施建议</w:t>
      </w:r>
    </w:p>
    <w:p w14:paraId="2DB066B3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为推动《解酒醒酒营养干预指南》团体标准有效落地，切实规范解酒醒酒营养干预行为、保障消费者健康，计划分层开展精准宣贯培训：</w:t>
      </w:r>
    </w:p>
    <w:p w14:paraId="08DAAD85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针对食品企业：编制《标准执行手册》，组织线下培训，邀请标准起草人现场解读成分限量、标签标注等要求；开设线上咨询平台，解答企业在产品研发、合规检测中的技术难题。</w:t>
      </w:r>
    </w:p>
    <w:p w14:paraId="04127C4D">
      <w:pPr>
        <w:pStyle w:val="13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针对消费者与健康管理机构：通过短视频平台、健康科普公众号发布 “标准解读” 内容，编制通俗易懂的消费者手册；为健康管理机构提供 “干预方案实操培训”，提升专业指导能力。</w:t>
      </w:r>
    </w:p>
    <w:p w14:paraId="2EACEEFE">
      <w:pPr>
        <w:pStyle w:val="2"/>
        <w:spacing w:line="360" w:lineRule="auto"/>
        <w:jc w:val="both"/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六、其他应予说明的事项</w:t>
      </w:r>
    </w:p>
    <w:p w14:paraId="16681E94">
      <w:pPr>
        <w:pStyle w:val="13"/>
        <w:spacing w:line="360" w:lineRule="auto"/>
        <w:ind w:firstLine="480" w:firstLineChars="200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本标准编制过程中未涉及任何已授权或在审的专利技术，所有条款均基于现行法律法规、国家标准、临床研究文献及行业实践经验制定，企业执行标准时无需支付专利费用，不存在专利侵权风险。同时，标准中涉及的检测方法均为行业通用技术，无特殊设备或技术壁垒，企业可通过常规实验室或委托第三方机构完成，确保标准具备广泛落地性。</w:t>
      </w:r>
    </w:p>
    <w:p w14:paraId="785F0CA3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95D8C8"/>
    <w:multiLevelType w:val="singleLevel"/>
    <w:tmpl w:val="1D95D8C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52F308C"/>
    <w:multiLevelType w:val="singleLevel"/>
    <w:tmpl w:val="352F30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33D7B87"/>
    <w:multiLevelType w:val="singleLevel"/>
    <w:tmpl w:val="533D7B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4F"/>
    <w:rsid w:val="000158EC"/>
    <w:rsid w:val="001B77BA"/>
    <w:rsid w:val="001E07EB"/>
    <w:rsid w:val="00377EBA"/>
    <w:rsid w:val="003F6FA2"/>
    <w:rsid w:val="004449B5"/>
    <w:rsid w:val="00523E37"/>
    <w:rsid w:val="005D0DA1"/>
    <w:rsid w:val="005E79EF"/>
    <w:rsid w:val="006046A5"/>
    <w:rsid w:val="00752B6E"/>
    <w:rsid w:val="007B159F"/>
    <w:rsid w:val="007D2234"/>
    <w:rsid w:val="00850635"/>
    <w:rsid w:val="00852D02"/>
    <w:rsid w:val="008758B9"/>
    <w:rsid w:val="008F6D53"/>
    <w:rsid w:val="009456E3"/>
    <w:rsid w:val="009E307E"/>
    <w:rsid w:val="00A4537F"/>
    <w:rsid w:val="00B1041D"/>
    <w:rsid w:val="00B44B51"/>
    <w:rsid w:val="00BE025F"/>
    <w:rsid w:val="00BF31A5"/>
    <w:rsid w:val="00C66ABF"/>
    <w:rsid w:val="00CA4DD6"/>
    <w:rsid w:val="00CF1186"/>
    <w:rsid w:val="00D3694F"/>
    <w:rsid w:val="00DC6CD2"/>
    <w:rsid w:val="00E7187B"/>
    <w:rsid w:val="00E72125"/>
    <w:rsid w:val="00EA62E3"/>
    <w:rsid w:val="00EE46CE"/>
    <w:rsid w:val="00F22AAA"/>
    <w:rsid w:val="00FD082E"/>
    <w:rsid w:val="03CC5857"/>
    <w:rsid w:val="05AB5E10"/>
    <w:rsid w:val="07F4237E"/>
    <w:rsid w:val="07F51E72"/>
    <w:rsid w:val="08912C23"/>
    <w:rsid w:val="0A9C6E11"/>
    <w:rsid w:val="0AA931A8"/>
    <w:rsid w:val="11F76665"/>
    <w:rsid w:val="1C46187A"/>
    <w:rsid w:val="22342E7F"/>
    <w:rsid w:val="2B6035BC"/>
    <w:rsid w:val="2BD317B0"/>
    <w:rsid w:val="2C2A59AC"/>
    <w:rsid w:val="3221269E"/>
    <w:rsid w:val="39B80792"/>
    <w:rsid w:val="46A24A50"/>
    <w:rsid w:val="514376F1"/>
    <w:rsid w:val="55A36BAA"/>
    <w:rsid w:val="5631173F"/>
    <w:rsid w:val="58251D81"/>
    <w:rsid w:val="5D4635C9"/>
    <w:rsid w:val="5EDD61AF"/>
    <w:rsid w:val="5EF01F06"/>
    <w:rsid w:val="601C76B6"/>
    <w:rsid w:val="66406849"/>
    <w:rsid w:val="68DD77BD"/>
    <w:rsid w:val="6AF10BCE"/>
    <w:rsid w:val="6BB96DE2"/>
    <w:rsid w:val="6C5D01E4"/>
    <w:rsid w:val="6D187018"/>
    <w:rsid w:val="710B6BAC"/>
    <w:rsid w:val="72435ED2"/>
    <w:rsid w:val="75751C8C"/>
    <w:rsid w:val="78E94929"/>
    <w:rsid w:val="7D85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156" w:beforeLines="50" w:after="156" w:afterLines="50" w:line="500" w:lineRule="exact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4278</Words>
  <Characters>4434</Characters>
  <Lines>55</Lines>
  <Paragraphs>49</Paragraphs>
  <TotalTime>0</TotalTime>
  <ScaleCrop>false</ScaleCrop>
  <LinksUpToDate>false</LinksUpToDate>
  <CharactersWithSpaces>4505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2019-11-18T08:38:00Z</dcterms:created>
  <dc:creator>User</dc:creator>
  <cp:lastModifiedBy>中标蒲公英</cp:lastModifiedBy>
  <cp:lastPrinted>2025-08-11T07:33:00Z</cp:lastPrinted>
  <dcterms:modified xsi:type="dcterms:W3CDTF">2026-01-29T10:34:45Z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eyJoZGlkIjoiOTBjNDg1NzJhOTc3NmEzYjBlMzdmYzBlYjZmZDI3MDYiLCJ1c2VySWQiOiIxNjE1MzQ4Njc0In0=</vt:lpwstr>
  </property>
  <property fmtid="{D5CDD505-2E9C-101B-9397-08002B2CF9AE}" pid="3" name="KSOProductBuildVer">
    <vt:lpwstr>2052-12.1.0.24657</vt:lpwstr>
  </property>
  <property fmtid="{D5CDD505-2E9C-101B-9397-08002B2CF9AE}" pid="4" name="ICV">
    <vt:lpwstr>EB765FB60E5E40548E968E074C0114A0_13</vt:lpwstr>
  </property>
</Properties>
</file>