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1DC3">
      <w:pPr>
        <w:pStyle w:val="2"/>
        <w:spacing w:before="0" w:beforeLines="0" w:after="312" w:afterLines="100" w:line="400" w:lineRule="exact"/>
        <w:jc w:val="both"/>
        <w:rPr>
          <w:rFonts w:hint="eastAsia" w:asciiTheme="minorEastAsia" w:hAnsiTheme="minorEastAsia" w:eastAsiaTheme="minorEastAsia"/>
          <w:color w:val="0000FF"/>
          <w:sz w:val="36"/>
          <w:szCs w:val="36"/>
        </w:rPr>
      </w:pPr>
    </w:p>
    <w:p w14:paraId="714A2809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135E738E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096B4570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《甘油二酯功效应用指南》</w:t>
      </w:r>
    </w:p>
    <w:p w14:paraId="51D1C9C6"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征求意见稿</w:t>
      </w:r>
    </w:p>
    <w:p w14:paraId="7B0EED04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团体标准编制说明</w:t>
      </w:r>
    </w:p>
    <w:p w14:paraId="0436FA03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7C817B24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5A21D25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A80D3B5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168C56CB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BB8E192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132DCE6">
      <w:pPr>
        <w:jc w:val="both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3E0D8FA3">
      <w:pPr>
        <w:jc w:val="center"/>
        <w:rPr>
          <w:rFonts w:ascii="Times New Roman" w:hAnsi="Times New Roman" w:eastAsia="宋体" w:cs="Times New Roman"/>
          <w:kern w:val="0"/>
          <w:sz w:val="32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标准编制项目组</w:t>
      </w:r>
    </w:p>
    <w:p w14:paraId="334A522F">
      <w:pPr>
        <w:spacing w:line="360" w:lineRule="auto"/>
        <w:jc w:val="center"/>
        <w:rPr>
          <w:rFonts w:hint="eastAsia" w:asciiTheme="minorEastAsia" w:hAnsiTheme="minorEastAsia"/>
          <w:color w:val="0000FF"/>
          <w:sz w:val="36"/>
          <w:szCs w:val="36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日</w:t>
      </w:r>
      <w:r>
        <w:rPr>
          <w:rFonts w:hint="eastAsia" w:asciiTheme="minorEastAsia" w:hAnsiTheme="minorEastAsia"/>
          <w:color w:val="0000FF"/>
          <w:sz w:val="36"/>
          <w:szCs w:val="36"/>
        </w:rPr>
        <w:br w:type="page"/>
      </w:r>
    </w:p>
    <w:p w14:paraId="501B70A3">
      <w:pPr>
        <w:pStyle w:val="2"/>
        <w:spacing w:before="0" w:beforeLines="0" w:after="312" w:afterLines="100" w:line="360" w:lineRule="auto"/>
        <w:rPr>
          <w:rFonts w:hint="eastAsia" w:asciiTheme="minorEastAsia" w:hAnsiTheme="minorEastAsia" w:eastAsia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《甘油二酯功效应用指南》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征求意见稿</w:t>
      </w:r>
    </w:p>
    <w:p w14:paraId="170ACF06">
      <w:pPr>
        <w:pStyle w:val="2"/>
        <w:spacing w:before="0" w:beforeLines="0" w:after="312" w:afterLines="100" w:line="360" w:lineRule="auto"/>
      </w:pPr>
      <w:r>
        <w:rPr>
          <w:rFonts w:hint="eastAsia" w:asciiTheme="minorEastAsia" w:hAnsiTheme="minorEastAsia" w:eastAsiaTheme="minorEastAsia"/>
          <w:sz w:val="36"/>
          <w:szCs w:val="36"/>
        </w:rPr>
        <w:t>团体标准编制说明</w:t>
      </w:r>
    </w:p>
    <w:p w14:paraId="1203D87F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一、工作简况</w:t>
      </w:r>
    </w:p>
    <w:p w14:paraId="0F45CBCD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任务来源</w:t>
      </w:r>
    </w:p>
    <w:p w14:paraId="5AD650AB">
      <w:pPr>
        <w:pStyle w:val="1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甘油二酯作为具有调节血脂、抑制体脂堆积等生理功能的功能性成分，在食品、医药、化工等领域的应用日益广泛。我国功能性油脂市场规模持续扩大，但当前行业存在显著痛点：产品质量参差不齐，甘油二酯含量标注模糊，部分产品实际含量未达功能性要求（＜40%）；功效宣称不规范，存在夸大宣传（如“快速减肥”“根治高血脂”）等问题；应用范围缺乏统一指引，不同行业对其使用条件、添加剂量无明确标准；制备工艺与纯化技术差异较大，导致产品纯度与安全性难以保障。</w:t>
      </w:r>
    </w:p>
    <w:p w14:paraId="56B35D32">
      <w:pPr>
        <w:pStyle w:val="1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现行国家标准（如 GB 15196《食品安全国家标准 食用油脂制品》）仅覆盖通用油脂质量要求，未针对甘油二酯的功能性、应用场景、功效宣称等制定专项规范，行业亟需统一的技术指南。在此背景下，为规范甘油二酯相关产品的研发、生产、销售与应用，保障消费者健康</w:t>
      </w: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权益，山东天久生物技术有限公司于2026年1月向中国食品药品企业质量安全促进会提出《甘油二酯功效应用指南》团体标准立项申请。本标准旨在通过明确甘油二酯的质量要求、功效宣称、应用范围及检验方法等核心内容，为企业生产、市场监管及行业发展提供科学依据，推动甘油二酯产业向 “标准化、规范化、高质量”方向发展。</w:t>
      </w:r>
    </w:p>
    <w:p w14:paraId="3E5E021C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起草单位</w:t>
      </w:r>
    </w:p>
    <w:p w14:paraId="7E128B33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山东天久生物技术有限公司深耕功能性油脂领域多年，具备甘油二酯制备工艺优化、功效验证及产品研发的成熟经验，已完成多项甘油二酯相关临床实践与产业应用项目。负责牵头开展文献研究、行业调研，结合自身研发数据验证标准条款的可操作性；联动油脂生产企业、食品加工企业、医药研发机构、第三方检测机构组建协作网络，收集不同应用场景的技术需求与安全数据，确保标准内容贴合产业实际与市场需求。</w:t>
      </w:r>
    </w:p>
    <w:p w14:paraId="72305AB8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主要起草人</w:t>
      </w:r>
    </w:p>
    <w:p w14:paraId="03E6DAC3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本标准由杜娟、娄紫云、严书翰等专业人士共同起草。起草团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队涵盖油脂化学、食品科学、营养学、医药工程等领域，核心成员拥有 10 年以上功能性油脂研究与产业应用经验，熟悉甘油二酯的制备工艺、代谢机制与功效特性，对其在多行业的应用场景与技术要求有深入研究，为标准的科学性、严谨性与实用性提供保障      。</w:t>
      </w:r>
    </w:p>
    <w:p w14:paraId="3990B972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主要工作</w:t>
      </w:r>
    </w:p>
    <w:p w14:paraId="3D792502">
      <w:pPr>
        <w:pStyle w:val="13"/>
        <w:numPr>
          <w:ilvl w:val="0"/>
          <w:numId w:val="2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资料收集与研究</w:t>
      </w:r>
    </w:p>
    <w:p w14:paraId="61CBCCDF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系统收集国内外相关法规标准、临床文献与科研数据，包括 GB 15196《食品安全国家标准 食用油脂制品》、GB 2760《食品安全国家标准 食品添加剂使用标准》、《功能性油脂产业发展白皮书（2024 版）》、国际食品法典委员会（CAC）相关标准等 30 余项资料，分析国内外甘油二酯产业的技术差异（如欧美侧重医药与化工领域应用，国内聚焦食品与保健食品领域）；研读甘油二酯代谢机制、功效验证、制备工艺等文献，梳理 “质量指标不统一”“功效宣称不科学”“应用规范缺失”“检验方法不一致” 等典型问题，为标准条款设定提供理论依据。</w:t>
      </w:r>
    </w:p>
    <w:p w14:paraId="2365FD08">
      <w:pPr>
        <w:pStyle w:val="13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调研与分析</w:t>
      </w:r>
    </w:p>
    <w:p w14:paraId="52375153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通过三类方式开展调研：走访 25 家甘油二酯生产企业，发现 70% 企业存在 “含量标注与实际不符”“制备工艺无统一规范” 问题；联合 10 家食品、医药企业，收集 300 余例甘油二酯应用案例，明确其在不同产品中的添加剂量、使用条件及功效表现；面向 2000 余名消费者开展问卷，85% 关注 “产品功能性与安全性”，76% 希望获得 “明确的适用场景与食用建议”。基于调研结果，确定标准需重点解决 “质量要求量化”“功效宣称规范”“应用范围明确”“检验方法统一” 四大核心问题。</w:t>
      </w:r>
    </w:p>
    <w:p w14:paraId="4B5946C4">
      <w:pPr>
        <w:pStyle w:val="13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标准草案起草</w:t>
      </w:r>
    </w:p>
    <w:p w14:paraId="0F69AD30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依据 GB/T 1.1—2020《标准化工作导则 第 1 部分：标准化文件的结构和起草规则》，结合调研结果与科研数据，起草标准草案。草案涵盖 “范围、规范性引用文件、术语和定义、理化性质及结构、分类与质量要求、来源与制备、功效与作用机制、应用范围、检验方法、标签与标识、储存运输”11 大章节，将 “甘油二酯含量≥40%”“每日食用量≤30g”“功效宣称限定范围” 等核心诉求转化为具体条款，确保标准兼具科学性与实操性。</w:t>
      </w:r>
    </w:p>
    <w:p w14:paraId="3FF35F30">
      <w:pPr>
        <w:pStyle w:val="13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立项报批材料准备</w:t>
      </w:r>
    </w:p>
    <w:p w14:paraId="042E933B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整理完善标准立项申报材料，包括立项申请表、编制说明、标准草案、调研分析报告、企业验证数据（如纯度检测报告、功效试验数据、安全性评估报告）等文件；邀请油脂行业专家、营养学专家对草案条款进行初步审核，修正 “纯度判定标准”“应用剂量范围” 等不合理内容，确保申报材料内容详实、格式规范，为标准立项审批奠定基础。</w:t>
      </w:r>
    </w:p>
    <w:p w14:paraId="2FB4E443">
      <w:pPr>
        <w:numPr>
          <w:ilvl w:val="0"/>
          <w:numId w:val="2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立项审查</w:t>
      </w:r>
    </w:p>
    <w:p w14:paraId="7FF46D4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2026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年 </w:t>
      </w:r>
      <w:r>
        <w:rPr>
          <w:rFonts w:hint="eastAsia" w:ascii="宋体" w:hAnsi="宋体"/>
          <w:sz w:val="24"/>
          <w:szCs w:val="24"/>
        </w:rPr>
        <w:t>1月15日14:00-17:00(周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）14:00～16:00，通过“腾讯会议”（会议ID：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517-430-911</w:t>
      </w:r>
      <w:r>
        <w:rPr>
          <w:rFonts w:hint="eastAsia" w:ascii="宋体" w:hAnsi="宋体"/>
          <w:sz w:val="24"/>
          <w:szCs w:val="24"/>
        </w:rPr>
        <w:t>）中国食品药品企业质量安全促进会组织召开立项审查会，邀请相关领域专家组成评审组，对标准项目的科学性、必要性、可操作性、技术内容和结构框架等进行全面评审。与会专家深入细致讨论，提出修改意见和建议，并集体商议及投票表决，一致同意该团体标准立项。随即报请促进会批准立项。</w:t>
      </w:r>
    </w:p>
    <w:p w14:paraId="2BFCA91F">
      <w:pPr>
        <w:numPr>
          <w:ilvl w:val="0"/>
          <w:numId w:val="2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标准草案完善</w:t>
      </w:r>
    </w:p>
    <w:p w14:paraId="525FBED3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根据立项审查会专家提出的意见和建议，起草工作组逐条研究、充分论证，对标准文本进行系统性修改完善。修改完成后，在起草单位内部组织召开专家论证会，邀请行业权威专家对修改后的标准文本进行二次审核，重点核查技术指标的合理性、文本表述的规范性以及修改内容的完整性。经过多轮研讨和修改完善，最终形成标准征求意见稿，并上报促进会审核并公开征求意见。</w:t>
      </w:r>
      <w:bookmarkStart w:id="0" w:name="_GoBack"/>
      <w:bookmarkEnd w:id="0"/>
    </w:p>
    <w:p w14:paraId="63670E8A">
      <w:pPr>
        <w:numPr>
          <w:ilvl w:val="0"/>
          <w:numId w:val="3"/>
        </w:numPr>
        <w:spacing w:afterAutospacing="0" w:line="360" w:lineRule="auto"/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标准编制原则和确定标准主要内容及其论据</w:t>
      </w:r>
    </w:p>
    <w:p w14:paraId="183FA3EF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（一）标准编制原则</w:t>
      </w:r>
    </w:p>
    <w:p w14:paraId="4BFC948C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科学循证与安全优先</w:t>
      </w:r>
    </w:p>
    <w:p w14:paraId="2375BF7B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所有技术要求均基于甘油二酯的代谢机制与权威研究数据，如 “1,3 - 甘油二酯调节血脂” 参考临床干预试验结论，“每日食用量≤30g” 依据毒理学安全性评估结果；严格遵循食品安全国标，明确污染物、真菌毒素、农药残留等限量要求，确保产品使用安全无风险。</w:t>
      </w:r>
    </w:p>
    <w:p w14:paraId="5911C607">
      <w:pPr>
        <w:numPr>
          <w:ilvl w:val="0"/>
          <w:numId w:val="4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针对性与实用性兼顾</w:t>
      </w:r>
    </w:p>
    <w:p w14:paraId="2ECFBDC3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甘油二酯的功能性特性，聚焦其核心功效（调节血脂、抑制体脂堆积等）与应用痛点，明确质量控制指标（如含量≥40%）、功效宣称边界；分行业（食品、医药、化工等）制定应用要求，提供具体使用场景与添加剂量参考，便于企业直接落地应用。</w:t>
      </w:r>
    </w:p>
    <w:p w14:paraId="0A217507">
      <w:pPr>
        <w:numPr>
          <w:ilvl w:val="0"/>
          <w:numId w:val="4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统一性与包容性并重</w:t>
      </w:r>
    </w:p>
    <w:p w14:paraId="4D0954A9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统一甘油二酯的术语定义、质量指标、检验方法，规范产品标签与标识要求，避免行业表述混乱；兼顾不同来源（植物、动物、微生物发酵）、不同制备工艺（直接酯化法、甘油解法等）的产品特性，设定合理的质量波动范围，提升标准包容性。</w:t>
      </w:r>
    </w:p>
    <w:p w14:paraId="064FF43D">
      <w:pPr>
        <w:numPr>
          <w:ilvl w:val="0"/>
          <w:numId w:val="4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合规性与前瞻性统一</w:t>
      </w:r>
    </w:p>
    <w:p w14:paraId="7417698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核心条款与 GB 15196、GB 2760、GB 2762 等现行国标无缝衔接，确保标准合规性；结合甘油二酯产业发展趋势，将其在保健食品、医药临床等领域的新兴应用纳入规范，为行业技术创新提供指引，具备前瞻性。</w:t>
      </w:r>
    </w:p>
    <w:p w14:paraId="39A73880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（二）标准主要内容</w:t>
      </w:r>
    </w:p>
    <w:p w14:paraId="14D80C5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标准范围</w:t>
      </w:r>
    </w:p>
    <w:p w14:paraId="119D24B4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规定甘油二酯的理化性质及结构、分类与质量要求、来源与制备、功效与作用机制、应用范围、检验方法、标签与标识、储存运输等内容；适用于以甘油二酯为主要功能性成分的食品、医药、化工等相关产品的研发、生产、销售、检验及相关管理活动。</w:t>
      </w:r>
    </w:p>
    <w:p w14:paraId="46156B02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结合调研中 90% 的应用需求集中于上述领域，明确核心适用范围，覆盖产品全生命周期关键环节，边界清晰。</w:t>
      </w:r>
    </w:p>
    <w:p w14:paraId="728E941F">
      <w:pPr>
        <w:numPr>
          <w:ilvl w:val="0"/>
          <w:numId w:val="5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术语和定义</w:t>
      </w:r>
    </w:p>
    <w:p w14:paraId="6E812FDC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界定 “甘油二酯”“1,3 - 甘油二酯”“1,2 - 甘油二酯”“甘油单酯”“甘油三酯” 5 个核心术语：</w:t>
      </w:r>
    </w:p>
    <w:p w14:paraId="1ECADFAC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“甘油二酯”：定义为 “由一分子甘油与两分子脂肪酸通过酯键结合而成的化合物，1,3 - 甘油二酯与 1,2 - 甘油二酯总含量不低于 40%（以质量计）时可作为功能性油脂”，明确功能性界定标准；</w:t>
      </w:r>
    </w:p>
    <w:p w14:paraId="3EA0CC4F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其余术语区分不同甘油酯类化合物的结构差异，统一行业表述，避免概念混淆。</w:t>
      </w:r>
    </w:p>
    <w:p w14:paraId="2F96E82F">
      <w:pPr>
        <w:numPr>
          <w:ilvl w:val="0"/>
          <w:numId w:val="5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分类与质量要求</w:t>
      </w:r>
    </w:p>
    <w:p w14:paraId="68545745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分类：按来源分为植物来源、动物来源、微生物发酵来源，覆盖主流产品类型；</w:t>
      </w:r>
    </w:p>
    <w:p w14:paraId="73FEC99B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核心指标：甘油二酯含量≥40%，每日食用量≤30g（不适用于婴幼儿食品），理化指标符合 GB 15196 要求；污染物、真菌毒素、农药残留分别符合 GB 2762、GB 2761、GB 2763 规定；</w:t>
      </w:r>
    </w:p>
    <w:p w14:paraId="0AB38125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安全性：基于毒理学试验数据，明确人体对甘油二酯具有良好耐受性，长期摄入无明显健康风险。</w:t>
      </w:r>
    </w:p>
    <w:p w14:paraId="563234FD">
      <w:pPr>
        <w:numPr>
          <w:ilvl w:val="0"/>
          <w:numId w:val="5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来源与制备</w:t>
      </w:r>
    </w:p>
    <w:p w14:paraId="13661A16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天然来源：列出常见食用油中甘油二酯含量（如棉籽油 9.5%、棕榈油 5.8%），为原料选择提供参考；</w:t>
      </w:r>
    </w:p>
    <w:p w14:paraId="1E242CDD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制备方法：涵盖直接酯化法、甘油解法、TAG 先分解后合成法、部分水解法，明确各方法的核心工艺特点；</w:t>
      </w:r>
    </w:p>
    <w:p w14:paraId="53C76D2D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纯化工艺：规定分子蒸馏法、柱层析法、溶剂萃取法等纯化技术的应用要求，确保产品纯度达标。</w:t>
      </w:r>
    </w:p>
    <w:p w14:paraId="110DD62B">
      <w:pPr>
        <w:numPr>
          <w:ilvl w:val="0"/>
          <w:numId w:val="5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功效与作用机制</w:t>
      </w:r>
    </w:p>
    <w:p w14:paraId="27D30DBA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明确甘油二酯的核心功效，包括调节血脂（降低血清 TG、LDL-C 水平）、防止动脉血栓形成、抑制肝脏脂肪积累、缓解糖尿病肾病、减肥抑制食欲、降低体脂等，详细说明每项功效的作用机制，为功效宣称提供科学依据。</w:t>
      </w:r>
    </w:p>
    <w:p w14:paraId="5C3C194F">
      <w:pPr>
        <w:numPr>
          <w:ilvl w:val="0"/>
          <w:numId w:val="5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应用范围</w:t>
      </w:r>
    </w:p>
    <w:p w14:paraId="0531DD2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食品行业：涵盖食用油、调味品、焙烤食品、乳制品、糖果巧克力等常规食品，及代餐食品、运动营养食品等特殊食品，明确添加要求；</w:t>
      </w:r>
    </w:p>
    <w:p w14:paraId="173CF97F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工业与化工行业：包括促溶剂、果蔬涂膜剂、合成原料、化妆品原料等应用场景；</w:t>
      </w:r>
    </w:p>
    <w:p w14:paraId="7C334098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保健食品与医药领域：可作为核心功效成分开发调节血脂、体重管理类保健食品，及用于高脂血症、心脑血管疾病辅助治疗的医药产品，明确产品形态与标注要求。</w:t>
      </w:r>
    </w:p>
    <w:p w14:paraId="23032965">
      <w:pPr>
        <w:numPr>
          <w:ilvl w:val="0"/>
          <w:numId w:val="5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标签与标识、储存运输</w:t>
      </w:r>
    </w:p>
    <w:p w14:paraId="654B0628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标签需标注甘油二酯含量、来源、推荐摄入量、适用人群、功效宣称（限定标准规定范围）；</w:t>
      </w:r>
    </w:p>
    <w:p w14:paraId="05F554D1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储存运输需符合油脂类产品通用要求，避免高温、强光、潮湿环境，确保产品质量稳定。</w:t>
      </w:r>
    </w:p>
    <w:p w14:paraId="32F85EE4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三、与现行法律法规及标准的符合性说明</w:t>
      </w:r>
    </w:p>
    <w:p w14:paraId="2B92AB61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本标准严格依据 GB/T 1.1—2020《标准化工作导则 第 1 部分：标准化文件的结构和起草规则》起草，全面遵循《中华人民共和国食品安全法》《保健食品注册与备案管理办法》等法律法规，核心条款与现行国家标准无缝衔接：</w:t>
      </w:r>
    </w:p>
    <w:p w14:paraId="2E0B8826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质量安全方面：产品理化指标符合 GB 15196《食品安全国家标准 食用油脂制品》，污染物、真菌毒素、农药残留限量分别符合 GB 2762、GB 2761、GB 2763，食品添加剂使用符合 GB 2760；</w:t>
      </w:r>
    </w:p>
    <w:p w14:paraId="38071647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功效宣称方面：严格遵循《食品安全法》对功能性食品功效宣称的规定，仅保留有充分科学依据的功效表述，避免夸大宣传；</w:t>
      </w:r>
    </w:p>
    <w:p w14:paraId="1F433FF9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标签标识方面：标签标注要求契合 GB 7718《食品安全国家标准 预包装食品标签通则》、GB 28050《食品安全国家标准 预包装食品营养标签通则》，确保信息透明规范。</w:t>
      </w:r>
    </w:p>
    <w:p w14:paraId="56331CAC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此外，本标准在现行国标的基础上，针对甘油二酯的功能性特性补充专项要求，如含量阈值、功效机制、多行业应用规范等，形成对现行标准的有效补充，既不违背法律法规与国标要求，又能精准解决行业专属痛点，具备科学性与合规性。</w:t>
      </w:r>
    </w:p>
    <w:p w14:paraId="675E7961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四、重大分歧意见的处理经过和依据</w:t>
      </w:r>
    </w:p>
    <w:p w14:paraId="1AEECB41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本团体标准编制过程中，起草单位、行业企业、科研机构、检测机构及专家代表通过多轮研讨、实地调研与数据验证，就标准核心条款达成高度共识。编制组围绕甘油二酯含量阈值、每日食用量限制、应用范围界定等关键内容，充分吸纳各方意见，结合产业实际与科学研究数据反复论证，未出现重大分歧意见。所有技术要求、条款设定均基于科学循证与行业实践，既保障标准的科学性与合规性，又兼顾实操性与产业适配性，为标准的顺利推进与落地实施奠定了坚实基础。</w:t>
      </w:r>
    </w:p>
    <w:p w14:paraId="32676257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五、贯彻协会标准的要求和措施建议</w:t>
      </w:r>
    </w:p>
    <w:p w14:paraId="1C274C42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为推动《甘油二酯功效应用指南》团体标准有效落地，切实规范甘油二酯相关产品的生产与应用，保障行业健康发展，计划分层开展精准宣贯培训：</w:t>
      </w:r>
    </w:p>
    <w:p w14:paraId="5362430F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生产企业：编制《标准执行手册》（含质量控制流程、检验方法实操指南），组织线下培训覆盖重点油脂生产企业、食品加工企业，邀请标准起草人现场解读含量检测、功效宣称、标签标注等要求；开设线上咨询平台，解答企业在工艺优化、产品研发中的技术难题。</w:t>
      </w:r>
    </w:p>
    <w:p w14:paraId="3D3A9477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针对监管与检测机构：开展 “标准监管要点培训”，重点解读质量指标判定、功效宣称核查、检验方法应用等核心内容，组织检测机构间比对试验，统一检测标准与判定依据，提升监管与检测精准度。</w:t>
      </w:r>
    </w:p>
    <w:p w14:paraId="7D36CC51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针对消费者与行业从业者：通过行业会议、科普平台发布标准解读内容，编制消费者指南，明确甘油二酯产品的选购要点、食用建议，引导理性消费与合规应用。</w:t>
      </w:r>
    </w:p>
    <w:p w14:paraId="2EACEEFE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六、其他应予说明的事项</w:t>
      </w:r>
    </w:p>
    <w:p w14:paraId="785F0CA3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标准编制过程中未涉及任何已授权或在审的专利技术，所有条款均基于现行法律法规、国家标准、临床研究文献及行业实践经验制定，企业执行标准时无需支付专利费用，不存在专利侵权风险。同时，标准中涉及的检验方法均为行业通用技术，无特殊设备或技术壁垒，企业可通过常规实验室或委托第三方机构完成，确保标准具备广泛落地性。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E7F6A"/>
    <w:multiLevelType w:val="singleLevel"/>
    <w:tmpl w:val="97FE7F6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FC9C725"/>
    <w:multiLevelType w:val="singleLevel"/>
    <w:tmpl w:val="DFC9C725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33CE0558"/>
    <w:multiLevelType w:val="singleLevel"/>
    <w:tmpl w:val="33CE05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52F308C"/>
    <w:multiLevelType w:val="singleLevel"/>
    <w:tmpl w:val="352F30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D4DB1E7"/>
    <w:multiLevelType w:val="singleLevel"/>
    <w:tmpl w:val="4D4DB1E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4F"/>
    <w:rsid w:val="000158EC"/>
    <w:rsid w:val="001B77BA"/>
    <w:rsid w:val="001E07EB"/>
    <w:rsid w:val="00377EBA"/>
    <w:rsid w:val="003F6FA2"/>
    <w:rsid w:val="004449B5"/>
    <w:rsid w:val="00523E37"/>
    <w:rsid w:val="005D0DA1"/>
    <w:rsid w:val="005E79EF"/>
    <w:rsid w:val="006046A5"/>
    <w:rsid w:val="00752B6E"/>
    <w:rsid w:val="007B159F"/>
    <w:rsid w:val="007D2234"/>
    <w:rsid w:val="00850635"/>
    <w:rsid w:val="00852D02"/>
    <w:rsid w:val="008758B9"/>
    <w:rsid w:val="008F6D53"/>
    <w:rsid w:val="009456E3"/>
    <w:rsid w:val="009E307E"/>
    <w:rsid w:val="00A4537F"/>
    <w:rsid w:val="00B1041D"/>
    <w:rsid w:val="00B44B51"/>
    <w:rsid w:val="00BE025F"/>
    <w:rsid w:val="00BF31A5"/>
    <w:rsid w:val="00C66ABF"/>
    <w:rsid w:val="00CA4DD6"/>
    <w:rsid w:val="00CF1186"/>
    <w:rsid w:val="00D3694F"/>
    <w:rsid w:val="00DC6CD2"/>
    <w:rsid w:val="00E7187B"/>
    <w:rsid w:val="00E72125"/>
    <w:rsid w:val="00EA62E3"/>
    <w:rsid w:val="00EE46CE"/>
    <w:rsid w:val="00F22AAA"/>
    <w:rsid w:val="00FD082E"/>
    <w:rsid w:val="03CC5857"/>
    <w:rsid w:val="05AB5E10"/>
    <w:rsid w:val="07F4237E"/>
    <w:rsid w:val="07F51E72"/>
    <w:rsid w:val="08912C23"/>
    <w:rsid w:val="0A9C6E11"/>
    <w:rsid w:val="0AA931A8"/>
    <w:rsid w:val="11F76665"/>
    <w:rsid w:val="1B6B0C0C"/>
    <w:rsid w:val="1C46187A"/>
    <w:rsid w:val="22342E7F"/>
    <w:rsid w:val="2BD317B0"/>
    <w:rsid w:val="2C2A59AC"/>
    <w:rsid w:val="3221269E"/>
    <w:rsid w:val="39B80792"/>
    <w:rsid w:val="46A24A50"/>
    <w:rsid w:val="512708D9"/>
    <w:rsid w:val="514376F1"/>
    <w:rsid w:val="5631173F"/>
    <w:rsid w:val="58251D81"/>
    <w:rsid w:val="5D4635C9"/>
    <w:rsid w:val="5EDD61AF"/>
    <w:rsid w:val="5EF01F06"/>
    <w:rsid w:val="601C76B6"/>
    <w:rsid w:val="66406849"/>
    <w:rsid w:val="68DD77BD"/>
    <w:rsid w:val="6AF10BCE"/>
    <w:rsid w:val="6BB96DE2"/>
    <w:rsid w:val="6C5D01E4"/>
    <w:rsid w:val="6D187018"/>
    <w:rsid w:val="710B6BAC"/>
    <w:rsid w:val="72435ED2"/>
    <w:rsid w:val="75751C8C"/>
    <w:rsid w:val="7904498A"/>
    <w:rsid w:val="7D85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156" w:beforeLines="50" w:after="156" w:afterLines="50" w:line="500" w:lineRule="exact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4344</Words>
  <Characters>4505</Characters>
  <Lines>55</Lines>
  <Paragraphs>49</Paragraphs>
  <TotalTime>0</TotalTime>
  <ScaleCrop>false</ScaleCrop>
  <LinksUpToDate>false</LinksUpToDate>
  <CharactersWithSpaces>4617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2019-11-18T08:38:00Z</dcterms:created>
  <dc:creator>User</dc:creator>
  <cp:lastModifiedBy>中标蒲公英</cp:lastModifiedBy>
  <cp:lastPrinted>2025-08-11T07:33:00Z</cp:lastPrinted>
  <dcterms:modified xsi:type="dcterms:W3CDTF">2026-01-29T10:42:25Z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eyJoZGlkIjoiOTBjNDg1NzJhOTc3NmEzYjBlMzdmYzBlYjZmZDI3MDYiLCJ1c2VySWQiOiIxNjE1MzQ4Njc0In0=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EB765FB60E5E40548E968E074C0114A0_13</vt:lpwstr>
  </property>
</Properties>
</file>