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E5720">
      <w:pPr>
        <w:pStyle w:val="35"/>
        <w:framePr w:wrap="around" w:vAnchor="page" w:hAnchor="page" w:x="1821" w:y="739"/>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6973198C">
      <w:pPr>
        <w:pStyle w:val="35"/>
        <w:framePr w:wrap="around" w:vAnchor="page" w:hAnchor="page" w:x="1821" w:y="739"/>
        <w:rPr>
          <w:rFonts w:ascii="Times New Roman"/>
          <w:b/>
          <w:bCs/>
        </w:rPr>
      </w:pPr>
      <w:r>
        <w:rPr>
          <w:rFonts w:hint="eastAsia" w:ascii="Times New Roman"/>
          <w:b/>
          <w:bCs/>
        </w:rPr>
        <w:t>CCS C 05</w:t>
      </w:r>
    </w:p>
    <w:p w14:paraId="53507FD8">
      <w:pPr>
        <w:pStyle w:val="39"/>
        <w:framePr w:w="8178" w:h="856" w:hRule="exact" w:wrap="around" w:x="2055" w:y="2221"/>
        <w:rPr>
          <w:rFonts w:ascii="黑体" w:hAnsi="黑体" w:eastAsia="黑体"/>
          <w:b w:val="0"/>
          <w:sz w:val="56"/>
          <w:szCs w:val="52"/>
        </w:rPr>
      </w:pPr>
      <w:r>
        <w:rPr>
          <w:rFonts w:hint="eastAsia" w:ascii="黑体" w:hAnsi="黑体" w:eastAsia="黑体"/>
          <w:b w:val="0"/>
          <w:sz w:val="56"/>
          <w:szCs w:val="52"/>
        </w:rPr>
        <w:t>团体标准</w:t>
      </w:r>
    </w:p>
    <w:tbl>
      <w:tblPr>
        <w:tblStyle w:val="1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4D003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4CF53E4D">
            <w:pPr>
              <w:pStyle w:val="37"/>
              <w:framePr w:wrap="around" w:x="1382" w:y="3031"/>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rPr>
              <w:t>XXX</w:t>
            </w:r>
            <w:r>
              <w:t>—</w:t>
            </w:r>
            <w:r>
              <w:rPr>
                <w:rFonts w:hint="eastAsia"/>
              </w:rPr>
              <w:t>202X</w:t>
            </w:r>
          </w:p>
        </w:tc>
      </w:tr>
    </w:tbl>
    <w:p w14:paraId="289DC2DE">
      <w:pPr>
        <w:pStyle w:val="37"/>
        <w:framePr w:wrap="around" w:x="1382" w:y="3031"/>
        <w:jc w:val="center"/>
      </w:pPr>
      <w:r>
        <w:rPr>
          <w:rFonts w:hint="eastAsia"/>
        </w:rPr>
        <w:t>————————————————————————————————————————</w:t>
      </w:r>
    </w:p>
    <w:p w14:paraId="7332157D">
      <w:pPr>
        <w:pStyle w:val="37"/>
        <w:framePr w:wrap="around" w:x="1382" w:y="3031"/>
      </w:pPr>
    </w:p>
    <w:p w14:paraId="522785A8">
      <w:pPr>
        <w:framePr w:w="9116" w:h="3482" w:hRule="exact" w:wrap="around" w:vAnchor="page" w:hAnchor="page" w:x="1327" w:y="6897" w:anchorLock="1"/>
        <w:jc w:val="left"/>
        <w:rPr>
          <w:rFonts w:ascii="宋体" w:hAnsi="宋体" w:eastAsia="宋体"/>
          <w:color w:val="000000"/>
          <w:sz w:val="24"/>
        </w:rPr>
      </w:pPr>
      <w:bookmarkStart w:id="1" w:name="StdEnglishName"/>
    </w:p>
    <w:p w14:paraId="398A2B9B">
      <w:pPr>
        <w:pStyle w:val="36"/>
        <w:keepNext/>
        <w:keepLines/>
        <w:framePr w:w="9116" w:h="3482" w:hRule="exact" w:wrap="around" w:vAnchor="page" w:hAnchor="page" w:x="1327" w:y="6897" w:anchorLock="1"/>
        <w:ind w:firstLine="0"/>
        <w:jc w:val="center"/>
        <w:rPr>
          <w:rFonts w:ascii="黑体" w:hAnsi="黑体" w:eastAsia="黑体" w:cs="黑体"/>
          <w:color w:val="000000"/>
          <w:sz w:val="52"/>
          <w:szCs w:val="52"/>
          <w:lang w:val="en-US" w:eastAsia="zh-CN"/>
        </w:rPr>
      </w:pPr>
      <w:r>
        <w:rPr>
          <w:rFonts w:hint="eastAsia" w:ascii="黑体" w:hAnsi="黑体" w:eastAsia="黑体" w:cs="黑体"/>
          <w:color w:val="000000"/>
          <w:sz w:val="52"/>
          <w:szCs w:val="52"/>
          <w:lang w:val="en-US" w:eastAsia="zh-CN"/>
        </w:rPr>
        <w:t>无创胫神经调控技术规范</w:t>
      </w:r>
    </w:p>
    <w:p w14:paraId="73AAFAD5">
      <w:pPr>
        <w:pStyle w:val="36"/>
        <w:keepNext/>
        <w:keepLines/>
        <w:framePr w:w="9116" w:h="3482" w:hRule="exact" w:wrap="around" w:vAnchor="page" w:hAnchor="page" w:x="1327" w:y="6897" w:anchorLock="1"/>
        <w:ind w:firstLine="0"/>
        <w:jc w:val="center"/>
        <w:rPr>
          <w:rFonts w:ascii="Times New Roman" w:hAnsi="Times New Roman" w:eastAsia="黑体" w:cs="Times New Roman"/>
          <w:color w:val="000000"/>
          <w:sz w:val="28"/>
          <w:szCs w:val="28"/>
          <w:lang w:val="en-US" w:eastAsia="zh-CN"/>
        </w:rPr>
      </w:pPr>
      <w:r>
        <w:rPr>
          <w:rFonts w:ascii="Times New Roman" w:hAnsi="Times New Roman" w:eastAsia="黑体" w:cs="Times New Roman"/>
          <w:color w:val="000000"/>
          <w:sz w:val="28"/>
          <w:szCs w:val="28"/>
          <w:lang w:val="en-US" w:eastAsia="zh-CN"/>
        </w:rPr>
        <w:t>Technical code of transcutaneous tibial nerve stimulation</w:t>
      </w:r>
    </w:p>
    <w:p w14:paraId="0DF4D1C7">
      <w:pPr>
        <w:pStyle w:val="36"/>
        <w:keepNext/>
        <w:keepLines/>
        <w:framePr w:w="9116" w:h="3482" w:hRule="exact" w:wrap="around" w:vAnchor="page" w:hAnchor="page" w:x="1327" w:y="6897" w:anchorLock="1"/>
        <w:ind w:firstLine="0"/>
        <w:jc w:val="center"/>
        <w:rPr>
          <w:rFonts w:ascii="黑体" w:hAnsi="黑体" w:eastAsia="黑体" w:cs="黑体"/>
          <w:color w:val="000000"/>
          <w:sz w:val="28"/>
          <w:szCs w:val="28"/>
          <w:lang w:val="en-US" w:eastAsia="zh-CN"/>
        </w:rPr>
      </w:pPr>
      <w:r>
        <w:rPr>
          <w:rFonts w:hint="eastAsia" w:ascii="黑体" w:hAnsi="黑体" w:eastAsia="黑体" w:cs="黑体"/>
          <w:color w:val="000000"/>
          <w:sz w:val="28"/>
          <w:szCs w:val="28"/>
          <w:lang w:val="en-US" w:eastAsia="zh-CN"/>
        </w:rPr>
        <w:t>(征求意见稿）</w:t>
      </w:r>
    </w:p>
    <w:p w14:paraId="1061E4F0">
      <w:pPr>
        <w:pStyle w:val="36"/>
        <w:keepNext/>
        <w:keepLines/>
        <w:framePr w:w="9116" w:h="3482" w:hRule="exact" w:wrap="around" w:vAnchor="page" w:hAnchor="page" w:x="1327" w:y="6897" w:anchorLock="1"/>
        <w:ind w:firstLine="0"/>
        <w:jc w:val="center"/>
        <w:rPr>
          <w:rFonts w:ascii="Times New Roman" w:hAnsi="Times New Roman" w:cs="Times New Roman"/>
          <w:b/>
          <w:bCs/>
          <w:color w:val="000000"/>
          <w:sz w:val="28"/>
          <w:szCs w:val="28"/>
          <w:lang w:val="en-US" w:eastAsia="zh-CN"/>
        </w:rPr>
      </w:pPr>
    </w:p>
    <w:p w14:paraId="0CA6C6C2">
      <w:pPr>
        <w:pStyle w:val="43"/>
        <w:framePr w:w="9331" w:wrap="around" w:hAnchor="page" w:x="1524" w:y="14958"/>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47560A9B">
      <w:pPr>
        <w:pStyle w:val="41"/>
        <w:framePr w:w="9416" w:wrap="around" w:x="1488" w:y="15540"/>
        <w:pBdr>
          <w:top w:val="single" w:color="auto" w:sz="4" w:space="1"/>
          <w:left w:val="none" w:color="auto" w:sz="0" w:space="4"/>
          <w:bottom w:val="none" w:color="auto" w:sz="0" w:space="1"/>
          <w:right w:val="none" w:color="auto" w:sz="0" w:space="4"/>
        </w:pBdr>
        <w:rPr>
          <w:rFonts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1690C9C7">
      <w:pPr>
        <w:rPr>
          <w:rFonts w:eastAsia="宋体"/>
        </w:rPr>
      </w:pPr>
      <w:r>
        <w:rPr>
          <w:rFonts w:hint="eastAsia" w:eastAsia="宋体"/>
        </w:rPr>
        <w:drawing>
          <wp:anchor distT="0" distB="0" distL="114300" distR="114300" simplePos="0" relativeHeight="251663360" behindDoc="0" locked="0" layoutInCell="1" allowOverlap="1">
            <wp:simplePos x="0" y="0"/>
            <wp:positionH relativeFrom="margin">
              <wp:align>right</wp:align>
            </wp:positionH>
            <wp:positionV relativeFrom="paragraph">
              <wp:posOffset>-476885</wp:posOffset>
            </wp:positionV>
            <wp:extent cx="1076325" cy="1040130"/>
            <wp:effectExtent l="0" t="0" r="9525" b="7620"/>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54693265">
      <w:pPr>
        <w:spacing w:line="360" w:lineRule="auto"/>
        <w:jc w:val="center"/>
        <w:rPr>
          <w:rFonts w:ascii="宋体" w:hAnsi="宋体" w:eastAsia="宋体" w:cs="Times New Roman"/>
          <w:bCs/>
          <w:sz w:val="24"/>
          <w:szCs w:val="24"/>
        </w:rPr>
      </w:pPr>
    </w:p>
    <w:p w14:paraId="4F423368">
      <w:pPr>
        <w:spacing w:line="360" w:lineRule="auto"/>
        <w:jc w:val="center"/>
        <w:rPr>
          <w:rFonts w:ascii="宋体" w:hAnsi="宋体" w:eastAsia="宋体" w:cs="Times New Roman"/>
          <w:bCs/>
          <w:sz w:val="24"/>
          <w:szCs w:val="24"/>
        </w:rPr>
      </w:pPr>
    </w:p>
    <w:p w14:paraId="7FC3382B">
      <w:pPr>
        <w:widowControl/>
        <w:spacing w:line="360" w:lineRule="auto"/>
        <w:jc w:val="center"/>
        <w:rPr>
          <w:rFonts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0538E503">
      <w:pPr>
        <w:widowControl/>
        <w:jc w:val="center"/>
        <w:rPr>
          <w:rFonts w:ascii="黑体" w:hAnsi="黑体" w:eastAsia="黑体" w:cs="黑体"/>
          <w:sz w:val="32"/>
          <w:szCs w:val="32"/>
        </w:rPr>
      </w:pPr>
      <w:r>
        <w:rPr>
          <w:rFonts w:hint="eastAsia" w:ascii="黑体" w:hAnsi="黑体" w:eastAsia="黑体" w:cs="黑体"/>
          <w:sz w:val="32"/>
          <w:szCs w:val="32"/>
        </w:rPr>
        <w:t>目  次</w:t>
      </w:r>
    </w:p>
    <w:p w14:paraId="57D31BDB">
      <w:pPr>
        <w:widowControl/>
        <w:spacing w:line="360" w:lineRule="auto"/>
        <w:jc w:val="center"/>
        <w:rPr>
          <w:rFonts w:ascii="黑体" w:hAnsi="黑体" w:eastAsia="黑体" w:cs="黑体"/>
          <w:sz w:val="32"/>
          <w:szCs w:val="32"/>
        </w:rPr>
      </w:pPr>
    </w:p>
    <w:p w14:paraId="6493DB1D">
      <w:pPr>
        <w:pStyle w:val="7"/>
        <w:tabs>
          <w:tab w:val="right" w:leader="dot" w:pos="8296"/>
        </w:tabs>
        <w:rPr>
          <w:rFonts w:ascii="宋体" w:hAnsi="宋体" w:eastAsia="宋体"/>
        </w:rPr>
      </w:pPr>
      <w:r>
        <w:rPr>
          <w:rFonts w:ascii="宋体" w:hAnsi="宋体" w:eastAsia="宋体" w:cs="Times New Roman"/>
          <w:b/>
          <w:bCs/>
          <w:sz w:val="32"/>
          <w:szCs w:val="32"/>
        </w:rPr>
        <w:fldChar w:fldCharType="begin"/>
      </w:r>
      <w:r>
        <w:rPr>
          <w:rFonts w:ascii="宋体" w:hAnsi="宋体" w:eastAsia="宋体" w:cs="Times New Roman"/>
          <w:b/>
          <w:bCs/>
          <w:sz w:val="32"/>
          <w:szCs w:val="32"/>
        </w:rPr>
        <w:instrText xml:space="preserve"> TOC \o "1-1" \h \z \u </w:instrText>
      </w:r>
      <w:r>
        <w:rPr>
          <w:rFonts w:ascii="宋体" w:hAnsi="宋体" w:eastAsia="宋体" w:cs="Times New Roman"/>
          <w:b/>
          <w:bCs/>
          <w:sz w:val="32"/>
          <w:szCs w:val="32"/>
        </w:rPr>
        <w:fldChar w:fldCharType="separate"/>
      </w:r>
      <w:r>
        <w:fldChar w:fldCharType="begin"/>
      </w:r>
      <w:r>
        <w:instrText xml:space="preserve"> HYPERLINK \l "_Toc219296782" </w:instrText>
      </w:r>
      <w:r>
        <w:fldChar w:fldCharType="separate"/>
      </w:r>
      <w:r>
        <w:rPr>
          <w:rStyle w:val="15"/>
          <w:rFonts w:ascii="宋体" w:hAnsi="宋体" w:eastAsia="宋体" w:cs="黑体"/>
        </w:rPr>
        <w:t>前  言</w:t>
      </w:r>
      <w:r>
        <w:rPr>
          <w:rFonts w:ascii="宋体" w:hAnsi="宋体" w:eastAsia="宋体"/>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_Toc219296782 \h </w:instrText>
      </w:r>
      <w:r>
        <w:rPr>
          <w:rFonts w:ascii="Times New Roman" w:hAnsi="Times New Roman" w:eastAsia="宋体" w:cs="Times New Roman"/>
        </w:rPr>
        <w:fldChar w:fldCharType="separate"/>
      </w:r>
      <w:r>
        <w:rPr>
          <w:rFonts w:ascii="Times New Roman" w:hAnsi="Times New Roman" w:eastAsia="宋体" w:cs="Times New Roman"/>
        </w:rPr>
        <w:t>II</w:t>
      </w:r>
      <w:r>
        <w:rPr>
          <w:rFonts w:ascii="Times New Roman" w:hAnsi="Times New Roman" w:eastAsia="宋体" w:cs="Times New Roman"/>
        </w:rPr>
        <w:fldChar w:fldCharType="end"/>
      </w:r>
      <w:r>
        <w:rPr>
          <w:rFonts w:ascii="Times New Roman" w:hAnsi="Times New Roman" w:eastAsia="宋体" w:cs="Times New Roman"/>
        </w:rPr>
        <w:fldChar w:fldCharType="end"/>
      </w:r>
    </w:p>
    <w:p w14:paraId="1749E438">
      <w:pPr>
        <w:pStyle w:val="7"/>
        <w:tabs>
          <w:tab w:val="right" w:leader="dot" w:pos="8296"/>
        </w:tabs>
        <w:rPr>
          <w:rFonts w:ascii="宋体" w:hAnsi="宋体" w:eastAsia="宋体"/>
        </w:rPr>
      </w:pPr>
      <w:r>
        <w:fldChar w:fldCharType="begin"/>
      </w:r>
      <w:r>
        <w:instrText xml:space="preserve"> HYPERLINK \l "_Toc219296783" </w:instrText>
      </w:r>
      <w:r>
        <w:fldChar w:fldCharType="separate"/>
      </w:r>
      <w:r>
        <w:rPr>
          <w:rStyle w:val="15"/>
          <w:rFonts w:ascii="宋体" w:hAnsi="宋体" w:eastAsia="宋体" w:cs="Times New Roman"/>
          <w:bCs/>
        </w:rPr>
        <w:t>1 范围</w:t>
      </w:r>
      <w:r>
        <w:rPr>
          <w:rFonts w:ascii="宋体" w:hAnsi="宋体" w:eastAsia="宋体"/>
        </w:rPr>
        <w:tab/>
      </w:r>
      <w:r>
        <w:rPr>
          <w:rFonts w:ascii="宋体" w:hAnsi="宋体" w:eastAsia="宋体"/>
        </w:rPr>
        <w:fldChar w:fldCharType="begin"/>
      </w:r>
      <w:r>
        <w:rPr>
          <w:rFonts w:ascii="宋体" w:hAnsi="宋体" w:eastAsia="宋体"/>
        </w:rPr>
        <w:instrText xml:space="preserve"> PAGEREF _Toc219296783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14:paraId="08C4F56A">
      <w:pPr>
        <w:pStyle w:val="7"/>
        <w:tabs>
          <w:tab w:val="right" w:leader="dot" w:pos="8296"/>
        </w:tabs>
        <w:rPr>
          <w:rFonts w:ascii="宋体" w:hAnsi="宋体" w:eastAsia="宋体"/>
        </w:rPr>
      </w:pPr>
      <w:r>
        <w:fldChar w:fldCharType="begin"/>
      </w:r>
      <w:r>
        <w:instrText xml:space="preserve"> HYPERLINK \l "_Toc219296784" </w:instrText>
      </w:r>
      <w:r>
        <w:fldChar w:fldCharType="separate"/>
      </w:r>
      <w:r>
        <w:rPr>
          <w:rStyle w:val="15"/>
          <w:rFonts w:ascii="宋体" w:hAnsi="宋体" w:eastAsia="宋体" w:cs="Times New Roman"/>
          <w:bCs/>
        </w:rPr>
        <w:t>2 规范性引用文件</w:t>
      </w:r>
      <w:r>
        <w:rPr>
          <w:rFonts w:ascii="宋体" w:hAnsi="宋体" w:eastAsia="宋体"/>
        </w:rPr>
        <w:tab/>
      </w:r>
      <w:r>
        <w:rPr>
          <w:rFonts w:ascii="宋体" w:hAnsi="宋体" w:eastAsia="宋体"/>
        </w:rPr>
        <w:fldChar w:fldCharType="begin"/>
      </w:r>
      <w:r>
        <w:rPr>
          <w:rFonts w:ascii="宋体" w:hAnsi="宋体" w:eastAsia="宋体"/>
        </w:rPr>
        <w:instrText xml:space="preserve"> PAGEREF _Toc219296784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14:paraId="07079869">
      <w:pPr>
        <w:pStyle w:val="7"/>
        <w:tabs>
          <w:tab w:val="right" w:leader="dot" w:pos="8296"/>
        </w:tabs>
        <w:rPr>
          <w:rFonts w:ascii="宋体" w:hAnsi="宋体" w:eastAsia="宋体"/>
        </w:rPr>
      </w:pPr>
      <w:r>
        <w:fldChar w:fldCharType="begin"/>
      </w:r>
      <w:r>
        <w:instrText xml:space="preserve"> HYPERLINK \l "_Toc219296785" </w:instrText>
      </w:r>
      <w:r>
        <w:fldChar w:fldCharType="separate"/>
      </w:r>
      <w:r>
        <w:rPr>
          <w:rStyle w:val="15"/>
          <w:rFonts w:ascii="宋体" w:hAnsi="宋体" w:eastAsia="宋体" w:cs="Times New Roman"/>
          <w:bCs/>
        </w:rPr>
        <w:t>3 术语和定义</w:t>
      </w:r>
      <w:r>
        <w:rPr>
          <w:rFonts w:ascii="宋体" w:hAnsi="宋体" w:eastAsia="宋体"/>
        </w:rPr>
        <w:tab/>
      </w:r>
      <w:r>
        <w:rPr>
          <w:rFonts w:ascii="宋体" w:hAnsi="宋体" w:eastAsia="宋体"/>
        </w:rPr>
        <w:fldChar w:fldCharType="begin"/>
      </w:r>
      <w:r>
        <w:rPr>
          <w:rFonts w:ascii="宋体" w:hAnsi="宋体" w:eastAsia="宋体"/>
        </w:rPr>
        <w:instrText xml:space="preserve"> PAGEREF _Toc219296785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14:paraId="496EB0C3">
      <w:pPr>
        <w:pStyle w:val="7"/>
        <w:tabs>
          <w:tab w:val="right" w:leader="dot" w:pos="8296"/>
        </w:tabs>
        <w:rPr>
          <w:rFonts w:ascii="宋体" w:hAnsi="宋体" w:eastAsia="宋体"/>
        </w:rPr>
      </w:pPr>
      <w:r>
        <w:fldChar w:fldCharType="begin"/>
      </w:r>
      <w:r>
        <w:instrText xml:space="preserve"> HYPERLINK \l "_Toc219296786" </w:instrText>
      </w:r>
      <w:r>
        <w:fldChar w:fldCharType="separate"/>
      </w:r>
      <w:r>
        <w:rPr>
          <w:rStyle w:val="15"/>
          <w:rFonts w:ascii="宋体" w:hAnsi="宋体" w:eastAsia="宋体" w:cs="Times New Roman"/>
          <w:bCs/>
        </w:rPr>
        <w:t>4 基本要求</w:t>
      </w:r>
      <w:r>
        <w:rPr>
          <w:rFonts w:ascii="宋体" w:hAnsi="宋体" w:eastAsia="宋体"/>
        </w:rPr>
        <w:tab/>
      </w:r>
      <w:r>
        <w:rPr>
          <w:rFonts w:ascii="宋体" w:hAnsi="宋体" w:eastAsia="宋体"/>
        </w:rPr>
        <w:fldChar w:fldCharType="begin"/>
      </w:r>
      <w:r>
        <w:rPr>
          <w:rFonts w:ascii="宋体" w:hAnsi="宋体" w:eastAsia="宋体"/>
        </w:rPr>
        <w:instrText xml:space="preserve"> PAGEREF _Toc219296786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14:paraId="368000A8">
      <w:pPr>
        <w:pStyle w:val="7"/>
        <w:tabs>
          <w:tab w:val="right" w:leader="dot" w:pos="8296"/>
        </w:tabs>
        <w:rPr>
          <w:rFonts w:ascii="宋体" w:hAnsi="宋体" w:eastAsia="宋体"/>
        </w:rPr>
      </w:pPr>
      <w:r>
        <w:fldChar w:fldCharType="begin"/>
      </w:r>
      <w:r>
        <w:instrText xml:space="preserve"> HYPERLINK \l "_Toc219296787" </w:instrText>
      </w:r>
      <w:r>
        <w:fldChar w:fldCharType="separate"/>
      </w:r>
      <w:r>
        <w:rPr>
          <w:rStyle w:val="15"/>
          <w:rFonts w:ascii="宋体" w:hAnsi="宋体" w:eastAsia="宋体" w:cs="Times New Roman"/>
          <w:bCs/>
        </w:rPr>
        <w:t>5 操作前评估</w:t>
      </w:r>
      <w:r>
        <w:rPr>
          <w:rFonts w:ascii="宋体" w:hAnsi="宋体" w:eastAsia="宋体"/>
        </w:rPr>
        <w:tab/>
      </w:r>
      <w:r>
        <w:rPr>
          <w:rFonts w:ascii="宋体" w:hAnsi="宋体" w:eastAsia="宋体"/>
        </w:rPr>
        <w:fldChar w:fldCharType="begin"/>
      </w:r>
      <w:r>
        <w:rPr>
          <w:rFonts w:ascii="宋体" w:hAnsi="宋体" w:eastAsia="宋体"/>
        </w:rPr>
        <w:instrText xml:space="preserve"> PAGEREF _Toc219296787 \h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fldChar w:fldCharType="end"/>
      </w:r>
    </w:p>
    <w:p w14:paraId="67A6025F">
      <w:pPr>
        <w:pStyle w:val="7"/>
        <w:tabs>
          <w:tab w:val="right" w:leader="dot" w:pos="8296"/>
        </w:tabs>
        <w:rPr>
          <w:rFonts w:ascii="宋体" w:hAnsi="宋体" w:eastAsia="宋体"/>
        </w:rPr>
      </w:pPr>
      <w:r>
        <w:fldChar w:fldCharType="begin"/>
      </w:r>
      <w:r>
        <w:instrText xml:space="preserve"> HYPERLINK \l "_Toc219296788" </w:instrText>
      </w:r>
      <w:r>
        <w:fldChar w:fldCharType="separate"/>
      </w:r>
      <w:r>
        <w:rPr>
          <w:rStyle w:val="15"/>
          <w:rFonts w:ascii="宋体" w:hAnsi="宋体" w:eastAsia="宋体" w:cs="Times New Roman"/>
          <w:bCs/>
        </w:rPr>
        <w:t>6 治疗时间、频率及脉宽和操作方法</w:t>
      </w:r>
      <w:r>
        <w:rPr>
          <w:rFonts w:ascii="宋体" w:hAnsi="宋体" w:eastAsia="宋体"/>
        </w:rPr>
        <w:tab/>
      </w:r>
      <w:r>
        <w:rPr>
          <w:rFonts w:ascii="宋体" w:hAnsi="宋体" w:eastAsia="宋体"/>
        </w:rPr>
        <w:fldChar w:fldCharType="begin"/>
      </w:r>
      <w:r>
        <w:rPr>
          <w:rFonts w:ascii="宋体" w:hAnsi="宋体" w:eastAsia="宋体"/>
        </w:rPr>
        <w:instrText xml:space="preserve"> PAGEREF _Toc219296788 \h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fldChar w:fldCharType="end"/>
      </w:r>
    </w:p>
    <w:p w14:paraId="66B5F271">
      <w:pPr>
        <w:pStyle w:val="7"/>
        <w:tabs>
          <w:tab w:val="right" w:leader="dot" w:pos="8296"/>
        </w:tabs>
        <w:rPr>
          <w:rFonts w:ascii="宋体" w:hAnsi="宋体" w:eastAsia="宋体"/>
        </w:rPr>
      </w:pPr>
      <w:r>
        <w:fldChar w:fldCharType="begin"/>
      </w:r>
      <w:r>
        <w:instrText xml:space="preserve"> HYPERLINK \l "_Toc219296789" </w:instrText>
      </w:r>
      <w:r>
        <w:fldChar w:fldCharType="separate"/>
      </w:r>
      <w:r>
        <w:rPr>
          <w:rStyle w:val="15"/>
          <w:rFonts w:ascii="宋体" w:hAnsi="宋体" w:eastAsia="宋体" w:cs="Times New Roman"/>
          <w:bCs/>
        </w:rPr>
        <w:t>7 注意事项</w:t>
      </w:r>
      <w:r>
        <w:rPr>
          <w:rFonts w:ascii="宋体" w:hAnsi="宋体" w:eastAsia="宋体"/>
        </w:rPr>
        <w:tab/>
      </w:r>
      <w:r>
        <w:rPr>
          <w:rFonts w:ascii="宋体" w:hAnsi="宋体" w:eastAsia="宋体"/>
        </w:rPr>
        <w:fldChar w:fldCharType="begin"/>
      </w:r>
      <w:r>
        <w:rPr>
          <w:rFonts w:ascii="宋体" w:hAnsi="宋体" w:eastAsia="宋体"/>
        </w:rPr>
        <w:instrText xml:space="preserve"> PAGEREF _Toc219296789 \h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fldChar w:fldCharType="end"/>
      </w:r>
    </w:p>
    <w:p w14:paraId="6D22C385">
      <w:pPr>
        <w:pStyle w:val="7"/>
        <w:tabs>
          <w:tab w:val="right" w:leader="dot" w:pos="8296"/>
        </w:tabs>
        <w:rPr>
          <w:rFonts w:ascii="宋体" w:hAnsi="宋体" w:eastAsia="宋体"/>
        </w:rPr>
      </w:pPr>
      <w:r>
        <w:fldChar w:fldCharType="begin"/>
      </w:r>
      <w:r>
        <w:instrText xml:space="preserve"> HYPERLINK \l "_Toc219296790" </w:instrText>
      </w:r>
      <w:r>
        <w:fldChar w:fldCharType="separate"/>
      </w:r>
      <w:r>
        <w:rPr>
          <w:rStyle w:val="15"/>
          <w:rFonts w:ascii="宋体" w:hAnsi="宋体" w:eastAsia="宋体" w:cs="Times New Roman"/>
          <w:bCs/>
        </w:rPr>
        <w:t>8 常见并发症的预防和处理</w:t>
      </w:r>
      <w:r>
        <w:rPr>
          <w:rFonts w:ascii="宋体" w:hAnsi="宋体" w:eastAsia="宋体"/>
        </w:rPr>
        <w:tab/>
      </w:r>
      <w:r>
        <w:rPr>
          <w:rFonts w:ascii="宋体" w:hAnsi="宋体" w:eastAsia="宋体"/>
        </w:rPr>
        <w:fldChar w:fldCharType="begin"/>
      </w:r>
      <w:r>
        <w:rPr>
          <w:rFonts w:ascii="宋体" w:hAnsi="宋体" w:eastAsia="宋体"/>
        </w:rPr>
        <w:instrText xml:space="preserve"> PAGEREF _Toc219296790 \h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fldChar w:fldCharType="end"/>
      </w:r>
    </w:p>
    <w:p w14:paraId="69B3C9CA">
      <w:pPr>
        <w:pStyle w:val="7"/>
        <w:tabs>
          <w:tab w:val="right" w:leader="dot" w:pos="8296"/>
        </w:tabs>
        <w:rPr>
          <w:rFonts w:ascii="宋体" w:hAnsi="宋体" w:eastAsia="宋体"/>
        </w:rPr>
      </w:pPr>
      <w:r>
        <w:fldChar w:fldCharType="begin"/>
      </w:r>
      <w:r>
        <w:instrText xml:space="preserve"> HYPERLINK \l "_Toc219296791" </w:instrText>
      </w:r>
      <w:r>
        <w:fldChar w:fldCharType="separate"/>
      </w:r>
      <w:r>
        <w:rPr>
          <w:rStyle w:val="15"/>
          <w:rFonts w:ascii="宋体" w:hAnsi="宋体" w:eastAsia="宋体" w:cs="Times New Roman"/>
          <w:bCs/>
        </w:rPr>
        <w:t>9 健康教育及随访</w:t>
      </w:r>
      <w:r>
        <w:rPr>
          <w:rFonts w:ascii="宋体" w:hAnsi="宋体" w:eastAsia="宋体"/>
        </w:rPr>
        <w:tab/>
      </w:r>
      <w:r>
        <w:rPr>
          <w:rFonts w:ascii="宋体" w:hAnsi="宋体" w:eastAsia="宋体"/>
        </w:rPr>
        <w:fldChar w:fldCharType="begin"/>
      </w:r>
      <w:r>
        <w:rPr>
          <w:rFonts w:ascii="宋体" w:hAnsi="宋体" w:eastAsia="宋体"/>
        </w:rPr>
        <w:instrText xml:space="preserve"> PAGEREF _Toc219296791 \h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fldChar w:fldCharType="end"/>
      </w:r>
    </w:p>
    <w:p w14:paraId="3151299E">
      <w:pPr>
        <w:pStyle w:val="7"/>
        <w:tabs>
          <w:tab w:val="right" w:leader="dot" w:pos="8296"/>
        </w:tabs>
        <w:rPr>
          <w:rFonts w:ascii="宋体" w:hAnsi="宋体" w:eastAsia="宋体"/>
        </w:rPr>
      </w:pPr>
      <w:r>
        <w:fldChar w:fldCharType="begin"/>
      </w:r>
      <w:r>
        <w:instrText xml:space="preserve"> HYPERLINK \l "_Toc219296792" </w:instrText>
      </w:r>
      <w:r>
        <w:fldChar w:fldCharType="separate"/>
      </w:r>
      <w:r>
        <w:rPr>
          <w:rStyle w:val="15"/>
          <w:rFonts w:ascii="宋体" w:hAnsi="宋体" w:eastAsia="宋体" w:cs="黑体"/>
          <w:bCs/>
        </w:rPr>
        <w:t>附 录 A</w:t>
      </w:r>
      <w:r>
        <w:rPr>
          <w:rStyle w:val="15"/>
          <w:rFonts w:hint="eastAsia" w:ascii="宋体" w:hAnsi="宋体" w:eastAsia="宋体" w:cs="黑体"/>
          <w:bCs/>
        </w:rPr>
        <w:t>（规范性）无创胫神经调控技术操作流程</w:t>
      </w:r>
      <w:r>
        <w:rPr>
          <w:rFonts w:ascii="宋体" w:hAnsi="宋体" w:eastAsia="宋体"/>
        </w:rPr>
        <w:tab/>
      </w:r>
      <w:r>
        <w:rPr>
          <w:rFonts w:ascii="宋体" w:hAnsi="宋体" w:eastAsia="宋体"/>
        </w:rPr>
        <w:fldChar w:fldCharType="begin"/>
      </w:r>
      <w:r>
        <w:rPr>
          <w:rFonts w:ascii="宋体" w:hAnsi="宋体" w:eastAsia="宋体"/>
        </w:rPr>
        <w:instrText xml:space="preserve"> PAGEREF _Toc219296792 \h </w:instrText>
      </w:r>
      <w:r>
        <w:rPr>
          <w:rFonts w:ascii="宋体" w:hAnsi="宋体" w:eastAsia="宋体"/>
        </w:rPr>
        <w:fldChar w:fldCharType="separate"/>
      </w:r>
      <w:r>
        <w:rPr>
          <w:rFonts w:ascii="宋体" w:hAnsi="宋体" w:eastAsia="宋体"/>
        </w:rPr>
        <w:t>4</w:t>
      </w:r>
      <w:r>
        <w:rPr>
          <w:rFonts w:ascii="宋体" w:hAnsi="宋体" w:eastAsia="宋体"/>
        </w:rPr>
        <w:fldChar w:fldCharType="end"/>
      </w:r>
      <w:r>
        <w:rPr>
          <w:rFonts w:ascii="宋体" w:hAnsi="宋体" w:eastAsia="宋体"/>
        </w:rPr>
        <w:fldChar w:fldCharType="end"/>
      </w:r>
    </w:p>
    <w:p w14:paraId="64EE1981">
      <w:pPr>
        <w:widowControl/>
        <w:spacing w:line="360" w:lineRule="auto"/>
        <w:jc w:val="center"/>
        <w:rPr>
          <w:rFonts w:ascii="宋体" w:hAnsi="宋体" w:eastAsia="宋体" w:cs="Times New Roman"/>
          <w:b/>
          <w:bCs/>
          <w:sz w:val="32"/>
          <w:szCs w:val="32"/>
        </w:rPr>
      </w:pPr>
      <w:r>
        <w:rPr>
          <w:rFonts w:ascii="宋体" w:hAnsi="宋体" w:eastAsia="宋体" w:cs="Times New Roman"/>
          <w:b/>
          <w:bCs/>
          <w:sz w:val="32"/>
          <w:szCs w:val="32"/>
        </w:rPr>
        <w:fldChar w:fldCharType="end"/>
      </w:r>
    </w:p>
    <w:p w14:paraId="7882FB3C">
      <w:pPr>
        <w:pStyle w:val="7"/>
        <w:jc w:val="center"/>
        <w:rPr>
          <w:rFonts w:ascii="黑体" w:hAnsi="黑体" w:eastAsia="黑体" w:cs="黑体"/>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6793E392">
      <w:pPr>
        <w:pStyle w:val="7"/>
        <w:spacing w:before="156" w:beforeLines="50" w:after="156" w:afterLines="50"/>
        <w:jc w:val="center"/>
        <w:outlineLvl w:val="0"/>
        <w:rPr>
          <w:rFonts w:ascii="黑体" w:hAnsi="黑体" w:eastAsia="黑体" w:cs="黑体"/>
          <w:sz w:val="32"/>
          <w:szCs w:val="32"/>
        </w:rPr>
      </w:pPr>
      <w:bookmarkStart w:id="2" w:name="_Toc219296782"/>
      <w:r>
        <w:rPr>
          <w:rFonts w:hint="eastAsia" w:ascii="黑体" w:hAnsi="黑体" w:eastAsia="黑体" w:cs="黑体"/>
          <w:sz w:val="32"/>
          <w:szCs w:val="32"/>
        </w:rPr>
        <w:t>前  言</w:t>
      </w:r>
      <w:bookmarkEnd w:id="2"/>
    </w:p>
    <w:p w14:paraId="3CC91962">
      <w:pPr>
        <w:spacing w:line="360" w:lineRule="auto"/>
        <w:rPr>
          <w:rFonts w:ascii="宋体" w:hAnsi="宋体" w:eastAsia="宋体" w:cs="Times New Roman"/>
          <w:sz w:val="24"/>
          <w:szCs w:val="24"/>
        </w:rPr>
      </w:pPr>
    </w:p>
    <w:p w14:paraId="138250B4">
      <w:pPr>
        <w:ind w:firstLine="420" w:firstLineChars="200"/>
        <w:rPr>
          <w:rFonts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文件</w:t>
      </w:r>
      <w:r>
        <w:rPr>
          <w:rFonts w:ascii="宋体" w:hAnsi="宋体" w:eastAsia="宋体" w:cs="Times New Roman"/>
          <w:szCs w:val="21"/>
        </w:rPr>
        <w:t>按照GB/T 1.1—2020</w:t>
      </w:r>
      <w:r>
        <w:rPr>
          <w:rFonts w:hint="eastAsia" w:ascii="宋体" w:hAnsi="宋体" w:eastAsia="宋体" w:cs="Times New Roman"/>
          <w:szCs w:val="21"/>
        </w:rPr>
        <w:t>《标准化工作导则 第1部分：标准化文件的结构和起草规则》的规定</w:t>
      </w:r>
      <w:r>
        <w:rPr>
          <w:rFonts w:ascii="宋体" w:hAnsi="宋体" w:eastAsia="宋体" w:cs="Times New Roman"/>
          <w:szCs w:val="21"/>
        </w:rPr>
        <w:t>起草。</w:t>
      </w:r>
    </w:p>
    <w:p w14:paraId="7B2EAE42">
      <w:pPr>
        <w:pStyle w:val="46"/>
        <w:rPr>
          <w:rFonts w:ascii="宋体" w:hAnsi="宋体"/>
        </w:rPr>
      </w:pPr>
      <w:r>
        <w:rPr>
          <w:rFonts w:hint="eastAsia"/>
        </w:rPr>
        <w:t>请注意本文件的某些内容可能涉及专利。本文件的发布机构不承担识别专利的责任。</w:t>
      </w:r>
    </w:p>
    <w:p w14:paraId="6F481B77">
      <w:pPr>
        <w:ind w:firstLine="420" w:firstLineChars="200"/>
        <w:rPr>
          <w:rFonts w:ascii="宋体" w:hAnsi="宋体" w:eastAsia="宋体" w:cs="Times New Roman"/>
          <w:szCs w:val="21"/>
        </w:rPr>
      </w:pPr>
      <w:r>
        <w:rPr>
          <w:rFonts w:hint="eastAsia" w:ascii="宋体" w:hAnsi="宋体" w:eastAsia="宋体" w:cs="Times New Roman"/>
          <w:szCs w:val="21"/>
        </w:rPr>
        <w:t>本文件由中国研究型医院学会</w:t>
      </w:r>
      <w:r>
        <w:rPr>
          <w:rFonts w:hint="eastAsia" w:ascii="宋体" w:hAnsi="宋体" w:eastAsia="宋体" w:cs="Times New Roman"/>
          <w:color w:val="FF0000"/>
          <w:szCs w:val="21"/>
        </w:rPr>
        <w:t>XXX分会/专业委员会</w:t>
      </w:r>
      <w:r>
        <w:rPr>
          <w:rFonts w:hint="eastAsia" w:ascii="宋体" w:hAnsi="宋体" w:eastAsia="宋体" w:cs="Times New Roman"/>
          <w:szCs w:val="21"/>
        </w:rPr>
        <w:t>提出。</w:t>
      </w:r>
    </w:p>
    <w:p w14:paraId="4A41BDA0">
      <w:pPr>
        <w:ind w:firstLine="420" w:firstLineChars="200"/>
        <w:rPr>
          <w:rFonts w:ascii="宋体" w:hAnsi="宋体" w:eastAsia="宋体" w:cs="Times New Roman"/>
          <w:szCs w:val="21"/>
        </w:rPr>
      </w:pPr>
      <w:r>
        <w:rPr>
          <w:rFonts w:hint="eastAsia" w:ascii="宋体" w:hAnsi="宋体" w:eastAsia="宋体" w:cs="Times New Roman"/>
          <w:szCs w:val="21"/>
        </w:rPr>
        <w:t>本文件由中国研究型医院学会归口。</w:t>
      </w:r>
    </w:p>
    <w:p w14:paraId="71762D3B">
      <w:pPr>
        <w:ind w:firstLine="420" w:firstLineChars="200"/>
        <w:rPr>
          <w:rFonts w:ascii="宋体" w:hAnsi="宋体" w:eastAsia="宋体" w:cs="Times New Roman"/>
          <w:szCs w:val="21"/>
        </w:rPr>
      </w:pPr>
      <w:r>
        <w:rPr>
          <w:rFonts w:hint="eastAsia" w:ascii="宋体" w:hAnsi="宋体" w:eastAsia="宋体" w:cs="Times New Roman"/>
          <w:szCs w:val="21"/>
        </w:rPr>
        <w:t>本文件起草单位：。</w:t>
      </w:r>
    </w:p>
    <w:p w14:paraId="2AB7B08F">
      <w:pPr>
        <w:ind w:firstLine="420" w:firstLineChars="200"/>
        <w:rPr>
          <w:rFonts w:ascii="宋体" w:hAnsi="宋体" w:eastAsia="宋体" w:cs="Times New Roman"/>
          <w:szCs w:val="21"/>
        </w:rPr>
      </w:pPr>
      <w:r>
        <w:rPr>
          <w:rFonts w:hint="eastAsia" w:ascii="宋体" w:hAnsi="宋体" w:eastAsia="宋体" w:cs="Times New Roman"/>
          <w:szCs w:val="21"/>
        </w:rPr>
        <w:t>本文件起草人：。</w:t>
      </w:r>
    </w:p>
    <w:p w14:paraId="70A824E5">
      <w:pPr>
        <w:ind w:firstLine="420" w:firstLineChars="200"/>
        <w:rPr>
          <w:rFonts w:ascii="宋体" w:hAnsi="宋体"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宋体" w:hAnsi="宋体" w:eastAsia="宋体" w:cs="Times New Roman"/>
          <w:szCs w:val="21"/>
        </w:rPr>
        <w:br w:type="page"/>
      </w:r>
    </w:p>
    <w:p w14:paraId="31FB0250">
      <w:pPr>
        <w:spacing w:before="156" w:beforeLines="50" w:after="156" w:afterLines="50"/>
        <w:jc w:val="center"/>
        <w:rPr>
          <w:rFonts w:ascii="黑体" w:hAnsi="黑体" w:eastAsia="黑体" w:cs="黑体"/>
          <w:sz w:val="28"/>
          <w:szCs w:val="28"/>
        </w:rPr>
      </w:pPr>
      <w:r>
        <w:rPr>
          <w:rFonts w:hint="eastAsia" w:ascii="黑体" w:hAnsi="黑体" w:eastAsia="黑体" w:cs="黑体"/>
          <w:sz w:val="32"/>
          <w:szCs w:val="32"/>
        </w:rPr>
        <w:t>无创胫神经调控技术规范</w:t>
      </w:r>
    </w:p>
    <w:p w14:paraId="5937C6F8">
      <w:pPr>
        <w:pStyle w:val="17"/>
        <w:spacing w:before="312" w:beforeLines="100" w:after="312" w:afterLines="100"/>
        <w:ind w:firstLine="0" w:firstLineChars="0"/>
        <w:jc w:val="left"/>
        <w:outlineLvl w:val="0"/>
        <w:rPr>
          <w:rFonts w:ascii="黑体" w:hAnsi="黑体" w:eastAsia="黑体" w:cs="Times New Roman"/>
          <w:bCs/>
          <w:szCs w:val="21"/>
        </w:rPr>
      </w:pPr>
      <w:bookmarkStart w:id="3" w:name="_Toc219296783"/>
      <w:r>
        <w:rPr>
          <w:rFonts w:hint="eastAsia" w:ascii="黑体" w:hAnsi="黑体" w:eastAsia="黑体" w:cs="Times New Roman"/>
          <w:bCs/>
          <w:szCs w:val="21"/>
        </w:rPr>
        <w:t>1</w:t>
      </w:r>
      <w:r>
        <w:rPr>
          <w:rFonts w:ascii="黑体" w:hAnsi="黑体" w:eastAsia="黑体" w:cs="Times New Roman"/>
          <w:bCs/>
          <w:szCs w:val="21"/>
        </w:rPr>
        <w:t xml:space="preserve"> </w:t>
      </w:r>
      <w:r>
        <w:rPr>
          <w:rFonts w:hint="eastAsia" w:ascii="黑体" w:hAnsi="黑体" w:eastAsia="黑体" w:cs="Times New Roman"/>
          <w:bCs/>
          <w:szCs w:val="21"/>
        </w:rPr>
        <w:t>范围</w:t>
      </w:r>
      <w:bookmarkEnd w:id="3"/>
    </w:p>
    <w:p w14:paraId="7880E7C6">
      <w:pPr>
        <w:ind w:firstLine="420" w:firstLineChars="200"/>
        <w:jc w:val="left"/>
        <w:rPr>
          <w:rFonts w:ascii="宋体" w:hAnsi="宋体" w:eastAsia="宋体" w:cs="宋体"/>
          <w:szCs w:val="21"/>
        </w:rPr>
      </w:pPr>
      <w:r>
        <w:rPr>
          <w:rFonts w:hint="eastAsia" w:ascii="宋体" w:hAnsi="宋体" w:eastAsia="宋体" w:cs="宋体"/>
          <w:szCs w:val="21"/>
        </w:rPr>
        <w:t>本文件规定了成人胫神经电刺激调控术的适应证、禁忌症、评估、操作前准备、操作过程、注意事项和健康教育。</w:t>
      </w:r>
    </w:p>
    <w:p w14:paraId="4E94987C">
      <w:pPr>
        <w:ind w:firstLine="420" w:firstLineChars="200"/>
        <w:jc w:val="left"/>
        <w:rPr>
          <w:rFonts w:hint="eastAsia" w:ascii="宋体" w:hAnsi="宋体" w:eastAsia="宋体" w:cs="宋体"/>
          <w:szCs w:val="21"/>
        </w:rPr>
      </w:pPr>
      <w:r>
        <w:rPr>
          <w:rFonts w:hint="eastAsia" w:ascii="宋体" w:hAnsi="宋体" w:eastAsia="宋体" w:cs="宋体"/>
          <w:szCs w:val="21"/>
        </w:rPr>
        <w:t>本文件适用于各级各类医疗卫生机构等有执业资格的医务人员。</w:t>
      </w:r>
    </w:p>
    <w:p w14:paraId="12791698">
      <w:pPr>
        <w:pStyle w:val="17"/>
        <w:spacing w:before="312" w:beforeLines="100" w:after="312" w:afterLines="100"/>
        <w:ind w:firstLine="0" w:firstLineChars="0"/>
        <w:jc w:val="left"/>
        <w:outlineLvl w:val="0"/>
        <w:rPr>
          <w:rFonts w:ascii="黑体" w:hAnsi="黑体" w:eastAsia="黑体" w:cs="Times New Roman"/>
          <w:bCs/>
          <w:szCs w:val="21"/>
        </w:rPr>
      </w:pPr>
      <w:bookmarkStart w:id="4" w:name="_Toc219296784"/>
      <w:r>
        <w:rPr>
          <w:rFonts w:hint="eastAsia" w:ascii="黑体" w:hAnsi="黑体" w:eastAsia="黑体" w:cs="Times New Roman"/>
          <w:bCs/>
          <w:szCs w:val="21"/>
        </w:rPr>
        <w:t>2</w:t>
      </w:r>
      <w:r>
        <w:rPr>
          <w:rFonts w:ascii="黑体" w:hAnsi="黑体" w:eastAsia="黑体" w:cs="Times New Roman"/>
          <w:bCs/>
          <w:szCs w:val="21"/>
        </w:rPr>
        <w:t xml:space="preserve"> </w:t>
      </w:r>
      <w:r>
        <w:rPr>
          <w:rFonts w:hint="eastAsia" w:ascii="黑体" w:hAnsi="黑体" w:eastAsia="黑体" w:cs="Times New Roman"/>
          <w:bCs/>
          <w:szCs w:val="21"/>
        </w:rPr>
        <w:t>规范性引用文件</w:t>
      </w:r>
      <w:bookmarkEnd w:id="4"/>
    </w:p>
    <w:p w14:paraId="4166EB6A">
      <w:pPr>
        <w:ind w:firstLine="404" w:firstLineChars="200"/>
        <w:rPr>
          <w:rFonts w:ascii="Times New Roman" w:hAnsi="Times New Roman" w:eastAsia="宋体" w:cs="Times New Roman"/>
          <w:szCs w:val="21"/>
        </w:rPr>
      </w:pPr>
      <w:r>
        <w:rPr>
          <w:rFonts w:hint="eastAsia" w:ascii="宋体" w:hAnsi="宋体" w:eastAsia="宋体" w:cs="宋体"/>
          <w:color w:val="000000" w:themeColor="text1"/>
          <w:spacing w:val="-4"/>
          <w:szCs w:val="21"/>
          <w14:textFill>
            <w14:solidFill>
              <w14:schemeClr w14:val="tx1"/>
            </w14:solidFill>
          </w14:textFill>
        </w:rPr>
        <w:t>本文件无规范性引用文件。</w:t>
      </w:r>
    </w:p>
    <w:p w14:paraId="2F8DAC73">
      <w:pPr>
        <w:pStyle w:val="17"/>
        <w:spacing w:before="312" w:beforeLines="100" w:after="312" w:afterLines="100"/>
        <w:ind w:firstLine="0" w:firstLineChars="0"/>
        <w:jc w:val="left"/>
        <w:outlineLvl w:val="0"/>
        <w:rPr>
          <w:rFonts w:ascii="黑体" w:hAnsi="黑体" w:eastAsia="黑体" w:cs="Times New Roman"/>
          <w:bCs/>
          <w:szCs w:val="21"/>
        </w:rPr>
      </w:pPr>
      <w:bookmarkStart w:id="5" w:name="_Toc219296785"/>
      <w:r>
        <w:rPr>
          <w:rFonts w:hint="eastAsia" w:ascii="黑体" w:hAnsi="黑体" w:eastAsia="黑体" w:cs="Times New Roman"/>
          <w:bCs/>
          <w:szCs w:val="21"/>
        </w:rPr>
        <w:t>3</w:t>
      </w:r>
      <w:r>
        <w:rPr>
          <w:rFonts w:ascii="黑体" w:hAnsi="黑体" w:eastAsia="黑体" w:cs="Times New Roman"/>
          <w:bCs/>
          <w:szCs w:val="21"/>
        </w:rPr>
        <w:t xml:space="preserve"> </w:t>
      </w:r>
      <w:r>
        <w:rPr>
          <w:rFonts w:hint="eastAsia" w:ascii="黑体" w:hAnsi="黑体" w:eastAsia="黑体" w:cs="Times New Roman"/>
          <w:bCs/>
          <w:szCs w:val="21"/>
        </w:rPr>
        <w:t>术语和定义</w:t>
      </w:r>
      <w:bookmarkEnd w:id="5"/>
    </w:p>
    <w:p w14:paraId="37BD90A1">
      <w:pPr>
        <w:ind w:firstLine="420" w:firstLineChars="200"/>
        <w:jc w:val="left"/>
        <w:rPr>
          <w:rFonts w:ascii="宋体" w:hAnsi="宋体" w:eastAsia="宋体" w:cs="Times New Roman"/>
          <w:bCs/>
          <w:szCs w:val="21"/>
        </w:rPr>
      </w:pPr>
      <w:r>
        <w:rPr>
          <w:rFonts w:hint="eastAsia" w:ascii="宋体" w:hAnsi="宋体" w:eastAsia="宋体" w:cs="Times New Roman"/>
          <w:bCs/>
          <w:szCs w:val="21"/>
        </w:rPr>
        <w:t>下列术语和定义适用于本文件。</w:t>
      </w:r>
    </w:p>
    <w:p w14:paraId="0EEE3812">
      <w:pPr>
        <w:pStyle w:val="17"/>
        <w:spacing w:before="156" w:beforeLines="50" w:after="156" w:afterLines="50"/>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3</w:t>
      </w:r>
      <w:r>
        <w:rPr>
          <w:rFonts w:ascii="黑体" w:hAnsi="黑体" w:eastAsia="黑体" w:cs="Times New Roman"/>
          <w:bCs/>
          <w:szCs w:val="21"/>
        </w:rPr>
        <w:t>.1</w:t>
      </w:r>
    </w:p>
    <w:p w14:paraId="2F8522FE">
      <w:pPr>
        <w:pStyle w:val="17"/>
        <w:jc w:val="left"/>
        <w:rPr>
          <w:rFonts w:ascii="Times New Roman" w:hAnsi="Times New Roman" w:eastAsia="宋体" w:cs="Times New Roman"/>
          <w:b/>
          <w:szCs w:val="21"/>
        </w:rPr>
      </w:pPr>
      <w:r>
        <w:rPr>
          <w:rFonts w:hint="eastAsia" w:ascii="Times New Roman" w:hAnsi="Times New Roman" w:eastAsia="黑体" w:cs="Times New Roman"/>
          <w:bCs/>
          <w:szCs w:val="21"/>
        </w:rPr>
        <w:t>胫神经</w:t>
      </w:r>
      <w:r>
        <w:rPr>
          <w:rFonts w:ascii="Times New Roman" w:hAnsi="Times New Roman" w:eastAsia="黑体" w:cs="Times New Roman"/>
          <w:bCs/>
          <w:szCs w:val="21"/>
        </w:rPr>
        <w:t xml:space="preserve"> Tibial nerve</w:t>
      </w:r>
    </w:p>
    <w:p w14:paraId="5A0F8B1B">
      <w:pPr>
        <w:ind w:firstLine="420" w:firstLineChars="200"/>
        <w:jc w:val="left"/>
        <w:rPr>
          <w:rFonts w:ascii="宋体" w:hAnsi="宋体" w:eastAsia="宋体" w:cs="Times New Roman"/>
          <w:szCs w:val="21"/>
        </w:rPr>
      </w:pPr>
      <w:r>
        <w:rPr>
          <w:rFonts w:hint="eastAsia" w:ascii="宋体" w:hAnsi="宋体" w:eastAsia="宋体" w:cs="Times New Roman"/>
          <w:szCs w:val="21"/>
        </w:rPr>
        <w:t>胫神经作为坐骨神经干的延续，是一种混合性感觉运动神经</w:t>
      </w:r>
      <w:r>
        <w:rPr>
          <w:rFonts w:ascii="宋体" w:hAnsi="宋体" w:eastAsia="宋体" w:cs="Times New Roman"/>
          <w:szCs w:val="21"/>
        </w:rPr>
        <w:t>,其包括L4-S3节段的神经纤维,这些神经纤维起源于相同的脊髓节段,发出分支支配膀胱与盆底。</w:t>
      </w:r>
    </w:p>
    <w:p w14:paraId="1C137859">
      <w:pPr>
        <w:pStyle w:val="17"/>
        <w:spacing w:before="156" w:beforeLines="50" w:after="156" w:afterLines="50"/>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3</w:t>
      </w:r>
      <w:r>
        <w:rPr>
          <w:rFonts w:ascii="黑体" w:hAnsi="黑体" w:eastAsia="黑体" w:cs="Times New Roman"/>
          <w:bCs/>
          <w:szCs w:val="21"/>
        </w:rPr>
        <w:t>.2</w:t>
      </w:r>
    </w:p>
    <w:p w14:paraId="31FCA508">
      <w:pPr>
        <w:pStyle w:val="17"/>
        <w:jc w:val="left"/>
        <w:rPr>
          <w:rFonts w:ascii="Times New Roman" w:hAnsi="Times New Roman" w:eastAsia="宋体" w:cs="Times New Roman"/>
          <w:b/>
          <w:szCs w:val="21"/>
        </w:rPr>
      </w:pPr>
      <w:r>
        <w:rPr>
          <w:rFonts w:hint="eastAsia" w:ascii="Times New Roman" w:hAnsi="Times New Roman" w:eastAsia="黑体" w:cs="Times New Roman"/>
          <w:bCs/>
          <w:szCs w:val="21"/>
        </w:rPr>
        <w:t>胫神经电刺激</w:t>
      </w:r>
      <w:r>
        <w:rPr>
          <w:rFonts w:ascii="Times New Roman" w:hAnsi="Times New Roman" w:eastAsia="黑体" w:cs="Times New Roman"/>
          <w:bCs/>
          <w:szCs w:val="21"/>
        </w:rPr>
        <w:t xml:space="preserve"> Tibial nerve stimulation</w:t>
      </w:r>
    </w:p>
    <w:p w14:paraId="4453EE4F">
      <w:pPr>
        <w:ind w:firstLine="420" w:firstLineChars="200"/>
        <w:jc w:val="left"/>
        <w:rPr>
          <w:rFonts w:ascii="宋体" w:hAnsi="宋体" w:eastAsia="宋体" w:cs="Times New Roman"/>
          <w:szCs w:val="21"/>
        </w:rPr>
      </w:pPr>
      <w:r>
        <w:rPr>
          <w:rFonts w:hint="eastAsia" w:ascii="宋体" w:hAnsi="宋体" w:eastAsia="宋体" w:cs="Times New Roman"/>
          <w:szCs w:val="21"/>
        </w:rPr>
        <w:t>胫神经电刺激是通过电刺激踝部靠近中医针灸的三阴交穴位的胫神经走形区域，从而调节膀胱、尿道括约肌及盆底等骶神经支配效应器官的行为，进而治疗尿急、尿频、遗尿、尿失禁和尿潴留等下尿路功能障碍。</w:t>
      </w:r>
    </w:p>
    <w:p w14:paraId="518E21F6">
      <w:pPr>
        <w:pStyle w:val="17"/>
        <w:spacing w:before="312" w:beforeLines="100" w:after="312" w:afterLines="100"/>
        <w:ind w:firstLine="0" w:firstLineChars="0"/>
        <w:jc w:val="left"/>
        <w:outlineLvl w:val="0"/>
        <w:rPr>
          <w:rFonts w:ascii="黑体" w:hAnsi="黑体" w:eastAsia="黑体" w:cs="Times New Roman"/>
          <w:bCs/>
          <w:szCs w:val="21"/>
        </w:rPr>
      </w:pPr>
      <w:bookmarkStart w:id="6" w:name="_Toc219296786"/>
      <w:r>
        <w:rPr>
          <w:rFonts w:hint="eastAsia" w:ascii="黑体" w:hAnsi="黑体" w:eastAsia="黑体" w:cs="Times New Roman"/>
          <w:bCs/>
          <w:szCs w:val="21"/>
        </w:rPr>
        <w:t>4</w:t>
      </w:r>
      <w:r>
        <w:rPr>
          <w:rFonts w:ascii="黑体" w:hAnsi="黑体" w:eastAsia="黑体" w:cs="Times New Roman"/>
          <w:bCs/>
          <w:szCs w:val="21"/>
        </w:rPr>
        <w:t xml:space="preserve"> </w:t>
      </w:r>
      <w:r>
        <w:rPr>
          <w:rFonts w:hint="eastAsia" w:ascii="黑体" w:hAnsi="黑体" w:eastAsia="黑体" w:cs="Times New Roman"/>
          <w:bCs/>
          <w:szCs w:val="21"/>
        </w:rPr>
        <w:t>基本要求</w:t>
      </w:r>
      <w:bookmarkEnd w:id="6"/>
    </w:p>
    <w:p w14:paraId="2A1DAF95">
      <w:pPr>
        <w:pStyle w:val="17"/>
        <w:ind w:firstLine="0" w:firstLineChars="0"/>
        <w:jc w:val="left"/>
        <w:rPr>
          <w:rFonts w:ascii="宋体" w:hAnsi="宋体" w:eastAsia="宋体" w:cs="Times New Roman"/>
          <w:bCs/>
          <w:szCs w:val="21"/>
        </w:rPr>
      </w:pPr>
      <w:r>
        <w:rPr>
          <w:rFonts w:ascii="黑体" w:hAnsi="黑体" w:eastAsia="黑体" w:cs="Times New Roman"/>
          <w:bCs/>
          <w:szCs w:val="21"/>
        </w:rPr>
        <w:t>4.1</w:t>
      </w:r>
      <w:r>
        <w:rPr>
          <w:rFonts w:ascii="宋体" w:hAnsi="宋体" w:eastAsia="宋体" w:cs="Times New Roman"/>
          <w:bCs/>
          <w:szCs w:val="21"/>
        </w:rPr>
        <w:t xml:space="preserve"> 操作者应经过专业人员培训。</w:t>
      </w:r>
    </w:p>
    <w:p w14:paraId="4FE5A3E5">
      <w:pPr>
        <w:pStyle w:val="17"/>
        <w:ind w:firstLine="0" w:firstLineChars="0"/>
        <w:jc w:val="left"/>
        <w:rPr>
          <w:rFonts w:ascii="宋体" w:hAnsi="宋体" w:eastAsia="宋体" w:cs="Times New Roman"/>
          <w:bCs/>
          <w:szCs w:val="21"/>
        </w:rPr>
      </w:pPr>
      <w:r>
        <w:rPr>
          <w:rFonts w:ascii="黑体" w:hAnsi="黑体" w:eastAsia="黑体" w:cs="Times New Roman"/>
          <w:bCs/>
          <w:szCs w:val="21"/>
        </w:rPr>
        <w:t>4.2</w:t>
      </w:r>
      <w:r>
        <w:rPr>
          <w:rFonts w:ascii="宋体" w:hAnsi="宋体" w:eastAsia="宋体" w:cs="Times New Roman"/>
          <w:bCs/>
          <w:szCs w:val="21"/>
        </w:rPr>
        <w:t xml:space="preserve"> 应遵医嘱执行，确认符合操作适应证，治疗前、中、后均需对病情进行评估。</w:t>
      </w:r>
    </w:p>
    <w:p w14:paraId="37CD6DF2">
      <w:pPr>
        <w:pStyle w:val="17"/>
        <w:ind w:firstLine="0" w:firstLineChars="0"/>
        <w:jc w:val="left"/>
        <w:rPr>
          <w:rFonts w:ascii="宋体" w:hAnsi="宋体" w:eastAsia="宋体" w:cs="Times New Roman"/>
          <w:bCs/>
          <w:szCs w:val="21"/>
        </w:rPr>
      </w:pPr>
      <w:r>
        <w:rPr>
          <w:rFonts w:ascii="黑体" w:hAnsi="黑体" w:eastAsia="黑体" w:cs="Times New Roman"/>
          <w:bCs/>
          <w:szCs w:val="21"/>
        </w:rPr>
        <w:t>4.3</w:t>
      </w:r>
      <w:r>
        <w:rPr>
          <w:rFonts w:ascii="宋体" w:hAnsi="宋体" w:eastAsia="宋体" w:cs="Times New Roman"/>
          <w:bCs/>
          <w:szCs w:val="21"/>
        </w:rPr>
        <w:t xml:space="preserve"> 操作者根据胫神经走形区域判定合适的刺激位置进行刺激，记录刺激起止时间、频率、脉宽及强度数据。</w:t>
      </w:r>
    </w:p>
    <w:p w14:paraId="62D21DA1">
      <w:pPr>
        <w:pStyle w:val="17"/>
        <w:ind w:firstLine="0" w:firstLineChars="0"/>
        <w:jc w:val="left"/>
        <w:rPr>
          <w:rFonts w:ascii="宋体" w:hAnsi="宋体" w:eastAsia="宋体" w:cs="Times New Roman"/>
          <w:bCs/>
          <w:szCs w:val="21"/>
        </w:rPr>
      </w:pPr>
      <w:r>
        <w:rPr>
          <w:rFonts w:ascii="黑体" w:hAnsi="黑体" w:eastAsia="黑体" w:cs="Times New Roman"/>
          <w:bCs/>
          <w:szCs w:val="21"/>
        </w:rPr>
        <w:t>4.4</w:t>
      </w:r>
      <w:r>
        <w:rPr>
          <w:rFonts w:ascii="宋体" w:hAnsi="宋体" w:eastAsia="宋体" w:cs="Times New Roman"/>
          <w:bCs/>
          <w:szCs w:val="21"/>
        </w:rPr>
        <w:t xml:space="preserve"> 应根据设定的随访周期定期记录排尿日记、评估量表数据。</w:t>
      </w:r>
    </w:p>
    <w:p w14:paraId="4A511481">
      <w:pPr>
        <w:pStyle w:val="17"/>
        <w:spacing w:before="312" w:beforeLines="100" w:after="312" w:afterLines="100"/>
        <w:ind w:firstLine="0" w:firstLineChars="0"/>
        <w:jc w:val="left"/>
        <w:outlineLvl w:val="0"/>
        <w:rPr>
          <w:rFonts w:ascii="黑体" w:hAnsi="黑体" w:eastAsia="黑体" w:cs="Times New Roman"/>
          <w:bCs/>
          <w:szCs w:val="21"/>
        </w:rPr>
      </w:pPr>
      <w:bookmarkStart w:id="7" w:name="_Toc219296787"/>
      <w:r>
        <w:rPr>
          <w:rFonts w:ascii="黑体" w:hAnsi="黑体" w:eastAsia="黑体" w:cs="Times New Roman"/>
          <w:bCs/>
          <w:szCs w:val="21"/>
        </w:rPr>
        <w:t>5 操作前评估</w:t>
      </w:r>
      <w:bookmarkEnd w:id="7"/>
    </w:p>
    <w:p w14:paraId="4047E122">
      <w:pPr>
        <w:spacing w:before="156" w:beforeLines="50" w:after="156" w:afterLines="50"/>
        <w:jc w:val="left"/>
        <w:rPr>
          <w:rFonts w:ascii="黑体" w:hAnsi="黑体" w:eastAsia="黑体" w:cs="黑体"/>
          <w:bCs/>
          <w:szCs w:val="21"/>
        </w:rPr>
      </w:pPr>
      <w:r>
        <w:rPr>
          <w:rFonts w:ascii="黑体" w:hAnsi="黑体" w:eastAsia="黑体" w:cs="黑体"/>
          <w:bCs/>
          <w:szCs w:val="21"/>
        </w:rPr>
        <w:t>5.1 评估</w:t>
      </w:r>
    </w:p>
    <w:p w14:paraId="238C7421">
      <w:pPr>
        <w:ind w:firstLine="420" w:firstLineChars="200"/>
        <w:jc w:val="left"/>
        <w:rPr>
          <w:rFonts w:ascii="宋体" w:hAnsi="宋体" w:eastAsia="宋体" w:cs="Times New Roman"/>
          <w:bCs/>
          <w:szCs w:val="21"/>
        </w:rPr>
      </w:pPr>
      <w:r>
        <w:rPr>
          <w:rFonts w:ascii="宋体" w:hAnsi="宋体" w:eastAsia="宋体" w:cs="Times New Roman"/>
          <w:bCs/>
          <w:szCs w:val="21"/>
        </w:rPr>
        <w:t>应由医务人员首次评估患者的适应证</w:t>
      </w:r>
      <w:r>
        <w:rPr>
          <w:rFonts w:hint="eastAsia" w:ascii="宋体" w:hAnsi="宋体" w:eastAsia="宋体" w:cs="Times New Roman"/>
          <w:bCs/>
          <w:szCs w:val="21"/>
        </w:rPr>
        <w:t>。</w:t>
      </w:r>
    </w:p>
    <w:p w14:paraId="17BB822F">
      <w:pPr>
        <w:spacing w:before="156" w:beforeLines="50" w:after="156" w:afterLines="50"/>
        <w:jc w:val="left"/>
        <w:rPr>
          <w:rFonts w:ascii="黑体" w:hAnsi="黑体" w:eastAsia="黑体" w:cs="黑体"/>
          <w:bCs/>
          <w:szCs w:val="21"/>
        </w:rPr>
      </w:pPr>
      <w:r>
        <w:rPr>
          <w:rFonts w:ascii="黑体" w:hAnsi="黑体" w:eastAsia="黑体" w:cs="黑体"/>
          <w:bCs/>
          <w:szCs w:val="21"/>
        </w:rPr>
        <w:t>5.2 查对医嘱</w:t>
      </w:r>
    </w:p>
    <w:p w14:paraId="5E4FD29B">
      <w:pPr>
        <w:ind w:firstLine="420" w:firstLineChars="200"/>
        <w:jc w:val="left"/>
        <w:rPr>
          <w:rFonts w:ascii="宋体" w:hAnsi="宋体" w:eastAsia="宋体" w:cs="Times New Roman"/>
          <w:bCs/>
          <w:szCs w:val="21"/>
        </w:rPr>
      </w:pPr>
      <w:r>
        <w:rPr>
          <w:rFonts w:ascii="宋体" w:hAnsi="宋体" w:eastAsia="宋体" w:cs="Times New Roman"/>
          <w:bCs/>
          <w:szCs w:val="21"/>
        </w:rPr>
        <w:t>无创胫神经刺激的频率、脉宽、强度</w:t>
      </w:r>
      <w:r>
        <w:rPr>
          <w:rFonts w:hint="eastAsia" w:ascii="宋体" w:hAnsi="宋体" w:eastAsia="宋体" w:cs="Times New Roman"/>
          <w:bCs/>
          <w:szCs w:val="21"/>
        </w:rPr>
        <w:t>。</w:t>
      </w:r>
    </w:p>
    <w:p w14:paraId="374F5C20">
      <w:pPr>
        <w:pStyle w:val="17"/>
        <w:spacing w:before="312" w:beforeLines="100" w:after="312" w:afterLines="100"/>
        <w:ind w:firstLine="0" w:firstLineChars="0"/>
        <w:jc w:val="left"/>
        <w:outlineLvl w:val="0"/>
        <w:rPr>
          <w:rFonts w:ascii="黑体" w:hAnsi="黑体" w:eastAsia="黑体" w:cs="Times New Roman"/>
          <w:bCs/>
          <w:szCs w:val="21"/>
        </w:rPr>
      </w:pPr>
      <w:bookmarkStart w:id="8" w:name="_Toc219296788"/>
      <w:r>
        <w:rPr>
          <w:rFonts w:ascii="黑体" w:hAnsi="黑体" w:eastAsia="黑体" w:cs="Times New Roman"/>
          <w:bCs/>
          <w:szCs w:val="21"/>
        </w:rPr>
        <w:t>6 治疗时间、频率及脉宽和操作方法</w:t>
      </w:r>
      <w:bookmarkEnd w:id="8"/>
    </w:p>
    <w:p w14:paraId="6576F61D">
      <w:pPr>
        <w:spacing w:before="156" w:beforeLines="50" w:after="156" w:afterLines="50"/>
        <w:jc w:val="left"/>
        <w:rPr>
          <w:rFonts w:hint="eastAsia" w:ascii="黑体" w:hAnsi="黑体" w:eastAsia="黑体" w:cs="黑体"/>
          <w:bCs/>
          <w:szCs w:val="21"/>
        </w:rPr>
      </w:pPr>
      <w:r>
        <w:rPr>
          <w:rFonts w:ascii="黑体" w:hAnsi="黑体" w:eastAsia="黑体" w:cs="黑体"/>
          <w:bCs/>
          <w:szCs w:val="21"/>
        </w:rPr>
        <w:t>6.1治疗时间</w:t>
      </w:r>
    </w:p>
    <w:p w14:paraId="7A8E0CF7">
      <w:pPr>
        <w:ind w:firstLine="420" w:firstLineChars="200"/>
        <w:jc w:val="left"/>
        <w:rPr>
          <w:rFonts w:ascii="宋体" w:hAnsi="宋体" w:eastAsia="宋体" w:cs="Times New Roman"/>
          <w:bCs/>
          <w:szCs w:val="21"/>
        </w:rPr>
      </w:pPr>
      <w:r>
        <w:rPr>
          <w:rFonts w:ascii="宋体" w:hAnsi="宋体" w:eastAsia="宋体" w:cs="Times New Roman"/>
          <w:bCs/>
          <w:szCs w:val="21"/>
        </w:rPr>
        <w:t>应根据患者排尿日记、评分及医嘱, 选择不同的刺激频率和刺激脉宽（刺激电流大小由患者在所能承受的刺激强度范围内自行选择）进行TTNS治疗。</w:t>
      </w:r>
    </w:p>
    <w:p w14:paraId="5BB6F918">
      <w:pPr>
        <w:spacing w:before="156" w:beforeLines="50" w:after="156" w:afterLines="50"/>
        <w:jc w:val="left"/>
        <w:rPr>
          <w:rFonts w:hint="eastAsia" w:ascii="黑体" w:hAnsi="黑体" w:eastAsia="黑体" w:cs="黑体"/>
          <w:bCs/>
          <w:szCs w:val="21"/>
        </w:rPr>
      </w:pPr>
      <w:r>
        <w:rPr>
          <w:rFonts w:ascii="黑体" w:hAnsi="黑体" w:eastAsia="黑体" w:cs="黑体"/>
          <w:bCs/>
          <w:szCs w:val="21"/>
        </w:rPr>
        <w:t>6.2频率及脉宽</w:t>
      </w:r>
    </w:p>
    <w:p w14:paraId="36945BAA">
      <w:pPr>
        <w:pStyle w:val="17"/>
        <w:jc w:val="left"/>
        <w:rPr>
          <w:rFonts w:ascii="宋体" w:hAnsi="宋体" w:eastAsia="宋体" w:cs="Times New Roman"/>
          <w:bCs/>
          <w:szCs w:val="21"/>
        </w:rPr>
      </w:pPr>
      <w:r>
        <w:rPr>
          <w:rFonts w:hint="eastAsia" w:ascii="宋体" w:hAnsi="宋体" w:eastAsia="宋体" w:cs="Times New Roman"/>
          <w:bCs/>
          <w:szCs w:val="21"/>
        </w:rPr>
        <w:t>——</w:t>
      </w:r>
      <w:r>
        <w:rPr>
          <w:rFonts w:ascii="宋体" w:hAnsi="宋体" w:eastAsia="宋体" w:cs="Times New Roman"/>
          <w:bCs/>
          <w:szCs w:val="21"/>
        </w:rPr>
        <w:t>对于膀胱过度活动综合症（OAB）的患者起始参数可以选择20赫兹、200微秒脉宽，后续参数调整可降低刺激频率至9-14赫兹、增加刺激脉宽至220-330微秒。</w:t>
      </w:r>
    </w:p>
    <w:p w14:paraId="748D4D04">
      <w:pPr>
        <w:pStyle w:val="17"/>
        <w:jc w:val="left"/>
        <w:rPr>
          <w:rFonts w:ascii="宋体" w:hAnsi="宋体" w:eastAsia="宋体" w:cs="Times New Roman"/>
          <w:bCs/>
          <w:szCs w:val="21"/>
        </w:rPr>
      </w:pPr>
      <w:r>
        <w:rPr>
          <w:rFonts w:hint="eastAsia" w:ascii="宋体" w:hAnsi="宋体" w:eastAsia="宋体" w:cs="Times New Roman"/>
          <w:bCs/>
          <w:szCs w:val="21"/>
        </w:rPr>
        <w:t>——对于排尿困难、尿潴留、间质性膀胱炎等患者起始参数可选择</w:t>
      </w:r>
      <w:r>
        <w:rPr>
          <w:rFonts w:ascii="宋体" w:hAnsi="宋体" w:eastAsia="宋体" w:cs="Times New Roman"/>
          <w:bCs/>
          <w:szCs w:val="21"/>
        </w:rPr>
        <w:t>20赫兹、220微秒，后续参数调整可提高刺激频率至24-40赫兹、增加刺激脉宽至240-330微秒。</w:t>
      </w:r>
    </w:p>
    <w:p w14:paraId="0DE6202E">
      <w:pPr>
        <w:spacing w:before="156" w:beforeLines="50" w:after="156" w:afterLines="50"/>
        <w:jc w:val="left"/>
        <w:rPr>
          <w:rFonts w:hint="eastAsia" w:ascii="黑体" w:hAnsi="黑体" w:eastAsia="黑体" w:cs="黑体"/>
          <w:bCs/>
          <w:szCs w:val="21"/>
        </w:rPr>
      </w:pPr>
      <w:r>
        <w:rPr>
          <w:rFonts w:ascii="黑体" w:hAnsi="黑体" w:eastAsia="黑体" w:cs="黑体"/>
          <w:bCs/>
          <w:szCs w:val="21"/>
        </w:rPr>
        <w:t>6.3操作方法</w:t>
      </w:r>
    </w:p>
    <w:p w14:paraId="6BD07E7F">
      <w:pPr>
        <w:pStyle w:val="17"/>
        <w:jc w:val="left"/>
        <w:rPr>
          <w:rFonts w:ascii="宋体" w:hAnsi="宋体" w:eastAsia="宋体" w:cs="Times New Roman"/>
          <w:bCs/>
          <w:szCs w:val="21"/>
        </w:rPr>
      </w:pPr>
      <w:r>
        <w:rPr>
          <w:rFonts w:hint="eastAsia" w:ascii="宋体" w:hAnsi="宋体" w:eastAsia="宋体" w:cs="Times New Roman"/>
          <w:bCs/>
          <w:szCs w:val="21"/>
        </w:rPr>
        <w:t>——</w:t>
      </w:r>
      <w:r>
        <w:rPr>
          <w:rFonts w:ascii="宋体" w:hAnsi="宋体" w:eastAsia="宋体" w:cs="Times New Roman"/>
          <w:bCs/>
          <w:szCs w:val="21"/>
        </w:rPr>
        <w:t>取电量正常的无创胫神经刺激器；</w:t>
      </w:r>
    </w:p>
    <w:p w14:paraId="3891CBA4">
      <w:pPr>
        <w:pStyle w:val="17"/>
        <w:jc w:val="left"/>
        <w:rPr>
          <w:rFonts w:ascii="宋体" w:hAnsi="宋体" w:eastAsia="宋体" w:cs="Times New Roman"/>
          <w:bCs/>
          <w:szCs w:val="21"/>
        </w:rPr>
      </w:pPr>
      <w:r>
        <w:rPr>
          <w:rFonts w:hint="eastAsia" w:ascii="宋体" w:hAnsi="宋体" w:eastAsia="宋体" w:cs="Times New Roman"/>
          <w:bCs/>
          <w:szCs w:val="21"/>
        </w:rPr>
        <w:t>——取一对神经肌肉刺激器用体表电极，并将电极纽扣按压于刺激器背面</w:t>
      </w:r>
      <w:r>
        <w:rPr>
          <w:rFonts w:ascii="宋体" w:hAnsi="宋体" w:eastAsia="宋体" w:cs="Times New Roman"/>
          <w:bCs/>
          <w:szCs w:val="21"/>
        </w:rPr>
        <w:t xml:space="preserve"> ；</w:t>
      </w:r>
    </w:p>
    <w:p w14:paraId="4C3E3602">
      <w:pPr>
        <w:pStyle w:val="17"/>
        <w:jc w:val="left"/>
        <w:rPr>
          <w:rFonts w:ascii="宋体" w:hAnsi="宋体" w:eastAsia="宋体" w:cs="Times New Roman"/>
          <w:bCs/>
          <w:szCs w:val="21"/>
        </w:rPr>
      </w:pPr>
      <w:r>
        <w:rPr>
          <w:rFonts w:hint="eastAsia" w:ascii="宋体" w:hAnsi="宋体" w:eastAsia="宋体" w:cs="Times New Roman"/>
          <w:bCs/>
          <w:szCs w:val="21"/>
        </w:rPr>
        <w:t>——撕去电极背面的透明保护膜，充分暴露电极凝胶区域</w:t>
      </w:r>
      <w:r>
        <w:rPr>
          <w:rFonts w:ascii="宋体" w:hAnsi="宋体" w:eastAsia="宋体" w:cs="Times New Roman"/>
          <w:bCs/>
          <w:szCs w:val="21"/>
        </w:rPr>
        <w:t xml:space="preserve">; </w:t>
      </w:r>
    </w:p>
    <w:p w14:paraId="09AAC5FE">
      <w:pPr>
        <w:pStyle w:val="17"/>
        <w:jc w:val="left"/>
        <w:rPr>
          <w:rFonts w:ascii="宋体" w:hAnsi="宋体" w:eastAsia="宋体" w:cs="Times New Roman"/>
          <w:bCs/>
          <w:szCs w:val="21"/>
        </w:rPr>
      </w:pPr>
      <w:r>
        <w:rPr>
          <w:rFonts w:hint="eastAsia" w:ascii="宋体" w:hAnsi="宋体" w:eastAsia="宋体" w:cs="Times New Roman"/>
          <w:bCs/>
          <w:szCs w:val="21"/>
        </w:rPr>
        <w:t>——将前序处理好的器械佩戴于内踝部靠近中医针灸三阴交穴位的胫神经走形区域；</w:t>
      </w:r>
    </w:p>
    <w:p w14:paraId="777A5DE3">
      <w:pPr>
        <w:pStyle w:val="17"/>
        <w:jc w:val="left"/>
        <w:rPr>
          <w:rFonts w:ascii="宋体" w:hAnsi="宋体" w:eastAsia="宋体" w:cs="Times New Roman"/>
          <w:bCs/>
          <w:szCs w:val="21"/>
        </w:rPr>
      </w:pPr>
      <w:r>
        <w:rPr>
          <w:rFonts w:hint="eastAsia" w:ascii="宋体" w:hAnsi="宋体" w:eastAsia="宋体" w:cs="Times New Roman"/>
          <w:bCs/>
          <w:szCs w:val="21"/>
        </w:rPr>
        <w:t>——进行刺激测试，根据测试结果设定适合患者个体的刺激参数；</w:t>
      </w:r>
    </w:p>
    <w:p w14:paraId="2C70CBA5">
      <w:pPr>
        <w:pStyle w:val="17"/>
        <w:jc w:val="left"/>
        <w:rPr>
          <w:rFonts w:ascii="宋体" w:hAnsi="宋体" w:eastAsia="宋体" w:cs="Times New Roman"/>
          <w:bCs/>
          <w:szCs w:val="21"/>
        </w:rPr>
      </w:pPr>
      <w:r>
        <w:rPr>
          <w:rFonts w:hint="eastAsia" w:ascii="宋体" w:hAnsi="宋体" w:eastAsia="宋体" w:cs="Times New Roman"/>
          <w:bCs/>
          <w:szCs w:val="21"/>
        </w:rPr>
        <w:t>——开启刺激至刺激倒计时结束；</w:t>
      </w:r>
    </w:p>
    <w:p w14:paraId="7E414E48">
      <w:pPr>
        <w:pStyle w:val="17"/>
        <w:jc w:val="left"/>
        <w:rPr>
          <w:rFonts w:ascii="宋体" w:hAnsi="宋体" w:eastAsia="宋体" w:cs="Times New Roman"/>
          <w:bCs/>
          <w:szCs w:val="21"/>
        </w:rPr>
      </w:pPr>
      <w:r>
        <w:rPr>
          <w:rFonts w:hint="eastAsia" w:ascii="宋体" w:hAnsi="宋体" w:eastAsia="宋体" w:cs="Times New Roman"/>
          <w:bCs/>
          <w:szCs w:val="21"/>
        </w:rPr>
        <w:t>——取下刺激器。</w:t>
      </w:r>
    </w:p>
    <w:p w14:paraId="2A651C17">
      <w:pPr>
        <w:pStyle w:val="17"/>
        <w:spacing w:before="312" w:beforeLines="100" w:after="312" w:afterLines="100"/>
        <w:ind w:firstLine="0" w:firstLineChars="0"/>
        <w:jc w:val="left"/>
        <w:outlineLvl w:val="0"/>
        <w:rPr>
          <w:rFonts w:ascii="黑体" w:hAnsi="黑体" w:eastAsia="黑体" w:cs="Times New Roman"/>
          <w:bCs/>
          <w:szCs w:val="21"/>
        </w:rPr>
      </w:pPr>
      <w:bookmarkStart w:id="9" w:name="_Toc219296789"/>
      <w:r>
        <w:rPr>
          <w:rFonts w:ascii="黑体" w:hAnsi="黑体" w:eastAsia="黑体" w:cs="Times New Roman"/>
          <w:bCs/>
          <w:szCs w:val="21"/>
        </w:rPr>
        <w:t>7 注意事项</w:t>
      </w:r>
      <w:bookmarkEnd w:id="9"/>
    </w:p>
    <w:p w14:paraId="03F3629E">
      <w:pPr>
        <w:pStyle w:val="17"/>
        <w:ind w:firstLine="0" w:firstLineChars="0"/>
        <w:jc w:val="left"/>
        <w:rPr>
          <w:rFonts w:ascii="宋体" w:hAnsi="宋体" w:eastAsia="宋体" w:cs="Times New Roman"/>
          <w:bCs/>
          <w:szCs w:val="21"/>
        </w:rPr>
      </w:pPr>
      <w:r>
        <w:rPr>
          <w:rFonts w:hint="eastAsia" w:ascii="黑体" w:hAnsi="黑体" w:eastAsia="黑体" w:cs="Times New Roman"/>
          <w:bCs/>
          <w:szCs w:val="21"/>
        </w:rPr>
        <w:t>7</w:t>
      </w:r>
      <w:r>
        <w:rPr>
          <w:rFonts w:ascii="黑体" w:hAnsi="黑体" w:eastAsia="黑体" w:cs="Times New Roman"/>
          <w:bCs/>
          <w:szCs w:val="21"/>
        </w:rPr>
        <w:t>.1</w:t>
      </w:r>
      <w:r>
        <w:rPr>
          <w:rFonts w:ascii="宋体" w:hAnsi="宋体" w:eastAsia="宋体" w:cs="Times New Roman"/>
          <w:bCs/>
          <w:szCs w:val="21"/>
        </w:rPr>
        <w:t xml:space="preserve"> </w:t>
      </w:r>
      <w:r>
        <w:rPr>
          <w:rFonts w:hint="eastAsia" w:ascii="宋体" w:hAnsi="宋体" w:eastAsia="宋体" w:cs="Times New Roman"/>
          <w:bCs/>
          <w:szCs w:val="21"/>
        </w:rPr>
        <w:t>联合用药患者无需更改原定方案，联合胫神经电刺激一起治疗；</w:t>
      </w:r>
    </w:p>
    <w:p w14:paraId="2B1B0D15">
      <w:pPr>
        <w:pStyle w:val="17"/>
        <w:ind w:firstLine="0" w:firstLineChars="0"/>
        <w:jc w:val="left"/>
        <w:rPr>
          <w:rFonts w:ascii="宋体" w:hAnsi="宋体" w:eastAsia="宋体" w:cs="Times New Roman"/>
          <w:bCs/>
          <w:szCs w:val="21"/>
        </w:rPr>
      </w:pPr>
      <w:r>
        <w:rPr>
          <w:rFonts w:hint="eastAsia" w:ascii="黑体" w:hAnsi="黑体" w:eastAsia="黑体" w:cs="Times New Roman"/>
          <w:bCs/>
          <w:szCs w:val="21"/>
        </w:rPr>
        <w:t>7</w:t>
      </w:r>
      <w:r>
        <w:rPr>
          <w:rFonts w:ascii="黑体" w:hAnsi="黑体" w:eastAsia="黑体" w:cs="Times New Roman"/>
          <w:bCs/>
          <w:szCs w:val="21"/>
        </w:rPr>
        <w:t xml:space="preserve">.2 </w:t>
      </w:r>
      <w:r>
        <w:rPr>
          <w:rFonts w:hint="eastAsia" w:ascii="宋体" w:hAnsi="宋体" w:eastAsia="宋体" w:cs="Times New Roman"/>
          <w:bCs/>
          <w:szCs w:val="21"/>
        </w:rPr>
        <w:t>操作人员根据患者评估情况选择单侧或双侧胫神经刺激；</w:t>
      </w:r>
    </w:p>
    <w:p w14:paraId="47D1B59F">
      <w:pPr>
        <w:pStyle w:val="17"/>
        <w:ind w:firstLine="0" w:firstLineChars="0"/>
        <w:jc w:val="left"/>
        <w:rPr>
          <w:rFonts w:ascii="宋体" w:hAnsi="宋体" w:eastAsia="宋体" w:cs="Times New Roman"/>
          <w:bCs/>
          <w:szCs w:val="21"/>
        </w:rPr>
      </w:pPr>
      <w:r>
        <w:rPr>
          <w:rFonts w:hint="eastAsia" w:ascii="黑体" w:hAnsi="黑体" w:eastAsia="黑体" w:cs="Times New Roman"/>
          <w:bCs/>
          <w:szCs w:val="21"/>
        </w:rPr>
        <w:t>7</w:t>
      </w:r>
      <w:r>
        <w:rPr>
          <w:rFonts w:ascii="黑体" w:hAnsi="黑体" w:eastAsia="黑体" w:cs="Times New Roman"/>
          <w:bCs/>
          <w:szCs w:val="21"/>
        </w:rPr>
        <w:t xml:space="preserve">.3 </w:t>
      </w:r>
      <w:r>
        <w:rPr>
          <w:rFonts w:hint="eastAsia" w:ascii="宋体" w:hAnsi="宋体" w:eastAsia="宋体" w:cs="Times New Roman"/>
          <w:bCs/>
          <w:szCs w:val="21"/>
        </w:rPr>
        <w:t>开机后，电流强度逐步调整至第一趾屈肌收缩和（或）其余脚趾扇形展开，或脚底有刺痛感，此后略微降低刺激强度。</w:t>
      </w:r>
    </w:p>
    <w:p w14:paraId="53316A2E">
      <w:pPr>
        <w:pStyle w:val="17"/>
        <w:spacing w:before="312" w:beforeLines="100" w:after="312" w:afterLines="100"/>
        <w:ind w:firstLine="0" w:firstLineChars="0"/>
        <w:jc w:val="left"/>
        <w:outlineLvl w:val="0"/>
        <w:rPr>
          <w:rFonts w:ascii="黑体" w:hAnsi="黑体" w:eastAsia="黑体" w:cs="Times New Roman"/>
          <w:bCs/>
          <w:szCs w:val="21"/>
        </w:rPr>
      </w:pPr>
      <w:bookmarkStart w:id="10" w:name="_Toc219296790"/>
      <w:r>
        <w:rPr>
          <w:rFonts w:ascii="黑体" w:hAnsi="黑体" w:eastAsia="黑体" w:cs="Times New Roman"/>
          <w:bCs/>
          <w:szCs w:val="21"/>
        </w:rPr>
        <w:t>8 常见并发症的预防和处理</w:t>
      </w:r>
      <w:bookmarkEnd w:id="10"/>
    </w:p>
    <w:p w14:paraId="29C34340">
      <w:pPr>
        <w:pStyle w:val="17"/>
        <w:jc w:val="left"/>
        <w:rPr>
          <w:rFonts w:ascii="宋体" w:hAnsi="宋体" w:eastAsia="宋体" w:cs="Times New Roman"/>
          <w:bCs/>
          <w:szCs w:val="21"/>
        </w:rPr>
      </w:pPr>
      <w:r>
        <w:rPr>
          <w:rFonts w:hint="eastAsia" w:ascii="宋体" w:hAnsi="宋体" w:eastAsia="宋体" w:cs="Times New Roman"/>
          <w:bCs/>
          <w:szCs w:val="21"/>
        </w:rPr>
        <w:t>无创胫神经刺激主要并发症为过敏和刺激部位刺痛感。</w:t>
      </w:r>
    </w:p>
    <w:p w14:paraId="7325EAEB">
      <w:pPr>
        <w:spacing w:before="156" w:beforeLines="50" w:after="156" w:afterLines="50"/>
        <w:jc w:val="left"/>
        <w:rPr>
          <w:rFonts w:hint="eastAsia" w:ascii="黑体" w:hAnsi="黑体" w:eastAsia="黑体" w:cs="黑体"/>
          <w:bCs/>
          <w:szCs w:val="21"/>
        </w:rPr>
      </w:pPr>
      <w:r>
        <w:rPr>
          <w:rFonts w:ascii="黑体" w:hAnsi="黑体" w:eastAsia="黑体" w:cs="黑体"/>
          <w:bCs/>
          <w:szCs w:val="21"/>
        </w:rPr>
        <w:t>8.1 皮肤过敏</w:t>
      </w:r>
    </w:p>
    <w:p w14:paraId="42F7AE3D">
      <w:pPr>
        <w:pStyle w:val="17"/>
        <w:jc w:val="left"/>
        <w:rPr>
          <w:rFonts w:ascii="宋体" w:hAnsi="宋体" w:eastAsia="宋体" w:cs="Times New Roman"/>
          <w:bCs/>
          <w:szCs w:val="21"/>
        </w:rPr>
      </w:pPr>
      <w:r>
        <w:rPr>
          <w:rFonts w:ascii="宋体" w:hAnsi="宋体" w:eastAsia="宋体" w:cs="Times New Roman"/>
          <w:bCs/>
          <w:szCs w:val="21"/>
        </w:rPr>
        <w:t>少数患者可能会对贴片电极材料过敏，出现贴片处局部发红或斑疹，一般停止治疗后一周内即可恢复。</w:t>
      </w:r>
    </w:p>
    <w:p w14:paraId="3E39C970">
      <w:pPr>
        <w:spacing w:before="156" w:beforeLines="50" w:after="156" w:afterLines="50"/>
        <w:jc w:val="left"/>
        <w:rPr>
          <w:rFonts w:hint="eastAsia" w:ascii="黑体" w:hAnsi="黑体" w:eastAsia="黑体" w:cs="黑体"/>
          <w:bCs/>
          <w:szCs w:val="21"/>
        </w:rPr>
      </w:pPr>
      <w:r>
        <w:rPr>
          <w:rFonts w:ascii="黑体" w:hAnsi="黑体" w:eastAsia="黑体" w:cs="黑体"/>
          <w:bCs/>
          <w:szCs w:val="21"/>
        </w:rPr>
        <w:t>8.2刺痛感</w:t>
      </w:r>
    </w:p>
    <w:p w14:paraId="32E438A5">
      <w:pPr>
        <w:pStyle w:val="17"/>
        <w:jc w:val="left"/>
        <w:rPr>
          <w:rFonts w:ascii="宋体" w:hAnsi="宋体" w:eastAsia="宋体" w:cs="Times New Roman"/>
          <w:bCs/>
          <w:szCs w:val="21"/>
        </w:rPr>
      </w:pPr>
      <w:r>
        <w:rPr>
          <w:rFonts w:ascii="宋体" w:hAnsi="宋体" w:eastAsia="宋体" w:cs="Times New Roman"/>
          <w:bCs/>
          <w:szCs w:val="21"/>
        </w:rPr>
        <w:t>部分患者首次使用电刺激时，可能出现刺激部位刺痛，一般降低刺激强度即可消失。使用时先给予较小电流，逐渐提高刺激强度，以患者出现脚趾屈曲反应或刺激感但不会因刺激不适为宜。</w:t>
      </w:r>
    </w:p>
    <w:p w14:paraId="785DEDA7">
      <w:pPr>
        <w:pStyle w:val="17"/>
        <w:spacing w:before="312" w:beforeLines="100" w:after="312" w:afterLines="100"/>
        <w:ind w:firstLine="0" w:firstLineChars="0"/>
        <w:jc w:val="left"/>
        <w:outlineLvl w:val="0"/>
        <w:rPr>
          <w:rFonts w:ascii="黑体" w:hAnsi="黑体" w:eastAsia="黑体" w:cs="Times New Roman"/>
          <w:bCs/>
          <w:szCs w:val="21"/>
        </w:rPr>
      </w:pPr>
      <w:bookmarkStart w:id="11" w:name="_Toc219296791"/>
      <w:r>
        <w:rPr>
          <w:rFonts w:ascii="黑体" w:hAnsi="黑体" w:eastAsia="黑体" w:cs="Times New Roman"/>
          <w:bCs/>
          <w:szCs w:val="21"/>
        </w:rPr>
        <w:t>9 健康教育及随访</w:t>
      </w:r>
      <w:bookmarkEnd w:id="11"/>
    </w:p>
    <w:p w14:paraId="185296CB">
      <w:pPr>
        <w:spacing w:before="156" w:beforeLines="50" w:after="156" w:afterLines="50"/>
        <w:jc w:val="left"/>
        <w:rPr>
          <w:rFonts w:hint="eastAsia" w:ascii="黑体" w:hAnsi="黑体" w:eastAsia="黑体" w:cs="黑体"/>
          <w:bCs/>
          <w:szCs w:val="21"/>
        </w:rPr>
      </w:pPr>
      <w:r>
        <w:rPr>
          <w:rFonts w:ascii="黑体" w:hAnsi="黑体" w:eastAsia="黑体" w:cs="黑体"/>
          <w:bCs/>
          <w:szCs w:val="21"/>
        </w:rPr>
        <w:t>9.1健康教育</w:t>
      </w:r>
    </w:p>
    <w:p w14:paraId="46730618">
      <w:pPr>
        <w:pStyle w:val="17"/>
        <w:jc w:val="left"/>
        <w:rPr>
          <w:rFonts w:ascii="宋体" w:hAnsi="宋体" w:eastAsia="宋体" w:cs="Times New Roman"/>
          <w:bCs/>
          <w:szCs w:val="21"/>
        </w:rPr>
      </w:pPr>
      <w:r>
        <w:rPr>
          <w:rFonts w:ascii="宋体" w:hAnsi="宋体" w:eastAsia="宋体" w:cs="Times New Roman"/>
          <w:bCs/>
          <w:szCs w:val="21"/>
        </w:rPr>
        <w:t>无创胫神经刺激器使用过程中需提醒患者及家属注意事项的遵守。此外，应定期更换电极贴片以确保凝胶导电层的导电功能，若患者长期不更换电极贴片也可能导致局部疼痛或过敏症状的发生，因此需要提醒患者及时更换电极贴片。</w:t>
      </w:r>
    </w:p>
    <w:p w14:paraId="5E9B8699">
      <w:pPr>
        <w:spacing w:before="156" w:beforeLines="50" w:after="156" w:afterLines="50"/>
        <w:jc w:val="left"/>
        <w:rPr>
          <w:rFonts w:hint="eastAsia" w:ascii="黑体" w:hAnsi="黑体" w:eastAsia="黑体" w:cs="黑体"/>
          <w:bCs/>
          <w:szCs w:val="21"/>
        </w:rPr>
      </w:pPr>
      <w:r>
        <w:rPr>
          <w:rFonts w:ascii="黑体" w:hAnsi="黑体" w:eastAsia="黑体" w:cs="黑体"/>
          <w:bCs/>
          <w:szCs w:val="21"/>
        </w:rPr>
        <w:t>9.2随访</w:t>
      </w:r>
    </w:p>
    <w:p w14:paraId="4A4D0330">
      <w:pPr>
        <w:pStyle w:val="17"/>
        <w:jc w:val="left"/>
        <w:rPr>
          <w:rFonts w:ascii="宋体" w:hAnsi="宋体" w:eastAsia="宋体" w:cs="Times New Roman"/>
          <w:bCs/>
          <w:szCs w:val="21"/>
        </w:rPr>
      </w:pPr>
      <w:r>
        <w:rPr>
          <w:rFonts w:ascii="宋体" w:hAnsi="宋体" w:eastAsia="宋体" w:cs="Times New Roman"/>
          <w:bCs/>
          <w:szCs w:val="21"/>
        </w:rPr>
        <w:t>于患者使用前、使用后2周（若治疗过程中患者症状逐步改善一般不进行参数调整；若患者症状治疗 2 周后没有明显改善或治疗前期治疗效果较好，后续出现反复或加重情况，则指导患者进行参数调整）（各中心实际情况）、4周、此后每4周及停止使用后分别对患者进行随访。</w:t>
      </w:r>
    </w:p>
    <w:p w14:paraId="10803730">
      <w:pPr>
        <w:pBdr>
          <w:bottom w:val="single" w:color="auto" w:sz="4" w:space="0"/>
        </w:pBdr>
        <w:spacing w:before="156" w:beforeLines="50" w:after="156" w:afterLines="50"/>
        <w:ind w:firstLine="420" w:firstLineChars="200"/>
        <w:rPr>
          <w:rFonts w:ascii="宋体" w:hAnsi="宋体" w:eastAsia="宋体" w:cs="Times New Roman"/>
          <w:bCs/>
          <w:szCs w:val="21"/>
        </w:rPr>
      </w:pPr>
      <w:r>
        <w:rPr>
          <w:rFonts w:hint="eastAsia" w:ascii="宋体" w:hAnsi="宋体" w:eastAsia="宋体" w:cs="Times New Roman"/>
          <w:bCs/>
          <w:szCs w:val="21"/>
        </w:rPr>
        <w:br w:type="page"/>
      </w:r>
    </w:p>
    <w:p w14:paraId="7E3529BD">
      <w:pPr>
        <w:jc w:val="center"/>
        <w:outlineLvl w:val="0"/>
        <w:rPr>
          <w:rFonts w:hint="eastAsia" w:ascii="黑体" w:hAnsi="黑体" w:eastAsia="黑体" w:cs="黑体"/>
          <w:bCs/>
          <w:szCs w:val="21"/>
        </w:rPr>
      </w:pPr>
      <w:bookmarkStart w:id="12" w:name="_Toc219296792"/>
      <w:r>
        <w:rPr>
          <w:rFonts w:hint="eastAsia" w:ascii="黑体" w:hAnsi="黑体" w:eastAsia="黑体" w:cs="黑体"/>
          <w:bCs/>
          <w:szCs w:val="21"/>
        </w:rPr>
        <w:t>附 录 A</w:t>
      </w:r>
      <w:bookmarkEnd w:id="12"/>
    </w:p>
    <w:p w14:paraId="588F2641">
      <w:pPr>
        <w:jc w:val="center"/>
        <w:rPr>
          <w:rFonts w:ascii="黑体" w:hAnsi="黑体" w:eastAsia="黑体"/>
        </w:rPr>
      </w:pPr>
      <w:r>
        <w:rPr>
          <w:rFonts w:hint="eastAsia" w:ascii="黑体" w:hAnsi="黑体" w:eastAsia="黑体"/>
        </w:rPr>
        <w:t>（规范性）</w:t>
      </w:r>
    </w:p>
    <w:p w14:paraId="06BB806E">
      <w:pPr>
        <w:spacing w:after="283"/>
        <w:jc w:val="center"/>
        <w:rPr>
          <w:rFonts w:ascii="黑体" w:hAnsi="黑体" w:eastAsia="黑体" w:cs="黑体"/>
          <w:bCs/>
          <w:szCs w:val="21"/>
        </w:rPr>
      </w:pPr>
      <w:r>
        <w:rPr>
          <w:rFonts w:hint="eastAsia" w:ascii="黑体" w:hAnsi="黑体" w:eastAsia="黑体" w:cs="黑体"/>
          <w:bCs/>
          <w:szCs w:val="21"/>
        </w:rPr>
        <w:t>无创胫神经调控技术操作流程</w:t>
      </w:r>
    </w:p>
    <w:p w14:paraId="623AB641">
      <w:pPr>
        <w:spacing w:after="283"/>
        <w:ind w:firstLine="420" w:firstLineChars="200"/>
        <w:jc w:val="left"/>
        <w:rPr>
          <w:rFonts w:hint="eastAsia" w:ascii="宋体" w:hAnsi="宋体" w:eastAsia="宋体" w:cs="宋体"/>
          <w:bCs/>
        </w:rPr>
      </w:pPr>
      <w:r>
        <w:rPr>
          <w:rFonts w:hint="eastAsia" w:ascii="宋体" w:hAnsi="宋体" w:eastAsia="宋体" w:cs="宋体"/>
          <w:bCs/>
        </w:rPr>
        <w:t>胫神经调控技术操作流程见图</w:t>
      </w:r>
      <w:r>
        <w:rPr>
          <w:rFonts w:ascii="Times New Roman" w:hAnsi="Times New Roman" w:eastAsia="宋体" w:cs="Times New Roman"/>
          <w:bCs/>
        </w:rPr>
        <w:t>A.1</w:t>
      </w:r>
      <w:r>
        <w:rPr>
          <w:rFonts w:hint="eastAsia" w:ascii="宋体" w:hAnsi="宋体" w:eastAsia="宋体" w:cs="宋体"/>
          <w:bCs/>
        </w:rPr>
        <w:t>。</w:t>
      </w:r>
    </w:p>
    <w:p w14:paraId="11059FDD">
      <w:pPr>
        <w:spacing w:after="283"/>
        <w:jc w:val="center"/>
        <w:rPr>
          <w:rFonts w:ascii="黑体" w:hAnsi="黑体" w:eastAsia="黑体" w:cs="黑体"/>
          <w:bCs/>
        </w:rPr>
      </w:pPr>
      <w:r>
        <w:rPr>
          <w:rFonts w:ascii="黑体" w:hAnsi="黑体" w:eastAsia="黑体" w:cs="黑体"/>
          <w:bCs/>
        </w:rPr>
        <w:drawing>
          <wp:inline distT="0" distB="0" distL="0" distR="0">
            <wp:extent cx="4782820" cy="6849745"/>
            <wp:effectExtent l="0" t="0" r="0" b="0"/>
            <wp:docPr id="12" name="图片 12" descr="C:/Users/gongzhp/AppData/Local/Temp/wps.vOtwKE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gongzhp/AppData/Local/Temp/wps.vOtwKEwp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803802" cy="6879538"/>
                    </a:xfrm>
                    <a:prstGeom prst="rect">
                      <a:avLst/>
                    </a:prstGeom>
                    <a:noFill/>
                    <a:ln>
                      <a:noFill/>
                    </a:ln>
                  </pic:spPr>
                </pic:pic>
              </a:graphicData>
            </a:graphic>
          </wp:inline>
        </w:drawing>
      </w:r>
    </w:p>
    <w:p w14:paraId="6FBA041F">
      <w:pPr>
        <w:spacing w:after="283"/>
        <w:jc w:val="center"/>
        <w:rPr>
          <w:rFonts w:hint="eastAsia" w:ascii="黑体" w:hAnsi="黑体" w:eastAsia="黑体" w:cs="黑体"/>
          <w:bCs/>
        </w:rPr>
      </w:pPr>
      <w:r>
        <w:rPr>
          <w:rFonts w:hint="eastAsia" w:ascii="黑体" w:hAnsi="黑体" w:eastAsia="黑体" w:cs="黑体"/>
          <w:bCs/>
        </w:rPr>
        <w:t>图</w:t>
      </w:r>
      <w:r>
        <w:rPr>
          <w:rFonts w:ascii="黑体" w:hAnsi="黑体" w:eastAsia="黑体" w:cs="黑体"/>
          <w:bCs/>
        </w:rPr>
        <w:t>A.1 无创胫神经调控技术操作流程图</w:t>
      </w:r>
    </w:p>
    <w:p w14:paraId="14787F5D">
      <w:pPr>
        <w:widowControl/>
        <w:jc w:val="center"/>
        <w:rPr>
          <w:rFonts w:ascii="宋体" w:hAnsi="宋体" w:eastAsia="宋体" w:cs="Times New Roman"/>
          <w:bCs/>
          <w:szCs w:val="21"/>
        </w:rPr>
      </w:pPr>
      <w:r>
        <w:rPr>
          <w:rFonts w:ascii="宋体" w:hAnsi="宋体" w:eastAsia="宋体" w:cs="Times New Roman"/>
          <w:bCs/>
          <w:szCs w:val="21"/>
        </w:rPr>
        <w:br w:type="page"/>
      </w:r>
    </w:p>
    <w:p w14:paraId="71D39055">
      <w:pPr>
        <w:widowControl/>
        <w:jc w:val="left"/>
        <w:rPr>
          <w:rFonts w:ascii="宋体" w:hAnsi="宋体" w:eastAsia="宋体" w:cs="Times New Roman"/>
          <w:bCs/>
          <w:sz w:val="24"/>
          <w:szCs w:val="24"/>
        </w:rPr>
      </w:pPr>
    </w:p>
    <w:p w14:paraId="035B112D">
      <w:pPr>
        <w:widowControl/>
        <w:spacing w:before="156" w:beforeLines="50" w:after="312" w:afterLines="100"/>
        <w:jc w:val="center"/>
        <w:rPr>
          <w:rFonts w:ascii="黑体" w:hAnsi="黑体" w:eastAsia="黑体" w:cs="黑体"/>
          <w:bCs/>
          <w:szCs w:val="21"/>
        </w:rPr>
      </w:pPr>
      <w:r>
        <w:rPr>
          <w:rFonts w:hint="eastAsia" w:ascii="黑体" w:hAnsi="黑体" w:eastAsia="黑体" w:cs="黑体"/>
          <w:bCs/>
          <w:szCs w:val="21"/>
        </w:rPr>
        <w:t>参  考  文  献</w:t>
      </w:r>
    </w:p>
    <w:p w14:paraId="6D8380CB">
      <w:pPr>
        <w:spacing w:line="360" w:lineRule="auto"/>
        <w:rPr>
          <w:rFonts w:ascii="Times New Roman" w:hAnsi="Times New Roman" w:eastAsia="仿宋_GB2312" w:cs="Times New Roman"/>
          <w:kern w:val="0"/>
          <w:szCs w:val="21"/>
        </w:rPr>
      </w:pPr>
      <w:r>
        <w:rPr>
          <w:rFonts w:ascii="Times New Roman" w:hAnsi="Times New Roman" w:eastAsia="仿宋_GB2312" w:cs="Times New Roman"/>
          <w:kern w:val="0"/>
          <w:szCs w:val="21"/>
        </w:rPr>
        <w:t>[1] CUA guideline on adult overactive bladder（2017）</w:t>
      </w:r>
    </w:p>
    <w:p w14:paraId="68F0D984">
      <w:pPr>
        <w:spacing w:line="360" w:lineRule="auto"/>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[2] </w:t>
      </w:r>
      <w:r>
        <w:rPr>
          <w:rFonts w:ascii="宋体" w:hAnsi="宋体" w:eastAsia="宋体" w:cs="Times New Roman"/>
          <w:kern w:val="0"/>
          <w:szCs w:val="21"/>
        </w:rPr>
        <w:t>膀胱过度活动症诊断治疗指南（中国泌尿外科和男科疾病诊断治疗指南2022版）</w:t>
      </w:r>
    </w:p>
    <w:p w14:paraId="7AD57AD6">
      <w:pPr>
        <w:spacing w:line="360" w:lineRule="auto"/>
        <w:rPr>
          <w:rFonts w:ascii="Times New Roman" w:hAnsi="Times New Roman" w:eastAsia="仿宋_GB2312" w:cs="Times New Roman"/>
          <w:kern w:val="0"/>
          <w:szCs w:val="21"/>
        </w:rPr>
      </w:pPr>
      <w:r>
        <w:rPr>
          <w:rFonts w:ascii="Times New Roman" w:hAnsi="Times New Roman" w:eastAsia="仿宋_GB2312" w:cs="Times New Roman"/>
          <w:kern w:val="0"/>
          <w:szCs w:val="21"/>
        </w:rPr>
        <w:t>[3] The AUA/SUFU Guideline on the Diagnosis and Treatment of  Idiopathic Overactive Bladder（2024）</w:t>
      </w:r>
    </w:p>
    <w:p w14:paraId="6AD6546F">
      <w:pPr>
        <w:spacing w:line="360" w:lineRule="auto"/>
        <w:rPr>
          <w:rFonts w:ascii="Times New Roman" w:hAnsi="Times New Roman" w:eastAsia="仿宋_GB2312" w:cs="Times New Roman"/>
          <w:kern w:val="0"/>
          <w:szCs w:val="21"/>
        </w:rPr>
      </w:pPr>
      <w:r>
        <w:rPr>
          <w:rFonts w:ascii="Times New Roman" w:hAnsi="Times New Roman" w:eastAsia="仿宋_GB2312" w:cs="Times New Roman"/>
          <w:kern w:val="0"/>
          <w:szCs w:val="21"/>
        </w:rPr>
        <w:t>[4] EAU Guidelines on Management of Non Neurogenic Female Lower Urinary Tract Symptoms（2025）</w:t>
      </w:r>
    </w:p>
    <w:p w14:paraId="3B72075B">
      <w:pPr>
        <w:spacing w:line="360" w:lineRule="auto"/>
        <w:rPr>
          <w:rFonts w:ascii="Times New Roman" w:hAnsi="Times New Roman" w:eastAsia="仿宋_GB2312" w:cs="Times New Roman"/>
          <w:kern w:val="0"/>
          <w:szCs w:val="21"/>
        </w:rPr>
      </w:pPr>
      <w:r>
        <w:rPr>
          <w:rFonts w:ascii="Times New Roman" w:hAnsi="Times New Roman" w:eastAsia="仿宋_GB2312" w:cs="Times New Roman"/>
          <w:kern w:val="0"/>
          <w:szCs w:val="21"/>
        </w:rPr>
        <w:t>[5] Liao L, Li X, Chong T, Chen Q, Xu Z, Huang B, Chen M, Li H, Wei Z, Shao Y, Lu J, Pang R, Li X, Wang Y. Efficacy and safety of tibial nerve stimulation using a wearable device for overactive bladder. BJU Int. 2024 Jun; 133(6): 760-769.</w:t>
      </w:r>
    </w:p>
    <w:p w14:paraId="71FB912C">
      <w:pPr>
        <w:spacing w:line="360" w:lineRule="auto"/>
        <w:rPr>
          <w:rFonts w:ascii="Times New Roman" w:hAnsi="Times New Roman" w:eastAsia="仿宋_GB2312" w:cs="Times New Roman"/>
          <w:kern w:val="0"/>
          <w:szCs w:val="21"/>
        </w:rPr>
      </w:pPr>
      <w:r>
        <w:rPr>
          <w:rFonts w:ascii="Times New Roman" w:hAnsi="Times New Roman" w:eastAsia="仿宋_GB2312" w:cs="Times New Roman"/>
          <w:kern w:val="0"/>
          <w:szCs w:val="21"/>
        </w:rPr>
        <w:t>[6] Li X, Li X, Zhou Z, Zhao H, Liao L. Feasibility of a Transcutaneous Tibial Nerve Stimulation Device Use in Overactive Bladder Patients: A Pilot Study From a Single Tertiary Care Center. Front Neurol. 2022 Apr 13; 13: 872200.</w:t>
      </w:r>
    </w:p>
    <w:p w14:paraId="56899E7E">
      <w:pPr>
        <w:spacing w:line="360" w:lineRule="auto"/>
        <w:rPr>
          <w:rFonts w:ascii="宋体" w:hAnsi="宋体" w:eastAsia="宋体" w:cs="Times New Roman"/>
          <w:bCs/>
          <w:sz w:val="24"/>
          <w:szCs w:val="24"/>
        </w:rPr>
      </w:pPr>
      <w:bookmarkStart w:id="13" w:name="_GoBack"/>
      <w:bookmarkEnd w:id="13"/>
      <w:r>
        <w:rPr>
          <w:rFonts w:hint="eastAsia" w:ascii="宋体" w:hAnsi="宋体"/>
          <w:bCs/>
          <w:sz w:val="24"/>
        </w:rPr>
        <mc:AlternateContent>
          <mc:Choice Requires="wps">
            <w:drawing>
              <wp:anchor distT="0" distB="0" distL="114300" distR="114300" simplePos="0" relativeHeight="251662336" behindDoc="0" locked="0" layoutInCell="1" allowOverlap="1">
                <wp:simplePos x="0" y="0"/>
                <wp:positionH relativeFrom="column">
                  <wp:posOffset>1989455</wp:posOffset>
                </wp:positionH>
                <wp:positionV relativeFrom="page">
                  <wp:posOffset>5777230</wp:posOffset>
                </wp:positionV>
                <wp:extent cx="1371600" cy="254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137160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6.65pt;margin-top:454.9pt;height:0.2pt;width:108pt;mso-position-vertical-relative:page;z-index:251662336;mso-width-relative:page;mso-height-relative:page;" filled="f" stroked="t" coordsize="21600,21600" o:gfxdata="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tl6qNgA&#10;AAALAQAADwAAAAAAAAABACAAAAAiAAAAZHJzL2Rvd25yZXYueG1sUEsBAhQAFAAAAAgAh07iQIOG&#10;8jHmAQAAtgMAAA4AAAAAAAAAAQAgAAAAJwEAAGRycy9lMm9Eb2MueG1sUEsFBgAAAAAGAAYAWQEA&#10;AH8FAAAAAA==&#10;">
                <v:fill on="f" focussize="0,0"/>
                <v:stroke weight="0.5pt" color="#000000 [3200]" miterlimit="8" joinstyle="miter"/>
                <v:imagedata o:title=""/>
                <o:lock v:ext="edit" aspectratio="f"/>
              </v:line>
            </w:pict>
          </mc:Fallback>
        </mc:AlternateContent>
      </w:r>
    </w:p>
    <w:sectPr>
      <w:footerReference r:id="rId14" w:type="default"/>
      <w:headerReference r:id="rId13" w:type="even"/>
      <w:footerReference r:id="rId1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E0B3B">
    <w:pPr>
      <w:pStyle w:val="5"/>
      <w:jc w:val="righ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580A32BE">
                              <w:pPr>
                                <w:pStyle w:val="5"/>
                                <w:jc w:val="right"/>
                              </w:pPr>
                              <w:r>
                                <w:fldChar w:fldCharType="begin"/>
                              </w:r>
                              <w:r>
                                <w:instrText xml:space="preserve">PAGE   \* MERGEFORMAT</w:instrText>
                              </w:r>
                              <w:r>
                                <w:fldChar w:fldCharType="separate"/>
                              </w:r>
                              <w:r>
                                <w:rPr>
                                  <w:lang w:val="zh-CN"/>
                                </w:rPr>
                                <w:t>15</w:t>
                              </w:r>
                              <w:r>
                                <w:fldChar w:fldCharType="end"/>
                              </w:r>
                            </w:p>
                          </w:sdtContent>
                        </w:sdt>
                        <w:p w14:paraId="1D9D626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580A32BE">
                        <w:pPr>
                          <w:pStyle w:val="5"/>
                          <w:jc w:val="right"/>
                        </w:pPr>
                        <w:r>
                          <w:fldChar w:fldCharType="begin"/>
                        </w:r>
                        <w:r>
                          <w:instrText xml:space="preserve">PAGE   \* MERGEFORMAT</w:instrText>
                        </w:r>
                        <w:r>
                          <w:fldChar w:fldCharType="separate"/>
                        </w:r>
                        <w:r>
                          <w:rPr>
                            <w:lang w:val="zh-CN"/>
                          </w:rPr>
                          <w:t>15</w:t>
                        </w:r>
                        <w:r>
                          <w:fldChar w:fldCharType="end"/>
                        </w:r>
                      </w:p>
                    </w:sdtContent>
                  </w:sdt>
                  <w:p w14:paraId="1D9D626A"/>
                </w:txbxContent>
              </v:textbox>
            </v:shape>
          </w:pict>
        </mc:Fallback>
      </mc:AlternateContent>
    </w:r>
  </w:p>
  <w:p w14:paraId="4F021C9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BB1C">
    <w:pPr>
      <w:pStyle w:val="5"/>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A3F5B">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81A3F5B">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32B03">
    <w:pPr>
      <w:pStyle w:val="5"/>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15AD32">
                          <w:pPr>
                            <w:pStyle w:val="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015AD32">
                    <w:pPr>
                      <w:pStyle w:val="5"/>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E1E1F">
    <w:pPr>
      <w:pStyle w:val="5"/>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B16C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352B16C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C987A">
    <w:pPr>
      <w:pStyle w:val="5"/>
      <w:jc w:val="right"/>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3F574">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FD3F574">
                    <w:pPr>
                      <w:pStyle w:val="5"/>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164C18B9">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5DEDE">
    <w:pPr>
      <w:pStyle w:val="5"/>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CDDA6">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4A4CDDA6">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39F3C">
    <w:pPr>
      <w:pStyle w:val="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7C3C6">
    <w:pPr>
      <w:pStyle w:val="5"/>
      <w:jc w:val="right"/>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E5826">
                          <w:pPr>
                            <w:pStyle w:val="5"/>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63E5826">
                    <w:pPr>
                      <w:pStyle w:val="5"/>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26CC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8926CC0"/>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705B">
    <w:pPr>
      <w:pStyle w:val="5"/>
      <w:tabs>
        <w:tab w:val="clear" w:pos="4153"/>
      </w:tabs>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57707">
                          <w:pPr>
                            <w:pStyle w:val="5"/>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AB57707">
                    <w:pPr>
                      <w:pStyle w:val="5"/>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C2C6C">
    <w:pPr>
      <w:pStyle w:val="6"/>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2726A">
    <w:pPr>
      <w:pStyle w:val="6"/>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51F25747">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1B37C">
    <w:pPr>
      <w:pStyle w:val="6"/>
      <w:pBdr>
        <w:bottom w:val="none" w:color="auto" w:sz="0" w:space="1"/>
      </w:pBdr>
      <w:jc w:val="righ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2BC0DE4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306C">
    <w:pPr>
      <w:pStyle w:val="6"/>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7EFFB44B">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40CA7"/>
    <w:rsid w:val="0015254C"/>
    <w:rsid w:val="00153874"/>
    <w:rsid w:val="001545CB"/>
    <w:rsid w:val="00172DF1"/>
    <w:rsid w:val="00173FC5"/>
    <w:rsid w:val="00177C9E"/>
    <w:rsid w:val="0018623D"/>
    <w:rsid w:val="001916B9"/>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21DA"/>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23E4"/>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056"/>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C7A12"/>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0D1"/>
    <w:rsid w:val="00DF663D"/>
    <w:rsid w:val="00DF7C05"/>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635F"/>
    <w:rsid w:val="00FD794C"/>
    <w:rsid w:val="00FE39F2"/>
    <w:rsid w:val="00FE6472"/>
    <w:rsid w:val="00FE6B1E"/>
    <w:rsid w:val="00FF1E6D"/>
    <w:rsid w:val="00FF46F9"/>
    <w:rsid w:val="00FF7904"/>
    <w:rsid w:val="01041951"/>
    <w:rsid w:val="05E40C54"/>
    <w:rsid w:val="06A42377"/>
    <w:rsid w:val="07587E1D"/>
    <w:rsid w:val="093A0DE5"/>
    <w:rsid w:val="0AF9CB7F"/>
    <w:rsid w:val="0F877EC3"/>
    <w:rsid w:val="101A2DF6"/>
    <w:rsid w:val="117D361B"/>
    <w:rsid w:val="131C46A7"/>
    <w:rsid w:val="13836007"/>
    <w:rsid w:val="13A14AC4"/>
    <w:rsid w:val="150C03F7"/>
    <w:rsid w:val="1CE61304"/>
    <w:rsid w:val="1D5E7B70"/>
    <w:rsid w:val="1EEB7D15"/>
    <w:rsid w:val="206E0FC8"/>
    <w:rsid w:val="23B02BC5"/>
    <w:rsid w:val="25FE5651"/>
    <w:rsid w:val="26472A30"/>
    <w:rsid w:val="274779FD"/>
    <w:rsid w:val="2ACB3B4E"/>
    <w:rsid w:val="2D5D6C5F"/>
    <w:rsid w:val="2E47409D"/>
    <w:rsid w:val="2F1B3C3E"/>
    <w:rsid w:val="34803EC8"/>
    <w:rsid w:val="34B9379B"/>
    <w:rsid w:val="35E772E4"/>
    <w:rsid w:val="3EAE7781"/>
    <w:rsid w:val="3F779754"/>
    <w:rsid w:val="3FA78228"/>
    <w:rsid w:val="413A3D72"/>
    <w:rsid w:val="43B12F69"/>
    <w:rsid w:val="4687467B"/>
    <w:rsid w:val="49A2495C"/>
    <w:rsid w:val="4A603B63"/>
    <w:rsid w:val="4BC13157"/>
    <w:rsid w:val="4C303B79"/>
    <w:rsid w:val="51A60B5F"/>
    <w:rsid w:val="5439223A"/>
    <w:rsid w:val="553F0BCB"/>
    <w:rsid w:val="5C696B87"/>
    <w:rsid w:val="5D002955"/>
    <w:rsid w:val="5DAB167E"/>
    <w:rsid w:val="60732830"/>
    <w:rsid w:val="61452CD9"/>
    <w:rsid w:val="63DE1DF7"/>
    <w:rsid w:val="650F518F"/>
    <w:rsid w:val="678D25CA"/>
    <w:rsid w:val="68964C95"/>
    <w:rsid w:val="6C2142DB"/>
    <w:rsid w:val="6EBBEF1C"/>
    <w:rsid w:val="70120D53"/>
    <w:rsid w:val="701E08C7"/>
    <w:rsid w:val="70932323"/>
    <w:rsid w:val="74322378"/>
    <w:rsid w:val="754049A5"/>
    <w:rsid w:val="76606C42"/>
    <w:rsid w:val="76FF0615"/>
    <w:rsid w:val="77AFCE9C"/>
    <w:rsid w:val="7ACC7DC7"/>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unhideWhenUsed/>
    <w:qFormat/>
    <w:uiPriority w:val="99"/>
    <w:pPr>
      <w:jc w:val="left"/>
    </w:pPr>
  </w:style>
  <w:style w:type="paragraph" w:styleId="3">
    <w:name w:val="Body Text"/>
    <w:basedOn w:val="1"/>
    <w:qFormat/>
    <w:uiPriority w:val="1"/>
    <w:pPr>
      <w:spacing w:before="37"/>
      <w:ind w:left="540"/>
    </w:pPr>
    <w:rPr>
      <w:rFonts w:ascii="宋体" w:hAnsi="宋体" w:eastAsia="宋体"/>
      <w:szCs w:val="21"/>
    </w:rPr>
  </w:style>
  <w:style w:type="paragraph" w:styleId="4">
    <w:name w:val="Balloon Text"/>
    <w:basedOn w:val="1"/>
    <w:link w:val="28"/>
    <w:unhideWhenUsed/>
    <w:qFormat/>
    <w:uiPriority w:val="99"/>
    <w:rPr>
      <w:sz w:val="18"/>
      <w:szCs w:val="18"/>
    </w:rPr>
  </w:style>
  <w:style w:type="paragraph" w:styleId="5">
    <w:name w:val="footer"/>
    <w:basedOn w:val="1"/>
    <w:link w:val="19"/>
    <w:autoRedefine/>
    <w:unhideWhenUsed/>
    <w:qFormat/>
    <w:uiPriority w:val="99"/>
    <w:pPr>
      <w:tabs>
        <w:tab w:val="center" w:pos="4153"/>
        <w:tab w:val="right" w:pos="8306"/>
      </w:tabs>
      <w:snapToGrid w:val="0"/>
      <w:jc w:val="left"/>
    </w:pPr>
    <w:rPr>
      <w:sz w:val="18"/>
      <w:szCs w:val="18"/>
    </w:rPr>
  </w:style>
  <w:style w:type="paragraph" w:styleId="6">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style>
  <w:style w:type="paragraph" w:styleId="8">
    <w:name w:val="HTML Preformatted"/>
    <w:basedOn w:val="1"/>
    <w:link w:val="30"/>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2"/>
    <w:next w:val="2"/>
    <w:link w:val="27"/>
    <w:autoRedefine/>
    <w:unhideWhenUsed/>
    <w:qFormat/>
    <w:uiPriority w:val="99"/>
    <w:rPr>
      <w:b/>
      <w:bCs/>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autoRedefine/>
    <w:qFormat/>
    <w:uiPriority w:val="20"/>
    <w:rPr>
      <w:i/>
      <w:iCs/>
    </w:rPr>
  </w:style>
  <w:style w:type="character" w:styleId="15">
    <w:name w:val="Hyperlink"/>
    <w:basedOn w:val="13"/>
    <w:autoRedefine/>
    <w:unhideWhenUsed/>
    <w:qFormat/>
    <w:uiPriority w:val="99"/>
    <w:rPr>
      <w:color w:val="0563C1" w:themeColor="hyperlink"/>
      <w:u w:val="single"/>
      <w14:textFill>
        <w14:solidFill>
          <w14:schemeClr w14:val="hlink"/>
        </w14:solidFill>
      </w14:textFill>
    </w:rPr>
  </w:style>
  <w:style w:type="character" w:styleId="16">
    <w:name w:val="annotation reference"/>
    <w:basedOn w:val="13"/>
    <w:autoRedefine/>
    <w:unhideWhenUsed/>
    <w:qFormat/>
    <w:uiPriority w:val="99"/>
    <w:rPr>
      <w:sz w:val="21"/>
      <w:szCs w:val="21"/>
    </w:rPr>
  </w:style>
  <w:style w:type="paragraph" w:customStyle="1" w:styleId="17">
    <w:name w:val="列出段落1"/>
    <w:basedOn w:val="1"/>
    <w:link w:val="21"/>
    <w:autoRedefine/>
    <w:qFormat/>
    <w:uiPriority w:val="34"/>
    <w:pPr>
      <w:ind w:firstLine="420" w:firstLineChars="200"/>
    </w:pPr>
  </w:style>
  <w:style w:type="character" w:customStyle="1" w:styleId="18">
    <w:name w:val="页眉 字符"/>
    <w:basedOn w:val="13"/>
    <w:link w:val="6"/>
    <w:autoRedefine/>
    <w:qFormat/>
    <w:uiPriority w:val="99"/>
    <w:rPr>
      <w:sz w:val="18"/>
      <w:szCs w:val="18"/>
    </w:rPr>
  </w:style>
  <w:style w:type="character" w:customStyle="1" w:styleId="19">
    <w:name w:val="页脚 字符"/>
    <w:basedOn w:val="13"/>
    <w:link w:val="5"/>
    <w:autoRedefine/>
    <w:qFormat/>
    <w:uiPriority w:val="99"/>
    <w:rPr>
      <w:sz w:val="18"/>
      <w:szCs w:val="18"/>
    </w:rPr>
  </w:style>
  <w:style w:type="paragraph" w:customStyle="1" w:styleId="20">
    <w:name w:val="EndNote Bibliography Title"/>
    <w:basedOn w:val="1"/>
    <w:link w:val="22"/>
    <w:autoRedefine/>
    <w:qFormat/>
    <w:uiPriority w:val="0"/>
    <w:pPr>
      <w:jc w:val="center"/>
    </w:pPr>
    <w:rPr>
      <w:rFonts w:ascii="等线" w:hAnsi="等线" w:eastAsia="等线"/>
      <w:sz w:val="20"/>
    </w:rPr>
  </w:style>
  <w:style w:type="character" w:customStyle="1" w:styleId="21">
    <w:name w:val="列出段落 Char"/>
    <w:basedOn w:val="13"/>
    <w:link w:val="17"/>
    <w:autoRedefine/>
    <w:qFormat/>
    <w:uiPriority w:val="34"/>
  </w:style>
  <w:style w:type="character" w:customStyle="1" w:styleId="22">
    <w:name w:val="EndNote Bibliography Title 字符"/>
    <w:basedOn w:val="21"/>
    <w:link w:val="20"/>
    <w:autoRedefine/>
    <w:qFormat/>
    <w:uiPriority w:val="0"/>
    <w:rPr>
      <w:rFonts w:ascii="等线" w:hAnsi="等线" w:eastAsia="等线"/>
      <w:sz w:val="20"/>
    </w:rPr>
  </w:style>
  <w:style w:type="paragraph" w:customStyle="1" w:styleId="23">
    <w:name w:val="EndNote Bibliography"/>
    <w:basedOn w:val="1"/>
    <w:link w:val="24"/>
    <w:autoRedefine/>
    <w:qFormat/>
    <w:uiPriority w:val="0"/>
    <w:rPr>
      <w:rFonts w:ascii="等线" w:hAnsi="等线" w:eastAsia="等线"/>
      <w:sz w:val="20"/>
    </w:rPr>
  </w:style>
  <w:style w:type="character" w:customStyle="1" w:styleId="24">
    <w:name w:val="EndNote Bibliography 字符"/>
    <w:basedOn w:val="21"/>
    <w:link w:val="23"/>
    <w:autoRedefine/>
    <w:qFormat/>
    <w:uiPriority w:val="0"/>
    <w:rPr>
      <w:rFonts w:ascii="等线" w:hAnsi="等线" w:eastAsia="等线"/>
      <w:sz w:val="20"/>
    </w:rPr>
  </w:style>
  <w:style w:type="character" w:customStyle="1" w:styleId="25">
    <w:name w:val="未处理的提及1"/>
    <w:basedOn w:val="13"/>
    <w:autoRedefine/>
    <w:unhideWhenUsed/>
    <w:qFormat/>
    <w:uiPriority w:val="99"/>
    <w:rPr>
      <w:color w:val="605E5C"/>
      <w:shd w:val="clear" w:color="auto" w:fill="E1DFDD"/>
    </w:rPr>
  </w:style>
  <w:style w:type="character" w:customStyle="1" w:styleId="26">
    <w:name w:val="批注文字 字符"/>
    <w:basedOn w:val="13"/>
    <w:link w:val="2"/>
    <w:autoRedefine/>
    <w:semiHidden/>
    <w:qFormat/>
    <w:uiPriority w:val="99"/>
  </w:style>
  <w:style w:type="character" w:customStyle="1" w:styleId="27">
    <w:name w:val="批注主题 字符"/>
    <w:basedOn w:val="26"/>
    <w:link w:val="10"/>
    <w:autoRedefine/>
    <w:semiHidden/>
    <w:qFormat/>
    <w:uiPriority w:val="99"/>
    <w:rPr>
      <w:b/>
      <w:bCs/>
    </w:rPr>
  </w:style>
  <w:style w:type="character" w:customStyle="1" w:styleId="28">
    <w:name w:val="批注框文本 字符"/>
    <w:basedOn w:val="13"/>
    <w:link w:val="4"/>
    <w:autoRedefine/>
    <w:semiHidden/>
    <w:qFormat/>
    <w:uiPriority w:val="99"/>
    <w:rPr>
      <w:sz w:val="18"/>
      <w:szCs w:val="18"/>
    </w:rPr>
  </w:style>
  <w:style w:type="paragraph" w:customStyle="1" w:styleId="2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HTML 预设格式 字符"/>
    <w:basedOn w:val="13"/>
    <w:link w:val="8"/>
    <w:autoRedefine/>
    <w:semiHidden/>
    <w:qFormat/>
    <w:uiPriority w:val="99"/>
    <w:rPr>
      <w:rFonts w:ascii="宋体" w:hAnsi="宋体" w:eastAsia="宋体" w:cs="宋体"/>
      <w:kern w:val="0"/>
      <w:sz w:val="24"/>
      <w:szCs w:val="24"/>
    </w:rPr>
  </w:style>
  <w:style w:type="character" w:customStyle="1" w:styleId="31">
    <w:name w:val="y2iqfc"/>
    <w:basedOn w:val="13"/>
    <w:autoRedefine/>
    <w:qFormat/>
    <w:uiPriority w:val="0"/>
  </w:style>
  <w:style w:type="character" w:customStyle="1" w:styleId="32">
    <w:name w:val="inner-text-paragraph-org"/>
    <w:basedOn w:val="13"/>
    <w:autoRedefine/>
    <w:qFormat/>
    <w:uiPriority w:val="0"/>
  </w:style>
  <w:style w:type="character" w:customStyle="1" w:styleId="33">
    <w:name w:val="未处理的提及2"/>
    <w:basedOn w:val="13"/>
    <w:autoRedefine/>
    <w:unhideWhenUsed/>
    <w:qFormat/>
    <w:uiPriority w:val="99"/>
    <w:rPr>
      <w:color w:val="605E5C"/>
      <w:shd w:val="clear" w:color="auto" w:fill="E1DFDD"/>
    </w:rPr>
  </w:style>
  <w:style w:type="character" w:customStyle="1" w:styleId="34">
    <w:name w:val="列表段落 字符1"/>
    <w:basedOn w:val="13"/>
    <w:autoRedefine/>
    <w:qFormat/>
    <w:uiPriority w:val="34"/>
  </w:style>
  <w:style w:type="paragraph" w:customStyle="1" w:styleId="35">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6">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7">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8">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9">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0">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1">
    <w:name w:val="发布部门"/>
    <w:next w:val="42"/>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2">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3">
    <w:name w:val="其他发布日期"/>
    <w:basedOn w:val="44"/>
    <w:autoRedefine/>
    <w:qFormat/>
    <w:uiPriority w:val="0"/>
    <w:pPr>
      <w:framePr w:wrap="around" w:vAnchor="page" w:hAnchor="text" w:x="1419"/>
    </w:pPr>
  </w:style>
  <w:style w:type="paragraph" w:customStyle="1" w:styleId="44">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5">
    <w:name w:val="样式1"/>
    <w:basedOn w:val="1"/>
    <w:next w:val="7"/>
    <w:autoRedefine/>
    <w:qFormat/>
    <w:uiPriority w:val="0"/>
  </w:style>
  <w:style w:type="paragraph" w:customStyle="1" w:styleId="46">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287038-3FFD-43FF-A630-60DA2395307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2118</Words>
  <Characters>2777</Characters>
  <Lines>27</Lines>
  <Paragraphs>7</Paragraphs>
  <TotalTime>36</TotalTime>
  <ScaleCrop>false</ScaleCrop>
  <LinksUpToDate>false</LinksUpToDate>
  <CharactersWithSpaces>3014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2026-01-14T06:50:00Z</dcterms:created>
  <dc:creator>Family</dc:creator>
  <cp:lastModifiedBy>J</cp:lastModifiedBy>
  <cp:lastPrinted>2021-10-22T19:40:00Z</cp:lastPrinted>
  <dcterms:modified xsi:type="dcterms:W3CDTF">2026-02-04T08:10:47Z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0C3477A2A77F47BEA2C37D9C5FBE1E7E_13</vt:lpwstr>
  </property>
  <property fmtid="{D5CDD505-2E9C-101B-9397-08002B2CF9AE}" pid="4" name="KSOTemplateDocerSaveRecord">
    <vt:lpwstr>eyJoZGlkIjoiMTFmMDJjZGU0YzYzNjgxMjg1NzBlNDNlZWZkY2IyNjMiLCJ1c2VySWQiOiIxMzc2MzQzNjk3In0=</vt:lpwstr>
  </property>
</Properties>
</file>