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C77C8">
      <w:pPr>
        <w:framePr w:w="2268" w:h="1134" w:hRule="exact" w:vSpace="181" w:wrap="around" w:vAnchor="page" w:hAnchor="page" w:x="8165" w:y="738" w:anchorLock="1"/>
        <w:spacing w:line="240" w:lineRule="atLeast"/>
        <w:rPr>
          <w:rFonts w:ascii="黑体" w:hAnsi="黑体" w:eastAsia="黑体" w:cs="黑体"/>
          <w:sz w:val="112"/>
          <w:szCs w:val="112"/>
        </w:rPr>
      </w:pPr>
      <w:sdt>
        <w:sdtPr>
          <w:rPr>
            <w:rFonts w:hint="eastAsia" w:ascii="Times New Roman" w:hAnsi="Times New Roman" w:eastAsia="宋体" w:cs="Times New Roman"/>
            <w:b/>
            <w:w w:val="150"/>
            <w:kern w:val="0"/>
            <w:sz w:val="96"/>
            <w:szCs w:val="96"/>
            <w:lang w:val="en-US" w:eastAsia="zh-CN" w:bidi="ar-SA"/>
          </w:rPr>
          <w:id w:val="147454156"/>
          <w:placeholder>
            <w:docPart w:val="{1f1e0937-a82e-4ec8-9be4-fd84868de435}"/>
          </w:placeholder>
          <w:text/>
        </w:sdtPr>
        <w:sdtEndPr>
          <w:rPr>
            <w:rFonts w:hint="eastAsia" w:ascii="黑体" w:hAnsi="黑体" w:eastAsia="黑体" w:cs="黑体"/>
            <w:b/>
            <w:w w:val="150"/>
            <w:kern w:val="0"/>
            <w:sz w:val="112"/>
            <w:szCs w:val="112"/>
            <w:lang w:val="en-US" w:eastAsia="zh-CN" w:bidi="ar-SA"/>
          </w:rPr>
        </w:sdtEndPr>
        <w:sdtContent>
          <w:bookmarkStart w:id="0" w:name="_Hlk26473981"/>
          <w:r>
            <w:rPr>
              <w:rFonts w:hint="eastAsia" w:ascii="Times New Roman" w:hAnsi="Times New Roman" w:cs="Times New Roman"/>
              <w:b/>
              <w:w w:val="150"/>
              <w:kern w:val="0"/>
              <w:sz w:val="96"/>
              <w:szCs w:val="96"/>
              <w:lang w:val="en-US" w:eastAsia="zh-CN" w:bidi="ar-SA"/>
            </w:rPr>
            <w:t>T</w:t>
          </w:r>
        </w:sdtContent>
      </w:sdt>
    </w:p>
    <w:p w14:paraId="793C0001">
      <w:pPr>
        <w:pStyle w:val="55"/>
        <w:framePr w:h="624" w:hRule="exact" w:hSpace="181" w:vSpace="181" w:wrap="around" w:hAnchor="page" w:x="1418" w:y="2269"/>
        <w:rPr>
          <w:rFonts w:ascii="黑体" w:hAnsi="黑体" w:eastAsia="黑体"/>
          <w:b w:val="0"/>
          <w:bCs w:val="0"/>
          <w:w w:val="100"/>
          <w:sz w:val="48"/>
          <w:szCs w:val="48"/>
        </w:rPr>
      </w:pPr>
      <w:sdt>
        <w:sdtPr>
          <w:rPr>
            <w:rFonts w:hint="eastAsia" w:ascii="黑体" w:hAnsi="黑体" w:eastAsia="黑体"/>
            <w:b w:val="0"/>
            <w:bCs w:val="0"/>
            <w:w w:val="100"/>
            <w:sz w:val="48"/>
            <w:szCs w:val="48"/>
          </w:rPr>
          <w:id w:val="147474807"/>
          <w:placeholder>
            <w:docPart w:val="{49969bb0-c0e8-49c0-a6f1-0eb642947298}"/>
          </w:placeholder>
          <w:text/>
        </w:sdtPr>
        <w:sdtEndPr>
          <w:rPr>
            <w:rFonts w:hint="eastAsia" w:ascii="黑体" w:hAnsi="黑体" w:eastAsia="黑体"/>
            <w:b w:val="0"/>
            <w:bCs w:val="0"/>
            <w:w w:val="100"/>
            <w:sz w:val="48"/>
            <w:szCs w:val="48"/>
          </w:rPr>
        </w:sdtEndPr>
        <w:sdtContent>
          <w:r>
            <w:rPr>
              <w:rFonts w:hint="eastAsia" w:ascii="黑体" w:hAnsi="黑体" w:eastAsia="黑体"/>
              <w:b w:val="0"/>
              <w:bCs w:val="0"/>
              <w:w w:val="100"/>
              <w:sz w:val="48"/>
              <w:szCs w:val="48"/>
              <w:lang w:val="en-US" w:eastAsia="zh-CN"/>
            </w:rPr>
            <w:t>团体</w:t>
          </w:r>
          <w:r>
            <w:rPr>
              <w:rFonts w:hint="eastAsia" w:ascii="黑体" w:hAnsi="黑体" w:eastAsia="黑体"/>
              <w:b w:val="0"/>
              <w:bCs w:val="0"/>
              <w:w w:val="100"/>
              <w:sz w:val="48"/>
              <w:szCs w:val="48"/>
            </w:rPr>
            <w:t>标准</w:t>
          </w:r>
        </w:sdtContent>
      </w:sdt>
    </w:p>
    <w:bookmarkEnd w:id="0"/>
    <w:p w14:paraId="0DD92A17">
      <w:pPr>
        <w:pStyle w:val="200"/>
        <w:outlineLvl w:val="0"/>
      </w:pPr>
      <w:r>
        <w:rPr>
          <w:rFonts w:hint="eastAsia"/>
        </w:rPr>
        <w:t xml:space="preserve">  </w:t>
      </w:r>
      <w:bookmarkStart w:id="1" w:name="_Toc9334"/>
      <w:bookmarkStart w:id="2" w:name="_Toc26182"/>
      <w:bookmarkStart w:id="3" w:name="_Toc8719"/>
      <w:bookmarkStart w:id="4" w:name="_Toc4526"/>
      <w:bookmarkStart w:id="5" w:name="_Toc1598"/>
      <w:bookmarkStart w:id="6" w:name="_Toc9063"/>
      <w:sdt>
        <w:sdtPr>
          <w:tag w:val="xxyemei"/>
          <w:id w:val="147451455"/>
          <w:placeholder>
            <w:docPart w:val="{d796bbc5-5406-4888-b2f3-c36bbee649d3}"/>
          </w:placeholder>
          <w:text/>
        </w:sdtPr>
        <w:sdtEndPr>
          <w:rPr>
            <w:rFonts w:hint="eastAsia"/>
          </w:rPr>
        </w:sdtEndPr>
        <w:sdtContent>
          <w:r>
            <w:rPr>
              <w:rFonts w:hint="eastAsia"/>
              <w:highlight w:val="lightGray"/>
            </w:rPr>
            <w:t>T</w:t>
          </w:r>
        </w:sdtContent>
      </w:sdt>
      <w:r>
        <w:rPr>
          <w:rFonts w:hint="eastAsia"/>
        </w:rPr>
        <w:t xml:space="preserve"> </w:t>
      </w:r>
      <w:sdt>
        <w:sdtPr>
          <w:rPr>
            <w:rFonts w:hint="eastAsia"/>
          </w:rPr>
          <w:tag w:val="xxyemei1"/>
          <w:id w:val="147451269"/>
          <w:placeholder>
            <w:docPart w:val="{a159c448-9bec-458e-ba63-7bdd8bfb8f76}"/>
          </w:placeholder>
          <w:showingPlcHdr/>
          <w:text/>
        </w:sdtPr>
        <w:sdtEndPr>
          <w:rPr>
            <w:rFonts w:hint="eastAsia"/>
          </w:rPr>
        </w:sdtEndPr>
        <w:sdtContent>
          <w:r>
            <w:rPr>
              <w:highlight w:val="lightGray"/>
              <w:lang w:val="fr-FR"/>
            </w:rPr>
            <w:t>XXXXX</w:t>
          </w:r>
        </w:sdtContent>
      </w:sdt>
      <w:r>
        <w:rPr>
          <w:rFonts w:hAnsi="黑体"/>
          <w:lang w:val="fr-FR"/>
        </w:rPr>
        <w:t>—</w:t>
      </w:r>
      <w:sdt>
        <w:sdtPr>
          <w:rPr>
            <w:rFonts w:hAnsi="黑体"/>
          </w:rPr>
          <w:tag w:val="xxyemei2"/>
          <w:id w:val="147456507"/>
          <w:placeholder>
            <w:docPart w:val="{86a5e2ac-a33b-4672-9de4-69e66b7a0c36}"/>
          </w:placeholder>
          <w:text/>
        </w:sdtPr>
        <w:sdtEndPr>
          <w:rPr>
            <w:rFonts w:hAnsi="黑体"/>
          </w:rPr>
        </w:sdtEndPr>
        <w:sdtContent>
          <w:r>
            <w:rPr>
              <w:rFonts w:hint="eastAsia"/>
              <w:highlight w:val="lightGray"/>
            </w:rPr>
            <w:t>202X</w:t>
          </w:r>
        </w:sdtContent>
      </w:sdt>
      <w:bookmarkEnd w:id="1"/>
      <w:bookmarkEnd w:id="2"/>
      <w:bookmarkEnd w:id="3"/>
      <w:bookmarkEnd w:id="4"/>
      <w:bookmarkEnd w:id="5"/>
      <w:bookmarkEnd w:id="6"/>
    </w:p>
    <w:p w14:paraId="5F307445">
      <w:pPr>
        <w:pStyle w:val="201"/>
        <w:rPr>
          <w:rFonts w:hAnsi="宋体"/>
          <w:lang w:val="fr-FR" w:bidi="ar"/>
        </w:rPr>
      </w:pPr>
      <w:sdt>
        <w:sdtPr>
          <w:rPr>
            <w:rFonts w:hint="eastAsia" w:hAnsi="宋体"/>
            <w:lang w:bidi="ar"/>
          </w:rPr>
          <w:tag w:val="daiTihangye"/>
          <w:id w:val="147453898"/>
          <w:placeholder>
            <w:docPart w:val="{6c9195f8-b69f-498b-bbf5-ca727fd4d966}"/>
          </w:placeholder>
          <w:showingPlcHdr/>
        </w:sdtPr>
        <w:sdtEndPr>
          <w:rPr>
            <w:rFonts w:hint="eastAsia" w:hAnsi="宋体"/>
            <w:lang w:bidi="ar"/>
          </w:rPr>
        </w:sdtEndPr>
        <w:sdtContent>
          <w:r>
            <w:rPr>
              <w:color w:val="808080"/>
              <w:highlight w:val="lightGray"/>
            </w:rPr>
            <w:t xml:space="preserve">   </w:t>
          </w:r>
        </w:sdtContent>
      </w:sdt>
    </w:p>
    <w:sdt>
      <w:sdtPr>
        <w:rPr>
          <w:rFonts w:ascii="黑体" w:hAnsi="宋体" w:eastAsia="黑体" w:cs="黑体"/>
          <w:sz w:val="21"/>
          <w:szCs w:val="21"/>
          <w:lang w:bidi="ar"/>
        </w:rPr>
        <w:id w:val="147462448"/>
        <w:placeholder>
          <w:docPart w:val="{0b929a9d-a2f7-4fb8-8621-155619d1cec5}"/>
        </w:placeholder>
      </w:sdtPr>
      <w:sdtEndPr>
        <w:rPr>
          <w:rFonts w:ascii="黑体" w:hAnsi="宋体" w:eastAsia="黑体" w:cs="黑体"/>
          <w:b/>
          <w:bCs/>
          <w:sz w:val="21"/>
          <w:szCs w:val="21"/>
          <w:lang w:bidi="ar"/>
        </w:rPr>
      </w:sdtEndPr>
      <w:sdtContent>
        <w:p w14:paraId="60E95295">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color w:val="auto"/>
              <w:sz w:val="21"/>
              <w:szCs w:val="21"/>
              <w:lang w:val="en-US" w:eastAsia="zh-CN"/>
            </w:rPr>
          </w:pPr>
          <w:r>
            <w:rPr>
              <w:rFonts w:hint="eastAsia" w:ascii="黑体" w:hAnsi="黑体" w:eastAsia="黑体"/>
              <w:color w:val="auto"/>
              <w:sz w:val="21"/>
              <w:szCs w:val="21"/>
            </w:rPr>
            <w:t xml:space="preserve">ICS </w:t>
          </w:r>
          <w:r>
            <w:rPr>
              <w:rFonts w:hint="eastAsia" w:ascii="黑体" w:hAnsi="黑体" w:eastAsia="黑体"/>
              <w:color w:val="auto"/>
              <w:sz w:val="21"/>
              <w:szCs w:val="21"/>
              <w:lang w:val="en-US" w:eastAsia="zh-CN"/>
            </w:rPr>
            <w:t>37.020</w:t>
          </w:r>
        </w:p>
        <w:p w14:paraId="7211FDF6">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color w:val="auto"/>
              <w:sz w:val="21"/>
              <w:szCs w:val="21"/>
              <w:lang w:val="en-US" w:eastAsia="zh-CN"/>
            </w:rPr>
          </w:pPr>
          <w:r>
            <w:rPr>
              <w:rFonts w:hint="eastAsia" w:ascii="黑体" w:hAnsi="黑体" w:eastAsia="黑体"/>
              <w:color w:val="auto"/>
              <w:sz w:val="21"/>
              <w:szCs w:val="21"/>
            </w:rPr>
            <w:t xml:space="preserve">CCS </w:t>
          </w:r>
          <w:r>
            <w:rPr>
              <w:rFonts w:hint="eastAsia" w:ascii="黑体" w:hAnsi="黑体" w:eastAsia="黑体"/>
              <w:color w:val="auto"/>
              <w:sz w:val="21"/>
              <w:szCs w:val="21"/>
              <w:lang w:val="en-US" w:eastAsia="zh-CN"/>
            </w:rPr>
            <w:t>N 38</w:t>
          </w:r>
        </w:p>
        <w:p w14:paraId="3748AC6C">
          <w:pPr>
            <w:pStyle w:val="19"/>
            <w:framePr w:w="5505" w:h="900" w:hRule="exact" w:wrap="notBeside" w:vAnchor="page" w:hAnchor="page" w:x="1418" w:y="568"/>
            <w:tabs>
              <w:tab w:val="clear" w:pos="4153"/>
              <w:tab w:val="clear" w:pos="8306"/>
            </w:tabs>
            <w:spacing w:line="240" w:lineRule="auto"/>
            <w:ind w:left="3"/>
            <w:jc w:val="left"/>
            <w:rPr>
              <w:rFonts w:ascii="黑体" w:hAnsi="宋体" w:eastAsia="黑体" w:cs="黑体"/>
              <w:b/>
              <w:bCs/>
              <w:sz w:val="21"/>
              <w:szCs w:val="21"/>
              <w:lang w:bidi="ar"/>
            </w:rPr>
          </w:pPr>
        </w:p>
      </w:sdtContent>
    </w:sdt>
    <w:p w14:paraId="7A0B6DD8">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381E3AB">
      <w:pPr>
        <w:pStyle w:val="55"/>
        <w:framePr w:w="9639" w:h="6976" w:hRule="exact" w:hSpace="0" w:vSpace="0" w:wrap="around" w:hAnchor="page" w:y="6408"/>
        <w:jc w:val="center"/>
        <w:rPr>
          <w:rFonts w:ascii="黑体" w:hAnsi="黑体" w:eastAsia="黑体"/>
          <w:b w:val="0"/>
          <w:bCs w:val="0"/>
          <w:w w:val="100"/>
          <w:lang w:val="fr-FR"/>
        </w:rPr>
      </w:pPr>
    </w:p>
    <w:p w14:paraId="4907D5B0">
      <w:pPr>
        <w:pStyle w:val="202"/>
        <w:framePr w:w="9638" w:h="6973" w:hRule="exact" w:wrap="around" w:x="1418" w:y="6407"/>
        <w:rPr>
          <w:rFonts w:hint="eastAsia" w:hAnsi="宋体"/>
          <w:lang w:bidi="ar"/>
        </w:rPr>
      </w:pPr>
      <w:sdt>
        <w:sdtPr>
          <w:rPr>
            <w:rFonts w:hint="eastAsia" w:hAnsi="宋体"/>
            <w:lang w:bidi="ar"/>
          </w:rPr>
          <w:id w:val="147453738"/>
          <w:placeholder>
            <w:docPart w:val="{67d0d06c-ef95-4110-8830-86c9be6c5241}"/>
          </w:placeholder>
        </w:sdtPr>
        <w:sdtEndPr>
          <w:rPr>
            <w:rFonts w:hint="eastAsia" w:hAnsi="宋体"/>
            <w:lang w:bidi="ar"/>
          </w:rPr>
        </w:sdtEndPr>
        <w:sdtContent>
          <w:sdt>
            <w:sdtPr>
              <w:rPr>
                <w:rFonts w:hint="eastAsia" w:hAnsi="宋体"/>
                <w:lang w:bidi="ar"/>
              </w:rPr>
              <w:tag w:val="standardName"/>
              <w:id w:val="147453696"/>
              <w:placeholder>
                <w:docPart w:val="{a72764c1-cf59-4924-8622-8227e1039431}"/>
              </w:placeholder>
            </w:sdtPr>
            <w:sdtEndPr>
              <w:rPr>
                <w:rFonts w:hint="eastAsia" w:hAnsi="宋体"/>
                <w:lang w:bidi="ar"/>
              </w:rPr>
            </w:sdtEndPr>
            <w:sdtContent>
              <w:r>
                <w:rPr>
                  <w:rFonts w:hint="eastAsia" w:hAnsi="宋体"/>
                  <w:lang w:bidi="ar"/>
                </w:rPr>
                <w:t>无人机载高光谱成像系统通用技术规范</w:t>
              </w:r>
            </w:sdtContent>
          </w:sdt>
        </w:sdtContent>
      </w:sdt>
    </w:p>
    <w:p w14:paraId="4C9D8E1D">
      <w:pPr>
        <w:framePr w:w="9638" w:h="6973" w:hRule="exact" w:wrap="around" w:vAnchor="page" w:hAnchor="page" w:x="1418" w:y="6407"/>
        <w:ind w:left="-1418"/>
      </w:pPr>
    </w:p>
    <w:sdt>
      <w:sdtPr>
        <w:rPr>
          <w:rFonts w:hint="default" w:ascii="Times New Roman" w:hAnsi="Times New Roman" w:cs="Times New Roman"/>
        </w:rPr>
        <w:tag w:val="standardEnName"/>
        <w:id w:val="147463862"/>
        <w:placeholder>
          <w:docPart w:val="{9ab45570-4d49-4a33-b76c-3b5a8a0b582b}"/>
        </w:placeholder>
      </w:sdtPr>
      <w:sdtEndPr>
        <w:rPr>
          <w:rFonts w:hint="default" w:ascii="Times New Roman" w:hAnsi="Times New Roman" w:cs="Times New Roman"/>
        </w:rPr>
      </w:sdtEndPr>
      <w:sdtContent>
        <w:p w14:paraId="62BC622E">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color w:val="auto"/>
            </w:rPr>
          </w:pPr>
          <w:r>
            <w:rPr>
              <w:rFonts w:hint="eastAsia" w:ascii="Times New Roman" w:hAnsi="Times New Roman" w:cs="Times New Roman"/>
              <w:lang w:val="en-US" w:eastAsia="zh-CN"/>
            </w:rPr>
            <w:t>G</w:t>
          </w:r>
          <w:r>
            <w:rPr>
              <w:rFonts w:hint="default" w:ascii="Times New Roman" w:hAnsi="Times New Roman" w:cs="Times New Roman"/>
              <w:color w:val="auto"/>
            </w:rPr>
            <w:t xml:space="preserve">eneral technical specification for </w:t>
          </w:r>
          <w:r>
            <w:rPr>
              <w:rFonts w:hint="eastAsia" w:ascii="Times New Roman" w:hAnsi="Times New Roman" w:cs="Times New Roman"/>
              <w:color w:val="auto"/>
              <w:lang w:val="en-US" w:eastAsia="zh-CN"/>
            </w:rPr>
            <w:t>UAV</w:t>
          </w:r>
          <w:r>
            <w:rPr>
              <w:rFonts w:hint="default" w:ascii="Times New Roman" w:hAnsi="Times New Roman" w:cs="Times New Roman"/>
              <w:color w:val="auto"/>
            </w:rPr>
            <w:t>-borne hyperspectral imaging systems</w:t>
          </w:r>
        </w:p>
        <w:p w14:paraId="30309837">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p w14:paraId="5361CBD2">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sdtContent>
    </w:sdt>
    <w:p w14:paraId="69D51698">
      <w:pPr>
        <w:framePr w:w="9638" w:h="6973" w:hRule="exact" w:wrap="around" w:vAnchor="page" w:hAnchor="page" w:x="1418" w:y="6407"/>
        <w:spacing w:line="760" w:lineRule="exact"/>
        <w:ind w:left="-1418"/>
      </w:pPr>
    </w:p>
    <w:p w14:paraId="2ED0C739">
      <w:pPr>
        <w:pStyle w:val="130"/>
        <w:framePr w:w="9638" w:h="6973" w:hRule="exact" w:wrap="around" w:vAnchor="page" w:hAnchor="page" w:x="1418" w:y="6407"/>
        <w:widowControl/>
        <w:textAlignment w:val="bottom"/>
        <w:rPr>
          <w:szCs w:val="28"/>
        </w:rPr>
      </w:pPr>
      <w:sdt>
        <w:sdtPr>
          <w:rPr>
            <w:rStyle w:val="237"/>
          </w:rPr>
          <w:tag w:val="biaoshi"/>
          <w:id w:val="147453493"/>
          <w:placeholder>
            <w:docPart w:val="{8b93df19-d3a2-4cf6-af64-545a8cba65b9}"/>
          </w:placeholder>
          <w:showingPlcHdr/>
        </w:sdtPr>
        <w:sdtEndPr>
          <w:rPr>
            <w:rStyle w:val="237"/>
            <w:rFonts w:ascii="Times New Roman" w:hAnsi="Times New Roman" w:cs="Times New Roman"/>
            <w:szCs w:val="28"/>
            <w:lang w:bidi="ar"/>
          </w:rPr>
        </w:sdtEndPr>
        <w:sdtContent>
          <w:r>
            <w:rPr>
              <w:color w:val="808080"/>
            </w:rPr>
            <w:t>点击此处添加与国际标准一致性程度的标识</w:t>
          </w:r>
        </w:sdtContent>
      </w:sdt>
    </w:p>
    <w:p w14:paraId="1A778ECE">
      <w:pPr>
        <w:pStyle w:val="130"/>
        <w:framePr w:w="9638" w:h="6973" w:hRule="exact" w:wrap="around" w:vAnchor="page" w:hAnchor="page" w:x="1418" w:y="6407"/>
        <w:widowControl/>
        <w:spacing w:before="180" w:line="240" w:lineRule="atLeast"/>
        <w:textAlignment w:val="bottom"/>
        <w:rPr>
          <w:rFonts w:ascii="Times New Roman" w:hAnsi="Times New Roman" w:eastAsia="宋体"/>
          <w:lang w:bidi="ar"/>
        </w:rPr>
      </w:pPr>
      <w:sdt>
        <w:sdtPr>
          <w:rPr>
            <w:rFonts w:hint="eastAsia" w:ascii="Times New Roman" w:hAnsi="Times New Roman" w:eastAsia="宋体"/>
            <w:lang w:bidi="ar"/>
          </w:rPr>
          <w:tag w:val="caoan"/>
          <w:id w:val="147454296"/>
          <w:placeholder>
            <w:docPart w:val="{5effb42c-7e4b-4748-a553-1e3ed4a8a110}"/>
          </w:placeholder>
          <w:dropDownList>
            <w:listItem w:displayText=" " w:value=" "/>
            <w:listItem w:displayText="草案版次选择" w:value="草案版次选择"/>
            <w:listItem w:displayText="（征求意见稿）" w:value="（征求意见稿）"/>
            <w:listItem w:displayText="（送审稿）" w:value="（送审稿）"/>
            <w:listItem w:displayText="（报批稿）" w:value="（报批稿）"/>
          </w:dropDownList>
        </w:sdtPr>
        <w:sdtEndPr>
          <w:rPr>
            <w:rFonts w:hint="eastAsia" w:ascii="Times New Roman" w:hAnsi="Times New Roman" w:eastAsia="宋体"/>
            <w:lang w:bidi="ar"/>
          </w:rPr>
        </w:sdtEndPr>
        <w:sdtContent>
          <w:r>
            <w:rPr>
              <w:rFonts w:hint="eastAsia" w:ascii="Times New Roman" w:hAnsi="Times New Roman" w:eastAsia="宋体"/>
              <w:lang w:bidi="ar"/>
            </w:rPr>
            <w:t>（征求意见稿）</w:t>
          </w:r>
        </w:sdtContent>
      </w:sdt>
    </w:p>
    <w:p w14:paraId="77AE380B">
      <w:pPr>
        <w:pStyle w:val="130"/>
        <w:framePr w:w="9638" w:h="6973" w:hRule="exact" w:wrap="around" w:vAnchor="page" w:hAnchor="page" w:x="1418" w:y="6407"/>
        <w:widowControl/>
        <w:spacing w:before="180" w:line="240" w:lineRule="atLeast"/>
        <w:textAlignment w:val="bottom"/>
        <w:rPr>
          <w:rFonts w:hAnsi="宋体"/>
          <w:bCs/>
          <w:sz w:val="21"/>
          <w:szCs w:val="28"/>
          <w:lang w:bidi="ar"/>
        </w:rPr>
      </w:pPr>
      <w:sdt>
        <w:sdtPr>
          <w:tag w:val="finishTime"/>
          <w:id w:val="147452740"/>
          <w:placeholder>
            <w:docPart w:val="{6006c831-1dff-4344-a30e-bd1d19dbe4b1}"/>
          </w:placeholder>
          <w:comboBox>
            <w:listItem w:displayText=" " w:value=" "/>
            <w:listItem w:displayText="（本草案完成时间：）" w:value="（本草案完成时间：）"/>
          </w:comboBox>
        </w:sdtPr>
        <w:sdtContent>
          <w:r>
            <w:rPr>
              <w:rFonts w:hint="eastAsia"/>
            </w:rPr>
            <w:t xml:space="preserve"> </w:t>
          </w:r>
        </w:sdtContent>
      </w:sdt>
    </w:p>
    <w:sdt>
      <w:sdtPr>
        <w:rPr>
          <w:rFonts w:ascii="Times New Roman" w:hAnsi="Times New Roman" w:eastAsia="宋体"/>
          <w:b/>
          <w:sz w:val="21"/>
          <w:szCs w:val="28"/>
        </w:rPr>
        <w:tag w:val="tishi"/>
        <w:id w:val="147479773"/>
        <w:placeholder>
          <w:docPart w:val="{0c871f9c-2089-4eac-b6ff-a01e24a2ff32}"/>
        </w:placeholder>
        <w:comboBox>
          <w:listItem w:displayText=" " w:value=" "/>
          <w:listItem w:displayText="在提交反馈意见时，请将您知道的相关专利连同支持性文件一并附上。" w:value="在提交反馈意见时，请将您知道的相关专利连同支持性文件一并附上。"/>
        </w:comboBox>
      </w:sdtPr>
      <w:sdtEndPr>
        <w:rPr>
          <w:rFonts w:ascii="Times New Roman" w:hAnsi="Times New Roman" w:eastAsia="宋体"/>
          <w:b/>
          <w:sz w:val="21"/>
          <w:szCs w:val="28"/>
        </w:rPr>
      </w:sdtEndPr>
      <w:sdtContent>
        <w:p w14:paraId="71A8FB93">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r>
            <w:rPr>
              <w:rFonts w:hint="eastAsia" w:ascii="Times New Roman" w:hAnsi="Times New Roman" w:eastAsia="宋体"/>
              <w:b/>
              <w:sz w:val="21"/>
              <w:szCs w:val="28"/>
            </w:rPr>
            <w:t xml:space="preserve"> </w:t>
          </w:r>
        </w:p>
      </w:sdtContent>
    </w:sdt>
    <w:p w14:paraId="7AC820B9">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p>
    <w:p w14:paraId="6A9C4FD1">
      <w:pPr>
        <w:pStyle w:val="198"/>
        <w:framePr w:wrap="around" w:y="14176"/>
      </w:pPr>
      <w:sdt>
        <w:sdtPr>
          <w:rPr>
            <w:rFonts w:hint="eastAsia" w:ascii="黑体" w:hAnsi="宋体"/>
            <w:bCs/>
            <w:szCs w:val="28"/>
            <w:lang w:val="fr" w:bidi="ar"/>
          </w:rPr>
          <w:tag w:val="standardNext"/>
          <w:id w:val="147476382"/>
          <w:placeholder>
            <w:docPart w:val="{ffc36ac9-555f-4fb4-b39b-c9c42afd0a0b}"/>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80417"/>
              <w:placeholder>
                <w:docPart w:val="{6520bed0-204d-45ab-a9bc-07c512250680}"/>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1029"/>
              <w:placeholder>
                <w:docPart w:val="{8702d678-4b8d-4209-b0b4-982da1757ede}"/>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79964"/>
              <w:placeholder>
                <w:docPart w:val="{bbf84e9a-ea19-48ac-8602-fd706520c678}"/>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rPr>
            <w:t>发布</w:t>
          </w:r>
        </w:sdtContent>
      </w:sdt>
    </w:p>
    <w:p w14:paraId="09AEF373">
      <w:pPr>
        <w:pStyle w:val="199"/>
        <w:framePr w:wrap="around" w:y="14176"/>
      </w:pPr>
      <w:sdt>
        <w:sdtPr>
          <w:rPr>
            <w:rFonts w:hint="eastAsia" w:ascii="黑体" w:hAnsi="宋体"/>
            <w:bCs/>
            <w:szCs w:val="28"/>
            <w:lang w:val="fr" w:bidi="ar"/>
          </w:rPr>
          <w:tag w:val="standardNext"/>
          <w:id w:val="147475347"/>
          <w:placeholder>
            <w:docPart w:val="{42e85895-5a69-4c5f-8435-6aa174df825e}"/>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64742"/>
              <w:placeholder>
                <w:docPart w:val="{273c241a-3545-4cb8-b3e1-dccdf8af0dbb}"/>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0824"/>
              <w:placeholder>
                <w:docPart w:val="{decab8c0-5632-48ca-8dfa-65fd198c0a0f}"/>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68566"/>
              <w:placeholder>
                <w:docPart w:val="{c4a20def-b4d2-4544-90c6-0a5a54de817a}"/>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w w:val="110"/>
            </w:rPr>
            <w:t>实施</w:t>
          </w:r>
        </w:sdtContent>
      </w:sdt>
    </w:p>
    <w:p w14:paraId="17BE332F">
      <w:pPr>
        <w:pStyle w:val="156"/>
        <w:framePr w:h="584" w:hRule="exact" w:hSpace="181" w:vSpace="181" w:wrap="around" w:y="14800"/>
        <w:rPr>
          <w:rFonts w:hAnsi="黑体"/>
        </w:rPr>
      </w:pPr>
      <w:sdt>
        <w:sdtPr>
          <w:rPr>
            <w:rFonts w:ascii="Times New Roman"/>
            <w:w w:val="100"/>
            <w:sz w:val="28"/>
          </w:rPr>
          <w:id w:val="147481135"/>
          <w:placeholder>
            <w:docPart w:val="{b7d6c8d2-2f40-43d5-8c2f-656491101695}"/>
          </w:placeholder>
        </w:sdtPr>
        <w:sdtEndPr>
          <w:rPr>
            <w:rFonts w:ascii="Times New Roman"/>
            <w:w w:val="100"/>
            <w:sz w:val="28"/>
          </w:rPr>
        </w:sdtEndPr>
        <w:sdtContent>
          <w:r>
            <w:rPr>
              <w:rFonts w:hint="eastAsia" w:ascii="Times New Roman"/>
              <w:w w:val="100"/>
              <w:sz w:val="28"/>
              <w:lang w:val="en-US" w:eastAsia="zh-CN"/>
            </w:rPr>
            <w:t>中国电子节能技术协会</w:t>
          </w:r>
        </w:sdtContent>
      </w:sdt>
      <w:r>
        <w:rPr>
          <w:rFonts w:ascii="Times New Roman"/>
          <w:w w:val="100"/>
          <w:sz w:val="28"/>
          <w:szCs w:val="28"/>
        </w:rPr>
        <w:t>  </w:t>
      </w:r>
      <w:r>
        <w:rPr>
          <w:rStyle w:val="234"/>
          <w:rFonts w:hint="eastAsia" w:hAnsi="黑体"/>
          <w:position w:val="0"/>
        </w:rPr>
        <w:t>发</w:t>
      </w:r>
      <w:r>
        <w:rPr>
          <w:rStyle w:val="234"/>
          <w:rFonts w:hint="eastAsia" w:hAnsi="黑体"/>
          <w:spacing w:val="0"/>
          <w:position w:val="0"/>
        </w:rPr>
        <w:t>布</w:t>
      </w:r>
    </w:p>
    <w:p w14:paraId="76BE5296">
      <w:pPr>
        <w:rPr>
          <w:rFonts w:ascii="宋体" w:hAnsi="宋体"/>
          <w:sz w:val="28"/>
          <w:szCs w:val="28"/>
        </w:rPr>
        <w:sectPr>
          <w:headerReference r:id="rId7" w:type="first"/>
          <w:footerReference r:id="rId9" w:type="first"/>
          <w:headerReference r:id="rId5" w:type="default"/>
          <w:headerReference r:id="rId6" w:type="even"/>
          <w:footerReference r:id="rId8" w:type="even"/>
          <w:type w:val="continuous"/>
          <w:pgSz w:w="11906" w:h="16838"/>
          <w:pgMar w:top="567" w:right="1134" w:bottom="1020" w:left="1134" w:header="1418" w:footer="1134" w:gutter="283"/>
          <w:cols w:space="0" w:num="1"/>
          <w:titlePg/>
          <w:docGrid w:type="lines"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9333230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34.9pt;height:0pt;width:481.9pt;mso-position-horizontal-relative:page;mso-position-vertical-relative:page;z-index:251661312;mso-width-relative:page;mso-height-relative:page;" filled="f" stroked="t" coordsize="21600,21600" o:gfxdata="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9mWs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sdt>
      <w:sdtPr>
        <w:rPr>
          <w:rFonts w:ascii="宋体" w:hAnsi="宋体" w:eastAsia="宋体" w:cs="Times New Roman"/>
          <w:kern w:val="2"/>
          <w:sz w:val="21"/>
          <w:szCs w:val="21"/>
          <w:lang w:val="en-US" w:eastAsia="zh-CN" w:bidi="ar-SA"/>
        </w:rPr>
        <w:id w:val="147478998"/>
        <w15:color w:val="DBDBDB"/>
        <w:docPartObj>
          <w:docPartGallery w:val="Table of Contents"/>
          <w:docPartUnique/>
        </w:docPartObj>
      </w:sdtPr>
      <w:sdtEndPr>
        <w:rPr>
          <w:rFonts w:ascii="黑体" w:hAnsi="黑体" w:eastAsia="黑体" w:cs="Times New Roman"/>
          <w:b/>
          <w:kern w:val="2"/>
          <w:sz w:val="32"/>
          <w:szCs w:val="21"/>
          <w:lang w:val="en-US" w:eastAsia="zh-CN" w:bidi="ar-SA"/>
        </w:rPr>
      </w:sdtEndPr>
      <w:sdtContent>
        <w:p w14:paraId="071C4F6B">
          <w:pPr>
            <w:keepNext w:val="0"/>
            <w:keepLines w:val="0"/>
            <w:pageBreakBefore w:val="0"/>
            <w:widowControl w:val="0"/>
            <w:kinsoku/>
            <w:wordWrap/>
            <w:overflowPunct/>
            <w:topLinePunct w:val="0"/>
            <w:autoSpaceDE/>
            <w:autoSpaceDN/>
            <w:bidi w:val="0"/>
            <w:adjustRightInd w:val="0"/>
            <w:snapToGrid/>
            <w:spacing w:before="850" w:beforeLines="0" w:after="680" w:afterLines="0" w:line="240" w:lineRule="auto"/>
            <w:ind w:left="0" w:leftChars="0" w:right="0" w:rightChars="0" w:firstLine="0" w:firstLineChars="0"/>
            <w:jc w:val="center"/>
            <w:textAlignment w:val="auto"/>
            <w:rPr>
              <w:rFonts w:hint="default" w:ascii="黑体" w:hAnsi="Calibri" w:eastAsia="黑体" w:cs="Times New Roman"/>
              <w:spacing w:val="320"/>
              <w:kern w:val="2"/>
              <w:sz w:val="32"/>
              <w:szCs w:val="21"/>
              <w:lang w:val="en-US" w:eastAsia="zh-CN" w:bidi="ar-SA"/>
            </w:rPr>
          </w:pPr>
          <w:bookmarkStart w:id="7" w:name="_Toc4779"/>
          <w:bookmarkStart w:id="8" w:name="qianyan"/>
          <w:bookmarkStart w:id="9" w:name="BookMark4"/>
          <w:r>
            <w:rPr>
              <w:rFonts w:ascii="黑体" w:hAnsi="Calibri" w:eastAsia="黑体" w:cs="Times New Roman"/>
              <w:spacing w:val="320"/>
              <w:kern w:val="2"/>
              <w:sz w:val="32"/>
              <w:szCs w:val="21"/>
              <w:lang w:val="en-US" w:eastAsia="zh-CN" w:bidi="ar-SA"/>
            </w:rPr>
            <w:t>目</w:t>
          </w:r>
          <w:r>
            <w:rPr>
              <w:rFonts w:hint="eastAsia" w:ascii="黑体" w:hAnsi="黑体" w:eastAsia="黑体" w:cs="黑体"/>
              <w:sz w:val="32"/>
              <w:szCs w:val="32"/>
            </w:rPr>
            <w:t>次</w:t>
          </w:r>
        </w:p>
        <w:p w14:paraId="6652F56B">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_Toc18028 </w:instrText>
          </w:r>
          <w:r>
            <w:rPr>
              <w:rFonts w:hint="eastAsia" w:ascii="宋体" w:hAnsi="宋体" w:eastAsia="宋体" w:cs="宋体"/>
              <w:sz w:val="21"/>
              <w:szCs w:val="21"/>
            </w:rPr>
            <w:fldChar w:fldCharType="separate"/>
          </w:r>
          <w:r>
            <w:rPr>
              <w:rFonts w:hint="eastAsia" w:ascii="宋体" w:hAnsi="宋体" w:eastAsia="宋体" w:cs="宋体"/>
              <w:spacing w:val="317"/>
              <w:sz w:val="21"/>
              <w:szCs w:val="21"/>
            </w:rPr>
            <w:t>前</w:t>
          </w:r>
          <w:r>
            <w:rPr>
              <w:rFonts w:hint="eastAsia" w:ascii="宋体" w:hAnsi="宋体" w:eastAsia="宋体" w:cs="宋体"/>
              <w:sz w:val="21"/>
              <w:szCs w:val="21"/>
            </w:rPr>
            <w:t>言</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_Toc18028 \h </w:instrText>
          </w:r>
          <w:r>
            <w:rPr>
              <w:rFonts w:hint="eastAsia" w:ascii="宋体" w:hAnsi="宋体" w:eastAsia="宋体" w:cs="宋体"/>
              <w:sz w:val="21"/>
              <w:szCs w:val="21"/>
            </w:rPr>
            <w:fldChar w:fldCharType="separate"/>
          </w:r>
          <w:r>
            <w:rPr>
              <w:rFonts w:hint="eastAsia" w:ascii="宋体" w:hAnsi="宋体" w:eastAsia="宋体" w:cs="宋体"/>
              <w:sz w:val="21"/>
              <w:szCs w:val="21"/>
            </w:rPr>
            <w:t>II</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8A84485">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_Toc21286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1 </w:t>
          </w:r>
          <w:r>
            <w:rPr>
              <w:rFonts w:hint="eastAsia" w:ascii="宋体" w:hAnsi="宋体" w:eastAsia="宋体" w:cs="宋体"/>
              <w:sz w:val="21"/>
              <w:szCs w:val="21"/>
            </w:rPr>
            <w:t>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_Toc21286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822E8C6">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_Toc29718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2 </w:t>
          </w:r>
          <w:r>
            <w:rPr>
              <w:rFonts w:hint="eastAsia" w:ascii="宋体" w:hAnsi="宋体" w:eastAsia="宋体" w:cs="宋体"/>
              <w:sz w:val="21"/>
              <w:szCs w:val="21"/>
            </w:rPr>
            <w:t>规范性引用文件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_Toc29718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A227C2D">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_Toc7961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3 </w:t>
          </w:r>
          <w:r>
            <w:rPr>
              <w:rFonts w:hint="eastAsia" w:ascii="宋体" w:hAnsi="宋体" w:eastAsia="宋体" w:cs="宋体"/>
              <w:sz w:val="21"/>
              <w:szCs w:val="21"/>
            </w:rPr>
            <w:t>术语和定义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_Toc7961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33F592A">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_Toc20196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4 </w:t>
          </w:r>
          <w:r>
            <w:rPr>
              <w:rFonts w:hint="eastAsia" w:ascii="宋体" w:hAnsi="宋体" w:eastAsia="宋体" w:cs="宋体"/>
              <w:sz w:val="21"/>
              <w:szCs w:val="21"/>
            </w:rPr>
            <w:t>系统构成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_Toc20196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4A98F15">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_Toc30233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sz w:val="21"/>
              <w:szCs w:val="21"/>
              <w:lang w:val="en-US" w:eastAsia="zh-CN"/>
            </w:rPr>
            <w:t>系统总体架构</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_Toc30233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F309339">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_Toc27309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sz w:val="21"/>
              <w:szCs w:val="21"/>
              <w:lang w:val="en-US" w:eastAsia="zh-CN"/>
            </w:rPr>
            <w:t>系统功能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_Toc27309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AC42353">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_Toc24458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5 </w:t>
          </w:r>
          <w:r>
            <w:rPr>
              <w:rFonts w:hint="eastAsia" w:ascii="宋体" w:hAnsi="宋体" w:eastAsia="宋体" w:cs="宋体"/>
              <w:sz w:val="21"/>
              <w:szCs w:val="21"/>
              <w:lang w:val="en-US" w:eastAsia="zh-CN"/>
            </w:rPr>
            <w:t>技术</w:t>
          </w:r>
          <w:r>
            <w:rPr>
              <w:rFonts w:hint="eastAsia" w:ascii="宋体" w:hAnsi="宋体" w:eastAsia="宋体" w:cs="宋体"/>
              <w:sz w:val="21"/>
              <w:szCs w:val="21"/>
            </w:rPr>
            <w:t>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_Toc24458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69D1F71">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_Toc5529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sz w:val="21"/>
              <w:szCs w:val="21"/>
            </w:rPr>
            <w:t>光谱性能要求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_Toc5529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DAF528F">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_Toc20519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sz w:val="21"/>
              <w:szCs w:val="21"/>
            </w:rPr>
            <w:t>空间成像性能要求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_Toc20519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52ACE79">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_Toc31292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sz w:val="21"/>
              <w:szCs w:val="21"/>
            </w:rPr>
            <w:t>环境适应性要求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_Toc31292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31A40A8">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_Toc24307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宋体" w:hAnsi="宋体" w:eastAsia="宋体" w:cs="宋体"/>
              <w:sz w:val="21"/>
              <w:szCs w:val="21"/>
              <w:lang w:val="en-US" w:eastAsia="zh-CN"/>
            </w:rPr>
            <w:t>电磁兼容性要求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_Toc24307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92511E2">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_Toc30558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宋体" w:hAnsi="宋体" w:eastAsia="宋体" w:cs="宋体"/>
              <w:sz w:val="21"/>
              <w:szCs w:val="21"/>
              <w:lang w:val="en-US" w:eastAsia="zh-CN"/>
            </w:rPr>
            <w:t>可靠性与安全性要求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_Toc30558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33CD30C">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_Toc19483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rPr>
            <w:t xml:space="preserve">6 </w:t>
          </w:r>
          <w:r>
            <w:rPr>
              <w:rFonts w:hint="eastAsia" w:ascii="宋体" w:hAnsi="宋体" w:eastAsia="宋体" w:cs="宋体"/>
              <w:sz w:val="21"/>
              <w:szCs w:val="21"/>
              <w:lang w:val="en-US" w:eastAsia="zh-CN"/>
            </w:rPr>
            <w:t>试验方法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_Toc19483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BC6C358">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_Toc24282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sz w:val="21"/>
              <w:szCs w:val="21"/>
              <w:lang w:val="en-US" w:eastAsia="zh-CN"/>
            </w:rPr>
            <w:t>试验环境条件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_Toc24282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3C3FC05">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_Toc29417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sz w:val="21"/>
              <w:szCs w:val="21"/>
              <w:lang w:val="en-US" w:eastAsia="zh-CN"/>
            </w:rPr>
            <w:t>光谱性能试验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_Toc29417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38EDBFD">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_Toc5187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sz w:val="21"/>
              <w:szCs w:val="21"/>
              <w:lang w:val="en-US" w:eastAsia="zh-CN"/>
            </w:rPr>
            <w:t>空间成像性能试验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_Toc5187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FF36A4C">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_Toc4179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sz w:val="21"/>
              <w:szCs w:val="21"/>
              <w:lang w:val="en-US" w:eastAsia="zh-CN"/>
            </w:rPr>
            <w:t>环境适应性试验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_Toc4179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E76E422">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_Toc20924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sz w:val="21"/>
              <w:szCs w:val="21"/>
              <w:lang w:val="en-US" w:eastAsia="zh-CN"/>
            </w:rPr>
            <w:t>电磁兼容性试验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_Toc20924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9B60D8A">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_Toc10979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6.6 </w:t>
          </w:r>
          <w:r>
            <w:rPr>
              <w:rFonts w:hint="eastAsia" w:ascii="宋体" w:hAnsi="宋体" w:eastAsia="宋体" w:cs="宋体"/>
              <w:sz w:val="21"/>
              <w:szCs w:val="21"/>
              <w:lang w:val="en-US" w:eastAsia="zh-CN"/>
            </w:rPr>
            <w:t>可靠性与安全性试验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_Toc10979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9BC32F2">
          <w:pPr>
            <w:pStyle w:val="94"/>
            <w:keepNext w:val="0"/>
            <w:keepLines w:val="0"/>
            <w:pageBreakBefore w:val="0"/>
            <w:numPr>
              <w:ilvl w:val="0"/>
              <w:numId w:val="0"/>
            </w:numPr>
            <w:kinsoku/>
            <w:wordWrap/>
            <w:overflowPunct/>
            <w:topLinePunct w:val="0"/>
            <w:autoSpaceDE/>
            <w:autoSpaceDN/>
            <w:bidi w:val="0"/>
            <w:snapToGrid/>
            <w:spacing w:before="0" w:after="0" w:line="400" w:lineRule="exact"/>
            <w:ind w:leftChars="0"/>
            <w:jc w:val="both"/>
            <w:textAlignment w:val="auto"/>
            <w:sectPr>
              <w:headerReference r:id="rId10" w:type="default"/>
              <w:footerReference r:id="rId11" w:type="default"/>
              <w:pgSz w:w="11906" w:h="16838"/>
              <w:pgMar w:top="1928" w:right="1134" w:bottom="1134" w:left="1134" w:header="1418" w:footer="1134" w:gutter="284"/>
              <w:pgNumType w:fmt="upperRoman" w:start="2"/>
              <w:cols w:space="425" w:num="1"/>
              <w:formProt w:val="0"/>
              <w:docGrid w:linePitch="312" w:charSpace="0"/>
            </w:sectPr>
          </w:pPr>
          <w:r>
            <w:rPr>
              <w:rFonts w:hint="eastAsia" w:ascii="宋体" w:hAnsi="宋体" w:eastAsia="宋体" w:cs="宋体"/>
              <w:sz w:val="21"/>
              <w:szCs w:val="21"/>
            </w:rPr>
            <w:fldChar w:fldCharType="end"/>
          </w:r>
        </w:p>
      </w:sdtContent>
    </w:sdt>
    <w:p w14:paraId="55177810">
      <w:pPr>
        <w:pStyle w:val="94"/>
      </w:pPr>
      <w:bookmarkStart w:id="10" w:name="_Toc18028"/>
      <w:bookmarkStart w:id="11" w:name="_Toc29793"/>
      <w:r>
        <w:rPr>
          <w:rFonts w:hint="eastAsia"/>
          <w:spacing w:val="317"/>
        </w:rPr>
        <w:t>前</w:t>
      </w:r>
      <w:r>
        <w:rPr>
          <w:rFonts w:hint="eastAsia"/>
        </w:rPr>
        <w:t>言</w:t>
      </w:r>
      <w:bookmarkEnd w:id="7"/>
      <w:bookmarkEnd w:id="10"/>
      <w:bookmarkEnd w:id="11"/>
    </w:p>
    <w:p w14:paraId="0065D3C2">
      <w:pPr>
        <w:pStyle w:val="61"/>
      </w:pPr>
      <w:r>
        <w:rPr>
          <w:rFonts w:hint="eastAsia"/>
        </w:rPr>
        <w:t>本文件按照GB/T 1.1—2020《标准化工作导则  第1部分：标准化文件的结构和起草规则》的规定起草。</w:t>
      </w:r>
    </w:p>
    <w:p w14:paraId="5D797A10">
      <w:pPr>
        <w:pStyle w:val="61"/>
      </w:pPr>
      <w:r>
        <w:rPr>
          <w:rFonts w:hint="eastAsia"/>
        </w:rPr>
        <w:t>请注意本文件的某些内容可能涉及专利。本文件的发布机构不承担识别专利的责任。</w:t>
      </w:r>
    </w:p>
    <w:p w14:paraId="184CA7AF">
      <w:pPr>
        <w:pStyle w:val="61"/>
      </w:pPr>
      <w:r>
        <w:rPr>
          <w:rFonts w:hint="eastAsia"/>
        </w:rPr>
        <w:t>本文件由中国电子节能技术协会提出。</w:t>
      </w:r>
    </w:p>
    <w:p w14:paraId="4FC9ADB4">
      <w:pPr>
        <w:pStyle w:val="61"/>
      </w:pPr>
      <w:r>
        <w:rPr>
          <w:rFonts w:hint="eastAsia"/>
        </w:rPr>
        <w:t>本文件由中国电子节能技术协会归口。</w:t>
      </w:r>
    </w:p>
    <w:p w14:paraId="0719B706">
      <w:pPr>
        <w:pStyle w:val="61"/>
      </w:pPr>
      <w:r>
        <w:rPr>
          <w:rFonts w:hint="eastAsia"/>
        </w:rPr>
        <w:t>本文件起草单位：××××、××××。</w:t>
      </w:r>
    </w:p>
    <w:p w14:paraId="008F127D">
      <w:pPr>
        <w:pStyle w:val="61"/>
      </w:pPr>
      <w:r>
        <w:rPr>
          <w:rFonts w:hint="eastAsia"/>
        </w:rPr>
        <w:t>本文件主要起草人：×××、×××。</w:t>
      </w:r>
    </w:p>
    <w:p w14:paraId="0BC4E675">
      <w:pPr>
        <w:pStyle w:val="61"/>
      </w:pPr>
    </w:p>
    <w:p w14:paraId="1BC9CDF4">
      <w:pPr>
        <w:sectPr>
          <w:pgSz w:w="11906" w:h="16838"/>
          <w:pgMar w:top="1928" w:right="1134" w:bottom="1134" w:left="1134" w:header="1418" w:footer="1134" w:gutter="284"/>
          <w:pgNumType w:fmt="upperRoman" w:start="2"/>
          <w:cols w:space="425" w:num="1"/>
          <w:formProt w:val="0"/>
          <w:docGrid w:linePitch="312" w:charSpace="0"/>
        </w:sectPr>
      </w:pPr>
    </w:p>
    <w:bookmarkEnd w:id="8"/>
    <w:p w14:paraId="27EED881">
      <w:pPr>
        <w:spacing w:line="20" w:lineRule="exact"/>
        <w:jc w:val="center"/>
        <w:rPr>
          <w:rFonts w:ascii="黑体" w:hAnsi="黑体" w:eastAsia="黑体"/>
          <w:sz w:val="32"/>
          <w:szCs w:val="32"/>
        </w:rPr>
      </w:pPr>
    </w:p>
    <w:p w14:paraId="10F49A4E">
      <w:pPr>
        <w:spacing w:line="20" w:lineRule="exact"/>
        <w:jc w:val="center"/>
        <w:rPr>
          <w:rFonts w:ascii="黑体" w:hAnsi="黑体" w:eastAsia="黑体"/>
          <w:sz w:val="32"/>
          <w:szCs w:val="32"/>
        </w:rPr>
      </w:pPr>
    </w:p>
    <w:p w14:paraId="12D05E78">
      <w:pPr>
        <w:pStyle w:val="182"/>
      </w:pPr>
      <w:bookmarkStart w:id="12" w:name="NEW_STAND_NAME"/>
      <w:sdt>
        <w:sdtPr>
          <w:rPr>
            <w:rFonts w:hAnsi="宋体"/>
            <w:lang w:bidi="ar"/>
          </w:rPr>
          <w:tag w:val="mainTextTitle"/>
          <w:id w:val="147453193"/>
          <w:placeholder>
            <w:docPart w:val="{ee073880-b451-4ff0-9253-5135824a1eff}"/>
          </w:placeholder>
        </w:sdtPr>
        <w:sdtEndPr>
          <w:rPr>
            <w:rFonts w:hAnsi="宋体"/>
            <w:lang w:bidi="ar"/>
          </w:rPr>
        </w:sdtEndPr>
        <w:sdtContent>
          <w:r>
            <w:rPr>
              <w:rFonts w:hint="eastAsia" w:hAnsi="宋体"/>
              <w:lang w:bidi="ar"/>
            </w:rPr>
            <w:t>无人机载高光谱成像系统通用技术规范</w:t>
          </w:r>
        </w:sdtContent>
      </w:sdt>
      <w:bookmarkEnd w:id="12"/>
    </w:p>
    <w:p w14:paraId="5EC4DF4C">
      <w:pPr>
        <w:pStyle w:val="109"/>
        <w:spacing w:before="240" w:after="240"/>
      </w:pPr>
      <w:bookmarkStart w:id="13" w:name="_Toc26718930"/>
      <w:bookmarkStart w:id="14" w:name="_Toc26986771"/>
      <w:bookmarkStart w:id="15" w:name="_Toc12617"/>
      <w:bookmarkStart w:id="16" w:name="_Toc97195091"/>
      <w:bookmarkStart w:id="17" w:name="_Toc24884211"/>
      <w:bookmarkStart w:id="18" w:name="_Toc12505"/>
      <w:bookmarkStart w:id="19" w:name="_Toc26986530"/>
      <w:bookmarkStart w:id="20" w:name="_Toc26648465"/>
      <w:bookmarkStart w:id="21" w:name="_Toc21286"/>
      <w:bookmarkStart w:id="22" w:name="_Toc17233325"/>
      <w:bookmarkStart w:id="23" w:name="_Toc24884218"/>
      <w:bookmarkStart w:id="24" w:name="_Toc17233333"/>
      <w:r>
        <w:rPr>
          <w:rFonts w:hint="eastAsia"/>
        </w:rPr>
        <w:t>范围</w:t>
      </w:r>
      <w:bookmarkEnd w:id="13"/>
      <w:bookmarkEnd w:id="14"/>
      <w:bookmarkEnd w:id="15"/>
      <w:bookmarkEnd w:id="16"/>
      <w:bookmarkEnd w:id="17"/>
      <w:bookmarkEnd w:id="18"/>
      <w:bookmarkEnd w:id="19"/>
      <w:bookmarkEnd w:id="20"/>
      <w:bookmarkEnd w:id="21"/>
      <w:bookmarkEnd w:id="22"/>
      <w:bookmarkEnd w:id="23"/>
      <w:bookmarkEnd w:id="24"/>
    </w:p>
    <w:p w14:paraId="57EE263D">
      <w:pPr>
        <w:pStyle w:val="61"/>
        <w:rPr>
          <w:rFonts w:hint="default" w:eastAsia="宋体"/>
          <w:lang w:val="en-US" w:eastAsia="zh-CN"/>
        </w:rPr>
      </w:pPr>
      <w:bookmarkStart w:id="25" w:name="_Toc26648466"/>
      <w:bookmarkStart w:id="26" w:name="_Toc24884212"/>
      <w:bookmarkStart w:id="27" w:name="_Toc24884219"/>
      <w:bookmarkStart w:id="28" w:name="_Toc17233326"/>
      <w:bookmarkStart w:id="29" w:name="_Toc17233334"/>
      <w:r>
        <w:rPr>
          <w:rFonts w:hint="eastAsia"/>
        </w:rPr>
        <w:t>本文件规定了无人机载高光谱成像系统</w:t>
      </w:r>
      <w:r>
        <w:rPr>
          <w:rFonts w:hint="eastAsia"/>
          <w:lang w:eastAsia="zh-CN"/>
        </w:rPr>
        <w:t>（</w:t>
      </w:r>
      <w:r>
        <w:rPr>
          <w:rFonts w:hint="eastAsia"/>
          <w:lang w:val="en-US" w:eastAsia="zh-CN"/>
        </w:rPr>
        <w:t>以下简称“系统”</w:t>
      </w:r>
      <w:bookmarkStart w:id="86" w:name="_GoBack"/>
      <w:bookmarkEnd w:id="86"/>
      <w:r>
        <w:rPr>
          <w:rFonts w:hint="eastAsia"/>
          <w:lang w:val="en-US" w:eastAsia="zh-CN"/>
        </w:rPr>
        <w:t>）的系统构成、技术要求及试验方法。</w:t>
      </w:r>
    </w:p>
    <w:p w14:paraId="3854AD99">
      <w:pPr>
        <w:pStyle w:val="61"/>
        <w:rPr>
          <w:rFonts w:hint="eastAsia"/>
          <w:lang w:eastAsia="zh-CN"/>
        </w:rPr>
      </w:pPr>
      <w:r>
        <w:rPr>
          <w:rFonts w:hint="eastAsia"/>
          <w:lang w:eastAsia="zh-CN"/>
        </w:rPr>
        <w:t>本文件适用于起飞重量</w:t>
      </w:r>
      <w:r>
        <w:rPr>
          <w:rFonts w:hint="eastAsia"/>
          <w:lang w:val="en-US" w:eastAsia="zh-CN"/>
        </w:rPr>
        <w:t>不大于</w:t>
      </w:r>
      <w:r>
        <w:rPr>
          <w:rFonts w:hint="eastAsia"/>
          <w:lang w:eastAsia="zh-CN"/>
        </w:rPr>
        <w:t>150kg的民用轻小型无人机搭载的高光谱成像系统，涵盖农业、林业、水环境监测、地质勘探等领域的通用型产品，专用型系统可参照本文件执行。</w:t>
      </w:r>
    </w:p>
    <w:p w14:paraId="6E83A890">
      <w:pPr>
        <w:pStyle w:val="109"/>
        <w:spacing w:before="240" w:after="240"/>
      </w:pPr>
      <w:bookmarkStart w:id="30" w:name="_Toc29718"/>
      <w:bookmarkStart w:id="31" w:name="_Toc97195092"/>
      <w:bookmarkStart w:id="32" w:name="_Toc7490"/>
      <w:bookmarkStart w:id="33" w:name="_Toc26986531"/>
      <w:bookmarkStart w:id="34" w:name="_Toc26718931"/>
      <w:bookmarkStart w:id="35" w:name="_Toc26986772"/>
      <w:bookmarkStart w:id="36" w:name="_Toc8381"/>
      <w:r>
        <w:rPr>
          <w:rFonts w:hint="eastAsia"/>
        </w:rPr>
        <w:t>规范性引用文件</w:t>
      </w:r>
      <w:bookmarkEnd w:id="25"/>
      <w:bookmarkEnd w:id="26"/>
      <w:bookmarkEnd w:id="27"/>
      <w:bookmarkEnd w:id="28"/>
      <w:bookmarkEnd w:id="29"/>
      <w:bookmarkEnd w:id="30"/>
      <w:bookmarkEnd w:id="31"/>
      <w:bookmarkEnd w:id="32"/>
      <w:bookmarkEnd w:id="33"/>
      <w:bookmarkEnd w:id="34"/>
      <w:bookmarkEnd w:id="35"/>
      <w:bookmarkEnd w:id="36"/>
    </w:p>
    <w:sdt>
      <w:sdt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Content>
        <w:p w14:paraId="4BE68B35">
          <w:pPr>
            <w:pStyle w:val="61"/>
          </w:pPr>
          <w: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D78D182">
      <w:pPr>
        <w:pStyle w:val="61"/>
        <w:rPr>
          <w:rFonts w:hint="default" w:eastAsia="宋体"/>
          <w:lang w:val="en-US" w:eastAsia="zh-CN"/>
        </w:rPr>
      </w:pPr>
      <w:r>
        <w:rPr>
          <w:rFonts w:hint="eastAsia"/>
        </w:rPr>
        <w:t>GB/T 4208</w:t>
      </w:r>
      <w:r>
        <w:rPr>
          <w:rFonts w:hint="eastAsia"/>
          <w:lang w:val="en-US" w:eastAsia="zh-CN"/>
        </w:rPr>
        <w:t xml:space="preserve">  外壳防护等级(IP代码)</w:t>
      </w:r>
    </w:p>
    <w:p w14:paraId="27D848B7">
      <w:pPr>
        <w:pStyle w:val="61"/>
        <w:rPr>
          <w:rFonts w:hint="default" w:eastAsia="宋体"/>
          <w:lang w:val="en-US" w:eastAsia="zh-CN"/>
        </w:rPr>
      </w:pPr>
      <w:r>
        <w:rPr>
          <w:rFonts w:hint="eastAsia"/>
        </w:rPr>
        <w:t>GB/T 38909</w:t>
      </w:r>
      <w:r>
        <w:rPr>
          <w:rFonts w:hint="eastAsia"/>
          <w:lang w:val="en-US" w:eastAsia="zh-CN"/>
        </w:rPr>
        <w:t xml:space="preserve">  民用轻小型无人机系统电磁兼容性要求与试验方法</w:t>
      </w:r>
    </w:p>
    <w:p w14:paraId="0AC8B106">
      <w:pPr>
        <w:pStyle w:val="61"/>
        <w:rPr>
          <w:rFonts w:hint="default" w:eastAsia="宋体"/>
          <w:lang w:val="en-US" w:eastAsia="zh-CN"/>
        </w:rPr>
      </w:pPr>
      <w:r>
        <w:rPr>
          <w:rFonts w:hint="eastAsia"/>
        </w:rPr>
        <w:t>GB/T 38924.</w:t>
      </w:r>
      <w:r>
        <w:rPr>
          <w:rFonts w:hint="eastAsia"/>
          <w:lang w:val="en-US" w:eastAsia="zh-CN"/>
        </w:rPr>
        <w:t>2  民用轻小型无人机系统环境试验方法 第2部分: 低温试验</w:t>
      </w:r>
    </w:p>
    <w:p w14:paraId="683E7B23">
      <w:pPr>
        <w:pStyle w:val="61"/>
        <w:rPr>
          <w:rFonts w:hint="default" w:eastAsia="宋体"/>
          <w:lang w:val="en-US" w:eastAsia="zh-CN"/>
        </w:rPr>
      </w:pPr>
      <w:r>
        <w:rPr>
          <w:rFonts w:hint="eastAsia"/>
        </w:rPr>
        <w:t>GB/T 38924.3</w:t>
      </w:r>
      <w:r>
        <w:rPr>
          <w:rFonts w:hint="eastAsia"/>
          <w:lang w:val="en-US" w:eastAsia="zh-CN"/>
        </w:rPr>
        <w:t xml:space="preserve">  民用轻小型无人机系统环境试验方法 第3部分：高温试验</w:t>
      </w:r>
    </w:p>
    <w:p w14:paraId="485F2C55">
      <w:pPr>
        <w:pStyle w:val="61"/>
        <w:rPr>
          <w:rFonts w:hint="default" w:eastAsia="宋体"/>
          <w:lang w:val="en-US" w:eastAsia="zh-CN"/>
        </w:rPr>
      </w:pPr>
      <w:r>
        <w:rPr>
          <w:rFonts w:hint="eastAsia"/>
        </w:rPr>
        <w:t>GB/T 38924.</w:t>
      </w:r>
      <w:r>
        <w:rPr>
          <w:rFonts w:hint="eastAsia"/>
          <w:lang w:val="en-US" w:eastAsia="zh-CN"/>
        </w:rPr>
        <w:t>4  民用轻小型无人机系统环境试验方法 第4部分：温度和高度试验</w:t>
      </w:r>
    </w:p>
    <w:p w14:paraId="16729F4F">
      <w:pPr>
        <w:pStyle w:val="61"/>
        <w:rPr>
          <w:rFonts w:hint="default" w:eastAsia="宋体"/>
          <w:lang w:val="en-US" w:eastAsia="zh-CN"/>
        </w:rPr>
      </w:pPr>
      <w:r>
        <w:rPr>
          <w:rFonts w:hint="eastAsia"/>
        </w:rPr>
        <w:t>GB/T 38924.5</w:t>
      </w:r>
      <w:r>
        <w:rPr>
          <w:rFonts w:hint="eastAsia"/>
          <w:lang w:val="en-US" w:eastAsia="zh-CN"/>
        </w:rPr>
        <w:t xml:space="preserve">  民用轻小型无人机系统环境试验方法 第5部分：冲击试验</w:t>
      </w:r>
    </w:p>
    <w:p w14:paraId="2CFFC061">
      <w:pPr>
        <w:pStyle w:val="61"/>
        <w:rPr>
          <w:rFonts w:hint="default" w:eastAsia="宋体"/>
          <w:lang w:val="en-US" w:eastAsia="zh-CN"/>
        </w:rPr>
      </w:pPr>
      <w:r>
        <w:rPr>
          <w:rFonts w:hint="eastAsia"/>
        </w:rPr>
        <w:t>GB/T 38924.6</w:t>
      </w:r>
      <w:r>
        <w:rPr>
          <w:rFonts w:hint="eastAsia"/>
          <w:lang w:val="en-US" w:eastAsia="zh-CN"/>
        </w:rPr>
        <w:t xml:space="preserve">  民用轻小型无人机系统环境试验方法 第6部分：振动试验</w:t>
      </w:r>
    </w:p>
    <w:p w14:paraId="408FB650">
      <w:pPr>
        <w:pStyle w:val="61"/>
        <w:rPr>
          <w:rFonts w:hint="default" w:eastAsia="宋体"/>
          <w:lang w:val="en-US" w:eastAsia="zh-CN"/>
        </w:rPr>
      </w:pPr>
      <w:r>
        <w:rPr>
          <w:rFonts w:hint="eastAsia"/>
        </w:rPr>
        <w:t>GB/T 38924.7</w:t>
      </w:r>
      <w:r>
        <w:rPr>
          <w:rFonts w:hint="eastAsia"/>
          <w:lang w:val="en-US" w:eastAsia="zh-CN"/>
        </w:rPr>
        <w:t xml:space="preserve">  民用轻小型无人机系统环境试验方法 第7部分：湿热试验</w:t>
      </w:r>
    </w:p>
    <w:p w14:paraId="4113925E">
      <w:pPr>
        <w:pStyle w:val="61"/>
        <w:rPr>
          <w:rFonts w:hint="default" w:eastAsia="宋体"/>
          <w:lang w:val="en-US" w:eastAsia="zh-CN"/>
        </w:rPr>
      </w:pPr>
      <w:r>
        <w:rPr>
          <w:rFonts w:hint="eastAsia"/>
        </w:rPr>
        <w:t>GB/T 38924.9</w:t>
      </w:r>
      <w:r>
        <w:rPr>
          <w:rFonts w:hint="eastAsia"/>
          <w:lang w:val="en-US" w:eastAsia="zh-CN"/>
        </w:rPr>
        <w:t xml:space="preserve">  民用轻小型无人机系统环境试验方法 第9部分：防水性试验</w:t>
      </w:r>
    </w:p>
    <w:p w14:paraId="26F3EB68">
      <w:pPr>
        <w:pStyle w:val="61"/>
        <w:rPr>
          <w:rFonts w:hint="default" w:eastAsia="宋体"/>
          <w:lang w:val="en-US" w:eastAsia="zh-CN"/>
        </w:rPr>
      </w:pPr>
      <w:r>
        <w:rPr>
          <w:rFonts w:hint="eastAsia"/>
        </w:rPr>
        <w:t>GB/T 38924.10</w:t>
      </w:r>
      <w:r>
        <w:rPr>
          <w:rFonts w:hint="eastAsia"/>
          <w:lang w:val="en-US" w:eastAsia="zh-CN"/>
        </w:rPr>
        <w:t xml:space="preserve">  民用轻小型无人机系统环境试验方法 第10部分： 砂尘试验</w:t>
      </w:r>
    </w:p>
    <w:p w14:paraId="5FC89A3A">
      <w:pPr>
        <w:pStyle w:val="61"/>
        <w:rPr>
          <w:rFonts w:hint="default" w:eastAsia="宋体"/>
          <w:lang w:val="en-US" w:eastAsia="zh-CN"/>
        </w:rPr>
      </w:pPr>
      <w:r>
        <w:rPr>
          <w:rFonts w:hint="eastAsia"/>
        </w:rPr>
        <w:t>GB/T 38930</w:t>
      </w:r>
      <w:r>
        <w:rPr>
          <w:rFonts w:hint="eastAsia"/>
          <w:lang w:val="en-US" w:eastAsia="zh-CN"/>
        </w:rPr>
        <w:t xml:space="preserve">  民用轻小型无人机系统抗风性要求及试验方法</w:t>
      </w:r>
    </w:p>
    <w:p w14:paraId="0897BD79">
      <w:pPr>
        <w:pStyle w:val="61"/>
        <w:rPr>
          <w:rFonts w:hint="default" w:eastAsia="宋体"/>
          <w:lang w:val="en-US" w:eastAsia="zh-CN"/>
        </w:rPr>
      </w:pPr>
      <w:r>
        <w:rPr>
          <w:rFonts w:hint="eastAsia"/>
        </w:rPr>
        <w:t>HY/T 0400</w:t>
      </w:r>
      <w:r>
        <w:rPr>
          <w:rFonts w:hint="eastAsia"/>
          <w:lang w:val="en-US" w:eastAsia="zh-CN"/>
        </w:rPr>
        <w:t xml:space="preserve">  无人机机载海洋水色高光谱成像观测系统技术要求</w:t>
      </w:r>
    </w:p>
    <w:p w14:paraId="7E0F02AA">
      <w:pPr>
        <w:pStyle w:val="109"/>
        <w:spacing w:before="240" w:after="240"/>
      </w:pPr>
      <w:bookmarkStart w:id="37" w:name="_Toc21736"/>
      <w:bookmarkStart w:id="38" w:name="_Toc97195093"/>
      <w:bookmarkStart w:id="39" w:name="_Toc11143"/>
      <w:bookmarkStart w:id="40" w:name="_Toc7961"/>
      <w:r>
        <w:rPr>
          <w:rFonts w:hint="eastAsia"/>
          <w:szCs w:val="21"/>
        </w:rPr>
        <w:t>术语和定义</w:t>
      </w:r>
      <w:bookmarkEnd w:id="37"/>
      <w:bookmarkEnd w:id="38"/>
      <w:bookmarkEnd w:id="39"/>
      <w:bookmarkEnd w:id="40"/>
    </w:p>
    <w:bookmarkEnd w:id="9"/>
    <w:p w14:paraId="3A3BF7ED">
      <w:pPr>
        <w:pStyle w:val="61"/>
      </w:pPr>
      <w:r>
        <w:rPr>
          <w:rFonts w:hint="eastAsia"/>
        </w:rPr>
        <w:t>HY/T 0400</w:t>
      </w:r>
      <w:r>
        <w:rPr>
          <w:rFonts w:hint="eastAsia"/>
          <w:lang w:val="en-US" w:eastAsia="zh-CN"/>
        </w:rPr>
        <w:t>界定的以及</w:t>
      </w:r>
      <w:sdt>
        <w:sdt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r>
            <w:t>下列术语和定义适用于本文件。</w:t>
          </w:r>
        </w:sdtContent>
      </w:sdt>
    </w:p>
    <w:p w14:paraId="4B6D3D92">
      <w:pPr>
        <w:pStyle w:val="110"/>
        <w:spacing w:before="120" w:after="120"/>
      </w:pPr>
      <w:bookmarkStart w:id="41" w:name="_Toc18481"/>
      <w:bookmarkEnd w:id="41"/>
      <w:bookmarkStart w:id="42" w:name="_Toc2826"/>
      <w:bookmarkEnd w:id="42"/>
      <w:bookmarkStart w:id="43" w:name="_Toc5316"/>
      <w:bookmarkEnd w:id="43"/>
      <w:bookmarkStart w:id="44" w:name="_Toc9949"/>
      <w:bookmarkEnd w:id="44"/>
      <w:bookmarkStart w:id="45" w:name="_Toc11047"/>
      <w:bookmarkEnd w:id="45"/>
      <w:bookmarkStart w:id="46" w:name="_Toc13410"/>
      <w:bookmarkEnd w:id="46"/>
    </w:p>
    <w:p w14:paraId="38DFE66D">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eastAsia"/>
          <w:lang w:eastAsia="zh-CN"/>
        </w:rPr>
        <w:t>无人机载高光谱成像系统</w:t>
      </w:r>
      <w:r>
        <w:rPr>
          <w:rFonts w:hint="eastAsia"/>
        </w:rPr>
        <w:t xml:space="preserve"> </w:t>
      </w:r>
      <w:r>
        <w:rPr>
          <w:rFonts w:hint="default" w:ascii="Times New Roman" w:hAnsi="Times New Roman" w:cs="Times New Roman"/>
        </w:rPr>
        <w:t>UAV-borne hyperspectral imaging system</w:t>
      </w:r>
    </w:p>
    <w:p w14:paraId="5814A5D1">
      <w:pPr>
        <w:pStyle w:val="61"/>
      </w:pPr>
      <w:r>
        <w:rPr>
          <w:rFonts w:hint="eastAsia"/>
        </w:rPr>
        <w:t>以无人机为平台，搭载高光谱成像传感器，并具备数据采集、存储、传输与初步处理能力的完整系统。</w:t>
      </w:r>
    </w:p>
    <w:p w14:paraId="2B2A1DE4">
      <w:pPr>
        <w:pStyle w:val="110"/>
        <w:spacing w:before="120" w:after="120"/>
      </w:pPr>
      <w:bookmarkStart w:id="47" w:name="_Toc16545"/>
      <w:bookmarkEnd w:id="47"/>
      <w:bookmarkStart w:id="48" w:name="_Toc23660"/>
      <w:bookmarkEnd w:id="48"/>
      <w:bookmarkStart w:id="49" w:name="_Toc15835"/>
      <w:bookmarkEnd w:id="49"/>
      <w:bookmarkStart w:id="50" w:name="_Toc15874"/>
      <w:bookmarkEnd w:id="50"/>
      <w:bookmarkStart w:id="51" w:name="_Toc30783"/>
      <w:bookmarkEnd w:id="51"/>
      <w:bookmarkStart w:id="52" w:name="_Toc32000"/>
      <w:bookmarkEnd w:id="52"/>
    </w:p>
    <w:p w14:paraId="09C98667">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高光谱成像</w:t>
      </w:r>
      <w:r>
        <w:rPr>
          <w:rFonts w:hint="eastAsia"/>
        </w:rPr>
        <w:t xml:space="preserve"> </w:t>
      </w:r>
      <w:r>
        <w:rPr>
          <w:rFonts w:hint="default" w:ascii="Times New Roman" w:hAnsi="Times New Roman" w:cs="Times New Roman"/>
          <w:lang w:val="en-US" w:eastAsia="zh-CN"/>
        </w:rPr>
        <w:t>hyperspectral imaging</w:t>
      </w:r>
    </w:p>
    <w:p w14:paraId="7E56315B">
      <w:pPr>
        <w:pStyle w:val="61"/>
        <w:rPr>
          <w:rFonts w:hint="eastAsia"/>
          <w:lang w:val="en-US" w:eastAsia="zh-CN"/>
        </w:rPr>
      </w:pPr>
      <w:bookmarkStart w:id="53" w:name="_Toc2032"/>
      <w:bookmarkEnd w:id="53"/>
      <w:bookmarkStart w:id="54" w:name="_Toc9173"/>
      <w:bookmarkEnd w:id="54"/>
      <w:r>
        <w:rPr>
          <w:rFonts w:hint="eastAsia"/>
        </w:rPr>
        <w:t>利用成像光谱技术在连续或近连续的光谱波段获取二维空间与一维光谱信息，形成三维数据立方体。</w:t>
      </w:r>
    </w:p>
    <w:p w14:paraId="046C7287">
      <w:pPr>
        <w:pStyle w:val="110"/>
        <w:spacing w:before="120" w:after="120"/>
        <w:rPr>
          <w:rFonts w:hint="default"/>
          <w:lang w:val="en-US" w:eastAsia="zh-CN"/>
        </w:rPr>
      </w:pPr>
      <w:bookmarkStart w:id="55" w:name="_Toc18321"/>
      <w:bookmarkEnd w:id="55"/>
      <w:bookmarkStart w:id="56" w:name="_Toc20399"/>
      <w:bookmarkEnd w:id="56"/>
      <w:bookmarkStart w:id="57" w:name="_Toc1854"/>
      <w:bookmarkEnd w:id="57"/>
      <w:bookmarkStart w:id="58" w:name="_Toc18262"/>
      <w:bookmarkEnd w:id="58"/>
      <w:bookmarkStart w:id="59" w:name="_Toc14826"/>
      <w:bookmarkEnd w:id="59"/>
      <w:bookmarkStart w:id="60" w:name="_Toc15067"/>
      <w:bookmarkEnd w:id="60"/>
    </w:p>
    <w:p w14:paraId="37615ADC">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光谱分辨率</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spectral resolution</w:t>
      </w:r>
    </w:p>
    <w:p w14:paraId="2312B64D">
      <w:pPr>
        <w:pStyle w:val="61"/>
        <w:rPr>
          <w:rFonts w:hint="default"/>
          <w:lang w:val="en-US" w:eastAsia="zh-CN"/>
        </w:rPr>
      </w:pPr>
      <w:r>
        <w:rPr>
          <w:rFonts w:hint="default"/>
          <w:lang w:val="en-US" w:eastAsia="zh-CN"/>
        </w:rPr>
        <w:t>系统在光谱方向上分辨相邻两个波长的能力，通常以半高全宽（FWHM）表示。</w:t>
      </w:r>
    </w:p>
    <w:p w14:paraId="1D75D23A">
      <w:pPr>
        <w:pStyle w:val="110"/>
        <w:spacing w:before="120" w:after="120"/>
        <w:rPr>
          <w:rFonts w:hint="eastAsia"/>
          <w:lang w:val="en-US" w:eastAsia="zh-CN"/>
        </w:rPr>
      </w:pPr>
      <w:bookmarkStart w:id="61" w:name="_Toc31131"/>
      <w:bookmarkEnd w:id="61"/>
      <w:bookmarkStart w:id="62" w:name="_Toc28054"/>
      <w:bookmarkEnd w:id="62"/>
      <w:bookmarkStart w:id="63" w:name="_Toc22737"/>
      <w:bookmarkEnd w:id="63"/>
      <w:bookmarkStart w:id="64" w:name="_Toc16410"/>
      <w:bookmarkEnd w:id="64"/>
    </w:p>
    <w:p w14:paraId="5E461328">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空间分辨率</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spatial resolution</w:t>
      </w:r>
    </w:p>
    <w:p w14:paraId="4AFB7994">
      <w:pPr>
        <w:pStyle w:val="61"/>
        <w:rPr>
          <w:rFonts w:hint="default"/>
          <w:lang w:val="en-US" w:eastAsia="zh-CN"/>
        </w:rPr>
      </w:pPr>
      <w:r>
        <w:rPr>
          <w:rFonts w:hint="default"/>
          <w:lang w:val="en-US" w:eastAsia="zh-CN"/>
        </w:rPr>
        <w:t>成像系统在地面上能够区分的最小目标尺寸，通常以地面采样距离（GSD）表示。</w:t>
      </w:r>
    </w:p>
    <w:p w14:paraId="21C00BE5">
      <w:pPr>
        <w:pStyle w:val="109"/>
        <w:spacing w:before="240" w:after="240"/>
        <w:rPr>
          <w:szCs w:val="21"/>
        </w:rPr>
      </w:pPr>
      <w:bookmarkStart w:id="65" w:name="_Toc20196"/>
      <w:r>
        <w:rPr>
          <w:rFonts w:hint="eastAsia"/>
          <w:szCs w:val="21"/>
        </w:rPr>
        <w:t>系统构成</w:t>
      </w:r>
      <w:bookmarkEnd w:id="65"/>
    </w:p>
    <w:p w14:paraId="5F951294">
      <w:pPr>
        <w:pStyle w:val="110"/>
        <w:spacing w:before="120" w:after="120"/>
      </w:pPr>
      <w:bookmarkStart w:id="66" w:name="_Toc30233"/>
      <w:r>
        <w:rPr>
          <w:rFonts w:hint="eastAsia"/>
          <w:lang w:val="en-US" w:eastAsia="zh-CN"/>
        </w:rPr>
        <w:t>系统总体架构</w:t>
      </w:r>
      <w:bookmarkEnd w:id="66"/>
    </w:p>
    <w:p w14:paraId="564D466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hAnsi="宋体" w:cs="宋体"/>
          <w:lang w:val="en-US" w:eastAsia="zh-CN"/>
        </w:rPr>
        <w:t>无人机载高光谱成像系统主要由以下模块构成：</w:t>
      </w:r>
    </w:p>
    <w:p w14:paraId="59F7E22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rPr>
        <w:t>a）</w:t>
      </w:r>
      <w:r>
        <w:rPr>
          <w:rFonts w:hint="eastAsia" w:ascii="宋体" w:hAnsi="宋体" w:eastAsia="宋体" w:cs="宋体"/>
          <w:lang w:val="en-US" w:eastAsia="zh-CN"/>
        </w:rPr>
        <w:t>高光谱成像传感器；</w:t>
      </w:r>
    </w:p>
    <w:p w14:paraId="0B4A180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b</w:t>
      </w:r>
      <w:r>
        <w:rPr>
          <w:rFonts w:hint="eastAsia"/>
        </w:rPr>
        <w:t>）</w:t>
      </w:r>
      <w:r>
        <w:rPr>
          <w:rFonts w:hint="eastAsia" w:ascii="宋体" w:hAnsi="宋体" w:eastAsia="宋体" w:cs="宋体"/>
          <w:lang w:val="en-US" w:eastAsia="zh-CN"/>
        </w:rPr>
        <w:t>IMU/GNSS定位单元；</w:t>
      </w:r>
    </w:p>
    <w:p w14:paraId="6CDAF91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c</w:t>
      </w:r>
      <w:r>
        <w:rPr>
          <w:rFonts w:hint="eastAsia"/>
        </w:rPr>
        <w:t>）</w:t>
      </w:r>
      <w:r>
        <w:rPr>
          <w:rFonts w:hint="eastAsia" w:ascii="宋体" w:hAnsi="宋体" w:eastAsia="宋体" w:cs="宋体"/>
          <w:lang w:val="en-US" w:eastAsia="zh-CN"/>
        </w:rPr>
        <w:t>数据存储与传输单元</w:t>
      </w:r>
      <w:r>
        <w:rPr>
          <w:rFonts w:hint="eastAsia" w:hAnsi="宋体" w:cs="宋体"/>
          <w:lang w:val="en-US" w:eastAsia="zh-CN"/>
        </w:rPr>
        <w:t>；</w:t>
      </w:r>
    </w:p>
    <w:p w14:paraId="5E4CC7D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eastAsia="宋体"/>
          <w:lang w:eastAsia="zh-CN"/>
        </w:rPr>
      </w:pPr>
      <w:r>
        <w:rPr>
          <w:rFonts w:hint="eastAsia"/>
          <w:lang w:val="en-US" w:eastAsia="zh-CN"/>
        </w:rPr>
        <w:t>d</w:t>
      </w:r>
      <w:r>
        <w:rPr>
          <w:rFonts w:hint="eastAsia"/>
        </w:rPr>
        <w:t>）电源管理单元</w:t>
      </w:r>
      <w:r>
        <w:rPr>
          <w:rFonts w:hint="eastAsia"/>
          <w:lang w:eastAsia="zh-CN"/>
        </w:rPr>
        <w:t>；</w:t>
      </w:r>
    </w:p>
    <w:p w14:paraId="3473739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e</w:t>
      </w:r>
      <w:r>
        <w:rPr>
          <w:rFonts w:hint="eastAsia"/>
        </w:rPr>
        <w:t>）</w:t>
      </w:r>
      <w:r>
        <w:rPr>
          <w:rFonts w:hint="eastAsia"/>
          <w:lang w:val="en-US" w:eastAsia="zh-CN"/>
        </w:rPr>
        <w:t>机载计算与控制单元；</w:t>
      </w:r>
    </w:p>
    <w:p w14:paraId="01D141F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f</w:t>
      </w:r>
      <w:r>
        <w:rPr>
          <w:rFonts w:hint="eastAsia"/>
        </w:rPr>
        <w:t>）</w:t>
      </w:r>
      <w:r>
        <w:rPr>
          <w:rFonts w:hint="eastAsia"/>
          <w:lang w:val="en-US" w:eastAsia="zh-CN"/>
        </w:rPr>
        <w:t>与无人机平台的接口。</w:t>
      </w:r>
    </w:p>
    <w:p w14:paraId="470666F9">
      <w:pPr>
        <w:pStyle w:val="110"/>
        <w:spacing w:before="120" w:after="120"/>
        <w:rPr>
          <w:rFonts w:hint="default"/>
          <w:lang w:val="en-US" w:eastAsia="zh-CN"/>
        </w:rPr>
      </w:pPr>
      <w:bookmarkStart w:id="67" w:name="_Toc27309"/>
      <w:r>
        <w:rPr>
          <w:rFonts w:hint="eastAsia"/>
          <w:lang w:val="en-US" w:eastAsia="zh-CN"/>
        </w:rPr>
        <w:t>系统功能</w:t>
      </w:r>
      <w:bookmarkEnd w:id="67"/>
    </w:p>
    <w:p w14:paraId="57CB02F0">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4.2.1 高光谱成像传感器</w:t>
      </w:r>
    </w:p>
    <w:p w14:paraId="0E339E9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应具备稳定的光学成像能力，能够实现推扫式或快门式成像，具备光谱分辨率、空间分辨率及辐射定标能力。</w:t>
      </w:r>
    </w:p>
    <w:p w14:paraId="22990271">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ascii="宋体" w:hAnsi="宋体" w:eastAsia="宋体" w:cs="宋体"/>
          <w:lang w:val="en-US" w:eastAsia="zh-CN"/>
        </w:rPr>
      </w:pPr>
      <w:r>
        <w:rPr>
          <w:rFonts w:hint="default" w:ascii="宋体" w:hAnsi="宋体" w:eastAsia="宋体" w:cs="宋体"/>
          <w:lang w:val="en-US" w:eastAsia="zh-CN"/>
        </w:rPr>
        <w:t>4.2.2 IMU/GNSS定位单元</w:t>
      </w:r>
    </w:p>
    <w:p w14:paraId="14B958F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应提供至少3轴姿态角（俯仰、横滚、偏航）与三维位置数据，并满足系统几何定位精度要求。</w:t>
      </w:r>
    </w:p>
    <w:p w14:paraId="127AEB4A">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ascii="宋体" w:hAnsi="宋体" w:eastAsia="宋体" w:cs="宋体"/>
          <w:lang w:val="en-US" w:eastAsia="zh-CN"/>
        </w:rPr>
      </w:pPr>
      <w:r>
        <w:rPr>
          <w:rFonts w:hint="default" w:ascii="宋体" w:hAnsi="宋体" w:eastAsia="宋体" w:cs="宋体"/>
          <w:lang w:val="en-US" w:eastAsia="zh-CN"/>
        </w:rPr>
        <w:t>4.2.3 数据存储与传输单元</w:t>
      </w:r>
    </w:p>
    <w:p w14:paraId="0D00858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应具备高速数据写入能力，并支持实时传输。</w:t>
      </w:r>
    </w:p>
    <w:p w14:paraId="19B4130B">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ascii="宋体" w:hAnsi="宋体" w:eastAsia="宋体" w:cs="宋体"/>
          <w:lang w:val="en-US" w:eastAsia="zh-CN"/>
        </w:rPr>
      </w:pPr>
      <w:r>
        <w:rPr>
          <w:rFonts w:hint="default" w:ascii="宋体" w:hAnsi="宋体" w:eastAsia="宋体" w:cs="宋体"/>
          <w:lang w:val="en-US" w:eastAsia="zh-CN"/>
        </w:rPr>
        <w:t>4.2.4 电源管理单元</w:t>
      </w:r>
    </w:p>
    <w:p w14:paraId="635711C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应提供稳定供电，满足传感器、计算、存储等模块的功率需求</w:t>
      </w:r>
      <w:r>
        <w:rPr>
          <w:rFonts w:hint="eastAsia" w:hAnsi="宋体" w:cs="宋体"/>
          <w:lang w:val="en-US" w:eastAsia="zh-CN"/>
        </w:rPr>
        <w:t>，</w:t>
      </w:r>
      <w:r>
        <w:rPr>
          <w:rFonts w:hint="default" w:ascii="宋体" w:hAnsi="宋体" w:eastAsia="宋体" w:cs="宋体"/>
          <w:lang w:val="en-US" w:eastAsia="zh-CN"/>
        </w:rPr>
        <w:t>并具备过压、欠压、过流、过温保护。</w:t>
      </w:r>
    </w:p>
    <w:p w14:paraId="781A98C3">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ascii="宋体" w:hAnsi="宋体" w:eastAsia="宋体" w:cs="宋体"/>
          <w:lang w:val="en-US" w:eastAsia="zh-CN"/>
        </w:rPr>
      </w:pPr>
      <w:r>
        <w:rPr>
          <w:rFonts w:hint="default" w:ascii="宋体" w:hAnsi="宋体" w:eastAsia="宋体" w:cs="宋体"/>
          <w:lang w:val="en-US" w:eastAsia="zh-CN"/>
        </w:rPr>
        <w:t>4.2.5 机载计算与控制单元</w:t>
      </w:r>
    </w:p>
    <w:p w14:paraId="6B2D5E7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应具备任务执行与状态监控能力，包括飞行任务启动、数据采集控制、异常报警等。</w:t>
      </w:r>
    </w:p>
    <w:p w14:paraId="3AE1DED0">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ascii="宋体" w:hAnsi="宋体" w:eastAsia="宋体" w:cs="宋体"/>
          <w:lang w:val="en-US" w:eastAsia="zh-CN"/>
        </w:rPr>
      </w:pPr>
      <w:r>
        <w:rPr>
          <w:rFonts w:hint="eastAsia" w:hAnsi="宋体" w:cs="宋体"/>
          <w:lang w:val="en-US" w:eastAsia="zh-CN"/>
        </w:rPr>
        <w:t xml:space="preserve">4.2.6 </w:t>
      </w:r>
      <w:r>
        <w:rPr>
          <w:rFonts w:hint="default" w:ascii="宋体" w:hAnsi="宋体" w:eastAsia="宋体" w:cs="宋体"/>
          <w:lang w:val="en-US" w:eastAsia="zh-CN"/>
        </w:rPr>
        <w:t>系统接口</w:t>
      </w:r>
    </w:p>
    <w:p w14:paraId="3BA51F9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系统应具备标准化接口，接口</w:t>
      </w:r>
      <w:r>
        <w:rPr>
          <w:rFonts w:hint="eastAsia" w:hAnsi="宋体" w:cs="宋体"/>
          <w:lang w:val="en-US" w:eastAsia="zh-CN"/>
        </w:rPr>
        <w:t>宜</w:t>
      </w:r>
      <w:r>
        <w:rPr>
          <w:rFonts w:hint="default" w:ascii="宋体" w:hAnsi="宋体" w:eastAsia="宋体" w:cs="宋体"/>
          <w:lang w:val="en-US" w:eastAsia="zh-CN"/>
        </w:rPr>
        <w:t>包括：</w:t>
      </w:r>
    </w:p>
    <w:p w14:paraId="1A958E2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rPr>
        <w:t>a）</w:t>
      </w:r>
      <w:r>
        <w:rPr>
          <w:rFonts w:hint="default" w:ascii="宋体" w:hAnsi="宋体" w:eastAsia="宋体" w:cs="宋体"/>
          <w:lang w:val="en-US" w:eastAsia="zh-CN"/>
        </w:rPr>
        <w:t>电源接口：DC 22V±1V（或根据具体平台可选）</w:t>
      </w:r>
      <w:r>
        <w:rPr>
          <w:rFonts w:hint="eastAsia" w:hAnsi="宋体" w:cs="宋体"/>
          <w:lang w:val="en-US" w:eastAsia="zh-CN"/>
        </w:rPr>
        <w:t>；</w:t>
      </w:r>
    </w:p>
    <w:p w14:paraId="38DBBCF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lang w:val="en-US" w:eastAsia="zh-CN"/>
        </w:rPr>
        <w:t>b</w:t>
      </w:r>
      <w:r>
        <w:rPr>
          <w:rFonts w:hint="eastAsia"/>
        </w:rPr>
        <w:t>）</w:t>
      </w:r>
      <w:r>
        <w:rPr>
          <w:rFonts w:hint="default" w:ascii="宋体" w:hAnsi="宋体" w:eastAsia="宋体" w:cs="宋体"/>
          <w:lang w:val="en-US" w:eastAsia="zh-CN"/>
        </w:rPr>
        <w:t>数据接口：USB 3.0/Ethernet/Camera Link（至少一种）</w:t>
      </w:r>
      <w:r>
        <w:rPr>
          <w:rFonts w:hint="eastAsia" w:hAnsi="宋体" w:cs="宋体"/>
          <w:lang w:val="en-US" w:eastAsia="zh-CN"/>
        </w:rPr>
        <w:t>；</w:t>
      </w:r>
    </w:p>
    <w:p w14:paraId="387B076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lang w:val="en-US" w:eastAsia="zh-CN"/>
        </w:rPr>
        <w:t>c</w:t>
      </w:r>
      <w:r>
        <w:rPr>
          <w:rFonts w:hint="eastAsia"/>
        </w:rPr>
        <w:t>）</w:t>
      </w:r>
      <w:r>
        <w:rPr>
          <w:rFonts w:hint="default" w:ascii="宋体" w:hAnsi="宋体" w:eastAsia="宋体" w:cs="宋体"/>
          <w:lang w:val="en-US" w:eastAsia="zh-CN"/>
        </w:rPr>
        <w:t>控制接口：UART/CAN/PWM（至少一种）</w:t>
      </w:r>
      <w:r>
        <w:rPr>
          <w:rFonts w:hint="eastAsia" w:hAnsi="宋体" w:cs="宋体"/>
          <w:lang w:val="en-US" w:eastAsia="zh-CN"/>
        </w:rPr>
        <w:t>；</w:t>
      </w:r>
    </w:p>
    <w:p w14:paraId="6A6D0BE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lang w:val="en-US" w:eastAsia="zh-CN"/>
        </w:rPr>
        <w:t>d</w:t>
      </w:r>
      <w:r>
        <w:rPr>
          <w:rFonts w:hint="eastAsia"/>
        </w:rPr>
        <w:t>）</w:t>
      </w:r>
      <w:r>
        <w:rPr>
          <w:rFonts w:hint="default" w:ascii="宋体" w:hAnsi="宋体" w:eastAsia="宋体" w:cs="宋体"/>
          <w:lang w:val="en-US" w:eastAsia="zh-CN"/>
        </w:rPr>
        <w:t>机械接口：标准快拆或螺栓安装结构</w:t>
      </w:r>
      <w:r>
        <w:rPr>
          <w:rFonts w:hint="eastAsia" w:hAnsi="宋体" w:cs="宋体"/>
          <w:lang w:val="en-US" w:eastAsia="zh-CN"/>
        </w:rPr>
        <w:t>。</w:t>
      </w:r>
    </w:p>
    <w:p w14:paraId="4C6B687D">
      <w:pPr>
        <w:pStyle w:val="109"/>
        <w:spacing w:before="240" w:after="240"/>
        <w:rPr>
          <w:szCs w:val="21"/>
        </w:rPr>
      </w:pPr>
      <w:bookmarkStart w:id="68" w:name="_Toc690"/>
      <w:bookmarkStart w:id="69" w:name="_Toc24458"/>
      <w:r>
        <w:rPr>
          <w:rFonts w:hint="eastAsia"/>
          <w:szCs w:val="21"/>
          <w:lang w:val="en-US" w:eastAsia="zh-CN"/>
        </w:rPr>
        <w:t>技术</w:t>
      </w:r>
      <w:r>
        <w:rPr>
          <w:rFonts w:hint="eastAsia"/>
          <w:szCs w:val="21"/>
        </w:rPr>
        <w:t>要求</w:t>
      </w:r>
      <w:bookmarkEnd w:id="68"/>
      <w:bookmarkEnd w:id="69"/>
    </w:p>
    <w:p w14:paraId="3A4B8D5B">
      <w:pPr>
        <w:pStyle w:val="110"/>
        <w:spacing w:before="120" w:after="120"/>
      </w:pPr>
      <w:bookmarkStart w:id="70" w:name="_Toc5529"/>
      <w:r>
        <w:rPr>
          <w:rFonts w:hint="eastAsia"/>
        </w:rPr>
        <w:t>光谱性能要求</w:t>
      </w:r>
      <w:bookmarkEnd w:id="70"/>
    </w:p>
    <w:p w14:paraId="46B850B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系统光谱性能应符合表1的规定。</w:t>
      </w:r>
    </w:p>
    <w:p w14:paraId="0C0413EA">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表1 系统光谱性能指标要求</w:t>
      </w:r>
    </w:p>
    <w:tbl>
      <w:tblPr>
        <w:tblStyle w:val="31"/>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4"/>
        <w:gridCol w:w="4556"/>
      </w:tblGrid>
      <w:tr w14:paraId="772B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572E0266">
            <w:pPr>
              <w:pStyle w:val="61"/>
              <w:ind w:left="0" w:leftChars="0" w:firstLine="0" w:firstLineChars="0"/>
              <w:jc w:val="center"/>
            </w:pPr>
            <w:r>
              <w:rPr>
                <w:rFonts w:hint="eastAsia"/>
              </w:rPr>
              <w:t>指标</w:t>
            </w:r>
          </w:p>
        </w:tc>
        <w:tc>
          <w:tcPr>
            <w:tcW w:w="2500" w:type="pct"/>
            <w:vAlign w:val="center"/>
          </w:tcPr>
          <w:p w14:paraId="2DA44634">
            <w:pPr>
              <w:pStyle w:val="61"/>
              <w:ind w:left="0" w:leftChars="0" w:firstLine="0" w:firstLineChars="0"/>
              <w:jc w:val="center"/>
            </w:pPr>
            <w:r>
              <w:rPr>
                <w:rFonts w:hint="eastAsia"/>
              </w:rPr>
              <w:t>要求</w:t>
            </w:r>
          </w:p>
        </w:tc>
      </w:tr>
      <w:tr w14:paraId="34A9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1A312091">
            <w:pPr>
              <w:pStyle w:val="61"/>
              <w:ind w:left="0" w:leftChars="0" w:firstLine="0" w:firstLineChars="0"/>
              <w:jc w:val="center"/>
            </w:pPr>
            <w:r>
              <w:rPr>
                <w:rFonts w:hint="eastAsia"/>
              </w:rPr>
              <w:t>光谱范围</w:t>
            </w:r>
          </w:p>
        </w:tc>
        <w:tc>
          <w:tcPr>
            <w:tcW w:w="2500" w:type="pct"/>
            <w:vAlign w:val="center"/>
          </w:tcPr>
          <w:p w14:paraId="25DB64A2">
            <w:pPr>
              <w:pStyle w:val="61"/>
              <w:ind w:left="0" w:leftChars="0" w:firstLine="0" w:firstLineChars="0"/>
              <w:jc w:val="center"/>
            </w:pPr>
            <w:r>
              <w:rPr>
                <w:rFonts w:hint="eastAsia"/>
              </w:rPr>
              <w:t>400nm</w:t>
            </w:r>
            <w:r>
              <w:rPr>
                <w:rFonts w:hint="eastAsia"/>
                <w:lang w:val="en-US" w:eastAsia="zh-CN"/>
              </w:rPr>
              <w:t>～1000</w:t>
            </w:r>
            <w:r>
              <w:rPr>
                <w:rFonts w:hint="eastAsia"/>
              </w:rPr>
              <w:t>nm</w:t>
            </w:r>
          </w:p>
        </w:tc>
      </w:tr>
      <w:tr w14:paraId="78B4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63591FAB">
            <w:pPr>
              <w:pStyle w:val="61"/>
              <w:ind w:left="0" w:leftChars="0" w:firstLine="0" w:firstLineChars="0"/>
              <w:jc w:val="center"/>
            </w:pPr>
            <w:r>
              <w:rPr>
                <w:rFonts w:hint="eastAsia"/>
              </w:rPr>
              <w:t>光谱分辨率（FWHM）</w:t>
            </w:r>
          </w:p>
        </w:tc>
        <w:tc>
          <w:tcPr>
            <w:tcW w:w="2500" w:type="pct"/>
            <w:vAlign w:val="center"/>
          </w:tcPr>
          <w:p w14:paraId="5DCC9D40">
            <w:pPr>
              <w:pStyle w:val="61"/>
              <w:ind w:left="0" w:leftChars="0" w:firstLine="0" w:firstLineChars="0"/>
              <w:jc w:val="center"/>
            </w:pPr>
            <w:r>
              <w:rPr>
                <w:rFonts w:hint="eastAsia"/>
              </w:rPr>
              <w:t>≤</w:t>
            </w:r>
            <w:r>
              <w:rPr>
                <w:rFonts w:hint="eastAsia"/>
                <w:lang w:val="en-US" w:eastAsia="zh-CN"/>
              </w:rPr>
              <w:t>5</w:t>
            </w:r>
            <w:r>
              <w:rPr>
                <w:rFonts w:hint="eastAsia"/>
              </w:rPr>
              <w:t>nm</w:t>
            </w:r>
          </w:p>
        </w:tc>
      </w:tr>
      <w:tr w14:paraId="2DA6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644E5853">
            <w:pPr>
              <w:pStyle w:val="61"/>
              <w:ind w:left="0" w:leftChars="0" w:firstLine="0" w:firstLineChars="0"/>
              <w:jc w:val="center"/>
              <w:rPr>
                <w:rFonts w:hint="default" w:eastAsia="宋体"/>
                <w:lang w:val="en-US" w:eastAsia="zh-CN"/>
              </w:rPr>
            </w:pPr>
            <w:r>
              <w:rPr>
                <w:rFonts w:hint="eastAsia"/>
                <w:lang w:val="en-US" w:eastAsia="zh-CN"/>
              </w:rPr>
              <w:t>光谱通道数</w:t>
            </w:r>
          </w:p>
        </w:tc>
        <w:tc>
          <w:tcPr>
            <w:tcW w:w="2500" w:type="pct"/>
            <w:vAlign w:val="center"/>
          </w:tcPr>
          <w:p w14:paraId="3CECF003">
            <w:pPr>
              <w:pStyle w:val="61"/>
              <w:ind w:left="0" w:leftChars="0" w:firstLine="0" w:firstLineChars="0"/>
              <w:jc w:val="center"/>
              <w:rPr>
                <w:rFonts w:hint="default" w:eastAsia="宋体"/>
                <w:lang w:val="en-US" w:eastAsia="zh-CN"/>
              </w:rPr>
            </w:pPr>
            <w:r>
              <w:rPr>
                <w:rFonts w:hint="eastAsia"/>
                <w:lang w:val="en-US" w:eastAsia="zh-CN"/>
              </w:rPr>
              <w:t>≥200个</w:t>
            </w:r>
          </w:p>
        </w:tc>
      </w:tr>
      <w:tr w14:paraId="1F33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740E88AE">
            <w:pPr>
              <w:pStyle w:val="61"/>
              <w:ind w:left="0" w:leftChars="0" w:firstLine="0" w:firstLineChars="0"/>
              <w:jc w:val="center"/>
              <w:rPr>
                <w:rFonts w:hint="eastAsia" w:eastAsia="宋体"/>
                <w:lang w:val="en-US" w:eastAsia="zh-CN"/>
              </w:rPr>
            </w:pPr>
            <w:r>
              <w:rPr>
                <w:rFonts w:hint="eastAsia"/>
                <w:lang w:val="en-US" w:eastAsia="zh-CN"/>
              </w:rPr>
              <w:t>信噪比</w:t>
            </w:r>
          </w:p>
        </w:tc>
        <w:tc>
          <w:tcPr>
            <w:tcW w:w="2500" w:type="pct"/>
            <w:vAlign w:val="center"/>
          </w:tcPr>
          <w:p w14:paraId="34E8E61E">
            <w:pPr>
              <w:pStyle w:val="61"/>
              <w:ind w:left="0" w:leftChars="0" w:firstLine="0" w:firstLineChars="0"/>
              <w:jc w:val="center"/>
              <w:rPr>
                <w:rFonts w:hint="default" w:eastAsia="宋体"/>
                <w:lang w:val="en-US" w:eastAsia="zh-CN"/>
              </w:rPr>
            </w:pPr>
            <w:r>
              <w:rPr>
                <w:rFonts w:hint="eastAsia"/>
                <w:lang w:val="en-US" w:eastAsia="zh-CN"/>
              </w:rPr>
              <w:t>≥30</w:t>
            </w:r>
          </w:p>
        </w:tc>
      </w:tr>
      <w:tr w14:paraId="0E8F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64708744">
            <w:pPr>
              <w:pStyle w:val="61"/>
              <w:ind w:left="0" w:leftChars="0" w:firstLine="0" w:firstLineChars="0"/>
              <w:jc w:val="center"/>
              <w:rPr>
                <w:rFonts w:hint="eastAsia" w:eastAsia="宋体"/>
                <w:lang w:val="en-US" w:eastAsia="zh-CN"/>
              </w:rPr>
            </w:pPr>
            <w:r>
              <w:rPr>
                <w:rFonts w:hint="eastAsia"/>
                <w:lang w:val="en-US" w:eastAsia="zh-CN"/>
              </w:rPr>
              <w:t>辐射定标精度</w:t>
            </w:r>
          </w:p>
        </w:tc>
        <w:tc>
          <w:tcPr>
            <w:tcW w:w="2500" w:type="pct"/>
            <w:vAlign w:val="center"/>
          </w:tcPr>
          <w:p w14:paraId="42E371A6">
            <w:pPr>
              <w:pStyle w:val="61"/>
              <w:ind w:left="0" w:leftChars="0" w:firstLine="0" w:firstLineChars="0"/>
              <w:jc w:val="center"/>
              <w:rPr>
                <w:rFonts w:hint="default" w:eastAsia="宋体"/>
                <w:lang w:val="en-US" w:eastAsia="zh-CN"/>
              </w:rPr>
            </w:pPr>
            <w:r>
              <w:rPr>
                <w:rFonts w:hint="eastAsia"/>
              </w:rPr>
              <w:t>≤</w:t>
            </w:r>
            <w:r>
              <w:rPr>
                <w:rFonts w:hint="eastAsia"/>
                <w:lang w:val="en-US" w:eastAsia="zh-CN"/>
              </w:rPr>
              <w:t>8%</w:t>
            </w:r>
          </w:p>
        </w:tc>
      </w:tr>
      <w:tr w14:paraId="023C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14:paraId="570E1B27">
            <w:pPr>
              <w:pStyle w:val="61"/>
              <w:ind w:left="0" w:leftChars="0" w:firstLine="0" w:firstLineChars="0"/>
              <w:jc w:val="center"/>
              <w:rPr>
                <w:rFonts w:hint="default" w:eastAsia="宋体"/>
                <w:lang w:val="en-US" w:eastAsia="zh-CN"/>
              </w:rPr>
            </w:pPr>
            <w:r>
              <w:rPr>
                <w:rFonts w:hint="eastAsia"/>
                <w:lang w:val="en-US" w:eastAsia="zh-CN"/>
              </w:rPr>
              <w:t>光谱漂移</w:t>
            </w:r>
          </w:p>
        </w:tc>
        <w:tc>
          <w:tcPr>
            <w:tcW w:w="2500" w:type="pct"/>
            <w:vAlign w:val="center"/>
          </w:tcPr>
          <w:p w14:paraId="4FE8FB6F">
            <w:pPr>
              <w:pStyle w:val="61"/>
              <w:ind w:left="0" w:leftChars="0" w:firstLine="0" w:firstLineChars="0"/>
              <w:jc w:val="center"/>
              <w:rPr>
                <w:rFonts w:hint="default" w:eastAsia="宋体"/>
                <w:lang w:val="en-US" w:eastAsia="zh-CN"/>
              </w:rPr>
            </w:pPr>
            <w:r>
              <w:rPr>
                <w:rFonts w:hint="eastAsia"/>
              </w:rPr>
              <w:t>≤</w:t>
            </w:r>
            <w:r>
              <w:rPr>
                <w:rFonts w:hint="eastAsia"/>
                <w:lang w:val="en-US" w:eastAsia="zh-CN"/>
              </w:rPr>
              <w:t>0.1nm/℃</w:t>
            </w:r>
          </w:p>
        </w:tc>
      </w:tr>
    </w:tbl>
    <w:p w14:paraId="49CCCC7D">
      <w:pPr>
        <w:pStyle w:val="110"/>
        <w:spacing w:before="120" w:after="120"/>
      </w:pPr>
      <w:bookmarkStart w:id="71" w:name="_Toc20519"/>
      <w:r>
        <w:rPr>
          <w:rFonts w:hint="eastAsia"/>
        </w:rPr>
        <w:t>空间成像性能要求</w:t>
      </w:r>
      <w:bookmarkEnd w:id="71"/>
    </w:p>
    <w:p w14:paraId="5200365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系统空间成像性能应符合表2的规定。</w:t>
      </w:r>
    </w:p>
    <w:p w14:paraId="0460CA20">
      <w:pPr>
        <w:pStyle w:val="61"/>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表2 系统空间成像性能指标要求</w:t>
      </w:r>
    </w:p>
    <w:tbl>
      <w:tblPr>
        <w:tblStyle w:val="31"/>
        <w:tblW w:w="48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72"/>
        <w:gridCol w:w="4540"/>
      </w:tblGrid>
      <w:tr w14:paraId="613D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14:paraId="0A9E3095">
            <w:pPr>
              <w:spacing w:line="264" w:lineRule="auto"/>
              <w:jc w:val="center"/>
            </w:pPr>
            <w:r>
              <w:rPr>
                <w:rFonts w:hint="eastAsia" w:ascii="宋体" w:hAnsi="宋体" w:eastAsia="宋体" w:cs="宋体"/>
              </w:rPr>
              <w:t>指标</w:t>
            </w:r>
          </w:p>
        </w:tc>
        <w:tc>
          <w:tcPr>
            <w:tcW w:w="2500" w:type="pct"/>
            <w:vAlign w:val="center"/>
          </w:tcPr>
          <w:p w14:paraId="0947C1B8">
            <w:pPr>
              <w:spacing w:line="264" w:lineRule="auto"/>
              <w:jc w:val="center"/>
            </w:pPr>
            <w:r>
              <w:rPr>
                <w:rFonts w:hint="eastAsia" w:ascii="宋体" w:hAnsi="宋体" w:eastAsia="宋体" w:cs="宋体"/>
              </w:rPr>
              <w:t>要求</w:t>
            </w:r>
          </w:p>
        </w:tc>
      </w:tr>
      <w:tr w14:paraId="4935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14:paraId="007FD8D5">
            <w:pPr>
              <w:spacing w:line="264" w:lineRule="auto"/>
              <w:jc w:val="center"/>
            </w:pPr>
            <w:r>
              <w:rPr>
                <w:rFonts w:hint="eastAsia" w:ascii="宋体" w:hAnsi="宋体" w:eastAsia="宋体" w:cs="宋体"/>
                <w:lang w:val="en-US" w:eastAsia="zh-CN"/>
              </w:rPr>
              <w:t>空间分辨率</w:t>
            </w:r>
            <w:r>
              <w:rPr>
                <w:rFonts w:hint="eastAsia" w:ascii="宋体" w:hAnsi="宋体" w:eastAsia="宋体" w:cs="宋体"/>
              </w:rPr>
              <w:t>（</w:t>
            </w:r>
            <w:r>
              <w:rPr>
                <w:rFonts w:hint="eastAsia" w:ascii="宋体" w:hAnsi="宋体" w:eastAsia="宋体" w:cs="宋体"/>
                <w:lang w:val="en-US" w:eastAsia="zh-CN"/>
              </w:rPr>
              <w:t>IFOV</w:t>
            </w:r>
            <w:r>
              <w:rPr>
                <w:rFonts w:hint="eastAsia" w:ascii="宋体" w:hAnsi="宋体" w:eastAsia="宋体" w:cs="宋体"/>
              </w:rPr>
              <w:t>）</w:t>
            </w:r>
          </w:p>
        </w:tc>
        <w:tc>
          <w:tcPr>
            <w:tcW w:w="2500" w:type="pct"/>
            <w:vAlign w:val="center"/>
          </w:tcPr>
          <w:p w14:paraId="606E3894">
            <w:pPr>
              <w:spacing w:line="264" w:lineRule="auto"/>
              <w:jc w:val="center"/>
            </w:pPr>
            <w:r>
              <w:rPr>
                <w:rFonts w:hint="eastAsia" w:ascii="宋体" w:hAnsi="宋体" w:eastAsia="宋体" w:cs="宋体"/>
              </w:rPr>
              <w:t>≤1</w:t>
            </w:r>
            <w:r>
              <w:rPr>
                <w:rFonts w:hint="eastAsia" w:ascii="宋体" w:hAnsi="宋体" w:eastAsia="宋体" w:cs="宋体"/>
                <w:lang w:val="en-US" w:eastAsia="zh-CN"/>
              </w:rPr>
              <w:t>.5mrad</w:t>
            </w:r>
            <w:r>
              <w:rPr>
                <w:rFonts w:hint="eastAsia" w:ascii="宋体" w:hAnsi="宋体" w:eastAsia="宋体" w:cs="宋体"/>
              </w:rPr>
              <w:t>（</w:t>
            </w:r>
            <w:r>
              <w:rPr>
                <w:rFonts w:hint="eastAsia" w:ascii="宋体" w:hAnsi="宋体" w:eastAsia="宋体" w:cs="宋体"/>
                <w:lang w:val="en-US" w:eastAsia="zh-CN"/>
              </w:rPr>
              <w:t>飞行高度</w:t>
            </w:r>
            <w:r>
              <w:rPr>
                <w:rFonts w:hint="eastAsia" w:ascii="宋体" w:hAnsi="宋体" w:eastAsia="宋体" w:cs="宋体"/>
              </w:rPr>
              <w:t>100m）</w:t>
            </w:r>
          </w:p>
        </w:tc>
      </w:tr>
      <w:tr w14:paraId="5955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14:paraId="3B82A14C">
            <w:pPr>
              <w:spacing w:line="264" w:lineRule="auto"/>
              <w:jc w:val="center"/>
              <w:rPr>
                <w:rFonts w:hint="eastAsia" w:eastAsia="宋体"/>
                <w:lang w:val="en-US" w:eastAsia="zh-CN"/>
              </w:rPr>
            </w:pPr>
            <w:r>
              <w:rPr>
                <w:rFonts w:hint="eastAsia"/>
                <w:lang w:val="en-US" w:eastAsia="zh-CN"/>
              </w:rPr>
              <w:t>图像畸变率</w:t>
            </w:r>
          </w:p>
        </w:tc>
        <w:tc>
          <w:tcPr>
            <w:tcW w:w="2500" w:type="pct"/>
            <w:vAlign w:val="center"/>
          </w:tcPr>
          <w:p w14:paraId="18D1EAFE">
            <w:pPr>
              <w:spacing w:line="264" w:lineRule="auto"/>
              <w:jc w:val="center"/>
              <w:rPr>
                <w:rFonts w:hint="eastAsia" w:eastAsia="宋体"/>
                <w:lang w:val="en-US" w:eastAsia="zh-CN"/>
              </w:rPr>
            </w:pPr>
            <w:r>
              <w:rPr>
                <w:rFonts w:hint="eastAsia" w:ascii="宋体" w:hAnsi="宋体" w:eastAsia="宋体" w:cs="宋体"/>
              </w:rPr>
              <w:t>≤2</w:t>
            </w:r>
            <w:r>
              <w:rPr>
                <w:rFonts w:hint="eastAsia" w:ascii="宋体" w:hAnsi="宋体" w:eastAsia="宋体" w:cs="宋体"/>
                <w:lang w:val="en-US" w:eastAsia="zh-CN"/>
              </w:rPr>
              <w:t>%</w:t>
            </w:r>
          </w:p>
        </w:tc>
      </w:tr>
      <w:tr w14:paraId="279E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14:paraId="5BD60A81">
            <w:pPr>
              <w:spacing w:line="264" w:lineRule="auto"/>
              <w:jc w:val="center"/>
              <w:rPr>
                <w:rFonts w:hint="eastAsia" w:eastAsia="宋体"/>
                <w:lang w:val="en-US" w:eastAsia="zh-CN"/>
              </w:rPr>
            </w:pPr>
            <w:r>
              <w:rPr>
                <w:rFonts w:hint="eastAsia" w:ascii="宋体" w:hAnsi="宋体" w:eastAsia="宋体" w:cs="宋体"/>
              </w:rPr>
              <w:t>像元</w:t>
            </w:r>
            <w:r>
              <w:rPr>
                <w:rFonts w:hint="eastAsia" w:ascii="宋体" w:hAnsi="宋体" w:eastAsia="宋体" w:cs="宋体"/>
                <w:lang w:val="en-US" w:eastAsia="zh-CN"/>
              </w:rPr>
              <w:t>错位</w:t>
            </w:r>
          </w:p>
        </w:tc>
        <w:tc>
          <w:tcPr>
            <w:tcW w:w="2500" w:type="pct"/>
            <w:vAlign w:val="center"/>
          </w:tcPr>
          <w:p w14:paraId="0E1D93A9">
            <w:pPr>
              <w:spacing w:line="264" w:lineRule="auto"/>
              <w:jc w:val="center"/>
              <w:rPr>
                <w:rFonts w:hint="eastAsia" w:eastAsia="宋体"/>
                <w:lang w:val="en-US" w:eastAsia="zh-CN"/>
              </w:rPr>
            </w:pPr>
            <w:r>
              <w:rPr>
                <w:rFonts w:hint="eastAsia" w:ascii="宋体" w:hAnsi="宋体" w:eastAsia="宋体" w:cs="宋体"/>
              </w:rPr>
              <w:t>≤0.5</w:t>
            </w:r>
            <w:r>
              <w:rPr>
                <w:rFonts w:hint="eastAsia" w:ascii="宋体" w:hAnsi="宋体" w:eastAsia="宋体" w:cs="宋体"/>
                <w:lang w:val="en-US" w:eastAsia="zh-CN"/>
              </w:rPr>
              <w:t>像素</w:t>
            </w:r>
          </w:p>
        </w:tc>
      </w:tr>
      <w:tr w14:paraId="5779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14:paraId="33B1BDAA">
            <w:pPr>
              <w:spacing w:line="264" w:lineRule="auto"/>
              <w:jc w:val="center"/>
              <w:rPr>
                <w:rFonts w:hint="eastAsia" w:eastAsia="宋体"/>
                <w:lang w:eastAsia="zh-CN"/>
              </w:rPr>
            </w:pPr>
            <w:r>
              <w:rPr>
                <w:rFonts w:hint="eastAsia" w:ascii="宋体" w:hAnsi="宋体" w:eastAsia="宋体" w:cs="宋体"/>
                <w:lang w:val="en-US" w:eastAsia="zh-CN"/>
              </w:rPr>
              <w:t>定位精度（水平）</w:t>
            </w:r>
          </w:p>
        </w:tc>
        <w:tc>
          <w:tcPr>
            <w:tcW w:w="2500" w:type="pct"/>
            <w:vAlign w:val="center"/>
          </w:tcPr>
          <w:p w14:paraId="7D45838F">
            <w:pPr>
              <w:spacing w:line="264" w:lineRule="auto"/>
              <w:jc w:val="center"/>
              <w:rPr>
                <w:rFonts w:hint="default" w:eastAsia="宋体"/>
                <w:lang w:val="en-US" w:eastAsia="zh-CN"/>
              </w:rPr>
            </w:pPr>
            <w:r>
              <w:rPr>
                <w:rFonts w:hint="eastAsia" w:ascii="宋体" w:hAnsi="宋体" w:eastAsia="宋体" w:cs="宋体"/>
              </w:rPr>
              <w:t>≤</w:t>
            </w:r>
            <w:r>
              <w:rPr>
                <w:rFonts w:hint="eastAsia" w:ascii="宋体" w:hAnsi="宋体" w:eastAsia="宋体" w:cs="宋体"/>
                <w:lang w:val="en-US" w:eastAsia="zh-CN"/>
              </w:rPr>
              <w:t>±1m</w:t>
            </w:r>
          </w:p>
        </w:tc>
      </w:tr>
      <w:tr w14:paraId="4C71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248" w:type="pct"/>
            <w:vMerge w:val="restart"/>
            <w:vAlign w:val="center"/>
          </w:tcPr>
          <w:p w14:paraId="262C0B02">
            <w:pPr>
              <w:spacing w:line="264" w:lineRule="auto"/>
              <w:jc w:val="center"/>
              <w:rPr>
                <w:rFonts w:hint="default" w:eastAsia="宋体"/>
                <w:lang w:val="en-US" w:eastAsia="zh-CN"/>
              </w:rPr>
            </w:pPr>
            <w:r>
              <w:rPr>
                <w:rFonts w:hint="eastAsia"/>
                <w:lang w:val="en-US" w:eastAsia="zh-CN"/>
              </w:rPr>
              <w:t>成像帧频</w:t>
            </w:r>
          </w:p>
        </w:tc>
        <w:tc>
          <w:tcPr>
            <w:tcW w:w="1250" w:type="pct"/>
            <w:vAlign w:val="center"/>
          </w:tcPr>
          <w:p w14:paraId="0539D0F1">
            <w:pPr>
              <w:spacing w:line="264" w:lineRule="auto"/>
              <w:jc w:val="center"/>
              <w:rPr>
                <w:rFonts w:hint="eastAsia" w:ascii="宋体" w:hAnsi="宋体" w:eastAsia="宋体" w:cs="宋体"/>
                <w:lang w:val="en-US" w:eastAsia="zh-CN"/>
              </w:rPr>
            </w:pPr>
            <w:r>
              <w:rPr>
                <w:rFonts w:hint="eastAsia" w:ascii="宋体" w:hAnsi="宋体" w:eastAsia="宋体" w:cs="宋体"/>
                <w:lang w:val="en-US" w:eastAsia="zh-CN"/>
              </w:rPr>
              <w:t>推扫式</w:t>
            </w:r>
          </w:p>
        </w:tc>
        <w:tc>
          <w:tcPr>
            <w:tcW w:w="2500" w:type="pct"/>
            <w:vAlign w:val="center"/>
          </w:tcPr>
          <w:p w14:paraId="18D5EA3A">
            <w:pPr>
              <w:spacing w:line="264" w:lineRule="auto"/>
              <w:jc w:val="center"/>
              <w:rPr>
                <w:rFonts w:hint="eastAsia" w:ascii="宋体" w:hAnsi="宋体" w:eastAsia="宋体" w:cs="宋体"/>
                <w:lang w:val="en-US" w:eastAsia="zh-CN"/>
              </w:rPr>
            </w:pPr>
            <w:r>
              <w:rPr>
                <w:rFonts w:hint="eastAsia" w:ascii="宋体" w:hAnsi="宋体" w:eastAsia="宋体" w:cs="宋体"/>
                <w:lang w:val="en-US" w:eastAsia="zh-CN"/>
              </w:rPr>
              <w:t>≥10Hz</w:t>
            </w:r>
          </w:p>
        </w:tc>
      </w:tr>
      <w:tr w14:paraId="1F09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248" w:type="pct"/>
            <w:vMerge w:val="continue"/>
            <w:vAlign w:val="center"/>
          </w:tcPr>
          <w:p w14:paraId="39D78D38">
            <w:pPr>
              <w:spacing w:line="264" w:lineRule="auto"/>
              <w:jc w:val="center"/>
            </w:pPr>
          </w:p>
        </w:tc>
        <w:tc>
          <w:tcPr>
            <w:tcW w:w="1250" w:type="pct"/>
            <w:vAlign w:val="center"/>
          </w:tcPr>
          <w:p w14:paraId="3BE9469B">
            <w:pPr>
              <w:spacing w:line="264" w:lineRule="auto"/>
              <w:jc w:val="center"/>
              <w:rPr>
                <w:rFonts w:hint="eastAsia" w:ascii="宋体" w:hAnsi="宋体" w:eastAsia="宋体" w:cs="宋体"/>
                <w:lang w:val="en-US" w:eastAsia="zh-CN"/>
              </w:rPr>
            </w:pPr>
            <w:r>
              <w:rPr>
                <w:rFonts w:hint="eastAsia" w:ascii="宋体" w:hAnsi="宋体" w:eastAsia="宋体" w:cs="宋体"/>
                <w:lang w:val="en-US" w:eastAsia="zh-CN"/>
              </w:rPr>
              <w:t>帧幅式</w:t>
            </w:r>
          </w:p>
        </w:tc>
        <w:tc>
          <w:tcPr>
            <w:tcW w:w="2500" w:type="pct"/>
            <w:vAlign w:val="center"/>
          </w:tcPr>
          <w:p w14:paraId="3779D539">
            <w:pPr>
              <w:spacing w:line="264" w:lineRule="auto"/>
              <w:jc w:val="center"/>
              <w:rPr>
                <w:rFonts w:hint="eastAsia" w:ascii="宋体" w:hAnsi="宋体" w:eastAsia="宋体" w:cs="宋体"/>
                <w:lang w:val="en-US" w:eastAsia="zh-CN"/>
              </w:rPr>
            </w:pPr>
            <w:r>
              <w:rPr>
                <w:rFonts w:hint="eastAsia" w:ascii="宋体" w:hAnsi="宋体" w:eastAsia="宋体" w:cs="宋体"/>
                <w:lang w:val="en-US" w:eastAsia="zh-CN"/>
              </w:rPr>
              <w:t>≥5Hz</w:t>
            </w:r>
          </w:p>
        </w:tc>
      </w:tr>
    </w:tbl>
    <w:p w14:paraId="4E9738FA">
      <w:pPr>
        <w:pStyle w:val="110"/>
        <w:spacing w:before="120" w:after="120"/>
      </w:pPr>
      <w:bookmarkStart w:id="72" w:name="_Toc31292"/>
      <w:r>
        <w:rPr>
          <w:rFonts w:hint="eastAsia"/>
        </w:rPr>
        <w:t>环境适应性要求</w:t>
      </w:r>
      <w:bookmarkEnd w:id="72"/>
    </w:p>
    <w:p w14:paraId="3EE64F8D">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5.3.1 温度适应性</w:t>
      </w:r>
    </w:p>
    <w:p w14:paraId="4E237ACA">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系统应能在-10℃～40℃环境温度下正常工作。</w:t>
      </w:r>
    </w:p>
    <w:p w14:paraId="20BBC721">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5.3.2 湿度适应性</w:t>
      </w:r>
    </w:p>
    <w:p w14:paraId="047FAE87">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在温度40℃、相对湿度90%～95%（无凝露）环境中连续工作2小时，系统无短路、漏电现象，成像质量无明显下降。</w:t>
      </w:r>
    </w:p>
    <w:p w14:paraId="3C1683B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5.3.3 抗风性能</w:t>
      </w:r>
    </w:p>
    <w:p w14:paraId="7DF1AD9B">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在不高于10.7m/s（6级风）侧风、顺风、逆风条件下，云台应稳定工作，悬停位置偏差应不大于±2m，姿态角波动不大于±8°，成像无模糊、拖影。</w:t>
      </w:r>
    </w:p>
    <w:p w14:paraId="36DC60F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5.3.4 抗振动性能</w:t>
      </w:r>
    </w:p>
    <w:p w14:paraId="6DF1C366">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w:t>
      </w:r>
      <w:r>
        <w:rPr>
          <w:rFonts w:hint="default" w:ascii="宋体" w:hAnsi="宋体" w:eastAsia="宋体" w:cs="宋体"/>
          <w:lang w:val="en-US" w:eastAsia="zh-CN"/>
        </w:rPr>
        <w:t>振动频率10Hz～500Hz</w:t>
      </w:r>
      <w:r>
        <w:rPr>
          <w:rFonts w:hint="eastAsia" w:ascii="宋体" w:hAnsi="宋体" w:eastAsia="宋体" w:cs="宋体"/>
          <w:lang w:val="en-US" w:eastAsia="zh-CN"/>
        </w:rPr>
        <w:t>环境下，系统应能够正常工作，成像和光谱性能不应出现异常。</w:t>
      </w:r>
    </w:p>
    <w:p w14:paraId="78CA4BB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宋体" w:hAnsi="宋体" w:eastAsia="宋体" w:cs="宋体"/>
          <w:lang w:val="en-US" w:eastAsia="zh-CN"/>
        </w:rPr>
      </w:pPr>
      <w:r>
        <w:rPr>
          <w:rFonts w:hint="default" w:ascii="宋体" w:hAnsi="宋体" w:eastAsia="宋体" w:cs="宋体"/>
          <w:lang w:val="en-US" w:eastAsia="zh-CN"/>
        </w:rPr>
        <w:t>5.3.</w:t>
      </w:r>
      <w:r>
        <w:rPr>
          <w:rFonts w:hint="eastAsia" w:ascii="宋体" w:hAnsi="宋体" w:eastAsia="宋体" w:cs="宋体"/>
          <w:lang w:val="en-US" w:eastAsia="zh-CN"/>
        </w:rPr>
        <w:t>5</w:t>
      </w:r>
      <w:r>
        <w:rPr>
          <w:rFonts w:hint="default" w:ascii="宋体" w:hAnsi="宋体" w:eastAsia="宋体" w:cs="宋体"/>
          <w:lang w:val="en-US" w:eastAsia="zh-CN"/>
        </w:rPr>
        <w:t xml:space="preserve"> </w:t>
      </w:r>
      <w:r>
        <w:rPr>
          <w:rFonts w:hint="eastAsia" w:ascii="宋体" w:hAnsi="宋体" w:eastAsia="宋体" w:cs="宋体"/>
          <w:lang w:val="en-US" w:eastAsia="zh-CN"/>
        </w:rPr>
        <w:t>抗冲击性能</w:t>
      </w:r>
    </w:p>
    <w:p w14:paraId="34233011">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w:t>
      </w:r>
      <w:r>
        <w:rPr>
          <w:rFonts w:hint="default" w:ascii="宋体" w:hAnsi="宋体" w:eastAsia="宋体" w:cs="宋体"/>
          <w:lang w:val="en-US" w:eastAsia="zh-CN"/>
        </w:rPr>
        <w:t>冲击加速度峰值15g，持续时间11ms</w:t>
      </w:r>
      <w:r>
        <w:rPr>
          <w:rFonts w:hint="eastAsia" w:ascii="宋体" w:hAnsi="宋体" w:eastAsia="宋体" w:cs="宋体"/>
          <w:lang w:val="en-US" w:eastAsia="zh-CN"/>
        </w:rPr>
        <w:t>的冲击条件下，系统仍能正常工作。</w:t>
      </w:r>
    </w:p>
    <w:p w14:paraId="485D348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lang w:val="en-US" w:eastAsia="zh-CN"/>
        </w:rPr>
      </w:pPr>
      <w:r>
        <w:rPr>
          <w:rFonts w:hint="default" w:ascii="宋体" w:hAnsi="宋体" w:eastAsia="宋体" w:cs="宋体"/>
          <w:lang w:val="en-US" w:eastAsia="zh-CN"/>
        </w:rPr>
        <w:t>5.3.6 防尘防水</w:t>
      </w:r>
      <w:r>
        <w:rPr>
          <w:rFonts w:hint="eastAsia" w:ascii="宋体" w:hAnsi="宋体" w:eastAsia="宋体" w:cs="宋体"/>
          <w:lang w:val="en-US" w:eastAsia="zh-CN"/>
        </w:rPr>
        <w:t>性能</w:t>
      </w:r>
    </w:p>
    <w:p w14:paraId="441813C9">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宋体" w:hAnsi="宋体" w:eastAsia="宋体" w:cs="宋体"/>
          <w:lang w:val="en-US" w:eastAsia="zh-CN"/>
        </w:rPr>
      </w:pPr>
      <w:r>
        <w:rPr>
          <w:rFonts w:hint="default" w:ascii="宋体" w:hAnsi="宋体" w:eastAsia="宋体" w:cs="宋体"/>
          <w:lang w:val="en-US" w:eastAsia="zh-CN"/>
        </w:rPr>
        <w:t>系统外壳及接口</w:t>
      </w:r>
      <w:r>
        <w:rPr>
          <w:rFonts w:hint="eastAsia" w:ascii="宋体" w:hAnsi="宋体" w:eastAsia="宋体" w:cs="宋体"/>
          <w:lang w:val="en-US" w:eastAsia="zh-CN"/>
        </w:rPr>
        <w:t>防护等级应不低于GB/T 4208中IP54的要求。</w:t>
      </w:r>
    </w:p>
    <w:p w14:paraId="5CCABC6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5.3.7 高度与气压适应性</w:t>
      </w:r>
    </w:p>
    <w:p w14:paraId="2EAEC5E0">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在等效飞行高度不高于5000m的气压环境条件下，系统连续工作2h，应无漏气、结构变形或功能异常现象，成像和光谱数据采集功能应保持正常。</w:t>
      </w:r>
    </w:p>
    <w:p w14:paraId="27755AA4">
      <w:pPr>
        <w:pStyle w:val="110"/>
        <w:spacing w:before="120" w:after="120"/>
        <w:rPr>
          <w:rFonts w:hint="eastAsia"/>
          <w:lang w:val="en-US" w:eastAsia="zh-CN"/>
        </w:rPr>
      </w:pPr>
      <w:bookmarkStart w:id="73" w:name="_Toc24307"/>
      <w:r>
        <w:rPr>
          <w:rFonts w:hint="eastAsia"/>
          <w:lang w:val="en-US" w:eastAsia="zh-CN"/>
        </w:rPr>
        <w:t>电磁兼容性要求</w:t>
      </w:r>
      <w:bookmarkEnd w:id="73"/>
    </w:p>
    <w:p w14:paraId="3F3DA58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宋体" w:hAnsi="宋体" w:eastAsia="宋体" w:cs="宋体"/>
          <w:lang w:val="en-US" w:eastAsia="zh-CN"/>
        </w:rPr>
      </w:pPr>
      <w:r>
        <w:rPr>
          <w:rFonts w:hint="default" w:ascii="宋体" w:hAnsi="宋体" w:eastAsia="宋体" w:cs="宋体"/>
          <w:lang w:val="en-US" w:eastAsia="zh-CN"/>
        </w:rPr>
        <w:t>5.4.1 电磁骚扰限值</w:t>
      </w:r>
    </w:p>
    <w:p w14:paraId="678AB229">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应符合GB/T 38909</w:t>
      </w:r>
      <w:r>
        <w:rPr>
          <w:rFonts w:hint="eastAsia" w:ascii="宋体" w:hAnsi="宋体" w:eastAsia="宋体" w:cs="宋体"/>
          <w:lang w:val="en-US" w:eastAsia="zh-CN"/>
        </w:rPr>
        <w:t>的规定。</w:t>
      </w:r>
    </w:p>
    <w:p w14:paraId="644CD86C">
      <w:pPr>
        <w:keepNext w:val="0"/>
        <w:keepLines w:val="0"/>
        <w:pageBreakBefore w:val="0"/>
        <w:kinsoku/>
        <w:wordWrap/>
        <w:overflowPunct/>
        <w:topLinePunct w:val="0"/>
        <w:bidi w:val="0"/>
        <w:snapToGrid/>
        <w:spacing w:line="264" w:lineRule="auto"/>
        <w:textAlignment w:val="auto"/>
        <w:outlineLvl w:val="9"/>
        <w:rPr>
          <w:rFonts w:hint="eastAsia" w:ascii="宋体" w:hAnsi="宋体" w:eastAsia="宋体" w:cs="宋体"/>
        </w:rPr>
      </w:pPr>
      <w:r>
        <w:rPr>
          <w:rFonts w:hint="eastAsia" w:ascii="宋体" w:hAnsi="宋体" w:eastAsia="宋体" w:cs="宋体"/>
        </w:rPr>
        <w:t>5.4.</w:t>
      </w:r>
      <w:r>
        <w:rPr>
          <w:rFonts w:hint="eastAsia" w:ascii="宋体" w:hAnsi="宋体" w:eastAsia="宋体" w:cs="宋体"/>
          <w:lang w:val="en-US" w:eastAsia="zh-CN"/>
        </w:rPr>
        <w:t>2</w:t>
      </w:r>
      <w:r>
        <w:rPr>
          <w:rFonts w:hint="eastAsia" w:ascii="宋体" w:hAnsi="宋体" w:eastAsia="宋体" w:cs="宋体"/>
        </w:rPr>
        <w:t xml:space="preserve"> 电磁敏感度要求</w:t>
      </w:r>
    </w:p>
    <w:p w14:paraId="5AABDF93">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应符合GB/T 38909</w:t>
      </w:r>
      <w:r>
        <w:rPr>
          <w:rFonts w:hint="eastAsia" w:ascii="宋体" w:hAnsi="宋体" w:eastAsia="宋体" w:cs="宋体"/>
          <w:lang w:val="en-US" w:eastAsia="zh-CN"/>
        </w:rPr>
        <w:t>的规定。</w:t>
      </w:r>
    </w:p>
    <w:p w14:paraId="2A27BD47">
      <w:pPr>
        <w:pStyle w:val="110"/>
        <w:spacing w:before="120" w:after="120"/>
        <w:rPr>
          <w:rFonts w:hint="eastAsia"/>
          <w:lang w:val="en-US" w:eastAsia="zh-CN"/>
        </w:rPr>
      </w:pPr>
      <w:bookmarkStart w:id="74" w:name="_Toc30558"/>
      <w:r>
        <w:rPr>
          <w:rFonts w:hint="eastAsia"/>
          <w:lang w:val="en-US" w:eastAsia="zh-CN"/>
        </w:rPr>
        <w:t>可靠性与安全性要求</w:t>
      </w:r>
      <w:bookmarkEnd w:id="74"/>
    </w:p>
    <w:p w14:paraId="14C0EC05">
      <w:pPr>
        <w:pStyle w:val="61"/>
        <w:ind w:left="0" w:leftChars="0" w:firstLine="0" w:firstLineChars="0"/>
        <w:rPr>
          <w:rFonts w:hint="eastAsia"/>
          <w:lang w:val="en-US" w:eastAsia="zh-CN"/>
        </w:rPr>
      </w:pPr>
      <w:r>
        <w:rPr>
          <w:rFonts w:hint="eastAsia"/>
          <w:lang w:val="en-US" w:eastAsia="zh-CN"/>
        </w:rPr>
        <w:t>5.5.1 可靠性要求</w:t>
      </w:r>
    </w:p>
    <w:p w14:paraId="40B2DC2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系统可靠性要求如下：</w:t>
      </w:r>
    </w:p>
    <w:p w14:paraId="110CFDF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rPr>
        <w:t>a）</w:t>
      </w:r>
      <w:r>
        <w:rPr>
          <w:rFonts w:hint="eastAsia"/>
          <w:lang w:val="en-US" w:eastAsia="zh-CN"/>
        </w:rPr>
        <w:t>平均无故障飞行时间（MTBF）：应不低于1000h；</w:t>
      </w:r>
    </w:p>
    <w:p w14:paraId="57DBB7D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w:t>
      </w:r>
      <w:r>
        <w:rPr>
          <w:rFonts w:hint="eastAsia"/>
        </w:rPr>
        <w:t>）</w:t>
      </w:r>
      <w:r>
        <w:rPr>
          <w:rFonts w:hint="eastAsia"/>
          <w:lang w:val="en-US" w:eastAsia="zh-CN"/>
        </w:rPr>
        <w:t>连续起降循环：系统在额定安装状态下，应能够承受不少于200次连续起降循环；</w:t>
      </w:r>
    </w:p>
    <w:p w14:paraId="78E433D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w:t>
      </w:r>
      <w:r>
        <w:rPr>
          <w:rFonts w:hint="eastAsia"/>
        </w:rPr>
        <w:t>）</w:t>
      </w:r>
      <w:r>
        <w:rPr>
          <w:rFonts w:hint="eastAsia"/>
          <w:lang w:val="en-US" w:eastAsia="zh-CN"/>
        </w:rPr>
        <w:t>数据存储可靠性：连续采集1小时数据无丢失、损坏，存储速率不应小于100MB/s。</w:t>
      </w:r>
    </w:p>
    <w:p w14:paraId="0DECBC13">
      <w:pPr>
        <w:pStyle w:val="61"/>
        <w:ind w:left="0" w:leftChars="0" w:firstLine="0" w:firstLineChars="0"/>
        <w:rPr>
          <w:rFonts w:hint="eastAsia"/>
          <w:lang w:val="en-US" w:eastAsia="zh-CN"/>
        </w:rPr>
      </w:pPr>
      <w:r>
        <w:rPr>
          <w:rFonts w:hint="eastAsia"/>
          <w:lang w:val="en-US" w:eastAsia="zh-CN"/>
        </w:rPr>
        <w:t>5.5.2 安全性要求</w:t>
      </w:r>
    </w:p>
    <w:p w14:paraId="6DF9A83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系统安全性要求如下：</w:t>
      </w:r>
    </w:p>
    <w:p w14:paraId="5DF6215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a）供电安全：电池应无起火、漏液风险，短路保护响应时间应不大于10ms；</w:t>
      </w:r>
    </w:p>
    <w:p w14:paraId="02A53BF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b）结构安全：安装支架承重能力应不小于系统重量的3倍，无断裂、变形；</w:t>
      </w:r>
    </w:p>
    <w:p w14:paraId="2B423AE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c）应急安全：通信中断超过30秒时，系统应触发自主应急措施（暂停成像、跟随无人机返航）。</w:t>
      </w:r>
    </w:p>
    <w:p w14:paraId="04F77945">
      <w:pPr>
        <w:pStyle w:val="109"/>
        <w:spacing w:before="240" w:after="240"/>
        <w:rPr>
          <w:rFonts w:hint="default"/>
          <w:szCs w:val="21"/>
          <w:lang w:val="en-US" w:eastAsia="zh-CN"/>
        </w:rPr>
      </w:pPr>
      <w:bookmarkStart w:id="75" w:name="_Toc19483"/>
      <w:r>
        <w:rPr>
          <w:rFonts w:hint="eastAsia"/>
          <w:szCs w:val="21"/>
          <w:lang w:val="en-US" w:eastAsia="zh-CN"/>
        </w:rPr>
        <w:t>试验方法</w:t>
      </w:r>
      <w:bookmarkEnd w:id="75"/>
    </w:p>
    <w:p w14:paraId="6EF6C3F3">
      <w:pPr>
        <w:pStyle w:val="110"/>
        <w:spacing w:before="120" w:after="120"/>
        <w:rPr>
          <w:rFonts w:hint="eastAsia"/>
          <w:lang w:val="en-US" w:eastAsia="zh-CN"/>
        </w:rPr>
      </w:pPr>
      <w:bookmarkStart w:id="76" w:name="_Toc24282"/>
      <w:r>
        <w:rPr>
          <w:rFonts w:hint="eastAsia"/>
          <w:lang w:val="en-US" w:eastAsia="zh-CN"/>
        </w:rPr>
        <w:t>试验环境条件</w:t>
      </w:r>
      <w:bookmarkEnd w:id="76"/>
    </w:p>
    <w:p w14:paraId="7E059FB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试验应在以下标准环境条件下进行：温度25℃±2℃，相对湿度45%</w:t>
      </w:r>
      <w:r>
        <w:rPr>
          <w:rFonts w:hint="eastAsia" w:ascii="Times New Roman" w:eastAsia="宋体"/>
          <w:lang w:val="en-US" w:eastAsia="zh-CN"/>
        </w:rPr>
        <w:t>～</w:t>
      </w:r>
      <w:r>
        <w:rPr>
          <w:rFonts w:hint="eastAsia"/>
          <w:lang w:val="en-US" w:eastAsia="zh-CN"/>
        </w:rPr>
        <w:t>75%，大气压力86kPa～106kPa，无明显电磁干扰、振动及气流扰动。</w:t>
      </w:r>
    </w:p>
    <w:p w14:paraId="1EC495B4">
      <w:pPr>
        <w:pStyle w:val="110"/>
        <w:spacing w:before="120" w:after="120"/>
        <w:rPr>
          <w:rFonts w:hint="eastAsia"/>
          <w:lang w:val="en-US" w:eastAsia="zh-CN"/>
        </w:rPr>
      </w:pPr>
      <w:bookmarkStart w:id="77" w:name="_Toc29417"/>
      <w:r>
        <w:rPr>
          <w:rFonts w:hint="eastAsia"/>
          <w:lang w:val="en-US" w:eastAsia="zh-CN"/>
        </w:rPr>
        <w:t>光谱性能试验</w:t>
      </w:r>
      <w:bookmarkEnd w:id="77"/>
    </w:p>
    <w:p w14:paraId="4BA3BD38">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6.2.1 光谱分辨率试验</w:t>
      </w:r>
    </w:p>
    <w:p w14:paraId="2848735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采用单色仪产生550nm单色光，照射反射率99%标准板，系统采集光谱数据，通过光谱分析软件计算半高全宽（FWHM），重复试验3次，取平均值。</w:t>
      </w:r>
    </w:p>
    <w:p w14:paraId="6813C421">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6.2.2 信噪比试验</w:t>
      </w:r>
    </w:p>
    <w:p w14:paraId="35613D7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在标准光源下，系统对准99%标准板，设置积分时间10ms，采集光谱图像，选取图像中心区域100×100像元，计算信号均值与噪声标准差的比值，即为信噪比。</w:t>
      </w:r>
    </w:p>
    <w:p w14:paraId="27598BBE">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6.2.3 辐射定标精度试验</w:t>
      </w:r>
    </w:p>
    <w:p w14:paraId="6F937C8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使用已知辐射亮度的标准光源，在400nm～1000nm波段范围内，系统采集不同辐射亮度下的光谱数据，计算测量值与标准值的相对误差，取最大误差作为试验结果。</w:t>
      </w:r>
    </w:p>
    <w:p w14:paraId="2E81F3CD">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6.2.4 光谱范围试验</w:t>
      </w:r>
    </w:p>
    <w:p w14:paraId="333F51F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采用波长覆盖350nm～2000nm的标准光源，系统全波段采集光谱数据，通过光谱分析软件识别有效光谱信号的起始波长和终止波长，确定光谱范围。</w:t>
      </w:r>
    </w:p>
    <w:p w14:paraId="203D9D83">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6.2.5 光谱通道数试验</w:t>
      </w:r>
    </w:p>
    <w:p w14:paraId="035DB3B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基于6.2.4节采集的全波段光谱数据，通过光谱分析软件统计有效光谱范围内的光谱通道数量。</w:t>
      </w:r>
    </w:p>
    <w:p w14:paraId="239BBA8A">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6.2.6 光谱漂移试验</w:t>
      </w:r>
    </w:p>
    <w:p w14:paraId="25C124C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将系统置于高低温试验箱中，分别设置温度-10℃、0℃、25℃、40℃，每个温度点恒温2小时后，采用550nm、800nm、1200nm（高精度级专属）单色光照射标准板，采集光谱数据，记录各温度点特征波长的偏移量，计算单位温度变化对应的光谱漂移量。</w:t>
      </w:r>
    </w:p>
    <w:p w14:paraId="6B586625">
      <w:pPr>
        <w:pStyle w:val="110"/>
        <w:spacing w:before="120" w:after="120"/>
        <w:rPr>
          <w:rFonts w:hint="eastAsia"/>
          <w:lang w:val="en-US" w:eastAsia="zh-CN"/>
        </w:rPr>
      </w:pPr>
      <w:bookmarkStart w:id="78" w:name="_Toc5187"/>
      <w:r>
        <w:rPr>
          <w:rFonts w:hint="eastAsia"/>
          <w:lang w:val="en-US" w:eastAsia="zh-CN"/>
        </w:rPr>
        <w:t>空间成像性能试验</w:t>
      </w:r>
      <w:bookmarkEnd w:id="78"/>
    </w:p>
    <w:p w14:paraId="78E6D975">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6.3.1 空间分辨率试验</w:t>
      </w:r>
    </w:p>
    <w:p w14:paraId="32BD630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将系统搭载于无人机，飞行高度100m，速度10m/s，对标准分辨率试验板成像，通过图像分析软件测量最小可分辨线对，换算为瞬时视场角，验证是否≤1.5mrad。</w:t>
      </w:r>
    </w:p>
    <w:p w14:paraId="555E0B4F">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6.3.2 定位精度试验</w:t>
      </w:r>
    </w:p>
    <w:p w14:paraId="719F230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在开阔场地设置10个已知坐标的标记点，无人机按规划航线飞行（高度100m），系统同步采集图像与定位数据，对比标记点实际坐标与图像定位坐标，计算偏差值。</w:t>
      </w:r>
    </w:p>
    <w:p w14:paraId="77E6A6C0">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6.3.3 图像畸变率试验</w:t>
      </w:r>
    </w:p>
    <w:p w14:paraId="39D260A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采用标准畸变</w:t>
      </w:r>
      <w:r>
        <w:rPr>
          <w:rFonts w:hint="eastAsia"/>
          <w:lang w:val="en-US" w:eastAsia="zh-CN"/>
        </w:rPr>
        <w:t>试验</w:t>
      </w:r>
      <w:r>
        <w:rPr>
          <w:rFonts w:hint="default"/>
          <w:lang w:val="en-US" w:eastAsia="zh-CN"/>
        </w:rPr>
        <w:t>板，系统在50m距离处垂直拍摄，通过图像分析软件提取</w:t>
      </w:r>
      <w:r>
        <w:rPr>
          <w:rFonts w:hint="eastAsia"/>
          <w:lang w:val="en-US" w:eastAsia="zh-CN"/>
        </w:rPr>
        <w:t>试验</w:t>
      </w:r>
      <w:r>
        <w:rPr>
          <w:rFonts w:hint="default"/>
          <w:lang w:val="en-US" w:eastAsia="zh-CN"/>
        </w:rPr>
        <w:t>板上20个均匀分布标记点的图像坐标，与理论坐标对比，计算畸变率</w:t>
      </w:r>
      <w:r>
        <w:rPr>
          <w:rFonts w:hint="eastAsia"/>
          <w:lang w:val="en-US" w:eastAsia="zh-CN"/>
        </w:rPr>
        <w:t>，计算公式见式（1），</w:t>
      </w:r>
      <w:r>
        <w:rPr>
          <w:rFonts w:hint="default"/>
          <w:lang w:val="en-US" w:eastAsia="zh-CN"/>
        </w:rPr>
        <w:t>重复</w:t>
      </w:r>
      <w:r>
        <w:rPr>
          <w:rFonts w:hint="eastAsia"/>
          <w:lang w:val="en-US" w:eastAsia="zh-CN"/>
        </w:rPr>
        <w:t>试验</w:t>
      </w:r>
      <w:r>
        <w:rPr>
          <w:rFonts w:hint="default"/>
          <w:lang w:val="en-US" w:eastAsia="zh-CN"/>
        </w:rPr>
        <w:t>2次，取平均值。</w:t>
      </w:r>
    </w:p>
    <w:p w14:paraId="105FDE56">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val="en-US" w:eastAsia="zh-CN"/>
        </w:rPr>
      </w:pPr>
      <m:oMathPara>
        <m:oMath>
          <m:eqArr>
            <m:eqArrPr>
              <m:maxDist m:val="1"/>
              <m:ctrlPr>
                <w:rPr>
                  <w:rFonts w:hint="eastAsia" w:ascii="Cambria Math" w:hAnsi="Cambria Math" w:eastAsia="宋体" w:cs="宋体"/>
                  <w:i w:val="0"/>
                  <w:lang w:val="en-US" w:eastAsia="zh-CN"/>
                </w:rPr>
              </m:ctrlPr>
            </m:eqArrPr>
            <m:e>
              <m:r>
                <m:rPr>
                  <m:sty m:val="p"/>
                </m:rPr>
                <w:rPr>
                  <w:rFonts w:hint="eastAsia" w:ascii="Cambria Math" w:hAnsi="Cambria Math" w:eastAsia="宋体" w:cs="宋体"/>
                </w:rPr>
                <m:t>畸变率</m:t>
              </m:r>
              <m:r>
                <m:rPr/>
                <w:rPr>
                  <w:rFonts w:hint="eastAsia" w:ascii="Cambria Math" w:hAnsi="Cambria Math" w:eastAsia="宋体" w:cs="宋体"/>
                </w:rPr>
                <m:t>=</m:t>
              </m:r>
              <m:r>
                <m:rPr>
                  <m:sty m:val="p"/>
                </m:rPr>
                <w:rPr>
                  <w:rFonts w:hint="eastAsia" w:ascii="Cambria Math" w:hAnsi="Cambria Math" w:eastAsia="宋体" w:cs="宋体"/>
                </w:rPr>
                <m:t>（</m:t>
              </m:r>
              <m:f>
                <m:fPr>
                  <m:ctrlPr>
                    <w:rPr>
                      <w:rFonts w:hint="eastAsia" w:ascii="Cambria Math" w:hAnsi="Cambria Math" w:eastAsia="宋体" w:cs="宋体"/>
                      <w:b w:val="0"/>
                      <w:i w:val="0"/>
                    </w:rPr>
                  </m:ctrlPr>
                </m:fPr>
                <m:num>
                  <m:r>
                    <m:rPr>
                      <m:sty m:val="p"/>
                    </m:rPr>
                    <w:rPr>
                      <w:rFonts w:hint="eastAsia" w:ascii="Cambria Math" w:hAnsi="Cambria Math" w:eastAsia="宋体" w:cs="宋体"/>
                    </w:rPr>
                    <m:t>实际坐标偏差最大值</m:t>
                  </m:r>
                  <m:ctrlPr>
                    <w:rPr>
                      <w:rFonts w:hint="eastAsia" w:ascii="Cambria Math" w:hAnsi="Cambria Math" w:eastAsia="宋体" w:cs="宋体"/>
                      <w:b w:val="0"/>
                      <w:i w:val="0"/>
                    </w:rPr>
                  </m:ctrlPr>
                </m:num>
                <m:den>
                  <m:r>
                    <m:rPr>
                      <m:sty m:val="p"/>
                    </m:rPr>
                    <w:rPr>
                      <w:rFonts w:hint="eastAsia" w:ascii="Cambria Math" w:hAnsi="Cambria Math" w:eastAsia="宋体" w:cs="宋体"/>
                    </w:rPr>
                    <m:t>图像对角线长度</m:t>
                  </m:r>
                  <m:ctrlPr>
                    <w:rPr>
                      <w:rFonts w:hint="eastAsia" w:ascii="Cambria Math" w:hAnsi="Cambria Math" w:eastAsia="宋体" w:cs="宋体"/>
                      <w:b w:val="0"/>
                      <w:i w:val="0"/>
                    </w:rPr>
                  </m:ctrlPr>
                </m:den>
              </m:f>
              <m:r>
                <m:rPr>
                  <m:sty m:val="p"/>
                </m:rPr>
                <w:rPr>
                  <w:rFonts w:hint="eastAsia" w:ascii="Cambria Math" w:hAnsi="Cambria Math" w:eastAsia="宋体" w:cs="宋体"/>
                </w:rPr>
                <m:t>）×</m:t>
              </m:r>
              <m:r>
                <m:rPr/>
                <w:rPr>
                  <w:rFonts w:hint="eastAsia" w:ascii="Cambria Math" w:hAnsi="Cambria Math" w:eastAsia="宋体" w:cs="宋体"/>
                </w:rPr>
                <m:t>100%</m:t>
              </m:r>
              <m:r>
                <m:rPr>
                  <m:sty m:val="p"/>
                </m:rPr>
                <w:rPr>
                  <w:rFonts w:hint="eastAsia" w:ascii="Cambria Math" w:hAnsi="Cambria Math" w:eastAsia="宋体" w:cs="宋体"/>
                  <w:lang w:val="en-US" w:eastAsia="zh-CN"/>
                </w:rPr>
                <m:t>#(1</m:t>
              </m:r>
              <m:ctrlPr>
                <w:rPr>
                  <w:rFonts w:hint="eastAsia" w:ascii="Cambria Math" w:hAnsi="Cambria Math" w:eastAsia="宋体" w:cs="宋体"/>
                  <w:i w:val="0"/>
                  <w:lang w:val="en-US" w:eastAsia="zh-CN"/>
                </w:rPr>
              </m:ctrlPr>
            </m:e>
          </m:eqArr>
          <m:r>
            <m:rPr>
              <m:sty m:val="p"/>
            </m:rPr>
            <w:rPr>
              <w:rFonts w:hint="eastAsia" w:ascii="Cambria Math" w:hAnsi="Cambria Math" w:eastAsia="宋体" w:cs="宋体"/>
              <w:lang w:val="en-US" w:eastAsia="zh-CN"/>
            </w:rPr>
            <m:t>)</m:t>
          </m:r>
        </m:oMath>
      </m:oMathPara>
    </w:p>
    <w:p w14:paraId="0848AAEB">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6.3.4 像元错位试验</w:t>
      </w:r>
    </w:p>
    <w:p w14:paraId="62324DE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选取400nm、550nm、800nm、1000nm（高精度级增加1500nm、1700nm）特征波段，系统对标准靶标成像，通过图像配准算法提取相邻波段图像中同一特征点的像元坐标，计算坐标偏差值，试验5组特征点，取最大值。</w:t>
      </w:r>
    </w:p>
    <w:p w14:paraId="2A27C99C">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6.3.5 成像帧频试验</w:t>
      </w:r>
    </w:p>
    <w:p w14:paraId="28A809B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应按照以下方法进行：</w:t>
      </w:r>
    </w:p>
    <w:p w14:paraId="67B07A8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a）推扫式系统：无人机以20m/s速度飞行，系统开启连续成像模式，通过数据存储日志统计1分钟内采集的图像帧数，换算为帧频；</w:t>
      </w:r>
    </w:p>
    <w:p w14:paraId="1ABBBBC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b）帧幅式系统：在静态场景下，系统开启连续拍摄模式，通过高速计数器记录单位时间内的成像帧数，重复试验3次，取最小值作为结果。</w:t>
      </w:r>
    </w:p>
    <w:p w14:paraId="4868D9F5">
      <w:pPr>
        <w:pStyle w:val="110"/>
        <w:spacing w:before="120" w:after="120"/>
        <w:rPr>
          <w:rFonts w:hint="eastAsia"/>
          <w:lang w:val="en-US" w:eastAsia="zh-CN"/>
        </w:rPr>
      </w:pPr>
      <w:bookmarkStart w:id="79" w:name="_Toc4179"/>
      <w:r>
        <w:rPr>
          <w:rFonts w:hint="eastAsia"/>
          <w:lang w:val="en-US" w:eastAsia="zh-CN"/>
        </w:rPr>
        <w:t>环境适应性试验</w:t>
      </w:r>
      <w:bookmarkEnd w:id="79"/>
    </w:p>
    <w:p w14:paraId="71C67209">
      <w:pPr>
        <w:pStyle w:val="61"/>
        <w:ind w:left="0" w:leftChars="0" w:firstLine="0" w:firstLineChars="0"/>
        <w:rPr>
          <w:rFonts w:hint="default"/>
          <w:lang w:val="en-US" w:eastAsia="zh-CN"/>
        </w:rPr>
      </w:pPr>
      <w:r>
        <w:rPr>
          <w:rFonts w:hint="eastAsia"/>
          <w:lang w:val="en-US" w:eastAsia="zh-CN"/>
        </w:rPr>
        <w:t>6.4.1 高低温试验</w:t>
      </w:r>
    </w:p>
    <w:p w14:paraId="1C17FC6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高温试验应按照GB/T 38924.3的规定执行；低温试验应按照GB/T 38924.2的规定执行。</w:t>
      </w:r>
    </w:p>
    <w:p w14:paraId="477BD642">
      <w:pPr>
        <w:pStyle w:val="61"/>
        <w:ind w:left="0" w:leftChars="0" w:firstLine="0" w:firstLineChars="0"/>
        <w:rPr>
          <w:rFonts w:hint="default"/>
          <w:lang w:val="en-US" w:eastAsia="zh-CN"/>
        </w:rPr>
      </w:pPr>
      <w:r>
        <w:rPr>
          <w:rFonts w:hint="eastAsia"/>
          <w:lang w:val="en-US" w:eastAsia="zh-CN"/>
        </w:rPr>
        <w:t>6.4.2 湿热试验</w:t>
      </w:r>
    </w:p>
    <w:p w14:paraId="4D80ABF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应按照GB/T 38924.7的规定执行。</w:t>
      </w:r>
    </w:p>
    <w:p w14:paraId="402F772E">
      <w:pPr>
        <w:pStyle w:val="61"/>
        <w:ind w:left="0" w:leftChars="0" w:firstLine="0" w:firstLineChars="0"/>
        <w:rPr>
          <w:rFonts w:hint="default"/>
          <w:lang w:val="en-US" w:eastAsia="zh-CN"/>
        </w:rPr>
      </w:pPr>
      <w:r>
        <w:rPr>
          <w:rFonts w:hint="eastAsia"/>
          <w:lang w:val="en-US" w:eastAsia="zh-CN"/>
        </w:rPr>
        <w:t>6.4.3 抗风性试验</w:t>
      </w:r>
    </w:p>
    <w:p w14:paraId="31F140B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应按照GB/T 38930的规定执行。</w:t>
      </w:r>
    </w:p>
    <w:p w14:paraId="44C2E4EA">
      <w:pPr>
        <w:pStyle w:val="61"/>
        <w:ind w:left="0" w:leftChars="0" w:firstLine="0" w:firstLineChars="0"/>
        <w:rPr>
          <w:rFonts w:hint="eastAsia"/>
          <w:lang w:val="en-US" w:eastAsia="zh-CN"/>
        </w:rPr>
      </w:pPr>
      <w:r>
        <w:rPr>
          <w:rFonts w:hint="eastAsia"/>
          <w:lang w:val="en-US" w:eastAsia="zh-CN"/>
        </w:rPr>
        <w:t>6.4.4 抗振动性能试验</w:t>
      </w:r>
    </w:p>
    <w:p w14:paraId="2B05C97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38924.6的规定执行。</w:t>
      </w:r>
    </w:p>
    <w:p w14:paraId="3C80CAEB">
      <w:pPr>
        <w:pStyle w:val="61"/>
        <w:ind w:left="0" w:leftChars="0" w:firstLine="0" w:firstLineChars="0"/>
        <w:rPr>
          <w:rFonts w:hint="eastAsia"/>
          <w:lang w:val="en-US" w:eastAsia="zh-CN"/>
        </w:rPr>
      </w:pPr>
      <w:r>
        <w:rPr>
          <w:rFonts w:hint="eastAsia"/>
          <w:lang w:val="en-US" w:eastAsia="zh-CN"/>
        </w:rPr>
        <w:t>6.4.5 抗冲击性能试验</w:t>
      </w:r>
    </w:p>
    <w:p w14:paraId="0E416D5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b/>
          <w:bCs/>
          <w:lang w:val="en-US" w:eastAsia="zh-CN"/>
        </w:rPr>
      </w:pPr>
      <w:r>
        <w:rPr>
          <w:rFonts w:hint="eastAsia"/>
          <w:lang w:val="en-US" w:eastAsia="zh-CN"/>
        </w:rPr>
        <w:t>应按照GB/T 38924.5的规定执行。</w:t>
      </w:r>
    </w:p>
    <w:p w14:paraId="04696B30">
      <w:pPr>
        <w:pStyle w:val="61"/>
        <w:ind w:left="0" w:leftChars="0" w:firstLine="0" w:firstLineChars="0"/>
        <w:rPr>
          <w:rFonts w:hint="eastAsia"/>
          <w:lang w:val="en-US" w:eastAsia="zh-CN"/>
        </w:rPr>
      </w:pPr>
      <w:r>
        <w:rPr>
          <w:rFonts w:hint="eastAsia"/>
          <w:lang w:val="en-US" w:eastAsia="zh-CN"/>
        </w:rPr>
        <w:t>6.5.6 防尘防水性能试验</w:t>
      </w:r>
    </w:p>
    <w:p w14:paraId="184B823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防尘试验应按照GB/T 38924.10的规定执行，防水试验应按照GB/T 38924.9的规定执行。</w:t>
      </w:r>
    </w:p>
    <w:p w14:paraId="7D49A25F">
      <w:pPr>
        <w:pStyle w:val="61"/>
        <w:ind w:left="0" w:leftChars="0" w:firstLine="0" w:firstLineChars="0"/>
        <w:rPr>
          <w:rFonts w:hint="eastAsia"/>
          <w:lang w:val="en-US" w:eastAsia="zh-CN"/>
        </w:rPr>
      </w:pPr>
      <w:r>
        <w:rPr>
          <w:rFonts w:hint="eastAsia"/>
          <w:lang w:val="en-US" w:eastAsia="zh-CN"/>
        </w:rPr>
        <w:t>6.5.7 高度与气压试验</w:t>
      </w:r>
    </w:p>
    <w:p w14:paraId="05AEA68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应按照GB/T 38924.4的规定执行。</w:t>
      </w:r>
    </w:p>
    <w:p w14:paraId="695AC473">
      <w:pPr>
        <w:pStyle w:val="110"/>
        <w:spacing w:before="120" w:after="120"/>
        <w:rPr>
          <w:rFonts w:hint="default"/>
          <w:lang w:val="en-US" w:eastAsia="zh-CN"/>
        </w:rPr>
      </w:pPr>
      <w:bookmarkStart w:id="80" w:name="_Toc20924"/>
      <w:r>
        <w:rPr>
          <w:rFonts w:hint="eastAsia"/>
          <w:lang w:val="en-US" w:eastAsia="zh-CN"/>
        </w:rPr>
        <w:t>电磁兼容性试验</w:t>
      </w:r>
      <w:bookmarkEnd w:id="80"/>
    </w:p>
    <w:p w14:paraId="368E6167">
      <w:pPr>
        <w:pStyle w:val="61"/>
        <w:ind w:left="0" w:leftChars="0" w:firstLine="0" w:firstLineChars="0"/>
        <w:rPr>
          <w:rFonts w:hint="eastAsia"/>
          <w:lang w:val="en-US" w:eastAsia="zh-CN"/>
        </w:rPr>
      </w:pPr>
      <w:r>
        <w:rPr>
          <w:rFonts w:hint="eastAsia"/>
          <w:lang w:val="en-US" w:eastAsia="zh-CN"/>
        </w:rPr>
        <w:t>6.5.1 辐射骚扰试验</w:t>
      </w:r>
    </w:p>
    <w:p w14:paraId="4770A0F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宋体" w:hAnsi="宋体" w:eastAsia="宋体" w:cs="宋体"/>
          <w:lang w:val="en-US" w:eastAsia="zh-CN"/>
        </w:rPr>
        <w:t>应按照GB/T 389</w:t>
      </w:r>
      <w:r>
        <w:rPr>
          <w:rFonts w:hint="eastAsia" w:hAnsi="宋体" w:cs="宋体"/>
          <w:lang w:val="en-US" w:eastAsia="zh-CN"/>
        </w:rPr>
        <w:t>09</w:t>
      </w:r>
      <w:r>
        <w:rPr>
          <w:rFonts w:hint="eastAsia" w:ascii="宋体" w:hAnsi="宋体" w:eastAsia="宋体" w:cs="宋体"/>
          <w:lang w:val="en-US" w:eastAsia="zh-CN"/>
        </w:rPr>
        <w:t>的规定执行。</w:t>
      </w:r>
    </w:p>
    <w:p w14:paraId="510F3E93">
      <w:pPr>
        <w:pStyle w:val="61"/>
        <w:ind w:left="0" w:leftChars="0" w:firstLine="0" w:firstLineChars="0"/>
        <w:rPr>
          <w:rFonts w:hint="default"/>
          <w:lang w:val="en-US" w:eastAsia="zh-CN"/>
        </w:rPr>
      </w:pPr>
      <w:r>
        <w:rPr>
          <w:rFonts w:hint="eastAsia"/>
          <w:lang w:val="en-US" w:eastAsia="zh-CN"/>
        </w:rPr>
        <w:t>6.5.2 辐射抗扰度试验</w:t>
      </w:r>
    </w:p>
    <w:p w14:paraId="7A8B926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应按照GB/T 389</w:t>
      </w:r>
      <w:r>
        <w:rPr>
          <w:rFonts w:hint="eastAsia" w:hAnsi="宋体" w:cs="宋体"/>
          <w:lang w:val="en-US" w:eastAsia="zh-CN"/>
        </w:rPr>
        <w:t>09</w:t>
      </w:r>
      <w:r>
        <w:rPr>
          <w:rFonts w:hint="eastAsia" w:ascii="宋体" w:hAnsi="宋体" w:eastAsia="宋体" w:cs="宋体"/>
          <w:lang w:val="en-US" w:eastAsia="zh-CN"/>
        </w:rPr>
        <w:t>的规定执行。</w:t>
      </w:r>
    </w:p>
    <w:p w14:paraId="683836E0">
      <w:pPr>
        <w:pStyle w:val="110"/>
        <w:spacing w:before="120" w:after="120"/>
        <w:rPr>
          <w:rFonts w:hint="eastAsia"/>
          <w:lang w:val="en-US" w:eastAsia="zh-CN"/>
        </w:rPr>
      </w:pPr>
      <w:bookmarkStart w:id="81" w:name="_Toc10979"/>
      <w:r>
        <w:rPr>
          <w:rFonts w:hint="eastAsia"/>
          <w:lang w:val="en-US" w:eastAsia="zh-CN"/>
        </w:rPr>
        <w:t>可靠性与安全性试验</w:t>
      </w:r>
      <w:bookmarkEnd w:id="81"/>
    </w:p>
    <w:p w14:paraId="4887B5A6">
      <w:pPr>
        <w:pStyle w:val="61"/>
        <w:ind w:left="0" w:leftChars="0" w:firstLine="0" w:firstLineChars="0"/>
        <w:rPr>
          <w:rFonts w:hint="eastAsia"/>
          <w:lang w:val="en-US" w:eastAsia="zh-CN"/>
        </w:rPr>
      </w:pPr>
      <w:r>
        <w:rPr>
          <w:rFonts w:hint="eastAsia"/>
          <w:lang w:val="en-US" w:eastAsia="zh-CN"/>
        </w:rPr>
        <w:t>6.6.1 可靠性试验</w:t>
      </w:r>
    </w:p>
    <w:p w14:paraId="0CE5A421">
      <w:pPr>
        <w:pStyle w:val="61"/>
        <w:ind w:left="0" w:leftChars="0" w:firstLine="0" w:firstLineChars="0"/>
        <w:rPr>
          <w:rFonts w:hint="eastAsia"/>
          <w:lang w:val="en-US" w:eastAsia="zh-CN"/>
        </w:rPr>
      </w:pPr>
      <w:r>
        <w:rPr>
          <w:rFonts w:hint="eastAsia"/>
          <w:lang w:val="en-US" w:eastAsia="zh-CN"/>
        </w:rPr>
        <w:t>6.6.1.1 平均无故障飞行时间（MTBF）试验</w:t>
      </w:r>
    </w:p>
    <w:p w14:paraId="37F3EA2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48C7460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a）按照规定飞行工况进行累计飞行试验，单次飞行时间不宜少于30min；</w:t>
      </w:r>
    </w:p>
    <w:p w14:paraId="7EEC02A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b）连续开展多架次飞行，记录系统运行时间及故障发生情况；</w:t>
      </w:r>
    </w:p>
    <w:p w14:paraId="2BBD093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c）当系统出现导致成像或数据采集中断、需人工干预或更换部件的故障时，判定为一次失效；</w:t>
      </w:r>
    </w:p>
    <w:p w14:paraId="4051595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default"/>
          <w:lang w:val="en-US" w:eastAsia="zh-CN"/>
        </w:rPr>
        <w:t>d）</w:t>
      </w:r>
      <w:r>
        <w:rPr>
          <w:rFonts w:hint="eastAsia"/>
          <w:lang w:val="en-US" w:eastAsia="zh-CN"/>
        </w:rPr>
        <w:t>MTBF计算公式见式（2）。</w:t>
      </w:r>
    </w:p>
    <w:p w14:paraId="44F6FCAE">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m:oMathPara>
        <m:oMath>
          <m:eqArr>
            <m:eqArrPr>
              <m:maxDist m:val="1"/>
              <m:ctrlPr>
                <w:rPr>
                  <w:rFonts w:hint="default" w:ascii="Cambria Math" w:hAnsi="Cambria Math" w:cs="Times New Roman"/>
                  <w:i/>
                  <w:sz w:val="21"/>
                  <w:lang w:val="en-US" w:eastAsia="zh-CN" w:bidi="ar-SA"/>
                </w:rPr>
              </m:ctrlPr>
            </m:eqArrPr>
            <m:e>
              <m:r>
                <m:rPr/>
                <w:rPr>
                  <w:rFonts w:hint="default" w:ascii="Cambria Math" w:hAnsi="Cambria Math" w:cs="Times New Roman"/>
                  <w:sz w:val="21"/>
                  <w:lang w:val="en-US" w:eastAsia="zh-CN" w:bidi="ar-SA"/>
                </w:rPr>
                <m:t>MTBF=</m:t>
              </m:r>
              <m:f>
                <m:fPr>
                  <m:ctrlPr>
                    <w:rPr>
                      <w:rFonts w:hint="default" w:ascii="Cambria Math" w:hAnsi="Cambria Math" w:cs="Times New Roman"/>
                      <w:i/>
                      <w:sz w:val="21"/>
                      <w:lang w:val="en-US" w:eastAsia="zh-CN" w:bidi="ar-SA"/>
                    </w:rPr>
                  </m:ctrlPr>
                </m:fPr>
                <m:num>
                  <m:r>
                    <m:rPr/>
                    <w:rPr>
                      <w:rFonts w:hint="default" w:ascii="Cambria Math" w:hAnsi="Cambria Math" w:cs="Times New Roman"/>
                      <w:sz w:val="21"/>
                      <w:lang w:val="en-US" w:eastAsia="zh-CN" w:bidi="ar-SA"/>
                    </w:rPr>
                    <m:t>T</m:t>
                  </m:r>
                  <m:ctrlPr>
                    <w:rPr>
                      <w:rFonts w:hint="default" w:ascii="Cambria Math" w:hAnsi="Cambria Math" w:cs="Times New Roman"/>
                      <w:i/>
                      <w:sz w:val="21"/>
                      <w:lang w:val="en-US" w:eastAsia="zh-CN" w:bidi="ar-SA"/>
                    </w:rPr>
                  </m:ctrlPr>
                </m:num>
                <m:den>
                  <m:r>
                    <m:rPr/>
                    <w:rPr>
                      <w:rFonts w:hint="default" w:ascii="Cambria Math" w:hAnsi="Cambria Math" w:cs="Times New Roman"/>
                      <w:sz w:val="21"/>
                      <w:lang w:val="en-US" w:eastAsia="zh-CN" w:bidi="ar-SA"/>
                    </w:rPr>
                    <m:t>N</m:t>
                  </m:r>
                  <m:ctrlPr>
                    <w:rPr>
                      <w:rFonts w:hint="default" w:ascii="Cambria Math" w:hAnsi="Cambria Math" w:cs="Times New Roman"/>
                      <w:i/>
                      <w:sz w:val="21"/>
                      <w:lang w:val="en-US" w:eastAsia="zh-CN" w:bidi="ar-SA"/>
                    </w:rPr>
                  </m:ctrlPr>
                </m:den>
              </m:f>
              <m:r>
                <m:rPr>
                  <m:sty m:val="p"/>
                </m:rPr>
                <w:rPr>
                  <w:rFonts w:hint="default" w:ascii="Cambria Math" w:hAnsi="Cambria Math" w:cs="Times New Roman"/>
                  <w:sz w:val="21"/>
                  <w:lang w:val="en-US" w:eastAsia="zh-CN" w:bidi="ar-SA"/>
                </w:rPr>
                <m:t>#(2</m:t>
              </m:r>
              <m:ctrlPr>
                <w:rPr>
                  <w:rFonts w:hint="default" w:ascii="Cambria Math" w:hAnsi="Cambria Math" w:cs="Times New Roman"/>
                  <w:i/>
                  <w:sz w:val="21"/>
                  <w:lang w:val="en-US" w:eastAsia="zh-CN" w:bidi="ar-SA"/>
                </w:rPr>
              </m:ctrlPr>
            </m:e>
          </m:eqArr>
          <m:r>
            <m:rPr/>
            <w:rPr>
              <w:rFonts w:hint="default" w:ascii="Cambria Math" w:hAnsi="Cambria Math" w:cs="Times New Roman"/>
              <w:sz w:val="21"/>
              <w:lang w:val="en-US" w:eastAsia="zh-CN" w:bidi="ar-SA"/>
            </w:rPr>
            <m:t>)</m:t>
          </m:r>
        </m:oMath>
      </m:oMathPara>
    </w:p>
    <w:p w14:paraId="04B9CD9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式中：</w:t>
      </w:r>
    </w:p>
    <w:p w14:paraId="38928CE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m:oMath>
        <m:r>
          <m:rPr/>
          <w:rPr>
            <w:rFonts w:hint="default" w:ascii="Cambria Math" w:hAnsi="Cambria Math" w:cs="Times New Roman"/>
            <w:sz w:val="21"/>
            <w:lang w:val="en-US" w:eastAsia="zh-CN" w:bidi="ar-SA"/>
          </w:rPr>
          <m:t>T</m:t>
        </m:r>
      </m:oMath>
      <w:r>
        <w:rPr>
          <w:rFonts w:hint="eastAsia" w:ascii="宋体" w:hAnsi="宋体"/>
          <w:snapToGrid w:val="0"/>
          <w:sz w:val="21"/>
          <w:szCs w:val="21"/>
        </w:rPr>
        <w:t>——</w:t>
      </w:r>
      <w:r>
        <w:rPr>
          <w:rFonts w:hint="default"/>
          <w:lang w:val="en-US" w:eastAsia="zh-CN"/>
        </w:rPr>
        <w:t>系统累计有效飞行时间，单位为小时（h）；</w:t>
      </w:r>
    </w:p>
    <w:p w14:paraId="6E91CCC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m:oMath>
        <m:r>
          <m:rPr/>
          <w:rPr>
            <w:rFonts w:hint="default" w:ascii="Cambria Math" w:hAnsi="Cambria Math" w:cs="Times New Roman"/>
            <w:sz w:val="21"/>
            <w:lang w:val="en-US" w:eastAsia="zh-CN" w:bidi="ar-SA"/>
          </w:rPr>
          <m:t>N</m:t>
        </m:r>
      </m:oMath>
      <w:r>
        <w:rPr>
          <w:rFonts w:hint="eastAsia" w:ascii="宋体" w:hAnsi="宋体"/>
          <w:snapToGrid w:val="0"/>
          <w:sz w:val="21"/>
          <w:szCs w:val="21"/>
        </w:rPr>
        <w:t>——</w:t>
      </w:r>
      <w:r>
        <w:rPr>
          <w:rFonts w:hint="default"/>
          <w:lang w:val="en-US" w:eastAsia="zh-CN"/>
        </w:rPr>
        <w:t>试验期间发生的系统失效次数。</w:t>
      </w:r>
    </w:p>
    <w:p w14:paraId="20D5FFE7">
      <w:pPr>
        <w:pStyle w:val="61"/>
        <w:ind w:left="0" w:leftChars="0" w:firstLine="0" w:firstLineChars="0"/>
        <w:rPr>
          <w:rFonts w:hint="eastAsia"/>
          <w:lang w:val="en-US" w:eastAsia="zh-CN"/>
        </w:rPr>
      </w:pPr>
      <w:r>
        <w:rPr>
          <w:rFonts w:hint="eastAsia"/>
          <w:lang w:val="en-US" w:eastAsia="zh-CN"/>
        </w:rPr>
        <w:t>6.6.1.2 连续起降循环试验</w:t>
      </w:r>
    </w:p>
    <w:p w14:paraId="57575CCA">
      <w:pPr>
        <w:keepNext w:val="0"/>
        <w:keepLines w:val="0"/>
        <w:pageBreakBefore w:val="0"/>
        <w:widowControl/>
        <w:kinsoku/>
        <w:wordWrap/>
        <w:overflowPunct/>
        <w:topLinePunct w:val="0"/>
        <w:autoSpaceDE w:val="0"/>
        <w:autoSpaceDN w:val="0"/>
        <w:bidi w:val="0"/>
        <w:adjustRightInd/>
        <w:snapToGrid/>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应按照以下步骤进行：</w:t>
      </w:r>
    </w:p>
    <w:p w14:paraId="6C13EBF9">
      <w:pPr>
        <w:keepNext w:val="0"/>
        <w:keepLines w:val="0"/>
        <w:pageBreakBefore w:val="0"/>
        <w:widowControl/>
        <w:kinsoku/>
        <w:wordWrap/>
        <w:overflowPunct/>
        <w:topLinePunct w:val="0"/>
        <w:autoSpaceDE w:val="0"/>
        <w:autoSpaceDN w:val="0"/>
        <w:bidi w:val="0"/>
        <w:adjustRightInd/>
        <w:snapToGrid/>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a）进行无人机起飞—悬停—降落完整循环操作；</w:t>
      </w:r>
    </w:p>
    <w:p w14:paraId="02B84AB8">
      <w:pPr>
        <w:keepNext w:val="0"/>
        <w:keepLines w:val="0"/>
        <w:pageBreakBefore w:val="0"/>
        <w:widowControl/>
        <w:kinsoku/>
        <w:wordWrap/>
        <w:overflowPunct/>
        <w:topLinePunct w:val="0"/>
        <w:autoSpaceDE w:val="0"/>
        <w:autoSpaceDN w:val="0"/>
        <w:bidi w:val="0"/>
        <w:adjustRightInd/>
        <w:snapToGrid/>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b）每次起降循环间隔不大于5min；</w:t>
      </w:r>
    </w:p>
    <w:p w14:paraId="406B9B41">
      <w:pPr>
        <w:keepNext w:val="0"/>
        <w:keepLines w:val="0"/>
        <w:pageBreakBefore w:val="0"/>
        <w:widowControl/>
        <w:kinsoku/>
        <w:wordWrap/>
        <w:overflowPunct/>
        <w:topLinePunct w:val="0"/>
        <w:autoSpaceDE w:val="0"/>
        <w:autoSpaceDN w:val="0"/>
        <w:bidi w:val="0"/>
        <w:adjustRightInd/>
        <w:snapToGrid/>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c）连续完成不少于200次起降循环；</w:t>
      </w:r>
    </w:p>
    <w:p w14:paraId="5BF8A9DB">
      <w:pPr>
        <w:keepNext w:val="0"/>
        <w:keepLines w:val="0"/>
        <w:pageBreakBefore w:val="0"/>
        <w:widowControl/>
        <w:kinsoku/>
        <w:wordWrap/>
        <w:overflowPunct/>
        <w:topLinePunct w:val="0"/>
        <w:autoSpaceDE w:val="0"/>
        <w:autoSpaceDN w:val="0"/>
        <w:bidi w:val="0"/>
        <w:adjustRightInd/>
        <w:snapToGrid/>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d）试验过程中检查系统结构连接、接口状态及功能运行情况。</w:t>
      </w:r>
    </w:p>
    <w:p w14:paraId="78E2B96A">
      <w:pPr>
        <w:pStyle w:val="61"/>
        <w:ind w:left="0" w:leftChars="0" w:firstLine="0" w:firstLineChars="0"/>
        <w:rPr>
          <w:rFonts w:hint="eastAsia"/>
          <w:lang w:val="en-US" w:eastAsia="zh-CN"/>
        </w:rPr>
      </w:pPr>
      <w:r>
        <w:rPr>
          <w:rFonts w:hint="eastAsia"/>
          <w:lang w:val="en-US" w:eastAsia="zh-CN"/>
        </w:rPr>
        <w:t>6.6.1.3 数据存储可靠性试验</w:t>
      </w:r>
    </w:p>
    <w:p w14:paraId="6E5FCD49">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应按照以下步骤进行：</w:t>
      </w:r>
    </w:p>
    <w:p w14:paraId="6AC5740B">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a）连续采集高光谱数据不少于1h；</w:t>
      </w:r>
    </w:p>
    <w:p w14:paraId="0A7D6C32">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b）记录数据写入速率、文件完整性及存储介质工作状态；</w:t>
      </w:r>
    </w:p>
    <w:p w14:paraId="3BF21C8B">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c）采集结束后对数据文件进行完整性校验和可读性检查。</w:t>
      </w:r>
    </w:p>
    <w:p w14:paraId="0C390106">
      <w:pPr>
        <w:pStyle w:val="61"/>
        <w:ind w:left="0" w:leftChars="0" w:firstLine="0" w:firstLineChars="0"/>
        <w:rPr>
          <w:rFonts w:hint="eastAsia"/>
          <w:lang w:val="en-US" w:eastAsia="zh-CN"/>
        </w:rPr>
      </w:pPr>
      <w:r>
        <w:rPr>
          <w:rFonts w:hint="eastAsia"/>
          <w:lang w:val="en-US" w:eastAsia="zh-CN"/>
        </w:rPr>
        <w:t>6.6.2 安全性试验</w:t>
      </w:r>
    </w:p>
    <w:p w14:paraId="3DDEB0E2">
      <w:pPr>
        <w:pStyle w:val="61"/>
        <w:ind w:left="0" w:leftChars="0" w:firstLine="0" w:firstLineChars="0"/>
        <w:rPr>
          <w:rFonts w:hint="eastAsia"/>
          <w:lang w:val="en-US" w:eastAsia="zh-CN"/>
        </w:rPr>
      </w:pPr>
      <w:r>
        <w:rPr>
          <w:rFonts w:hint="eastAsia"/>
          <w:lang w:val="en-US" w:eastAsia="zh-CN"/>
        </w:rPr>
        <w:t>6.6.2.1 供电安全试验</w:t>
      </w:r>
    </w:p>
    <w:p w14:paraId="290AE3F6">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应按照以下步骤进行：</w:t>
      </w:r>
    </w:p>
    <w:p w14:paraId="72758989">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a）在正常供电条件下运行系统，检查电池温升和工作状态；</w:t>
      </w:r>
    </w:p>
    <w:p w14:paraId="5864311A">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b）模拟短路工况，监测保护电路动作时间；</w:t>
      </w:r>
    </w:p>
    <w:p w14:paraId="29BFDFC5">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lang w:val="en-US" w:eastAsia="zh-CN"/>
        </w:rPr>
      </w:pPr>
      <w:r>
        <w:rPr>
          <w:rFonts w:hint="eastAsia" w:ascii="宋体" w:hAnsi="Times New Roman" w:eastAsia="宋体" w:cs="Times New Roman"/>
          <w:sz w:val="21"/>
          <w:lang w:val="en-US" w:eastAsia="zh-CN" w:bidi="ar-SA"/>
        </w:rPr>
        <w:t>c）观察电池是否出现起火、冒烟、漏液等异常现象。</w:t>
      </w:r>
    </w:p>
    <w:p w14:paraId="008C3414">
      <w:pPr>
        <w:pStyle w:val="61"/>
        <w:ind w:left="0" w:leftChars="0" w:firstLine="0" w:firstLineChars="0"/>
        <w:rPr>
          <w:rFonts w:hint="default"/>
          <w:lang w:val="en-US" w:eastAsia="zh-CN"/>
        </w:rPr>
      </w:pPr>
      <w:r>
        <w:rPr>
          <w:rFonts w:hint="default"/>
          <w:lang w:val="en-US" w:eastAsia="zh-CN"/>
        </w:rPr>
        <w:t>6.</w:t>
      </w:r>
      <w:r>
        <w:rPr>
          <w:rFonts w:hint="eastAsia"/>
          <w:lang w:val="en-US" w:eastAsia="zh-CN"/>
        </w:rPr>
        <w:t>6</w:t>
      </w:r>
      <w:r>
        <w:rPr>
          <w:rFonts w:hint="default"/>
          <w:lang w:val="en-US" w:eastAsia="zh-CN"/>
        </w:rPr>
        <w:t>.2.2 结构安全试验</w:t>
      </w:r>
    </w:p>
    <w:p w14:paraId="0D1ABF51">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应按照以下步骤进行：</w:t>
      </w:r>
    </w:p>
    <w:p w14:paraId="43F9155D">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a）对安装支架施加不小于系统自重3倍的静载荷；</w:t>
      </w:r>
    </w:p>
    <w:p w14:paraId="2697F349">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b）保持载荷时间不少于10min；</w:t>
      </w:r>
    </w:p>
    <w:p w14:paraId="2DC16C1D">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c）卸载后检查结构状态。</w:t>
      </w:r>
    </w:p>
    <w:p w14:paraId="7418B745">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6.6.2.3 应急安全试验</w:t>
      </w:r>
    </w:p>
    <w:p w14:paraId="53217C43">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应按照以下步骤进行：</w:t>
      </w:r>
    </w:p>
    <w:p w14:paraId="08252A04">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default" w:ascii="宋体" w:hAnsi="Times New Roman" w:eastAsia="宋体" w:cs="Times New Roman"/>
          <w:sz w:val="21"/>
          <w:lang w:val="en-US" w:eastAsia="zh-CN" w:bidi="ar-SA"/>
        </w:rPr>
      </w:pPr>
      <w:r>
        <w:rPr>
          <w:rFonts w:hint="default" w:ascii="宋体" w:hAnsi="Times New Roman" w:eastAsia="宋体" w:cs="Times New Roman"/>
          <w:sz w:val="21"/>
          <w:lang w:val="en-US" w:eastAsia="zh-CN" w:bidi="ar-SA"/>
        </w:rPr>
        <w:t>a）人为中断系统与无人机之间的通信链路；</w:t>
      </w:r>
    </w:p>
    <w:p w14:paraId="4010C50E">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default" w:ascii="宋体" w:hAnsi="Times New Roman" w:eastAsia="宋体" w:cs="Times New Roman"/>
          <w:sz w:val="21"/>
          <w:lang w:val="en-US" w:eastAsia="zh-CN" w:bidi="ar-SA"/>
        </w:rPr>
      </w:pPr>
      <w:r>
        <w:rPr>
          <w:rFonts w:hint="default" w:ascii="宋体" w:hAnsi="Times New Roman" w:eastAsia="宋体" w:cs="Times New Roman"/>
          <w:sz w:val="21"/>
          <w:lang w:val="en-US" w:eastAsia="zh-CN" w:bidi="ar-SA"/>
        </w:rPr>
        <w:t>b）保持通信中断状态不少于30s；</w:t>
      </w:r>
    </w:p>
    <w:p w14:paraId="15E034EA">
      <w:pPr>
        <w:keepNext w:val="0"/>
        <w:keepLines w:val="0"/>
        <w:pageBreakBefore w:val="0"/>
        <w:widowControl/>
        <w:kinsoku/>
        <w:wordWrap/>
        <w:overflowPunct/>
        <w:topLinePunct w:val="0"/>
        <w:autoSpaceDE w:val="0"/>
        <w:autoSpaceDN w:val="0"/>
        <w:bidi w:val="0"/>
        <w:adjustRightInd/>
        <w:snapToGrid/>
        <w:spacing w:line="240" w:lineRule="auto"/>
        <w:ind w:left="0" w:leftChars="0" w:firstLine="420" w:firstLineChars="200"/>
        <w:jc w:val="both"/>
        <w:textAlignment w:val="auto"/>
        <w:rPr>
          <w:rFonts w:hint="default" w:ascii="宋体" w:hAnsi="Times New Roman" w:eastAsia="宋体" w:cs="Times New Roman"/>
          <w:sz w:val="21"/>
          <w:lang w:val="en-US" w:eastAsia="zh-CN" w:bidi="ar-SA"/>
        </w:rPr>
      </w:pPr>
      <w:r>
        <w:rPr>
          <w:rFonts w:hint="default" w:ascii="宋体" w:hAnsi="Times New Roman" w:eastAsia="宋体" w:cs="Times New Roman"/>
          <w:sz w:val="21"/>
          <w:lang w:val="en-US" w:eastAsia="zh-CN" w:bidi="ar-SA"/>
        </w:rPr>
        <w:t>c）观察系统应急响应行为。</w:t>
      </w:r>
    </w:p>
    <w:p w14:paraId="060C9B79">
      <w:pPr>
        <w:pStyle w:val="61"/>
        <w:ind w:left="0" w:leftChars="0" w:firstLine="0" w:firstLineChars="0"/>
        <w:rPr>
          <w:rFonts w:hint="default"/>
          <w:lang w:val="en-US" w:eastAsia="zh-CN"/>
        </w:rPr>
      </w:pPr>
    </w:p>
    <w:p w14:paraId="52218A31">
      <w:pPr>
        <w:pStyle w:val="61"/>
        <w:ind w:left="0" w:leftChars="0" w:firstLine="0" w:firstLineChars="0"/>
        <w:rPr>
          <w:rFonts w:hint="default"/>
          <w:lang w:val="en-US" w:eastAsia="zh-CN"/>
        </w:rPr>
      </w:pPr>
    </w:p>
    <w:p w14:paraId="3F254670">
      <w:pPr>
        <w:pStyle w:val="61"/>
        <w:ind w:left="0" w:leftChars="0" w:firstLine="0" w:firstLineChars="0"/>
        <w:rPr>
          <w:rFonts w:hint="eastAsia"/>
          <w:lang w:val="en-US" w:eastAsia="zh-CN"/>
        </w:rPr>
      </w:pPr>
    </w:p>
    <w:p w14:paraId="54A9A773">
      <w:pPr>
        <w:pStyle w:val="61"/>
        <w:ind w:left="0" w:leftChars="0" w:firstLine="0" w:firstLineChars="0"/>
        <w:rPr>
          <w:rFonts w:hint="eastAsia"/>
          <w:lang w:val="en-US" w:eastAsia="zh-CN"/>
        </w:rPr>
      </w:pPr>
    </w:p>
    <w:p w14:paraId="50FBBCE5">
      <w:pPr>
        <w:pStyle w:val="61"/>
        <w:ind w:left="0" w:leftChars="0" w:firstLine="0" w:firstLineChars="0"/>
        <w:rPr>
          <w:rFonts w:hint="eastAsia"/>
          <w:lang w:val="en-US" w:eastAsia="zh-CN"/>
        </w:rPr>
      </w:pPr>
    </w:p>
    <w:p w14:paraId="5EFE3FE7">
      <w:pPr>
        <w:keepNext w:val="0"/>
        <w:keepLines w:val="0"/>
        <w:pageBreakBefore w:val="0"/>
        <w:kinsoku/>
        <w:wordWrap/>
        <w:overflowPunct/>
        <w:topLinePunct w:val="0"/>
        <w:bidi w:val="0"/>
        <w:snapToGrid/>
        <w:spacing w:before="58" w:line="45" w:lineRule="exact"/>
        <w:ind w:left="3165"/>
        <w:textAlignment w:val="auto"/>
        <w:outlineLvl w:val="9"/>
        <w:rPr>
          <w:rFonts w:ascii="Times New Roman" w:hAnsi="Times New Roman" w:eastAsia="Times New Roman"/>
          <w:sz w:val="20"/>
          <w:szCs w:val="20"/>
        </w:rPr>
      </w:pPr>
      <w:bookmarkStart w:id="82" w:name="_Toc10181"/>
      <w:bookmarkStart w:id="83" w:name="_Toc16819"/>
      <w:bookmarkStart w:id="84" w:name="_Toc25614"/>
      <w:bookmarkStart w:id="85" w:name="_Toc215"/>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82"/>
      <w:bookmarkEnd w:id="83"/>
      <w:bookmarkEnd w:id="84"/>
      <w:bookmarkEnd w:id="85"/>
    </w:p>
    <w:sectPr>
      <w:footerReference r:id="rId12"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06AFA1-5E2C-4B5D-9112-879DABB84126}"/>
  </w:font>
  <w:font w:name="Arial">
    <w:panose1 w:val="020B0604020202020204"/>
    <w:charset w:val="01"/>
    <w:family w:val="swiss"/>
    <w:pitch w:val="default"/>
    <w:sig w:usb0="E0002EFF" w:usb1="C000785B" w:usb2="00000009" w:usb3="00000000" w:csb0="400001FF" w:csb1="FFFF0000"/>
    <w:embedRegular r:id="rId2" w:fontKey="{E283F6CC-8D66-42AC-8208-48AFB47DFE59}"/>
  </w:font>
  <w:font w:name="黑体">
    <w:panose1 w:val="02010609060101010101"/>
    <w:charset w:val="86"/>
    <w:family w:val="auto"/>
    <w:pitch w:val="default"/>
    <w:sig w:usb0="800002BF" w:usb1="38CF7CFA" w:usb2="00000016" w:usb3="00000000" w:csb0="00040001" w:csb1="00000000"/>
    <w:embedRegular r:id="rId3" w:fontKey="{F4FA67B2-6226-4A04-BF7C-1D1A732AFDED}"/>
  </w:font>
  <w:font w:name="Courier New">
    <w:panose1 w:val="02070309020205020404"/>
    <w:charset w:val="01"/>
    <w:family w:val="modern"/>
    <w:pitch w:val="default"/>
    <w:sig w:usb0="E0002EFF" w:usb1="C0007843" w:usb2="00000009" w:usb3="00000000" w:csb0="400001FF" w:csb1="FFFF0000"/>
    <w:embedRegular r:id="rId4" w:fontKey="{0EDAF1AD-2E53-440A-ADE1-EF98DBBD419A}"/>
  </w:font>
  <w:font w:name="Symbol">
    <w:panose1 w:val="05050102010706020507"/>
    <w:charset w:val="02"/>
    <w:family w:val="roman"/>
    <w:pitch w:val="default"/>
    <w:sig w:usb0="00000000" w:usb1="00000000" w:usb2="00000000" w:usb3="00000000" w:csb0="80000000" w:csb1="00000000"/>
    <w:embedRegular r:id="rId5" w:fontKey="{F9EC2A5D-BF36-424A-BE6C-A30382511EC9}"/>
  </w:font>
  <w:font w:name="Calibri">
    <w:panose1 w:val="020F0502020204030204"/>
    <w:charset w:val="00"/>
    <w:family w:val="swiss"/>
    <w:pitch w:val="default"/>
    <w:sig w:usb0="E4002EFF" w:usb1="C000247B" w:usb2="00000009" w:usb3="00000000" w:csb0="200001FF" w:csb1="00000000"/>
    <w:embedRegular r:id="rId6" w:fontKey="{620257B2-268E-483E-B987-A7A0F7DE8639}"/>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embedRegular r:id="rId7" w:fontKey="{5678BAA5-1E84-418D-8306-239CDF0E6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4B0A">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413F">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9A7B">
    <w:pPr>
      <w:pStyle w:val="5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4030C">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64030C">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7"/>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66CE">
    <w:pPr>
      <w:pStyle w:val="19"/>
      <w:wordWrap w:val="0"/>
      <w:jc w:val="right"/>
      <w:rPr>
        <w:rFonts w:ascii="黑体" w:hAnsi="黑体" w:eastAsia="黑体"/>
      </w:rPr>
    </w:pPr>
    <w:r>
      <w:rPr>
        <w:rFonts w:hint="eastAsia" w:ascii="黑体" w:hAnsi="黑体" w:eastAsia="黑体"/>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0A71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45520">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66"/>
    </w:pPr>
    <w:r>
      <w:rPr>
        <w:rFonts w:hint="eastAsia"/>
      </w:rPr>
      <w:t>T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3FBA"/>
    <w:multiLevelType w:val="multilevel"/>
    <w:tmpl w:val="AE653FBA"/>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CCF408A"/>
    <w:multiLevelType w:val="multilevel"/>
    <w:tmpl w:val="5CCF408A"/>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7"/>
  </w:num>
  <w:num w:numId="3">
    <w:abstractNumId w:val="6"/>
  </w:num>
  <w:num w:numId="4">
    <w:abstractNumId w:val="23"/>
  </w:num>
  <w:num w:numId="5">
    <w:abstractNumId w:val="19"/>
  </w:num>
  <w:num w:numId="6">
    <w:abstractNumId w:val="0"/>
  </w:num>
  <w:num w:numId="7">
    <w:abstractNumId w:val="9"/>
  </w:num>
  <w:num w:numId="8">
    <w:abstractNumId w:val="4"/>
  </w:num>
  <w:num w:numId="9">
    <w:abstractNumId w:val="10"/>
  </w:num>
  <w:num w:numId="10">
    <w:abstractNumId w:val="16"/>
  </w:num>
  <w:num w:numId="11">
    <w:abstractNumId w:val="25"/>
  </w:num>
  <w:num w:numId="12">
    <w:abstractNumId w:val="12"/>
  </w:num>
  <w:num w:numId="13">
    <w:abstractNumId w:val="13"/>
  </w:num>
  <w:num w:numId="14">
    <w:abstractNumId w:val="8"/>
  </w:num>
  <w:num w:numId="15">
    <w:abstractNumId w:val="18"/>
  </w:num>
  <w:num w:numId="16">
    <w:abstractNumId w:val="21"/>
  </w:num>
  <w:num w:numId="17">
    <w:abstractNumId w:val="17"/>
  </w:num>
  <w:num w:numId="18">
    <w:abstractNumId w:val="29"/>
  </w:num>
  <w:num w:numId="19">
    <w:abstractNumId w:val="15"/>
  </w:num>
  <w:num w:numId="20">
    <w:abstractNumId w:val="2"/>
  </w:num>
  <w:num w:numId="21">
    <w:abstractNumId w:val="11"/>
  </w:num>
  <w:num w:numId="22">
    <w:abstractNumId w:val="30"/>
  </w:num>
  <w:num w:numId="23">
    <w:abstractNumId w:val="20"/>
  </w:num>
  <w:num w:numId="24">
    <w:abstractNumId w:val="7"/>
  </w:num>
  <w:num w:numId="25">
    <w:abstractNumId w:val="26"/>
  </w:num>
  <w:num w:numId="26">
    <w:abstractNumId w:val="28"/>
  </w:num>
  <w:num w:numId="27">
    <w:abstractNumId w:val="3"/>
  </w:num>
  <w:num w:numId="28">
    <w:abstractNumId w:val="5"/>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E61E2"/>
    <w:rsid w:val="024B6E08"/>
    <w:rsid w:val="02EB239A"/>
    <w:rsid w:val="03802AE2"/>
    <w:rsid w:val="038F0F77"/>
    <w:rsid w:val="03936A9A"/>
    <w:rsid w:val="039E11BA"/>
    <w:rsid w:val="041A1DAA"/>
    <w:rsid w:val="056D7D96"/>
    <w:rsid w:val="05D13AC9"/>
    <w:rsid w:val="06370BD1"/>
    <w:rsid w:val="071740BE"/>
    <w:rsid w:val="072126BE"/>
    <w:rsid w:val="0741664E"/>
    <w:rsid w:val="074402CA"/>
    <w:rsid w:val="076C2B3D"/>
    <w:rsid w:val="07F22FA2"/>
    <w:rsid w:val="08052C30"/>
    <w:rsid w:val="08267E19"/>
    <w:rsid w:val="082A74C0"/>
    <w:rsid w:val="089112ED"/>
    <w:rsid w:val="08C94F2B"/>
    <w:rsid w:val="08D631A4"/>
    <w:rsid w:val="08FB2C0B"/>
    <w:rsid w:val="09075A53"/>
    <w:rsid w:val="096133B5"/>
    <w:rsid w:val="098B21E0"/>
    <w:rsid w:val="09DC47EA"/>
    <w:rsid w:val="0A0C1F62"/>
    <w:rsid w:val="0A49096C"/>
    <w:rsid w:val="0AAE6112"/>
    <w:rsid w:val="0B510CC2"/>
    <w:rsid w:val="0B61144B"/>
    <w:rsid w:val="0BA37CB5"/>
    <w:rsid w:val="0C7015F6"/>
    <w:rsid w:val="0C8F023A"/>
    <w:rsid w:val="0C96783C"/>
    <w:rsid w:val="0C9B6BDE"/>
    <w:rsid w:val="0CA666F2"/>
    <w:rsid w:val="0CAC0DEC"/>
    <w:rsid w:val="0CB24D02"/>
    <w:rsid w:val="0CBD4DA7"/>
    <w:rsid w:val="0CF06F2A"/>
    <w:rsid w:val="0CF7697F"/>
    <w:rsid w:val="0CF9720F"/>
    <w:rsid w:val="0D205F98"/>
    <w:rsid w:val="0D397A5A"/>
    <w:rsid w:val="0D985311"/>
    <w:rsid w:val="0DA21B9C"/>
    <w:rsid w:val="0E323572"/>
    <w:rsid w:val="0E5E4367"/>
    <w:rsid w:val="0E6D5BB9"/>
    <w:rsid w:val="0EAE0E4B"/>
    <w:rsid w:val="0ED9579C"/>
    <w:rsid w:val="0F1C5EFC"/>
    <w:rsid w:val="0F576C9E"/>
    <w:rsid w:val="0FF860F6"/>
    <w:rsid w:val="1024598E"/>
    <w:rsid w:val="107C0AD5"/>
    <w:rsid w:val="108C091C"/>
    <w:rsid w:val="10971222"/>
    <w:rsid w:val="11346DAD"/>
    <w:rsid w:val="11364E51"/>
    <w:rsid w:val="115C628C"/>
    <w:rsid w:val="117479FE"/>
    <w:rsid w:val="118045F5"/>
    <w:rsid w:val="11B61661"/>
    <w:rsid w:val="11E82659"/>
    <w:rsid w:val="12311DC5"/>
    <w:rsid w:val="124A214D"/>
    <w:rsid w:val="1279042F"/>
    <w:rsid w:val="1289734F"/>
    <w:rsid w:val="12E71E34"/>
    <w:rsid w:val="12FE379E"/>
    <w:rsid w:val="13693232"/>
    <w:rsid w:val="13DA623E"/>
    <w:rsid w:val="14047949"/>
    <w:rsid w:val="14C95AF3"/>
    <w:rsid w:val="15003A82"/>
    <w:rsid w:val="15107A3E"/>
    <w:rsid w:val="15164B54"/>
    <w:rsid w:val="153A3B48"/>
    <w:rsid w:val="1579275D"/>
    <w:rsid w:val="15854FAB"/>
    <w:rsid w:val="15E931DA"/>
    <w:rsid w:val="1662251B"/>
    <w:rsid w:val="16946B78"/>
    <w:rsid w:val="16BD34A4"/>
    <w:rsid w:val="16CC14D0"/>
    <w:rsid w:val="16FA58EE"/>
    <w:rsid w:val="177047B1"/>
    <w:rsid w:val="1798559B"/>
    <w:rsid w:val="182932F0"/>
    <w:rsid w:val="185C5798"/>
    <w:rsid w:val="19020F76"/>
    <w:rsid w:val="195218C7"/>
    <w:rsid w:val="19AD1853"/>
    <w:rsid w:val="19E80F89"/>
    <w:rsid w:val="1A2E2E40"/>
    <w:rsid w:val="1A5B14D5"/>
    <w:rsid w:val="1A6C3968"/>
    <w:rsid w:val="1AF851FC"/>
    <w:rsid w:val="1C2019B2"/>
    <w:rsid w:val="1C232937"/>
    <w:rsid w:val="1C84035C"/>
    <w:rsid w:val="1C90180A"/>
    <w:rsid w:val="1CB44504"/>
    <w:rsid w:val="1CBF06C7"/>
    <w:rsid w:val="1CD11779"/>
    <w:rsid w:val="1CD557F5"/>
    <w:rsid w:val="1D3E1AE8"/>
    <w:rsid w:val="1D6152DA"/>
    <w:rsid w:val="1DE37048"/>
    <w:rsid w:val="1E293DC9"/>
    <w:rsid w:val="1E592455"/>
    <w:rsid w:val="1F4629DA"/>
    <w:rsid w:val="1F7D0E8D"/>
    <w:rsid w:val="1F7E2174"/>
    <w:rsid w:val="1FFB71EF"/>
    <w:rsid w:val="2011123A"/>
    <w:rsid w:val="202F6FF1"/>
    <w:rsid w:val="20586BFF"/>
    <w:rsid w:val="20A206AE"/>
    <w:rsid w:val="21167384"/>
    <w:rsid w:val="2136082C"/>
    <w:rsid w:val="221446F8"/>
    <w:rsid w:val="22A21F61"/>
    <w:rsid w:val="23135F56"/>
    <w:rsid w:val="23720E5B"/>
    <w:rsid w:val="23B2431C"/>
    <w:rsid w:val="24101808"/>
    <w:rsid w:val="255A0F8D"/>
    <w:rsid w:val="2560231B"/>
    <w:rsid w:val="257152D6"/>
    <w:rsid w:val="25D80104"/>
    <w:rsid w:val="26013711"/>
    <w:rsid w:val="2604378E"/>
    <w:rsid w:val="2641214D"/>
    <w:rsid w:val="26435EC5"/>
    <w:rsid w:val="26597496"/>
    <w:rsid w:val="268D6C84"/>
    <w:rsid w:val="26AC40FD"/>
    <w:rsid w:val="26D22DA5"/>
    <w:rsid w:val="26F251F5"/>
    <w:rsid w:val="2706199F"/>
    <w:rsid w:val="27191146"/>
    <w:rsid w:val="272555CB"/>
    <w:rsid w:val="272705E4"/>
    <w:rsid w:val="278B636C"/>
    <w:rsid w:val="27A74232"/>
    <w:rsid w:val="28526934"/>
    <w:rsid w:val="28AA3FD9"/>
    <w:rsid w:val="28CE6F9F"/>
    <w:rsid w:val="28D46B7D"/>
    <w:rsid w:val="298F4F7D"/>
    <w:rsid w:val="29D55086"/>
    <w:rsid w:val="2A1A5F20"/>
    <w:rsid w:val="2A222295"/>
    <w:rsid w:val="2A7B0D43"/>
    <w:rsid w:val="2A933E15"/>
    <w:rsid w:val="2A984505"/>
    <w:rsid w:val="2AD832CD"/>
    <w:rsid w:val="2AE76B06"/>
    <w:rsid w:val="2B0025D7"/>
    <w:rsid w:val="2B7408CF"/>
    <w:rsid w:val="2B941177"/>
    <w:rsid w:val="2BB331A5"/>
    <w:rsid w:val="2BCC070B"/>
    <w:rsid w:val="2BF727FE"/>
    <w:rsid w:val="2C405C02"/>
    <w:rsid w:val="2CC71744"/>
    <w:rsid w:val="2D142369"/>
    <w:rsid w:val="2D864A37"/>
    <w:rsid w:val="2DC85380"/>
    <w:rsid w:val="2DD072B5"/>
    <w:rsid w:val="2E067F10"/>
    <w:rsid w:val="2E2E745B"/>
    <w:rsid w:val="2E312AA7"/>
    <w:rsid w:val="2E7A774E"/>
    <w:rsid w:val="2EEF5C10"/>
    <w:rsid w:val="2FA5374C"/>
    <w:rsid w:val="2FAF42C8"/>
    <w:rsid w:val="2FEF6776"/>
    <w:rsid w:val="303B5E5F"/>
    <w:rsid w:val="304E7940"/>
    <w:rsid w:val="3069477A"/>
    <w:rsid w:val="309D614E"/>
    <w:rsid w:val="30F0112E"/>
    <w:rsid w:val="313528AE"/>
    <w:rsid w:val="318D4498"/>
    <w:rsid w:val="31A11CF2"/>
    <w:rsid w:val="31E3055C"/>
    <w:rsid w:val="32D3237F"/>
    <w:rsid w:val="332A7819"/>
    <w:rsid w:val="334376A7"/>
    <w:rsid w:val="33686F6B"/>
    <w:rsid w:val="33A900F6"/>
    <w:rsid w:val="33D31231"/>
    <w:rsid w:val="33D60378"/>
    <w:rsid w:val="34120C85"/>
    <w:rsid w:val="349873DC"/>
    <w:rsid w:val="34A77AD0"/>
    <w:rsid w:val="34BF4CAA"/>
    <w:rsid w:val="352D62CE"/>
    <w:rsid w:val="35986C99"/>
    <w:rsid w:val="35E11274"/>
    <w:rsid w:val="35EF42A0"/>
    <w:rsid w:val="360E3B2F"/>
    <w:rsid w:val="36723C5D"/>
    <w:rsid w:val="367501B8"/>
    <w:rsid w:val="376143FD"/>
    <w:rsid w:val="38042FDA"/>
    <w:rsid w:val="38510A7B"/>
    <w:rsid w:val="38811B6E"/>
    <w:rsid w:val="389B28F8"/>
    <w:rsid w:val="39447FDB"/>
    <w:rsid w:val="39CD5D7A"/>
    <w:rsid w:val="39FE35D6"/>
    <w:rsid w:val="3A240899"/>
    <w:rsid w:val="3AAB598F"/>
    <w:rsid w:val="3B3720B6"/>
    <w:rsid w:val="3B434C68"/>
    <w:rsid w:val="3B4756B8"/>
    <w:rsid w:val="3B4B21D2"/>
    <w:rsid w:val="3B5B1163"/>
    <w:rsid w:val="3B660234"/>
    <w:rsid w:val="3B7A10AA"/>
    <w:rsid w:val="3B8F2C3B"/>
    <w:rsid w:val="3BE23632"/>
    <w:rsid w:val="3C137C90"/>
    <w:rsid w:val="3C670048"/>
    <w:rsid w:val="3CDC1D33"/>
    <w:rsid w:val="3D0F0457"/>
    <w:rsid w:val="3D566C49"/>
    <w:rsid w:val="3E0C4997"/>
    <w:rsid w:val="3E204318"/>
    <w:rsid w:val="3E2E7003"/>
    <w:rsid w:val="3E4F1453"/>
    <w:rsid w:val="3E676FE7"/>
    <w:rsid w:val="3E6A003B"/>
    <w:rsid w:val="3E907376"/>
    <w:rsid w:val="3F0B3AFE"/>
    <w:rsid w:val="404D5D77"/>
    <w:rsid w:val="405C7E57"/>
    <w:rsid w:val="40E65973"/>
    <w:rsid w:val="40EC0DD9"/>
    <w:rsid w:val="40FB4353"/>
    <w:rsid w:val="41263FC1"/>
    <w:rsid w:val="41D35EF7"/>
    <w:rsid w:val="41D97316"/>
    <w:rsid w:val="41EA1493"/>
    <w:rsid w:val="42BC6C22"/>
    <w:rsid w:val="42EB7271"/>
    <w:rsid w:val="430B346F"/>
    <w:rsid w:val="430C3285"/>
    <w:rsid w:val="43525542"/>
    <w:rsid w:val="437454B8"/>
    <w:rsid w:val="43876DC7"/>
    <w:rsid w:val="439B2A45"/>
    <w:rsid w:val="439F6551"/>
    <w:rsid w:val="44006D4C"/>
    <w:rsid w:val="44636591"/>
    <w:rsid w:val="44C304A5"/>
    <w:rsid w:val="45486BFC"/>
    <w:rsid w:val="45E83F3B"/>
    <w:rsid w:val="45FA7D5B"/>
    <w:rsid w:val="460F69AD"/>
    <w:rsid w:val="464229AA"/>
    <w:rsid w:val="46696CCB"/>
    <w:rsid w:val="46794B93"/>
    <w:rsid w:val="46895648"/>
    <w:rsid w:val="46D70238"/>
    <w:rsid w:val="473C009B"/>
    <w:rsid w:val="473F1EFF"/>
    <w:rsid w:val="47526C95"/>
    <w:rsid w:val="47BC2352"/>
    <w:rsid w:val="47C22C96"/>
    <w:rsid w:val="488B752C"/>
    <w:rsid w:val="48B06F92"/>
    <w:rsid w:val="48BC61D0"/>
    <w:rsid w:val="48F76E74"/>
    <w:rsid w:val="490E0B33"/>
    <w:rsid w:val="49AF724A"/>
    <w:rsid w:val="49D1656A"/>
    <w:rsid w:val="49F64E79"/>
    <w:rsid w:val="4A037596"/>
    <w:rsid w:val="4A325785"/>
    <w:rsid w:val="4A800BE6"/>
    <w:rsid w:val="4ADB5E1D"/>
    <w:rsid w:val="4AE22767"/>
    <w:rsid w:val="4BD74836"/>
    <w:rsid w:val="4C7C718B"/>
    <w:rsid w:val="4C8F6EBF"/>
    <w:rsid w:val="4D5E3565"/>
    <w:rsid w:val="4E232905"/>
    <w:rsid w:val="4E5C1022"/>
    <w:rsid w:val="4EB01641"/>
    <w:rsid w:val="4EF37BD9"/>
    <w:rsid w:val="4F0A6CD0"/>
    <w:rsid w:val="4F587A3C"/>
    <w:rsid w:val="4FBF2D98"/>
    <w:rsid w:val="4FCA62BD"/>
    <w:rsid w:val="4FCC3F86"/>
    <w:rsid w:val="4FD33566"/>
    <w:rsid w:val="50504BB7"/>
    <w:rsid w:val="507C3BFE"/>
    <w:rsid w:val="507E34D2"/>
    <w:rsid w:val="50966C31"/>
    <w:rsid w:val="50ED2406"/>
    <w:rsid w:val="50F419E6"/>
    <w:rsid w:val="51431169"/>
    <w:rsid w:val="514E65F3"/>
    <w:rsid w:val="5193599C"/>
    <w:rsid w:val="519A0805"/>
    <w:rsid w:val="52102850"/>
    <w:rsid w:val="525D0267"/>
    <w:rsid w:val="52B23907"/>
    <w:rsid w:val="52C11D9C"/>
    <w:rsid w:val="53234C57"/>
    <w:rsid w:val="53343453"/>
    <w:rsid w:val="53360094"/>
    <w:rsid w:val="537D2167"/>
    <w:rsid w:val="53A94D22"/>
    <w:rsid w:val="544B5514"/>
    <w:rsid w:val="54560E40"/>
    <w:rsid w:val="546B0211"/>
    <w:rsid w:val="54C71C79"/>
    <w:rsid w:val="54DA7145"/>
    <w:rsid w:val="54F413E0"/>
    <w:rsid w:val="54FA3343"/>
    <w:rsid w:val="556829A3"/>
    <w:rsid w:val="56653928"/>
    <w:rsid w:val="569F2107"/>
    <w:rsid w:val="56BC7955"/>
    <w:rsid w:val="56F269C8"/>
    <w:rsid w:val="572D7A00"/>
    <w:rsid w:val="575A1E69"/>
    <w:rsid w:val="57BD5228"/>
    <w:rsid w:val="57E22340"/>
    <w:rsid w:val="57E75E01"/>
    <w:rsid w:val="58690F0C"/>
    <w:rsid w:val="59326E77"/>
    <w:rsid w:val="59A0270B"/>
    <w:rsid w:val="59C759D8"/>
    <w:rsid w:val="5A3B2BD8"/>
    <w:rsid w:val="5A4B6B1B"/>
    <w:rsid w:val="5A5233BE"/>
    <w:rsid w:val="5A83669F"/>
    <w:rsid w:val="5AA708CA"/>
    <w:rsid w:val="5AE1122D"/>
    <w:rsid w:val="5B345801"/>
    <w:rsid w:val="5B3951AC"/>
    <w:rsid w:val="5BAF30D9"/>
    <w:rsid w:val="5BEC78DC"/>
    <w:rsid w:val="5C336931"/>
    <w:rsid w:val="5C7659A5"/>
    <w:rsid w:val="5C9522F3"/>
    <w:rsid w:val="5CA711F8"/>
    <w:rsid w:val="5CBD35D4"/>
    <w:rsid w:val="5D423AD9"/>
    <w:rsid w:val="5D487342"/>
    <w:rsid w:val="5D5A52C7"/>
    <w:rsid w:val="5D6121B1"/>
    <w:rsid w:val="5D946993"/>
    <w:rsid w:val="5DB669A1"/>
    <w:rsid w:val="5DC42740"/>
    <w:rsid w:val="5DDE1A54"/>
    <w:rsid w:val="5DF5547E"/>
    <w:rsid w:val="5E937DA9"/>
    <w:rsid w:val="5FB06EF5"/>
    <w:rsid w:val="5FC133DB"/>
    <w:rsid w:val="5FFE3CFF"/>
    <w:rsid w:val="602B6AA7"/>
    <w:rsid w:val="60967D57"/>
    <w:rsid w:val="609F196E"/>
    <w:rsid w:val="60AE790C"/>
    <w:rsid w:val="60AF3292"/>
    <w:rsid w:val="60C45638"/>
    <w:rsid w:val="61127BCE"/>
    <w:rsid w:val="61193A0B"/>
    <w:rsid w:val="611B6B1B"/>
    <w:rsid w:val="6129748A"/>
    <w:rsid w:val="61C947C9"/>
    <w:rsid w:val="620D321D"/>
    <w:rsid w:val="628F1E33"/>
    <w:rsid w:val="62DE42A4"/>
    <w:rsid w:val="63380AEB"/>
    <w:rsid w:val="63471527"/>
    <w:rsid w:val="63CB3C77"/>
    <w:rsid w:val="63E31B72"/>
    <w:rsid w:val="64127E15"/>
    <w:rsid w:val="6429154F"/>
    <w:rsid w:val="64B67DBB"/>
    <w:rsid w:val="64C6694E"/>
    <w:rsid w:val="64CD1AD5"/>
    <w:rsid w:val="65385EEE"/>
    <w:rsid w:val="65B23EF2"/>
    <w:rsid w:val="65E733A7"/>
    <w:rsid w:val="664036B8"/>
    <w:rsid w:val="66AF3A6A"/>
    <w:rsid w:val="66FB3677"/>
    <w:rsid w:val="67F97FFA"/>
    <w:rsid w:val="6852376A"/>
    <w:rsid w:val="69A00928"/>
    <w:rsid w:val="69F32F6D"/>
    <w:rsid w:val="69F85C4B"/>
    <w:rsid w:val="6A554E4C"/>
    <w:rsid w:val="6A6A0E44"/>
    <w:rsid w:val="6AA2357A"/>
    <w:rsid w:val="6B3C1D1C"/>
    <w:rsid w:val="6B563571"/>
    <w:rsid w:val="6B910106"/>
    <w:rsid w:val="6BB67B6C"/>
    <w:rsid w:val="6BC8505C"/>
    <w:rsid w:val="6BD36970"/>
    <w:rsid w:val="6BF13D3D"/>
    <w:rsid w:val="6BFB7C75"/>
    <w:rsid w:val="6C9003BD"/>
    <w:rsid w:val="6C9C4FB4"/>
    <w:rsid w:val="6CB322FE"/>
    <w:rsid w:val="6CC422B2"/>
    <w:rsid w:val="6CD57C73"/>
    <w:rsid w:val="6CF43042"/>
    <w:rsid w:val="6D1859BB"/>
    <w:rsid w:val="6D2C16A8"/>
    <w:rsid w:val="6DAD3BA8"/>
    <w:rsid w:val="6DB9657F"/>
    <w:rsid w:val="6DF02BC2"/>
    <w:rsid w:val="6E7A1325"/>
    <w:rsid w:val="6E7F06E9"/>
    <w:rsid w:val="6F881820"/>
    <w:rsid w:val="703F3234"/>
    <w:rsid w:val="704241B9"/>
    <w:rsid w:val="70C41EB3"/>
    <w:rsid w:val="70FC0CF6"/>
    <w:rsid w:val="716B1B75"/>
    <w:rsid w:val="716C6002"/>
    <w:rsid w:val="718D136F"/>
    <w:rsid w:val="71FE401B"/>
    <w:rsid w:val="7238577F"/>
    <w:rsid w:val="729F75BD"/>
    <w:rsid w:val="72C9287B"/>
    <w:rsid w:val="7310016F"/>
    <w:rsid w:val="731E7DE9"/>
    <w:rsid w:val="734D7008"/>
    <w:rsid w:val="735171B2"/>
    <w:rsid w:val="736A5E0C"/>
    <w:rsid w:val="738467A2"/>
    <w:rsid w:val="73951FDA"/>
    <w:rsid w:val="73C92407"/>
    <w:rsid w:val="74173885"/>
    <w:rsid w:val="744511DB"/>
    <w:rsid w:val="74D3178F"/>
    <w:rsid w:val="74DF3CDB"/>
    <w:rsid w:val="75973D58"/>
    <w:rsid w:val="759A22AD"/>
    <w:rsid w:val="75BA64AB"/>
    <w:rsid w:val="75D94865"/>
    <w:rsid w:val="762B1026"/>
    <w:rsid w:val="76744178"/>
    <w:rsid w:val="76EE465E"/>
    <w:rsid w:val="773E7BB3"/>
    <w:rsid w:val="77AB69F3"/>
    <w:rsid w:val="77DA2E34"/>
    <w:rsid w:val="77FC6D03"/>
    <w:rsid w:val="78174088"/>
    <w:rsid w:val="782D178F"/>
    <w:rsid w:val="78A53442"/>
    <w:rsid w:val="78A97A5F"/>
    <w:rsid w:val="78D36201"/>
    <w:rsid w:val="790F6B0E"/>
    <w:rsid w:val="792620AF"/>
    <w:rsid w:val="7A0348C4"/>
    <w:rsid w:val="7A5C2B58"/>
    <w:rsid w:val="7B031384"/>
    <w:rsid w:val="7B035A61"/>
    <w:rsid w:val="7C127041"/>
    <w:rsid w:val="7C335E0D"/>
    <w:rsid w:val="7C7E6484"/>
    <w:rsid w:val="7CBB76D8"/>
    <w:rsid w:val="7D521855"/>
    <w:rsid w:val="7D623654"/>
    <w:rsid w:val="7D7B29C4"/>
    <w:rsid w:val="7DC861E9"/>
    <w:rsid w:val="7EA877E8"/>
    <w:rsid w:val="7EB22415"/>
    <w:rsid w:val="7EBE0DBA"/>
    <w:rsid w:val="7EC871EC"/>
    <w:rsid w:val="7EF944E8"/>
    <w:rsid w:val="7F7E6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41"/>
    <w:semiHidden/>
    <w:unhideWhenUsed/>
    <w:qFormat/>
    <w:uiPriority w:val="99"/>
    <w:pPr>
      <w:jc w:val="left"/>
    </w:pPr>
  </w:style>
  <w:style w:type="paragraph" w:styleId="14">
    <w:name w:val="Body Text"/>
    <w:basedOn w:val="1"/>
    <w:link w:val="91"/>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0"/>
    <w:semiHidden/>
    <w:unhideWhenUsed/>
    <w:qFormat/>
    <w:uiPriority w:val="99"/>
    <w:rPr>
      <w:sz w:val="18"/>
      <w:szCs w:val="18"/>
    </w:rPr>
  </w:style>
  <w:style w:type="paragraph" w:styleId="18">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8"/>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List"/>
    <w:basedOn w:val="1"/>
    <w:unhideWhenUsed/>
    <w:qFormat/>
    <w:uiPriority w:val="0"/>
    <w:pPr>
      <w:ind w:left="200" w:hanging="200" w:hangingChars="200"/>
    </w:p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semiHidden/>
    <w:unhideWhenUsed/>
    <w:qFormat/>
    <w:uiPriority w:val="99"/>
    <w:rPr>
      <w:sz w:val="24"/>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3"/>
    <w:next w:val="13"/>
    <w:link w:val="242"/>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1 字符"/>
    <w:link w:val="2"/>
    <w:qFormat/>
    <w:uiPriority w:val="0"/>
    <w:rPr>
      <w:b/>
      <w:bCs/>
      <w:kern w:val="44"/>
      <w:sz w:val="44"/>
      <w:szCs w:val="44"/>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19"/>
    <w:qFormat/>
    <w:uiPriority w:val="99"/>
    <w:rPr>
      <w:kern w:val="2"/>
      <w:sz w:val="18"/>
      <w:szCs w:val="18"/>
    </w:rPr>
  </w:style>
  <w:style w:type="character" w:customStyle="1" w:styleId="49">
    <w:name w:val="页脚 字符"/>
    <w:link w:val="18"/>
    <w:qFormat/>
    <w:uiPriority w:val="99"/>
    <w:rPr>
      <w:rFonts w:ascii="宋体"/>
      <w:kern w:val="2"/>
      <w:sz w:val="18"/>
      <w:szCs w:val="18"/>
    </w:rPr>
  </w:style>
  <w:style w:type="character" w:customStyle="1" w:styleId="50">
    <w:name w:val="批注框文本 字符"/>
    <w:link w:val="17"/>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28"/>
    <w:qFormat/>
    <w:uiPriority w:val="0"/>
    <w:rPr>
      <w:rFonts w:ascii="Arial" w:hAnsi="Arial" w:cs="Arial"/>
      <w:b/>
      <w:bCs/>
      <w:kern w:val="2"/>
      <w:sz w:val="32"/>
      <w:szCs w:val="32"/>
    </w:rPr>
  </w:style>
  <w:style w:type="paragraph" w:customStyle="1" w:styleId="54">
    <w:name w:val="标准标志"/>
    <w:next w:val="1"/>
    <w:link w:val="236"/>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link w:val="235"/>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2"/>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0">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4"/>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kern w:val="2"/>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1">
    <w:name w:val="封面一致性程度标识"/>
    <w:link w:val="237"/>
    <w:qFormat/>
    <w:uiPriority w:val="0"/>
    <w:pPr>
      <w:spacing w:before="440" w:line="440" w:lineRule="exact"/>
      <w:jc w:val="center"/>
    </w:pPr>
    <w:rPr>
      <w:rFonts w:ascii="黑体" w:hAnsi="黑体" w:eastAsia="黑体" w:cs="黑体"/>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eastAsia="宋体" w:cs="Times New Roman"/>
      <w:sz w:val="21"/>
      <w:lang w:val="en-US" w:eastAsia="zh-CN" w:bidi="ar-SA"/>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eastAsia="宋体" w:cs="Times New Roman"/>
      <w:sz w:val="18"/>
      <w:lang w:val="en-US" w:eastAsia="zh-CN" w:bidi="ar-SA"/>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rPr>
      <w:rFonts w:ascii="黑体" w:hAnsi="黑体" w:eastAsia="黑体"/>
    </w:rPr>
  </w:style>
  <w:style w:type="paragraph" w:customStyle="1" w:styleId="229">
    <w:name w:val="标准文件_术语条二"/>
    <w:basedOn w:val="170"/>
    <w:next w:val="61"/>
    <w:qFormat/>
    <w:uiPriority w:val="0"/>
    <w:rPr>
      <w:rFonts w:ascii="黑体" w:hAnsi="黑体" w:eastAsia="黑体"/>
    </w:rPr>
  </w:style>
  <w:style w:type="paragraph" w:customStyle="1" w:styleId="230">
    <w:name w:val="标准文件_术语条三"/>
    <w:basedOn w:val="169"/>
    <w:next w:val="61"/>
    <w:qFormat/>
    <w:uiPriority w:val="0"/>
    <w:rPr>
      <w:rFonts w:ascii="黑体" w:hAnsi="黑体" w:eastAsia="黑体"/>
    </w:rPr>
  </w:style>
  <w:style w:type="paragraph" w:customStyle="1" w:styleId="231">
    <w:name w:val="标准文件_术语条四"/>
    <w:basedOn w:val="172"/>
    <w:next w:val="61"/>
    <w:qFormat/>
    <w:uiPriority w:val="0"/>
    <w:rPr>
      <w:rFonts w:ascii="黑体" w:eastAsia="黑体"/>
    </w:rPr>
  </w:style>
  <w:style w:type="paragraph" w:customStyle="1" w:styleId="232">
    <w:name w:val="标准文件_术语条五"/>
    <w:basedOn w:val="168"/>
    <w:next w:val="61"/>
    <w:qFormat/>
    <w:uiPriority w:val="0"/>
    <w:rPr>
      <w:rFonts w:ascii="黑体" w:hAnsi="黑体" w:eastAsia="黑体"/>
    </w:rPr>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character" w:customStyle="1" w:styleId="235">
    <w:name w:val="标准称谓 Char"/>
    <w:link w:val="55"/>
    <w:qFormat/>
    <w:uiPriority w:val="0"/>
    <w:rPr>
      <w:rFonts w:ascii="宋体" w:hAnsi="Times New Roman" w:eastAsia="宋体" w:cs="Times New Roman"/>
      <w:b/>
      <w:bCs/>
      <w:w w:val="148"/>
      <w:sz w:val="52"/>
      <w:lang w:val="en-US" w:eastAsia="zh-CN" w:bidi="ar-SA"/>
    </w:rPr>
  </w:style>
  <w:style w:type="character" w:customStyle="1" w:styleId="236">
    <w:name w:val="标准标志 Char"/>
    <w:link w:val="54"/>
    <w:qFormat/>
    <w:uiPriority w:val="0"/>
    <w:rPr>
      <w:rFonts w:ascii="Times New Roman" w:hAnsi="Times New Roman" w:eastAsia="宋体" w:cs="Times New Roman"/>
      <w:b/>
      <w:w w:val="130"/>
      <w:sz w:val="96"/>
      <w:lang w:val="en-US" w:eastAsia="zh-CN" w:bidi="ar-SA"/>
    </w:rPr>
  </w:style>
  <w:style w:type="character" w:customStyle="1" w:styleId="237">
    <w:name w:val="封面一致性程度标识 Char"/>
    <w:link w:val="131"/>
    <w:qFormat/>
    <w:uiPriority w:val="0"/>
    <w:rPr>
      <w:rFonts w:ascii="黑体" w:hAnsi="黑体" w:eastAsia="黑体" w:cs="黑体"/>
      <w:sz w:val="28"/>
      <w:lang w:val="en-US" w:eastAsia="zh-CN" w:bidi="ar-SA"/>
    </w:rPr>
  </w:style>
  <w:style w:type="paragraph" w:customStyle="1" w:styleId="23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9">
    <w:name w:val="参考文献、索引标题"/>
    <w:basedOn w:val="1"/>
    <w:next w:val="2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0">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1">
    <w:name w:val="批注文字 字符"/>
    <w:basedOn w:val="32"/>
    <w:link w:val="13"/>
    <w:semiHidden/>
    <w:qFormat/>
    <w:uiPriority w:val="99"/>
    <w:rPr>
      <w:rFonts w:ascii="Calibri" w:hAnsi="Calibri"/>
      <w:kern w:val="2"/>
      <w:sz w:val="21"/>
      <w:szCs w:val="21"/>
    </w:rPr>
  </w:style>
  <w:style w:type="character" w:customStyle="1" w:styleId="242">
    <w:name w:val="批注主题 字符"/>
    <w:basedOn w:val="241"/>
    <w:link w:val="29"/>
    <w:semiHidden/>
    <w:qFormat/>
    <w:uiPriority w:val="99"/>
    <w:rPr>
      <w:rFonts w:ascii="Calibri" w:hAnsi="Calibri"/>
      <w:b/>
      <w:bCs/>
      <w:kern w:val="2"/>
      <w:sz w:val="21"/>
      <w:szCs w:val="21"/>
    </w:rPr>
  </w:style>
  <w:style w:type="character" w:customStyle="1" w:styleId="243">
    <w:name w:val="Unresolved Mention"/>
    <w:basedOn w:val="32"/>
    <w:semiHidden/>
    <w:unhideWhenUsed/>
    <w:qFormat/>
    <w:uiPriority w:val="99"/>
    <w:rPr>
      <w:color w:val="605E5C"/>
      <w:shd w:val="clear" w:color="auto" w:fill="E1DFDD"/>
    </w:rPr>
  </w:style>
  <w:style w:type="paragraph" w:customStyle="1" w:styleId="244">
    <w:name w:val="WPSOffice手动目录 1"/>
    <w:qFormat/>
    <w:uiPriority w:val="0"/>
    <w:pPr>
      <w:ind w:leftChars="0"/>
    </w:pPr>
    <w:rPr>
      <w:rFonts w:ascii="Times New Roman" w:hAnsi="Times New Roman" w:eastAsia="宋体" w:cs="Times New Roman"/>
      <w:sz w:val="20"/>
      <w:szCs w:val="20"/>
    </w:rPr>
  </w:style>
  <w:style w:type="paragraph" w:customStyle="1" w:styleId="24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6c9195f8-b69f-498b-bbf5-ca727fd4d966}"/>
        <w:style w:val=""/>
        <w:category>
          <w:name w:val="常规"/>
          <w:gallery w:val="placeholder"/>
        </w:category>
        <w:types>
          <w:type w:val="bbPlcHdr"/>
        </w:types>
        <w:behaviors>
          <w:behavior w:val="content"/>
        </w:behaviors>
        <w:description w:val=""/>
        <w:guid w:val="{6C9195F8-B69F-498B-BBF5-CA727FD4D966}"/>
      </w:docPartPr>
      <w:docPartBody>
        <w:p w14:paraId="1ED0CFD2">
          <w:r>
            <w:rPr>
              <w:color w:val="808080"/>
              <w:highlight w:val="lightGray"/>
            </w:rPr>
            <w:t xml:space="preserve">   </w:t>
          </w:r>
        </w:p>
      </w:docPartBody>
    </w:docPart>
    <w:docPart>
      <w:docPartPr>
        <w:name w:val="{67d0d06c-ef95-4110-8830-86c9be6c5241}"/>
        <w:style w:val=""/>
        <w:category>
          <w:name w:val="常规"/>
          <w:gallery w:val="placeholder"/>
        </w:category>
        <w:types>
          <w:type w:val="bbPlcHdr"/>
        </w:types>
        <w:behaviors>
          <w:behavior w:val="content"/>
        </w:behaviors>
        <w:description w:val=""/>
        <w:guid w:val="{67D0D06C-EF95-4110-8830-86C9BE6C5241}"/>
      </w:docPartPr>
      <w:docPartBody>
        <w:p w14:paraId="4470B628">
          <w:r>
            <w:rPr>
              <w:color w:val="808080"/>
            </w:rPr>
            <w:t>单击此处输入文字。</w:t>
          </w:r>
        </w:p>
      </w:docPartBody>
    </w:docPart>
    <w:docPart>
      <w:docPartPr>
        <w:name w:val="{a72764c1-cf59-4924-8622-8227e1039431}"/>
        <w:style w:val=""/>
        <w:category>
          <w:name w:val="常规"/>
          <w:gallery w:val="placeholder"/>
        </w:category>
        <w:types>
          <w:type w:val="bbPlcHdr"/>
        </w:types>
        <w:behaviors>
          <w:behavior w:val="content"/>
        </w:behaviors>
        <w:description w:val=""/>
        <w:guid w:val="{A72764C1-CF59-4924-8622-8227E1039431}"/>
      </w:docPartPr>
      <w:docPartBody>
        <w:p w14:paraId="34F1595A">
          <w:r>
            <w:rPr>
              <w:color w:val="808080"/>
            </w:rPr>
            <w:t>点击此处添加标准名称</w:t>
          </w:r>
        </w:p>
      </w:docPartBody>
    </w:docPart>
    <w:docPart>
      <w:docPartPr>
        <w:name w:val="{8b93df19-d3a2-4cf6-af64-545a8cba65b9}"/>
        <w:style w:val=""/>
        <w:category>
          <w:name w:val="常规"/>
          <w:gallery w:val="placeholder"/>
        </w:category>
        <w:types>
          <w:type w:val="bbPlcHdr"/>
        </w:types>
        <w:behaviors>
          <w:behavior w:val="content"/>
        </w:behaviors>
        <w:description w:val=""/>
        <w:guid w:val="{8B93DF19-D3A2-4CF6-AF64-545A8CBA65B9}"/>
      </w:docPartPr>
      <w:docPartBody>
        <w:p w14:paraId="7CD04F22">
          <w:r>
            <w:rPr>
              <w:color w:val="808080"/>
            </w:rPr>
            <w:t>点击此处添加与国际标准一致性程度的标识</w:t>
          </w:r>
        </w:p>
      </w:docPartBody>
    </w:docPart>
    <w:docPart>
      <w:docPartPr>
        <w:name w:val="{0c871f9c-2089-4eac-b6ff-a01e24a2ff32}"/>
        <w:style w:val=""/>
        <w:category>
          <w:name w:val="常规"/>
          <w:gallery w:val="placeholder"/>
        </w:category>
        <w:types>
          <w:type w:val="bbPlcHdr"/>
        </w:types>
        <w:behaviors>
          <w:behavior w:val="content"/>
        </w:behaviors>
        <w:description w:val=""/>
        <w:guid w:val="{0C871F9C-2089-4EAC-B6FF-A01E24A2FF32}"/>
      </w:docPartPr>
      <w:docPartBody>
        <w:p w14:paraId="0F292B6B">
          <w:r>
            <w:rPr>
              <w:color w:val="808080"/>
            </w:rPr>
            <w:t>选择一项。</w:t>
          </w:r>
        </w:p>
      </w:docPartBody>
    </w:docPart>
    <w:docPart>
      <w:docPartPr>
        <w:name w:val="{ffc36ac9-555f-4fb4-b39b-c9c42afd0a0b}"/>
        <w:style w:val=""/>
        <w:category>
          <w:name w:val="常规"/>
          <w:gallery w:val="placeholder"/>
        </w:category>
        <w:types>
          <w:type w:val="bbPlcHdr"/>
        </w:types>
        <w:behaviors>
          <w:behavior w:val="content"/>
        </w:behaviors>
        <w:description w:val=""/>
        <w:guid w:val="{FFC36AC9-555F-4FB4-B39B-C9C42AFD0A0B}"/>
      </w:docPartPr>
      <w:docPartBody>
        <w:p w14:paraId="71E9D27C">
          <w:r>
            <w:rPr>
              <w:color w:val="808080"/>
            </w:rPr>
            <w:t>XXXX</w:t>
          </w:r>
        </w:p>
      </w:docPartBody>
    </w:docPart>
    <w:docPart>
      <w:docPartPr>
        <w:name w:val="{42e85895-5a69-4c5f-8435-6aa174df825e}"/>
        <w:style w:val=""/>
        <w:category>
          <w:name w:val="常规"/>
          <w:gallery w:val="placeholder"/>
        </w:category>
        <w:types>
          <w:type w:val="bbPlcHdr"/>
        </w:types>
        <w:behaviors>
          <w:behavior w:val="content"/>
        </w:behaviors>
        <w:description w:val=""/>
        <w:guid w:val="{42E85895-5A69-4C5F-8435-6AA174DF825E}"/>
      </w:docPartPr>
      <w:docPartBody>
        <w:p w14:paraId="525DAB74">
          <w:r>
            <w:rPr>
              <w:color w:val="808080"/>
            </w:rPr>
            <w:t>XXXX</w:t>
          </w:r>
        </w:p>
      </w:docPartBody>
    </w:docPart>
    <w:docPart>
      <w:docPartPr>
        <w:name w:val="{b7d6c8d2-2f40-43d5-8c2f-656491101695}"/>
        <w:style w:val=""/>
        <w:category>
          <w:name w:val="常规"/>
          <w:gallery w:val="placeholder"/>
        </w:category>
        <w:types>
          <w:type w:val="bbPlcHdr"/>
        </w:types>
        <w:behaviors>
          <w:behavior w:val="content"/>
        </w:behaviors>
        <w:description w:val=""/>
        <w:guid w:val="{B7D6C8D2-2F40-43D5-8C2F-656491101695}"/>
      </w:docPartPr>
      <w:docPartBody>
        <w:p w14:paraId="29070DE0">
          <w:r>
            <w:rPr>
              <w:rFonts w:hint="eastAsia"/>
              <w:color w:val="808080"/>
              <w:highlight w:val="lightGray"/>
            </w:rPr>
            <w:t xml:space="preserve">   </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d796bbc5-5406-4888-b2f3-c36bbee649d3}"/>
        <w:style w:val=""/>
        <w:category>
          <w:name w:val="常规"/>
          <w:gallery w:val="placeholder"/>
        </w:category>
        <w:types>
          <w:type w:val="bbPlcHdr"/>
        </w:types>
        <w:behaviors>
          <w:behavior w:val="content"/>
        </w:behaviors>
        <w:description w:val=""/>
        <w:guid w:val="{D796BBC5-5406-4888-B2F3-C36BBEE649D3}"/>
      </w:docPartPr>
      <w:docPartBody>
        <w:p w14:paraId="49C97547">
          <w:r>
            <w:rPr>
              <w:color w:val="808080"/>
            </w:rPr>
            <w:t>单击此处输入文字。</w:t>
          </w:r>
        </w:p>
      </w:docPartBody>
    </w:docPart>
    <w:docPart>
      <w:docPartPr>
        <w:name w:val="{a159c448-9bec-458e-ba63-7bdd8bfb8f76}"/>
        <w:style w:val=""/>
        <w:category>
          <w:name w:val="常规"/>
          <w:gallery w:val="placeholder"/>
        </w:category>
        <w:types>
          <w:type w:val="bbPlcHdr"/>
        </w:types>
        <w:behaviors>
          <w:behavior w:val="content"/>
        </w:behaviors>
        <w:description w:val=""/>
        <w:guid w:val="{A159C448-9BEC-458E-BA63-7BDD8BFB8F76}"/>
      </w:docPartPr>
      <w:docPartBody>
        <w:p w14:paraId="7476E64E">
          <w:r>
            <w:rPr>
              <w:highlight w:val="lightGray"/>
              <w:lang w:val="fr-FR"/>
            </w:rPr>
            <w:t>XXXXX</w:t>
          </w:r>
        </w:p>
      </w:docPartBody>
    </w:docPart>
    <w:docPart>
      <w:docPartPr>
        <w:name w:val="{86a5e2ac-a33b-4672-9de4-69e66b7a0c36}"/>
        <w:style w:val=""/>
        <w:category>
          <w:name w:val="常规"/>
          <w:gallery w:val="placeholder"/>
        </w:category>
        <w:types>
          <w:type w:val="bbPlcHdr"/>
        </w:types>
        <w:behaviors>
          <w:behavior w:val="content"/>
        </w:behaviors>
        <w:description w:val=""/>
        <w:guid w:val="{86A5E2AC-A33B-4672-9DE4-69E66B7A0C36}"/>
      </w:docPartPr>
      <w:docPartBody>
        <w:p w14:paraId="4977FEF7">
          <w:r>
            <w:t>XXXX</w:t>
          </w:r>
        </w:p>
      </w:docPartBody>
    </w:docPart>
    <w:docPart>
      <w:docPartPr>
        <w:name w:val="{9ab45570-4d49-4a33-b76c-3b5a8a0b582b}"/>
        <w:style w:val=""/>
        <w:category>
          <w:name w:val="常规"/>
          <w:gallery w:val="placeholder"/>
        </w:category>
        <w:types>
          <w:type w:val="bbPlcHdr"/>
        </w:types>
        <w:behaviors>
          <w:behavior w:val="content"/>
        </w:behaviors>
        <w:description w:val=""/>
        <w:guid w:val="{9AB45570-4D49-4A33-B76C-3B5A8A0B582B}"/>
      </w:docPartPr>
      <w:docPartBody>
        <w:p w14:paraId="35F2B475">
          <w:r>
            <w:rPr>
              <w:rFonts w:hint="eastAsia"/>
            </w:rPr>
            <w:t>点击此处添加标准名称的英文译名</w:t>
          </w:r>
        </w:p>
      </w:docPartBody>
    </w:docPart>
    <w:docPart>
      <w:docPartPr>
        <w:name w:val="{6520bed0-204d-45ab-a9bc-07c512250680}"/>
        <w:style w:val=""/>
        <w:category>
          <w:name w:val="常规"/>
          <w:gallery w:val="placeholder"/>
        </w:category>
        <w:types>
          <w:type w:val="bbPlcHdr"/>
        </w:types>
        <w:behaviors>
          <w:behavior w:val="content"/>
        </w:behaviors>
        <w:description w:val=""/>
        <w:guid w:val="{6520BED0-204D-45AB-A9BC-07C512250680}"/>
      </w:docPartPr>
      <w:docPartBody>
        <w:p w14:paraId="1C2C336F">
          <w:r>
            <w:rPr>
              <w:color w:val="808080"/>
            </w:rPr>
            <w:t>XXXX</w:t>
          </w:r>
        </w:p>
      </w:docPartBody>
    </w:docPart>
    <w:docPart>
      <w:docPartPr>
        <w:name w:val="{8702d678-4b8d-4209-b0b4-982da1757ede}"/>
        <w:style w:val=""/>
        <w:category>
          <w:name w:val="常规"/>
          <w:gallery w:val="placeholder"/>
        </w:category>
        <w:types>
          <w:type w:val="bbPlcHdr"/>
        </w:types>
        <w:behaviors>
          <w:behavior w:val="content"/>
        </w:behaviors>
        <w:description w:val=""/>
        <w:guid w:val="{8702D678-4B8D-4209-B0B4-982DA1757EDE}"/>
      </w:docPartPr>
      <w:docPartBody>
        <w:p w14:paraId="72D9B6FE">
          <w:r>
            <w:rPr>
              <w:color w:val="808080"/>
            </w:rPr>
            <w:t>XX</w:t>
          </w:r>
        </w:p>
      </w:docPartBody>
    </w:docPart>
    <w:docPart>
      <w:docPartPr>
        <w:name w:val="{bbf84e9a-ea19-48ac-8602-fd706520c678}"/>
        <w:style w:val=""/>
        <w:category>
          <w:name w:val="常规"/>
          <w:gallery w:val="placeholder"/>
        </w:category>
        <w:types>
          <w:type w:val="bbPlcHdr"/>
        </w:types>
        <w:behaviors>
          <w:behavior w:val="content"/>
        </w:behaviors>
        <w:description w:val=""/>
        <w:guid w:val="{BBF84E9A-EA19-48AC-8602-FD706520C678}"/>
      </w:docPartPr>
      <w:docPartBody>
        <w:p w14:paraId="7E99E72F">
          <w:r>
            <w:rPr>
              <w:color w:val="808080"/>
            </w:rPr>
            <w:t>XX</w:t>
          </w:r>
        </w:p>
      </w:docPartBody>
    </w:docPart>
    <w:docPart>
      <w:docPartPr>
        <w:name w:val="{273c241a-3545-4cb8-b3e1-dccdf8af0dbb}"/>
        <w:style w:val=""/>
        <w:category>
          <w:name w:val="常规"/>
          <w:gallery w:val="placeholder"/>
        </w:category>
        <w:types>
          <w:type w:val="bbPlcHdr"/>
        </w:types>
        <w:behaviors>
          <w:behavior w:val="content"/>
        </w:behaviors>
        <w:description w:val=""/>
        <w:guid w:val="{273C241A-3545-4CB8-B3E1-DCCDF8AF0DBB}"/>
      </w:docPartPr>
      <w:docPartBody>
        <w:p w14:paraId="683DFD99">
          <w:r>
            <w:rPr>
              <w:color w:val="808080"/>
            </w:rPr>
            <w:t>XXXX</w:t>
          </w:r>
        </w:p>
      </w:docPartBody>
    </w:docPart>
    <w:docPart>
      <w:docPartPr>
        <w:name w:val="{decab8c0-5632-48ca-8dfa-65fd198c0a0f}"/>
        <w:style w:val=""/>
        <w:category>
          <w:name w:val="常规"/>
          <w:gallery w:val="placeholder"/>
        </w:category>
        <w:types>
          <w:type w:val="bbPlcHdr"/>
        </w:types>
        <w:behaviors>
          <w:behavior w:val="content"/>
        </w:behaviors>
        <w:description w:val=""/>
        <w:guid w:val="{DECAB8C0-5632-48CA-8DFA-65FD198C0A0F}"/>
      </w:docPartPr>
      <w:docPartBody>
        <w:p w14:paraId="0171AE19">
          <w:r>
            <w:rPr>
              <w:color w:val="808080"/>
            </w:rPr>
            <w:t>XX</w:t>
          </w:r>
        </w:p>
      </w:docPartBody>
    </w:docPart>
    <w:docPart>
      <w:docPartPr>
        <w:name w:val="{c4a20def-b4d2-4544-90c6-0a5a54de817a}"/>
        <w:style w:val=""/>
        <w:category>
          <w:name w:val="常规"/>
          <w:gallery w:val="placeholder"/>
        </w:category>
        <w:types>
          <w:type w:val="bbPlcHdr"/>
        </w:types>
        <w:behaviors>
          <w:behavior w:val="content"/>
        </w:behaviors>
        <w:description w:val=""/>
        <w:guid w:val="{C4A20DEF-B4D2-4544-90C6-0A5A54DE817A}"/>
      </w:docPartPr>
      <w:docPartBody>
        <w:p w14:paraId="68E7291A">
          <w:r>
            <w:rPr>
              <w:color w:val="808080"/>
            </w:rPr>
            <w:t>XX</w:t>
          </w:r>
        </w:p>
      </w:docPartBody>
    </w:docPart>
    <w:docPart>
      <w:docPartPr>
        <w:name w:val="{5effb42c-7e4b-4748-a553-1e3ed4a8a110}"/>
        <w:style w:val=""/>
        <w:category>
          <w:name w:val="常规"/>
          <w:gallery w:val="placeholder"/>
        </w:category>
        <w:types>
          <w:type w:val="bbPlcHdr"/>
        </w:types>
        <w:behaviors>
          <w:behavior w:val="content"/>
        </w:behaviors>
        <w:description w:val=""/>
        <w:guid w:val="{5EFFB42C-7E4B-4748-A553-1E3ED4A8A110}"/>
      </w:docPartPr>
      <w:docPartBody>
        <w:p w14:paraId="6347BD11">
          <w:r>
            <w:rPr>
              <w:color w:val="808080"/>
            </w:rPr>
            <w:t>WebOf79fewx</w:t>
          </w:r>
        </w:p>
      </w:docPartBody>
    </w:docPart>
    <w:docPart>
      <w:docPartPr>
        <w:name w:val="{6006c831-1dff-4344-a30e-bd1d19dbe4b1}"/>
        <w:style w:val=""/>
        <w:category>
          <w:name w:val="常规"/>
          <w:gallery w:val="placeholder"/>
        </w:category>
        <w:types>
          <w:type w:val="bbPlcHdr"/>
        </w:types>
        <w:behaviors>
          <w:behavior w:val="content"/>
        </w:behaviors>
        <w:description w:val=""/>
        <w:guid w:val="{6006C831-1DFF-4344-A30E-BD1D19DBE4B1}"/>
      </w:docPartPr>
      <w:docPartBody>
        <w:p w14:paraId="3BDB9293">
          <w:r>
            <w:rPr>
              <w:color w:val="808080"/>
            </w:rPr>
            <w:t>选择一项。</w:t>
          </w:r>
        </w:p>
      </w:docPartBody>
    </w:docPart>
    <w:docPart>
      <w:docPartPr>
        <w:name w:val="{1f1e0937-a82e-4ec8-9be4-fd84868de435}"/>
        <w:style w:val=""/>
        <w:category>
          <w:name w:val="常规"/>
          <w:gallery w:val="placeholder"/>
        </w:category>
        <w:types>
          <w:type w:val="bbPlcHdr"/>
        </w:types>
        <w:behaviors>
          <w:behavior w:val="content"/>
        </w:behaviors>
        <w:description w:val=""/>
        <w:guid w:val="{1F1E0937-A82E-4EC8-9BE4-FD84868DE435}"/>
      </w:docPartPr>
      <w:docPartBody>
        <w:p w14:paraId="7F356ED4">
          <w:r>
            <w:rPr>
              <w:rFonts w:hint="eastAsia" w:ascii="黑体" w:hAnsi="黑体" w:eastAsia="黑体" w:cs="黑体"/>
              <w:spacing w:val="227"/>
              <w:sz w:val="160"/>
              <w:szCs w:val="160"/>
            </w:rPr>
            <w:t>XX</w:t>
          </w:r>
        </w:p>
      </w:docPartBody>
    </w:docPart>
    <w:docPart>
      <w:docPartPr>
        <w:name w:val="{49969bb0-c0e8-49c0-a6f1-0eb642947298}"/>
        <w:style w:val=""/>
        <w:category>
          <w:name w:val="常规"/>
          <w:gallery w:val="placeholder"/>
        </w:category>
        <w:types>
          <w:type w:val="bbPlcHdr"/>
        </w:types>
        <w:behaviors>
          <w:behavior w:val="content"/>
        </w:behaviors>
        <w:description w:val=""/>
        <w:guid w:val="{49969BB0-C0E8-49C0-A6F1-0EB642947298}"/>
      </w:docPartPr>
      <w:docPartBody>
        <w:p w14:paraId="017D9E9B"/>
      </w:docPartBody>
    </w:docPart>
    <w:docPart>
      <w:docPartPr>
        <w:name w:val="{0b929a9d-a2f7-4fb8-8621-155619d1cec5}"/>
        <w:style w:val=""/>
        <w:category>
          <w:name w:val="常规"/>
          <w:gallery w:val="placeholder"/>
        </w:category>
        <w:types>
          <w:type w:val="bbPlcHdr"/>
        </w:types>
        <w:behaviors>
          <w:behavior w:val="content"/>
        </w:behaviors>
        <w:description w:val=""/>
        <w:guid w:val="{0B929A9D-A2F7-4FB8-8621-155619D1CEC5}"/>
      </w:docPartPr>
      <w:docPartBody>
        <w:p w14:paraId="2236A23D">
          <w:r>
            <w:rPr>
              <w:color w:val="808080"/>
            </w:rPr>
            <w:t>单击此处输入文字。</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9</Pages>
  <Words>4246</Words>
  <Characters>5215</Characters>
  <Lines>70</Lines>
  <Paragraphs>19</Paragraphs>
  <TotalTime>18</TotalTime>
  <ScaleCrop>false</ScaleCrop>
  <LinksUpToDate>false</LinksUpToDate>
  <CharactersWithSpaces>5438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WPS_1601460063</cp:lastModifiedBy>
  <cp:lastPrinted>2021-02-02T08:18:00Z</cp:lastPrinted>
  <dcterms:modified xsi:type="dcterms:W3CDTF">2026-01-26T08:41:38Z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2052-12.1.0.24657</vt:lpwstr>
  </property>
  <property fmtid="{D5CDD505-2E9C-101B-9397-08002B2CF9AE}" pid="15" name="ICV">
    <vt:lpwstr>B379D72F8355423F929DBDCC280919A9_13</vt:lpwstr>
  </property>
  <property fmtid="{D5CDD505-2E9C-101B-9397-08002B2CF9AE}" pid="16" name="KSOTemplateDocerSaveRecord">
    <vt:lpwstr>eyJoZGlkIjoiZjg4ZGUzMmU5ZDk0M2FjMzAzOTBhZmQxMjNkNTk0NTYiLCJ1c2VySWQiOiIxMTI2MDc5Mjc4In0=</vt:lpwstr>
  </property>
</Properties>
</file>