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905459">
      <w:pPr>
        <w:pStyle w:val="20"/>
        <w:framePr w:w="9402" w:wrap="around" w:vAnchor="page" w:hAnchor="page" w:x="1367" w:y="552"/>
        <w:rPr>
          <w:rFonts w:hint="eastAsia" w:ascii="黑体" w:hAnsi="黑体" w:eastAsia="黑体" w:cs="黑体"/>
        </w:rPr>
      </w:pPr>
      <w:r>
        <w:rPr>
          <w:rFonts w:hint="eastAsia" w:ascii="黑体" w:hAnsi="黑体" w:eastAsia="黑体" w:cs="黑体"/>
        </w:rPr>
        <w:t>ICS 31.020</w:t>
      </w:r>
    </w:p>
    <w:p w14:paraId="750096B9">
      <w:pPr>
        <w:pStyle w:val="20"/>
        <w:framePr w:w="9402" w:wrap="around" w:vAnchor="page" w:hAnchor="page" w:x="1367" w:y="552"/>
        <w:tabs>
          <w:tab w:val="left" w:pos="8687"/>
          <w:tab w:val="right" w:pos="9638"/>
        </w:tabs>
        <w:rPr>
          <w:rFonts w:hint="eastAsia" w:ascii="黑体" w:hAnsi="黑体" w:eastAsia="黑体" w:cs="黑体"/>
          <w:lang w:eastAsia="zh-CN"/>
        </w:rPr>
      </w:pPr>
      <w:r>
        <w:rPr>
          <w:rFonts w:hint="eastAsia" w:ascii="黑体" w:hAnsi="黑体" w:eastAsia="黑体" w:cs="黑体"/>
        </w:rPr>
        <w:t>CCS L10/34</w:t>
      </w:r>
    </w:p>
    <w:p w14:paraId="32A3207C">
      <w:pPr>
        <w:pStyle w:val="21"/>
      </w:pPr>
    </w:p>
    <w:p w14:paraId="3721F077">
      <w:pPr>
        <w:pStyle w:val="22"/>
        <w:framePr w:hSpace="0" w:vSpace="0" w:wrap="auto" w:vAnchor="margin" w:hAnchor="text" w:xAlign="left" w:yAlign="inline"/>
        <w:ind w:right="817" w:rightChars="389" w:firstLine="420"/>
        <w:rPr>
          <w:rFonts w:hAnsi="黑体" w:cs="黑体"/>
          <w:sz w:val="84"/>
          <w:szCs w:val="84"/>
        </w:rPr>
      </w:pPr>
      <w:r>
        <w:rPr>
          <w:rFonts w:hint="eastAsia" w:hAnsi="黑体" w:cs="黑体"/>
          <w:color w:val="000000"/>
          <w:sz w:val="84"/>
          <w:szCs w:val="84"/>
        </w:rPr>
        <w:t>团  体  标  准</w:t>
      </w:r>
    </w:p>
    <w:p w14:paraId="2C12E0A5">
      <w:pPr>
        <w:pStyle w:val="21"/>
        <w:jc w:val="right"/>
        <w:rPr>
          <w:rFonts w:ascii="Arial" w:hAnsi="Arial" w:cs="Arial"/>
          <w:sz w:val="28"/>
          <w:szCs w:val="28"/>
        </w:rPr>
      </w:pPr>
      <w:r>
        <w:rPr>
          <w:rFonts w:ascii="宋体" w:hAnsi="宋体" w:cs="Arial"/>
          <w:sz w:val="21"/>
          <w:szCs w:val="28"/>
        </w:rPr>
        <mc:AlternateContent>
          <mc:Choice Requires="wps">
            <w:drawing>
              <wp:anchor distT="0" distB="0" distL="114300" distR="114300" simplePos="0" relativeHeight="251659264" behindDoc="1" locked="0" layoutInCell="1" allowOverlap="1">
                <wp:simplePos x="0" y="0"/>
                <wp:positionH relativeFrom="column">
                  <wp:posOffset>4734560</wp:posOffset>
                </wp:positionH>
                <wp:positionV relativeFrom="paragraph">
                  <wp:posOffset>34290</wp:posOffset>
                </wp:positionV>
                <wp:extent cx="1143000" cy="228600"/>
                <wp:effectExtent l="0" t="0" r="0" b="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72.8pt;margin-top:2.7pt;height:18pt;width:90pt;z-index:-251657216;mso-width-relative:page;mso-height-relative:page;" fillcolor="#FFFFFF" filled="t" stroked="f" coordsize="21600,21600" o:gfxdata="UEsDBAoAAAAAAIdO4kAAAAAAAAAAAAAAAAAEAAAAZHJzL1BLAwQUAAAACACHTuJAHmDyy9YAAAAI&#10;AQAADwAAAGRycy9kb3ducmV2LnhtbE2PMU/DMBSEdyT+g/WQ2KidkoQ2jdMBqRMw0CKxvsavSUT8&#10;HGKnDf8ed4LxdKe778rtbHtxptF3jjUkCwWCuHam40bDx2H3sALhA7LB3jFp+CEP2+r2psTCuAu/&#10;03kfGhFL2BeooQ1hKKT0dUsW/cINxNE7udFiiHJspBnxEsttL5dK5dJix3GhxYGeW6q/9pPVgHlq&#10;vt9Oj6+HlynHdTOrXfaptL6/S9QGRKA5/IXhih/RoYpMRzex8aLX8JRmeYxqyFIQ0V8vr/qoIU1S&#10;kFUp/x+ofgFQSwMEFAAAAAgAh07iQBPycJYcAgAANAQAAA4AAABkcnMvZTJvRG9jLnhtbK1TwY7T&#10;MBC9I/EPlu80SQnLEjVdrVoVIS2w0sIHuI6TWCQeM3abLj+DxI2P4HMQv8HYSUtZLnsgh2jGM34z&#10;7814cXXoO7ZX6DSYkmezlDNlJFTaNCX/+GHz7JIz54WpRAdGlfxeOX61fPpkMdhCzaGFrlLICMS4&#10;YrAlb723RZI42apeuBlYZShYA/bCk4tNUqEYCL3vknmaXiQDYGURpHKOTtdjkE+I+BhAqGst1Rrk&#10;rlfGj6ioOuGJkmu1dXwZu61rJf37unbKs67kxNTHPxUhexv+yXIhigaFbbWcWhCPaeEBp15oQ0VP&#10;UGvhBduh/geq1xLBQe1nEvpkJBIVIRZZ+kCbu1ZYFbmQ1M6eRHf/D1a+298i01XJc86M6Gngv75+&#10;//njG8uDNoN1BaXc2VsM7Jy9AfnJMQOrVphGXSPC0CpRUUdZyE/+uhAcR1fZdngLFUGLnYco06HG&#10;PgCSAOwQp3F/moY6eCbpMMvy52lKg5IUm88vL8gOJURxvG3R+dcKehaMkiNNO6KL/Y3zY+oxJXYP&#10;na42uuuig8121SHbC9qMTfwmdHee1pmQbCBcGxHHExV3aypz5DnqtYXqnjgjjMtGT42MFvALZwMt&#10;Wsnd551AxVn3xpBur7I8D5sZnfzFyzk5eB7ZnkeEkQRVcs/ZaK78uM07i7ppqVIWJTBwTVrXOsoQ&#10;+hu7miZEyxSFnBY/bOu5H7P+PPb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5g8svWAAAACAEA&#10;AA8AAAAAAAAAAQAgAAAAIgAAAGRycy9kb3ducmV2LnhtbFBLAQIUABQAAAAIAIdO4kAT8nCWHAIA&#10;ADQEAAAOAAAAAAAAAAEAIAAAACUBAABkcnMvZTJvRG9jLnhtbFBLBQYAAAAABgAGAFkBAACzBQAA&#10;AAA=&#10;">
                <v:fill on="t" focussize="0,0"/>
                <v:stroke on="f"/>
                <v:imagedata o:title=""/>
                <o:lock v:ext="edit" aspectratio="f"/>
              </v:rect>
            </w:pict>
          </mc:Fallback>
        </mc:AlternateContent>
      </w:r>
      <w:r>
        <w:rPr>
          <w:rFonts w:hint="eastAsia" w:ascii="宋体" w:hAnsi="宋体" w:cs="Arial"/>
          <w:sz w:val="21"/>
          <w:szCs w:val="28"/>
        </w:rPr>
        <w:t xml:space="preserve">                                              </w:t>
      </w:r>
      <w:r>
        <w:rPr>
          <w:rFonts w:hint="eastAsia" w:ascii="黑体" w:hAnsi="黑体" w:eastAsia="黑体" w:cs="黑体"/>
          <w:sz w:val="28"/>
          <w:szCs w:val="28"/>
        </w:rPr>
        <w:t>T/DZJN XX-XXXX</w:t>
      </w:r>
    </w:p>
    <w:p w14:paraId="6B40E47E">
      <w:pPr>
        <w:pStyle w:val="21"/>
      </w:pPr>
      <w:r>
        <w:rPr>
          <w:rFonts w:ascii="宋体" w:hAnsi="宋体" w:cs="Arial"/>
          <w:sz w:val="21"/>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87630</wp:posOffset>
                </wp:positionV>
                <wp:extent cx="6115050" cy="8890"/>
                <wp:effectExtent l="0" t="4445" r="0" b="5715"/>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6115050" cy="8890"/>
                        </a:xfrm>
                        <a:prstGeom prst="line">
                          <a:avLst/>
                        </a:prstGeom>
                        <a:noFill/>
                        <a:ln w="9525" cmpd="sng">
                          <a:solidFill>
                            <a:srgbClr val="000000"/>
                          </a:solidFill>
                          <a:round/>
                        </a:ln>
                        <a:effectLst/>
                      </wps:spPr>
                      <wps:bodyPr/>
                    </wps:wsp>
                  </a:graphicData>
                </a:graphic>
              </wp:anchor>
            </w:drawing>
          </mc:Choice>
          <mc:Fallback>
            <w:pict>
              <v:line id="_x0000_s1026" o:spid="_x0000_s1026" o:spt="20" style="position:absolute;left:0pt;margin-left:-0.3pt;margin-top:6.9pt;height:0.7pt;width:481.5pt;z-index:251660288;mso-width-relative:page;mso-height-relative:page;" filled="f" stroked="t" coordsize="21600,21600" o:gfxdata="UEsDBAoAAAAAAIdO4kAAAAAAAAAAAAAAAAAEAAAAZHJzL1BLAwQUAAAACACHTuJAsAvvptUAAAAH&#10;AQAADwAAAGRycy9kb3ducmV2LnhtbE2PzU7DMBCE70i8g7VIXKrWbgoRhDg9ALlxoYC4buMliYjX&#10;aez+wNOznOC4M6PZb8r1yQ/qQFPsA1tYLgwo4ia4nlsLry/1/AZUTMgOh8Bk4YsirKvzsxILF478&#10;TIdNapWUcCzQQpfSWGgdm448xkUYicX7CJPHJOfUajfhUcr9oDNjcu2xZ/nQ4Uj3HTWfm723EOs3&#10;2tXfs2Zm3ldtoGz38PSI1l5eLM0dqESn9BeGX3xBh0qYtmHPLqrBwjyXoMgrGSD2bZ5dgdqKcJ2B&#10;rkr9n7/6AVBLAwQUAAAACACHTuJAAhSDcfQBAADGAwAADgAAAGRycy9lMm9Eb2MueG1srVO9bhsx&#10;DN4L9B0E7fXZBhw4B58z2EiXtDWQ9AFkne5OqCQKouyzX6IvUKBbO3Xs3rdp+hil5J+myZIhNwii&#10;SH7k95E3u9pZw7YqoAZX8dFgyJlyEmrt2op/vLt+M+UMo3C1MOBUxfcK+dX89atZ70s1hg5MrQIj&#10;EIdl7yvexejLokDZKStwAF45cjYQrIhkhraog+gJ3ZpiPBxeFD2E2geQCpFelwcnPyKG5wBC02ip&#10;liA3Vrl4QA3KiEiUsNMe+Tx32zRKxg9NgyoyU3FiGvNJRei+Tmcxn4myDcJ3Wh5bEM9p4REnK7Sj&#10;omeopYiCbYJ+AmW1DIDQxIEEWxyIZEWIxWj4SJvbTniVuZDU6M+i48vByvfbVWC6rviYMycsDfz+&#10;y8/fn7/9+fWVzvsf39k4idR7LCl24VYh0ZQ7d+tvQH5C5mDRCdeq3Ozd3hPCKGUU/6UkAz2VWvfv&#10;oKYYsYmQFds1wSZI0oLt8mD258GoXWSSHi9Go8lwQjOT5JtOL/PcClGecn3A+FaBZelScaNdkk2U&#10;YnuDMfUiylNIenZwrY3JozeO9RW/nIwnBG496YCuzbkIRtcpLmVgaNcLE9hWpD3KX+ZInodhATau&#10;PtQzLuWpvILHJk4aHNRcQ71fhZNQNN7c5nEV0/48tLOc/36/+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wC++m1QAAAAcBAAAPAAAAAAAAAAEAIAAAACIAAABkcnMvZG93bnJldi54bWxQSwECFAAU&#10;AAAACACHTuJAAhSDcfQBAADGAwAADgAAAAAAAAABACAAAAAkAQAAZHJzL2Uyb0RvYy54bWxQSwUG&#10;AAAAAAYABgBZAQAAigUAAAAA&#10;">
                <v:fill on="f" focussize="0,0"/>
                <v:stroke color="#000000" joinstyle="round"/>
                <v:imagedata o:title=""/>
                <o:lock v:ext="edit" aspectratio="f"/>
              </v:line>
            </w:pict>
          </mc:Fallback>
        </mc:AlternateContent>
      </w:r>
    </w:p>
    <w:p w14:paraId="338AABB6">
      <w:pPr>
        <w:pStyle w:val="21"/>
        <w:rPr>
          <w:rFonts w:ascii="黑体" w:eastAsia="黑体" w:cs="黑体"/>
          <w:sz w:val="52"/>
          <w:szCs w:val="52"/>
        </w:rPr>
      </w:pPr>
    </w:p>
    <w:p w14:paraId="69EA3B5B">
      <w:pPr>
        <w:pStyle w:val="21"/>
        <w:rPr>
          <w:rFonts w:ascii="黑体" w:eastAsia="黑体" w:cs="黑体"/>
          <w:sz w:val="52"/>
          <w:szCs w:val="52"/>
        </w:rPr>
      </w:pPr>
    </w:p>
    <w:p w14:paraId="1BAC66F8">
      <w:pPr>
        <w:jc w:val="center"/>
        <w:rPr>
          <w:rFonts w:hint="eastAsia" w:ascii="黑体" w:hAnsi="黑体" w:eastAsia="黑体" w:cs="黑体"/>
          <w:sz w:val="60"/>
          <w:szCs w:val="60"/>
        </w:rPr>
      </w:pPr>
      <w:bookmarkStart w:id="0" w:name="_Toc7544"/>
      <w:bookmarkStart w:id="1" w:name="_Toc12315"/>
      <w:bookmarkStart w:id="2" w:name="_Toc20407"/>
      <w:bookmarkStart w:id="3" w:name="_Toc17426"/>
      <w:bookmarkStart w:id="4" w:name="_Toc19884"/>
      <w:bookmarkStart w:id="5" w:name="_Toc32152"/>
      <w:bookmarkStart w:id="6" w:name="_Toc24149"/>
      <w:bookmarkStart w:id="7" w:name="_Toc14858"/>
      <w:bookmarkStart w:id="8" w:name="_Toc22869"/>
      <w:bookmarkStart w:id="9" w:name="_Toc26444"/>
      <w:bookmarkStart w:id="10" w:name="_Toc7475"/>
      <w:bookmarkStart w:id="11" w:name="_Toc27420"/>
      <w:bookmarkStart w:id="12" w:name="_Toc12665"/>
      <w:bookmarkStart w:id="13" w:name="_Toc17675"/>
      <w:bookmarkStart w:id="14" w:name="_Toc16734"/>
      <w:bookmarkStart w:id="15" w:name="_Toc6433"/>
      <w:bookmarkStart w:id="16" w:name="_Toc20334"/>
      <w:bookmarkStart w:id="17" w:name="_Toc29166"/>
      <w:bookmarkStart w:id="18" w:name="_Toc13125"/>
      <w:bookmarkStart w:id="19" w:name="_Toc29014"/>
      <w:bookmarkStart w:id="20" w:name="_Toc25107"/>
      <w:bookmarkStart w:id="21" w:name="_Toc25235"/>
      <w:bookmarkStart w:id="22" w:name="_Toc13421"/>
      <w:bookmarkStart w:id="23" w:name="_Toc24583"/>
      <w:bookmarkStart w:id="24" w:name="_Toc612"/>
      <w:bookmarkStart w:id="25" w:name="_Toc2286"/>
      <w:bookmarkStart w:id="26" w:name="_Toc23297"/>
      <w:bookmarkStart w:id="27" w:name="_Toc12164"/>
      <w:bookmarkStart w:id="28" w:name="_Toc5694"/>
      <w:bookmarkStart w:id="29" w:name="_Toc21793"/>
      <w:bookmarkStart w:id="30" w:name="_Toc32443"/>
      <w:bookmarkStart w:id="31" w:name="_Toc16645"/>
      <w:bookmarkStart w:id="32" w:name="_Toc7651"/>
      <w:bookmarkStart w:id="33" w:name="_Toc18863"/>
      <w:r>
        <w:rPr>
          <w:rFonts w:hint="eastAsia" w:ascii="黑体" w:hAnsi="黑体" w:eastAsia="黑体" w:cs="黑体"/>
          <w:sz w:val="60"/>
          <w:szCs w:val="60"/>
        </w:rPr>
        <w:t>电器电子产品环保检测</w:t>
      </w:r>
      <w:bookmarkEnd w:id="0"/>
      <w:bookmarkStart w:id="34" w:name="_Toc845"/>
    </w:p>
    <w:p w14:paraId="59F414E2">
      <w:pPr>
        <w:jc w:val="center"/>
        <w:rPr>
          <w:rFonts w:ascii="黑体" w:hAnsi="黑体" w:eastAsia="黑体" w:cs="黑体"/>
          <w:sz w:val="60"/>
          <w:szCs w:val="60"/>
        </w:rPr>
      </w:pPr>
      <w:r>
        <w:rPr>
          <w:rFonts w:hint="eastAsia" w:ascii="黑体" w:hAnsi="黑体" w:eastAsia="黑体" w:cs="黑体"/>
          <w:sz w:val="60"/>
          <w:szCs w:val="60"/>
        </w:rPr>
        <w:t>高质量实验室</w:t>
      </w:r>
      <w:bookmarkEnd w:id="1"/>
      <w:bookmarkEnd w:id="2"/>
      <w:bookmarkEnd w:id="3"/>
      <w:bookmarkEnd w:id="4"/>
      <w:bookmarkEnd w:id="5"/>
      <w:bookmarkEnd w:id="6"/>
      <w:bookmarkEnd w:id="7"/>
      <w:bookmarkEnd w:id="8"/>
      <w:bookmarkEnd w:id="9"/>
      <w:bookmarkEnd w:id="10"/>
      <w:bookmarkStart w:id="35" w:name="_Toc16483"/>
      <w:bookmarkStart w:id="36" w:name="_Toc25280"/>
      <w:bookmarkStart w:id="37" w:name="_Toc27636"/>
      <w:bookmarkStart w:id="38" w:name="_Toc2365"/>
      <w:bookmarkStart w:id="39" w:name="_Toc14042"/>
      <w:bookmarkStart w:id="40" w:name="_Toc4142"/>
      <w:bookmarkStart w:id="41" w:name="_Toc9893"/>
      <w:bookmarkStart w:id="42" w:name="_Toc31478"/>
      <w:bookmarkStart w:id="43" w:name="_Toc361"/>
      <w:bookmarkStart w:id="44" w:name="_Toc23190"/>
      <w:r>
        <w:rPr>
          <w:rFonts w:hint="eastAsia" w:ascii="黑体" w:hAnsi="黑体" w:eastAsia="黑体" w:cs="黑体"/>
          <w:sz w:val="60"/>
          <w:szCs w:val="60"/>
        </w:rPr>
        <w:t>评价规范</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03D2017D">
      <w:pPr>
        <w:pStyle w:val="24"/>
        <w:framePr w:w="5413" w:wrap="around" w:vAnchor="text" w:hAnchor="page" w:x="1027" w:y="6794"/>
        <w:rPr>
          <w:rFonts w:ascii="黑体" w:hAnsi="黑体" w:cs="黑体"/>
          <w:color w:val="000000"/>
          <w:sz w:val="28"/>
          <w:szCs w:val="28"/>
        </w:rPr>
      </w:pPr>
      <w:r>
        <w:rPr>
          <w:rFonts w:hint="eastAsia" w:ascii="黑体" w:hAnsi="黑体" w:cs="黑体"/>
          <w:sz w:val="28"/>
          <w:szCs w:val="28"/>
        </w:rPr>
        <w:t>202</w:t>
      </w:r>
      <w:r>
        <w:rPr>
          <w:rFonts w:hint="eastAsia" w:ascii="黑体" w:hAnsi="黑体" w:cs="黑体"/>
          <w:sz w:val="28"/>
          <w:szCs w:val="28"/>
          <w:lang w:val="en-US" w:eastAsia="zh-CN"/>
        </w:rPr>
        <w:t>X</w:t>
      </w:r>
      <w:r>
        <w:rPr>
          <w:rFonts w:hint="eastAsia" w:ascii="黑体" w:hAnsi="黑体" w:cs="黑体"/>
          <w:sz w:val="28"/>
          <w:szCs w:val="28"/>
        </w:rPr>
        <w:t>-XX-XX发布</w:t>
      </w:r>
    </w:p>
    <w:p w14:paraId="2A8FD4A7">
      <w:pPr>
        <w:pStyle w:val="25"/>
        <w:framePr w:wrap="around" w:vAnchor="text" w:hAnchor="page" w:x="6995" w:y="6834"/>
        <w:rPr>
          <w:rFonts w:ascii="黑体" w:hAnsi="黑体" w:cs="黑体"/>
          <w:color w:val="000000"/>
        </w:rPr>
      </w:pPr>
      <w:r>
        <w:rPr>
          <w:rFonts w:hint="eastAsia" w:ascii="黑体" w:hAnsi="黑体" w:cs="黑体"/>
          <w:sz w:val="28"/>
          <w:szCs w:val="28"/>
        </w:rPr>
        <w:t>202</w:t>
      </w:r>
      <w:r>
        <w:rPr>
          <w:rFonts w:hint="eastAsia" w:ascii="黑体" w:hAnsi="黑体" w:cs="黑体"/>
          <w:sz w:val="28"/>
          <w:szCs w:val="28"/>
          <w:lang w:val="en-US" w:eastAsia="zh-CN"/>
        </w:rPr>
        <w:t>X</w:t>
      </w:r>
      <w:r>
        <w:rPr>
          <w:rFonts w:hint="eastAsia" w:ascii="黑体" w:hAnsi="黑体" w:cs="黑体"/>
          <w:sz w:val="28"/>
          <w:szCs w:val="28"/>
        </w:rPr>
        <w:t>-XX-XX实施</w:t>
      </w:r>
    </w:p>
    <w:p w14:paraId="6ADDE601">
      <w:pPr>
        <w:pStyle w:val="21"/>
        <w:jc w:val="center"/>
        <w:rPr>
          <w:rFonts w:ascii="Arial" w:hAnsi="Arial" w:cs="Arial"/>
          <w:color w:val="auto"/>
          <w:sz w:val="28"/>
          <w:szCs w:val="28"/>
        </w:rPr>
      </w:pPr>
      <w:r>
        <w:rPr>
          <w:rFonts w:ascii="Arial" w:hAnsi="Arial" w:cs="Arial"/>
          <w:color w:val="auto"/>
          <w:sz w:val="28"/>
          <w:szCs w:val="28"/>
        </w:rPr>
        <w:t xml:space="preserve">Specification for Evaluation of High-Quality Laboratories for EEE Environmental Testing </w:t>
      </w:r>
      <w:bookmarkStart w:id="87" w:name="_GoBack"/>
      <w:bookmarkEnd w:id="87"/>
    </w:p>
    <w:p w14:paraId="5E324E3B">
      <w:pPr>
        <w:pStyle w:val="21"/>
        <w:jc w:val="center"/>
        <w:rPr>
          <w:rFonts w:hint="eastAsia" w:ascii="黑体" w:hAnsi="黑体" w:eastAsia="黑体" w:cs="黑体"/>
          <w:sz w:val="32"/>
          <w:szCs w:val="32"/>
        </w:rPr>
      </w:pPr>
      <w:r>
        <w:rPr>
          <w:rFonts w:hint="eastAsia" w:ascii="黑体" w:hAnsi="黑体" w:eastAsia="黑体" w:cs="黑体"/>
          <w:sz w:val="32"/>
          <w:szCs w:val="32"/>
        </w:rPr>
        <w:t>（征求意见稿）</w:t>
      </w:r>
    </w:p>
    <w:p w14:paraId="77FB9523">
      <w:pPr>
        <w:pStyle w:val="21"/>
        <w:jc w:val="center"/>
        <w:rPr>
          <w:rFonts w:hint="eastAsia" w:ascii="黑体" w:hAnsi="黑体" w:eastAsia="黑体" w:cs="黑体"/>
          <w:sz w:val="32"/>
          <w:szCs w:val="32"/>
        </w:rPr>
      </w:pPr>
    </w:p>
    <w:p w14:paraId="5DCD9E4F">
      <w:pPr>
        <w:pStyle w:val="21"/>
        <w:jc w:val="center"/>
        <w:rPr>
          <w:rFonts w:hint="default"/>
          <w:color w:val="auto"/>
          <w:sz w:val="24"/>
          <w:szCs w:val="24"/>
          <w:lang w:val="en-US"/>
        </w:rPr>
      </w:pPr>
      <w:r>
        <w:rPr>
          <w:rFonts w:hint="eastAsia" w:ascii="黑体" w:hAnsi="黑体" w:eastAsia="黑体" w:cs="黑体"/>
          <w:color w:val="000000"/>
          <w:sz w:val="24"/>
          <w:szCs w:val="24"/>
          <w:shd w:val="clear" w:color="auto" w:fill="FFFFFF"/>
          <w:lang w:val="en-US" w:eastAsia="zh-CN"/>
        </w:rPr>
        <w:t>请您在提交反馈意见时，将您知道的相关专利连同支持性文件随意见一并附上。</w:t>
      </w:r>
    </w:p>
    <w:p w14:paraId="343F36E9">
      <w:pPr>
        <w:pStyle w:val="21"/>
        <w:rPr>
          <w:color w:val="auto"/>
        </w:rPr>
      </w:pPr>
    </w:p>
    <w:p w14:paraId="782A45EF">
      <w:pPr>
        <w:pStyle w:val="21"/>
        <w:rPr>
          <w:color w:val="auto"/>
        </w:rPr>
      </w:pPr>
    </w:p>
    <w:p w14:paraId="08C9D1FF">
      <w:pPr>
        <w:pStyle w:val="21"/>
        <w:rPr>
          <w:color w:val="auto"/>
        </w:rPr>
      </w:pPr>
    </w:p>
    <w:p w14:paraId="4189D3F7">
      <w:pPr>
        <w:pStyle w:val="21"/>
        <w:rPr>
          <w:color w:val="auto"/>
        </w:rPr>
      </w:pPr>
    </w:p>
    <w:p w14:paraId="06F47C3D">
      <w:pPr>
        <w:pStyle w:val="21"/>
        <w:rPr>
          <w:color w:val="auto"/>
        </w:rPr>
      </w:pPr>
    </w:p>
    <w:p w14:paraId="6C4EEEA6">
      <w:pPr>
        <w:pStyle w:val="21"/>
        <w:rPr>
          <w:color w:val="auto"/>
        </w:rPr>
      </w:pPr>
    </w:p>
    <w:p w14:paraId="2B2642E1">
      <w:pPr>
        <w:pStyle w:val="21"/>
        <w:rPr>
          <w:color w:val="auto"/>
        </w:rPr>
      </w:pPr>
    </w:p>
    <w:p w14:paraId="75E06CDB">
      <w:pPr>
        <w:pStyle w:val="21"/>
        <w:rPr>
          <w:color w:val="auto"/>
        </w:rPr>
      </w:pPr>
    </w:p>
    <w:p w14:paraId="3DBCF376">
      <w:pPr>
        <w:pStyle w:val="21"/>
        <w:jc w:val="both"/>
        <w:rPr>
          <w:rFonts w:hAnsi="宋体" w:cs="宋体" w:eastAsiaTheme="minorEastAsia"/>
          <w:spacing w:val="26"/>
          <w:w w:val="115"/>
          <w:sz w:val="36"/>
          <w:szCs w:val="36"/>
        </w:rPr>
      </w:pPr>
      <w:r>
        <w:rPr>
          <w:rFonts w:ascii="宋体" w:hAnsi="宋体"/>
          <w:sz w:val="21"/>
        </w:rPr>
        <mc:AlternateContent>
          <mc:Choice Requires="wps">
            <w:drawing>
              <wp:anchor distT="0" distB="0" distL="114300" distR="114300" simplePos="0" relativeHeight="251661312" behindDoc="0" locked="0" layoutInCell="1" allowOverlap="1">
                <wp:simplePos x="0" y="0"/>
                <wp:positionH relativeFrom="column">
                  <wp:posOffset>-70485</wp:posOffset>
                </wp:positionH>
                <wp:positionV relativeFrom="paragraph">
                  <wp:posOffset>7620</wp:posOffset>
                </wp:positionV>
                <wp:extent cx="6338570" cy="587375"/>
                <wp:effectExtent l="4445" t="4445" r="6985" b="5080"/>
                <wp:wrapNone/>
                <wp:docPr id="1" name="文本框 1"/>
                <wp:cNvGraphicFramePr/>
                <a:graphic xmlns:a="http://schemas.openxmlformats.org/drawingml/2006/main">
                  <a:graphicData uri="http://schemas.microsoft.com/office/word/2010/wordprocessingShape">
                    <wps:wsp>
                      <wps:cNvSpPr txBox="1"/>
                      <wps:spPr>
                        <a:xfrm>
                          <a:off x="0" y="0"/>
                          <a:ext cx="6338570" cy="587375"/>
                        </a:xfrm>
                        <a:prstGeom prst="rect">
                          <a:avLst/>
                        </a:prstGeom>
                        <a:solidFill>
                          <a:srgbClr val="FFFFFF"/>
                        </a:solidFill>
                        <a:ln w="6350">
                          <a:solidFill>
                            <a:prstClr val="black"/>
                          </a:solidFill>
                        </a:ln>
                        <a:effectLst/>
                      </wps:spPr>
                      <wps:txbx>
                        <w:txbxContent>
                          <w:p w14:paraId="626ABB6D">
                            <w:pPr>
                              <w:pStyle w:val="27"/>
                              <w:spacing w:before="156" w:beforeLines="50" w:beforeAutospacing="0" w:after="0" w:afterAutospacing="0"/>
                              <w:jc w:val="both"/>
                            </w:pPr>
                            <w:r>
                              <w:rPr>
                                <w:rFonts w:hint="eastAsia"/>
                                <w:b/>
                                <w:bCs/>
                                <w:color w:val="FF0000"/>
                                <w:sz w:val="21"/>
                                <w:szCs w:val="21"/>
                              </w:rPr>
                              <w:t>本文件的征求意见稿版权归中国电子节能技术协会所有，未经授权，不得复制、传播、使用，侵权必究！</w:t>
                            </w:r>
                          </w:p>
                          <w:p w14:paraId="33A527B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5pt;margin-top:0.6pt;height:46.25pt;width:499.1pt;z-index:251661312;mso-width-relative:page;mso-height-relative:page;" fillcolor="#FFFFFF" filled="t" stroked="t" coordsize="21600,21600" o:gfxdata="UEsDBAoAAAAAAIdO4kAAAAAAAAAAAAAAAAAEAAAAZHJzL1BLAwQUAAAACACHTuJAW9knVdQAAAAI&#10;AQAADwAAAGRycy9kb3ducmV2LnhtbE2PwU7DMBBE70j8g7VI3FrHidSWEKcSSEiIGyUXbm68TSLs&#10;dWS7Tfl7lhPcdvRGszPN/uqduGBMUyANal2AQOqDnWjQ0H28rHYgUjZkjQuEGr4xwb69vWlMbcNC&#10;73g55EFwCKXaaBhznmspUz+iN2kdZiRmpxC9ySzjIG00C4d7J8ui2EhvJuIPo5nxecT+63D2Gl43&#10;T/kTO/tmq7IKSyf7eHJJ6/s7VTyCyHjNf2b4rc/VoeVOx3Amm4TTsFJKsZVBCYL5w27L+shHtQXZ&#10;NvL/gPYHUEsDBBQAAAAIAIdO4kA0BRtwXAIAAMUEAAAOAAAAZHJzL2Uyb0RvYy54bWytVM1uGjEQ&#10;vlfqO1i+l4UkBIpYIpqIqlLUREqrno3Xy1q1Pa5t2KUP0LxBT7303ufiOTr2LoQkPeRQDmb++Gbm&#10;mxmmF41WZCOcl2ByOuj1KRGGQyHNKqefPy3ejCnxgZmCKTAip1vh6cXs9atpbSfiBCpQhXAEQYyf&#10;1DanVQh2kmWeV0Iz3wMrDDpLcJoFVN0qKxyrEV2r7KTfP89qcIV1wIX3aL1qnbRDdC8BhLKUXFwB&#10;X2thQovqhGIBW/KVtJ7OUrVlKXi4KUsvAlE5xU5DejEJysv4ZrMpm6wcs5XkXQnsJSU86UkzaTDp&#10;AeqKBUbWTj6D0pI78FCGHgedtY0kRrCLQf8JN3cVsyL1glR7eyDd/z9Y/nFz64gscBMoMUzjwHc/&#10;73e//ux+/yCDSE9t/QSj7izGheYdNDG0s3s0xq6b0un4jf0Q9CO52wO5ogmEo/H89HQ8HKGLo284&#10;Hp2OhhEme/i1dT68F6BJFHLqcHiJU7a59qEN3YfEZB6ULBZSqaS41fJSObJhOOhF+nToj8KUIXUs&#10;ZdhPyI98EfsAsVSMf32OgNUqE/OJtFtdXZGilooohWbZdPwsodgibQ7avfOWLyRmuWY+3DKHi4Z0&#10;4CmGG3xKBVgadBIlFbjv/7LHeJw/eimpcXFz6r+tmROUqA8GN+Pt4OwMYUNSzoajE1TcsWd57DFr&#10;fQlIGU4fq0tijA9qL5YO9Be82HnMii5mOObOadiLl6E9J7x4LubzFIS7bVm4NneWR+hImIH5OkAp&#10;0yAjTS03uABRwe1Oq9BdYjyfYz1FPfz7z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9knVdQA&#10;AAAIAQAADwAAAAAAAAABACAAAAAiAAAAZHJzL2Rvd25yZXYueG1sUEsBAhQAFAAAAAgAh07iQDQF&#10;G3BcAgAAxQQAAA4AAAAAAAAAAQAgAAAAIwEAAGRycy9lMm9Eb2MueG1sUEsFBgAAAAAGAAYAWQEA&#10;APEFAAAAAA==&#10;">
                <v:fill on="t" focussize="0,0"/>
                <v:stroke weight="0.5pt" color="#000000" joinstyle="round"/>
                <v:imagedata o:title=""/>
                <o:lock v:ext="edit" aspectratio="f"/>
                <v:textbox>
                  <w:txbxContent>
                    <w:p w14:paraId="626ABB6D">
                      <w:pPr>
                        <w:pStyle w:val="27"/>
                        <w:spacing w:before="156" w:beforeLines="50" w:beforeAutospacing="0" w:after="0" w:afterAutospacing="0"/>
                        <w:jc w:val="both"/>
                      </w:pPr>
                      <w:r>
                        <w:rPr>
                          <w:rFonts w:hint="eastAsia"/>
                          <w:b/>
                          <w:bCs/>
                          <w:color w:val="FF0000"/>
                          <w:sz w:val="21"/>
                          <w:szCs w:val="21"/>
                        </w:rPr>
                        <w:t>本文件的征求意见稿版权归中国电子节能技术协会所有，未经授权，不得复制、传播、使用，侵权必究！</w:t>
                      </w:r>
                    </w:p>
                    <w:p w14:paraId="33A527BB"/>
                  </w:txbxContent>
                </v:textbox>
              </v:shape>
            </w:pict>
          </mc:Fallback>
        </mc:AlternateContent>
      </w:r>
    </w:p>
    <w:p w14:paraId="14D4D0E8">
      <w:pPr>
        <w:pStyle w:val="21"/>
        <w:jc w:val="both"/>
        <w:rPr>
          <w:rFonts w:hAnsi="宋体" w:cs="宋体" w:eastAsiaTheme="minorEastAsia"/>
          <w:spacing w:val="26"/>
          <w:w w:val="115"/>
          <w:sz w:val="36"/>
          <w:szCs w:val="36"/>
        </w:rPr>
      </w:pPr>
    </w:p>
    <w:p w14:paraId="435F225B">
      <w:pPr>
        <w:pStyle w:val="28"/>
        <w:framePr w:h="739" w:hRule="exact" w:hSpace="181" w:vSpace="181" w:wrap="around" w:vAnchor="page" w:hAnchor="page" w:x="2092" w:y="14967"/>
        <w:rPr>
          <w:rFonts w:hAnsi="黑体" w:cs="黑体"/>
          <w:b/>
          <w:bCs/>
          <w:szCs w:val="36"/>
        </w:rPr>
      </w:pPr>
      <w:r>
        <w:rPr>
          <w:rFonts w:hint="eastAsia" w:hAnsi="黑体" w:cs="黑体"/>
          <w:b/>
          <w:bCs/>
          <w:spacing w:val="26"/>
          <w:w w:val="115"/>
          <w:szCs w:val="36"/>
        </w:rPr>
        <w:t>中国电子节能技术协会</w:t>
      </w:r>
      <w:r>
        <w:rPr>
          <w:rFonts w:hint="eastAsia" w:hAnsi="黑体" w:cs="黑体"/>
          <w:b/>
          <w:bCs/>
          <w:w w:val="100"/>
          <w:szCs w:val="36"/>
        </w:rPr>
        <w:t> </w:t>
      </w:r>
      <w:r>
        <w:rPr>
          <w:rStyle w:val="26"/>
          <w:rFonts w:hint="eastAsia" w:hAnsi="黑体" w:cs="黑体"/>
          <w:b/>
          <w:bCs/>
          <w:position w:val="0"/>
          <w:sz w:val="36"/>
          <w:szCs w:val="36"/>
        </w:rPr>
        <w:t>发</w:t>
      </w:r>
      <w:r>
        <w:rPr>
          <w:rStyle w:val="26"/>
          <w:rFonts w:hint="eastAsia" w:hAnsi="黑体" w:cs="黑体"/>
          <w:b/>
          <w:bCs/>
          <w:spacing w:val="0"/>
          <w:position w:val="0"/>
          <w:sz w:val="36"/>
          <w:szCs w:val="36"/>
        </w:rPr>
        <w:t>布</w:t>
      </w:r>
    </w:p>
    <w:p w14:paraId="638EB561">
      <w:pPr>
        <w:jc w:val="both"/>
        <w:rPr>
          <w:rFonts w:ascii="黑体" w:hAnsi="黑体" w:eastAsia="黑体" w:cs="黑体"/>
          <w:sz w:val="32"/>
          <w:szCs w:val="32"/>
        </w:rPr>
        <w:sectPr>
          <w:headerReference r:id="rId3" w:type="default"/>
          <w:footerReference r:id="rId4" w:type="default"/>
          <w:pgSz w:w="11906" w:h="16838"/>
          <w:pgMar w:top="567" w:right="1134" w:bottom="1134" w:left="1134" w:header="851" w:footer="992" w:gutter="0"/>
          <w:pgNumType w:fmt="upperRoman" w:start="1"/>
          <w:cols w:space="425" w:num="1"/>
          <w:docGrid w:type="lines" w:linePitch="312" w:charSpace="0"/>
        </w:sectPr>
      </w:pPr>
      <w:r>
        <w:rPr>
          <w:rFonts w:hint="eastAsia" w:ascii="宋体" w:hAnsi="宋体" w:eastAsia="宋体"/>
          <w:szCs w:val="28"/>
        </w:rPr>
        <mc:AlternateContent>
          <mc:Choice Requires="wps">
            <w:drawing>
              <wp:anchor distT="0" distB="0" distL="114300" distR="114300" simplePos="0" relativeHeight="251663360" behindDoc="0" locked="1" layoutInCell="1" allowOverlap="1">
                <wp:simplePos x="0" y="0"/>
                <wp:positionH relativeFrom="page">
                  <wp:posOffset>661670</wp:posOffset>
                </wp:positionH>
                <wp:positionV relativeFrom="page">
                  <wp:posOffset>9368790</wp:posOffset>
                </wp:positionV>
                <wp:extent cx="6346825" cy="14605"/>
                <wp:effectExtent l="0" t="4445" r="6350" b="9525"/>
                <wp:wrapNone/>
                <wp:docPr id="17" name="直接连接符 17"/>
                <wp:cNvGraphicFramePr/>
                <a:graphic xmlns:a="http://schemas.openxmlformats.org/drawingml/2006/main">
                  <a:graphicData uri="http://schemas.microsoft.com/office/word/2010/wordprocessingShape">
                    <wps:wsp>
                      <wps:cNvCnPr>
                        <a:cxnSpLocks noChangeShapeType="1"/>
                      </wps:cNvCnPr>
                      <wps:spPr bwMode="auto">
                        <a:xfrm>
                          <a:off x="0" y="0"/>
                          <a:ext cx="6346825" cy="1460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2.1pt;margin-top:737.7pt;height:1.15pt;width:499.75pt;mso-position-horizontal-relative:page;mso-position-vertical-relative:page;z-index:251663360;mso-width-relative:page;mso-height-relative:page;" filled="f" stroked="t" coordsize="21600,21600" o:gfxdata="UEsDBAoAAAAAAIdO4kAAAAAAAAAAAAAAAAAEAAAAZHJzL1BLAwQUAAAACACHTuJAy1IqJNoAAAAO&#10;AQAADwAAAGRycy9kb3ducmV2LnhtbE2PzU7DMBCE70i8g7VIXCpqJw0NCnF6AHLjQqHi6sZLEhGv&#10;09j9gadnywVuO7uj2W/K1ckN4oBT6D1pSOYKBFLjbU+thrfX+uYORIiGrBk8oYYvDLCqLi9KU1h/&#10;pBc8rGMrOIRCYTR0MY6FlKHp0Jkw9yMS3z785ExkObXSTubI4W6QqVJL6UxP/KEzIz502Hyu905D&#10;qDe4q79nzUy9L1qP6e7x+clofX2VqHsQEU/xzwxnfEaHipm2fk82iIG1ylK28pDltxmIsyVRixzE&#10;9neX5yCrUv6vUf0AUEsDBBQAAAAIAIdO4kANQeZL6QEAALADAAAOAAAAZHJzL2Uyb0RvYy54bWyt&#10;U81uEzEQviPxDpbvZJPQhHaVTQ+JyqVApLYPMPF6sxa2x7KdbPISvAASNzhx7J23oTwGY+cHWi49&#10;sAfL45n5Zr5vZieXW6PZRvqg0FZ80OtzJq3AWtlVxe9ur16dcxYi2Bo0WlnxnQz8cvryxaRzpRxi&#10;i7qWnhGIDWXnKt7G6MqiCKKVBkIPnbTkbNAbiGT6VVF76Ajd6GLY74+LDn3tPAoZAr3O905+QPTP&#10;AcSmUULOUayNtHGP6qWGSJRCq1zg09xt00gRPzRNkJHpihPTmE8qQvdlOovpBMqVB9cqcWgBntPC&#10;E04GlKWiJ6g5RGBrr/6BMkp4DNjEnkBT7IlkRYjFoP9Em5sWnMxcSOrgTqKH/wcr3m8WnqmaNuEN&#10;ZxYMTfzh8/3PT19//fhC58P3b4w8JFPnQknRM7vwiajY2ht3jeJjYBZnLdiVzO3e7hxBDFJG8Sgl&#10;GcFRsWX3DmuKgXXErNm28SZBkhpsm0ezO41GbiMT9Dh+fTY+H444E+QbnI37o1wBymOy8yG+lWhY&#10;ulRcK5uUgxI21yGmZqA8hqRni1dK6zx9bVlX8YsRoSdPQK3q5MyGXy1n2rMNpP3J36HuozCPa1vv&#10;i2h7IJ647lVbYr1b+KMgNMjczWHp0qb8befsPz/a9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L&#10;Uiok2gAAAA4BAAAPAAAAAAAAAAEAIAAAACIAAABkcnMvZG93bnJldi54bWxQSwECFAAUAAAACACH&#10;TuJADUHmS+kBAACwAwAADgAAAAAAAAABACAAAAApAQAAZHJzL2Uyb0RvYy54bWxQSwUGAAAAAAYA&#10;BgBZAQAAhAUAAAAA&#10;">
                <v:fill on="f" focussize="0,0"/>
                <v:stroke color="#000000" joinstyle="round"/>
                <v:imagedata o:title=""/>
                <o:lock v:ext="edit" aspectratio="f"/>
                <w10:anchorlock/>
              </v:line>
            </w:pict>
          </mc:Fallback>
        </mc:AlternateContent>
      </w:r>
    </w:p>
    <w:sdt>
      <w:sdtPr>
        <w:rPr>
          <w:rFonts w:hint="eastAsia" w:ascii="黑体" w:hAnsi="黑体" w:eastAsia="黑体" w:cs="黑体"/>
          <w:kern w:val="2"/>
          <w:sz w:val="21"/>
          <w:szCs w:val="24"/>
          <w:lang w:val="en-US" w:eastAsia="zh-CN" w:bidi="ar-SA"/>
        </w:rPr>
        <w:id w:val="147480675"/>
        <w15:color w:val="DBDBDB"/>
        <w:docPartObj>
          <w:docPartGallery w:val="Table of Contents"/>
          <w:docPartUnique/>
        </w:docPartObj>
      </w:sdtPr>
      <w:sdtEndPr>
        <w:rPr>
          <w:rFonts w:hint="eastAsia" w:asciiTheme="minorHAnsi" w:hAnsiTheme="minorHAnsi" w:eastAsiaTheme="minorEastAsia" w:cstheme="minorBidi"/>
          <w:kern w:val="2"/>
          <w:sz w:val="21"/>
          <w:szCs w:val="24"/>
          <w:lang w:val="en-US" w:eastAsia="zh-CN" w:bidi="ar-SA"/>
        </w:rPr>
      </w:sdtEndPr>
      <w:sdtContent>
        <w:p w14:paraId="27761BC8">
          <w:pPr>
            <w:spacing w:before="0" w:beforeLines="0" w:after="0" w:afterLines="0" w:line="240" w:lineRule="auto"/>
            <w:ind w:left="0" w:leftChars="0" w:right="0" w:rightChars="0" w:firstLine="0" w:firstLineChars="0"/>
            <w:jc w:val="center"/>
            <w:rPr>
              <w:rFonts w:hint="eastAsia" w:ascii="黑体" w:hAnsi="黑体" w:eastAsia="黑体" w:cs="黑体"/>
              <w:b/>
              <w:bCs/>
              <w:sz w:val="28"/>
              <w:szCs w:val="36"/>
            </w:rPr>
          </w:pPr>
          <w:r>
            <w:rPr>
              <w:rFonts w:hint="eastAsia" w:ascii="黑体" w:hAnsi="黑体" w:eastAsia="黑体" w:cs="黑体"/>
              <w:b/>
              <w:bCs/>
              <w:sz w:val="28"/>
              <w:szCs w:val="36"/>
            </w:rPr>
            <w:t>目</w:t>
          </w:r>
          <w:r>
            <w:rPr>
              <w:rFonts w:hint="eastAsia" w:ascii="黑体" w:hAnsi="黑体" w:eastAsia="黑体" w:cs="黑体"/>
              <w:b/>
              <w:bCs/>
              <w:sz w:val="28"/>
              <w:szCs w:val="36"/>
              <w:lang w:val="en-US" w:eastAsia="zh-CN"/>
            </w:rPr>
            <w:t xml:space="preserve">        </w:t>
          </w:r>
          <w:r>
            <w:rPr>
              <w:rFonts w:hint="eastAsia" w:ascii="黑体" w:hAnsi="黑体" w:eastAsia="黑体" w:cs="黑体"/>
              <w:b/>
              <w:bCs/>
              <w:sz w:val="28"/>
              <w:szCs w:val="36"/>
            </w:rPr>
            <w:t>录</w:t>
          </w:r>
        </w:p>
        <w:p w14:paraId="1D8E3744">
          <w:pPr>
            <w:pStyle w:val="10"/>
            <w:keepNext w:val="0"/>
            <w:keepLines w:val="0"/>
            <w:pageBreakBefore w:val="0"/>
            <w:widowControl w:val="0"/>
            <w:tabs>
              <w:tab w:val="right" w:leader="dot" w:pos="9638"/>
            </w:tabs>
            <w:kinsoku/>
            <w:wordWrap/>
            <w:overflowPunct/>
            <w:topLinePunct w:val="0"/>
            <w:autoSpaceDE/>
            <w:autoSpaceDN/>
            <w:bidi w:val="0"/>
            <w:adjustRightInd/>
            <w:snapToGrid/>
            <w:spacing w:line="300" w:lineRule="exac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TOC \o "1-1" \h \u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_Toc7783 </w:instrText>
          </w:r>
          <w:r>
            <w:rPr>
              <w:rFonts w:hint="eastAsia" w:ascii="宋体" w:hAnsi="宋体" w:eastAsia="宋体" w:cs="宋体"/>
            </w:rPr>
            <w:fldChar w:fldCharType="separate"/>
          </w:r>
          <w:r>
            <w:rPr>
              <w:rFonts w:hint="eastAsia" w:ascii="宋体" w:hAnsi="宋体" w:eastAsia="宋体" w:cs="宋体"/>
              <w:szCs w:val="24"/>
            </w:rPr>
            <w:t>前     言</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_Toc7783 \h </w:instrText>
          </w:r>
          <w:r>
            <w:rPr>
              <w:rFonts w:hint="eastAsia" w:ascii="宋体" w:hAnsi="宋体" w:eastAsia="宋体" w:cs="宋体"/>
            </w:rPr>
            <w:fldChar w:fldCharType="separate"/>
          </w:r>
          <w:r>
            <w:rPr>
              <w:rFonts w:hint="eastAsia" w:ascii="宋体" w:hAnsi="宋体" w:eastAsia="宋体" w:cs="宋体"/>
            </w:rPr>
            <w:t>II</w:t>
          </w:r>
          <w:r>
            <w:rPr>
              <w:rFonts w:hint="eastAsia" w:ascii="宋体" w:hAnsi="宋体" w:eastAsia="宋体" w:cs="宋体"/>
            </w:rPr>
            <w:fldChar w:fldCharType="end"/>
          </w:r>
          <w:r>
            <w:rPr>
              <w:rFonts w:hint="eastAsia" w:ascii="宋体" w:hAnsi="宋体" w:eastAsia="宋体" w:cs="宋体"/>
            </w:rPr>
            <w:fldChar w:fldCharType="end"/>
          </w:r>
        </w:p>
        <w:p w14:paraId="6D983ED3">
          <w:pPr>
            <w:pStyle w:val="10"/>
            <w:keepNext w:val="0"/>
            <w:keepLines w:val="0"/>
            <w:pageBreakBefore w:val="0"/>
            <w:widowControl w:val="0"/>
            <w:tabs>
              <w:tab w:val="right" w:leader="dot" w:pos="9638"/>
            </w:tabs>
            <w:kinsoku/>
            <w:wordWrap/>
            <w:overflowPunct/>
            <w:topLinePunct w:val="0"/>
            <w:autoSpaceDE/>
            <w:autoSpaceDN/>
            <w:bidi w:val="0"/>
            <w:adjustRightInd/>
            <w:snapToGrid/>
            <w:spacing w:line="300" w:lineRule="exac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_Toc21057 </w:instrText>
          </w:r>
          <w:r>
            <w:rPr>
              <w:rFonts w:hint="eastAsia" w:ascii="宋体" w:hAnsi="宋体" w:eastAsia="宋体" w:cs="宋体"/>
            </w:rPr>
            <w:fldChar w:fldCharType="separate"/>
          </w:r>
          <w:r>
            <w:rPr>
              <w:rFonts w:hint="eastAsia" w:ascii="宋体" w:hAnsi="宋体" w:eastAsia="宋体" w:cs="宋体"/>
              <w:szCs w:val="24"/>
            </w:rPr>
            <w:t>引     言</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_Toc21057 \h </w:instrText>
          </w:r>
          <w:r>
            <w:rPr>
              <w:rFonts w:hint="eastAsia" w:ascii="宋体" w:hAnsi="宋体" w:eastAsia="宋体" w:cs="宋体"/>
            </w:rPr>
            <w:fldChar w:fldCharType="separate"/>
          </w:r>
          <w:r>
            <w:rPr>
              <w:rFonts w:hint="eastAsia" w:ascii="宋体" w:hAnsi="宋体" w:eastAsia="宋体" w:cs="宋体"/>
            </w:rPr>
            <w:t>III</w:t>
          </w:r>
          <w:r>
            <w:rPr>
              <w:rFonts w:hint="eastAsia" w:ascii="宋体" w:hAnsi="宋体" w:eastAsia="宋体" w:cs="宋体"/>
            </w:rPr>
            <w:fldChar w:fldCharType="end"/>
          </w:r>
          <w:r>
            <w:rPr>
              <w:rFonts w:hint="eastAsia" w:ascii="宋体" w:hAnsi="宋体" w:eastAsia="宋体" w:cs="宋体"/>
            </w:rPr>
            <w:fldChar w:fldCharType="end"/>
          </w:r>
        </w:p>
        <w:p w14:paraId="2910C410">
          <w:pPr>
            <w:pStyle w:val="10"/>
            <w:keepNext w:val="0"/>
            <w:keepLines w:val="0"/>
            <w:pageBreakBefore w:val="0"/>
            <w:widowControl w:val="0"/>
            <w:tabs>
              <w:tab w:val="right" w:leader="dot" w:pos="9638"/>
            </w:tabs>
            <w:kinsoku/>
            <w:wordWrap/>
            <w:overflowPunct/>
            <w:topLinePunct w:val="0"/>
            <w:autoSpaceDE/>
            <w:autoSpaceDN/>
            <w:bidi w:val="0"/>
            <w:adjustRightInd/>
            <w:snapToGrid/>
            <w:spacing w:line="300" w:lineRule="exac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_Toc514 </w:instrText>
          </w:r>
          <w:r>
            <w:rPr>
              <w:rFonts w:hint="eastAsia" w:ascii="宋体" w:hAnsi="宋体" w:eastAsia="宋体" w:cs="宋体"/>
            </w:rPr>
            <w:fldChar w:fldCharType="separate"/>
          </w:r>
          <w:r>
            <w:rPr>
              <w:rFonts w:hint="eastAsia" w:ascii="宋体" w:hAnsi="宋体" w:eastAsia="宋体" w:cs="宋体"/>
              <w:i w:val="0"/>
            </w:rPr>
            <w:t xml:space="preserve">1 </w:t>
          </w:r>
          <w:r>
            <w:rPr>
              <w:rFonts w:hint="eastAsia" w:ascii="宋体" w:hAnsi="宋体" w:eastAsia="宋体" w:cs="宋体"/>
            </w:rPr>
            <w:t>范围</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_Toc514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14:paraId="019C4E2A">
          <w:pPr>
            <w:pStyle w:val="10"/>
            <w:keepNext w:val="0"/>
            <w:keepLines w:val="0"/>
            <w:pageBreakBefore w:val="0"/>
            <w:widowControl w:val="0"/>
            <w:tabs>
              <w:tab w:val="right" w:leader="dot" w:pos="9638"/>
            </w:tabs>
            <w:kinsoku/>
            <w:wordWrap/>
            <w:overflowPunct/>
            <w:topLinePunct w:val="0"/>
            <w:autoSpaceDE/>
            <w:autoSpaceDN/>
            <w:bidi w:val="0"/>
            <w:adjustRightInd/>
            <w:snapToGrid/>
            <w:spacing w:line="300" w:lineRule="exac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_Toc29320 </w:instrText>
          </w:r>
          <w:r>
            <w:rPr>
              <w:rFonts w:hint="eastAsia" w:ascii="宋体" w:hAnsi="宋体" w:eastAsia="宋体" w:cs="宋体"/>
            </w:rPr>
            <w:fldChar w:fldCharType="separate"/>
          </w:r>
          <w:r>
            <w:rPr>
              <w:rFonts w:hint="eastAsia" w:ascii="宋体" w:hAnsi="宋体" w:eastAsia="宋体" w:cs="宋体"/>
              <w:bCs w:val="0"/>
              <w:i w:val="0"/>
            </w:rPr>
            <w:t xml:space="preserve">2 </w:t>
          </w:r>
          <w:r>
            <w:rPr>
              <w:rFonts w:hint="eastAsia" w:ascii="宋体" w:hAnsi="宋体" w:eastAsia="宋体" w:cs="宋体"/>
              <w:bCs w:val="0"/>
            </w:rPr>
            <w:t>规范性引用文件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_Toc29320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14:paraId="64E1FE62">
          <w:pPr>
            <w:pStyle w:val="10"/>
            <w:keepNext w:val="0"/>
            <w:keepLines w:val="0"/>
            <w:pageBreakBefore w:val="0"/>
            <w:widowControl w:val="0"/>
            <w:tabs>
              <w:tab w:val="right" w:leader="dot" w:pos="9638"/>
            </w:tabs>
            <w:kinsoku/>
            <w:wordWrap/>
            <w:overflowPunct/>
            <w:topLinePunct w:val="0"/>
            <w:autoSpaceDE/>
            <w:autoSpaceDN/>
            <w:bidi w:val="0"/>
            <w:adjustRightInd/>
            <w:snapToGrid/>
            <w:spacing w:line="300" w:lineRule="exac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_Toc15494 </w:instrText>
          </w:r>
          <w:r>
            <w:rPr>
              <w:rFonts w:hint="eastAsia" w:ascii="宋体" w:hAnsi="宋体" w:eastAsia="宋体" w:cs="宋体"/>
            </w:rPr>
            <w:fldChar w:fldCharType="separate"/>
          </w:r>
          <w:r>
            <w:rPr>
              <w:rFonts w:hint="eastAsia" w:ascii="宋体" w:hAnsi="宋体" w:eastAsia="宋体" w:cs="宋体"/>
              <w:i w:val="0"/>
            </w:rPr>
            <w:t xml:space="preserve">3 </w:t>
          </w:r>
          <w:r>
            <w:rPr>
              <w:rFonts w:hint="eastAsia" w:ascii="宋体" w:hAnsi="宋体" w:eastAsia="宋体" w:cs="宋体"/>
            </w:rPr>
            <w:t>术语和定义</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_Toc15494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14:paraId="0F19647B">
          <w:pPr>
            <w:pStyle w:val="10"/>
            <w:keepNext w:val="0"/>
            <w:keepLines w:val="0"/>
            <w:pageBreakBefore w:val="0"/>
            <w:widowControl w:val="0"/>
            <w:tabs>
              <w:tab w:val="right" w:leader="dot" w:pos="9638"/>
            </w:tabs>
            <w:kinsoku/>
            <w:wordWrap/>
            <w:overflowPunct/>
            <w:topLinePunct w:val="0"/>
            <w:autoSpaceDE/>
            <w:autoSpaceDN/>
            <w:bidi w:val="0"/>
            <w:adjustRightInd/>
            <w:snapToGrid/>
            <w:spacing w:line="300" w:lineRule="exac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_Toc31495 </w:instrText>
          </w:r>
          <w:r>
            <w:rPr>
              <w:rFonts w:hint="eastAsia" w:ascii="宋体" w:hAnsi="宋体" w:eastAsia="宋体" w:cs="宋体"/>
            </w:rPr>
            <w:fldChar w:fldCharType="separate"/>
          </w:r>
          <w:r>
            <w:rPr>
              <w:rFonts w:hint="eastAsia" w:ascii="宋体" w:hAnsi="宋体" w:eastAsia="宋体" w:cs="宋体"/>
              <w:i w:val="0"/>
            </w:rPr>
            <w:t xml:space="preserve">4 </w:t>
          </w:r>
          <w:r>
            <w:rPr>
              <w:rFonts w:hint="eastAsia" w:ascii="宋体" w:hAnsi="宋体" w:eastAsia="宋体" w:cs="宋体"/>
            </w:rPr>
            <w:t>评价内容与要求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_Toc31495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14:paraId="6FDAB61B">
          <w:pPr>
            <w:pStyle w:val="10"/>
            <w:keepNext w:val="0"/>
            <w:keepLines w:val="0"/>
            <w:pageBreakBefore w:val="0"/>
            <w:widowControl w:val="0"/>
            <w:tabs>
              <w:tab w:val="right" w:leader="dot" w:pos="9638"/>
            </w:tabs>
            <w:kinsoku/>
            <w:wordWrap/>
            <w:overflowPunct/>
            <w:topLinePunct w:val="0"/>
            <w:autoSpaceDE/>
            <w:autoSpaceDN/>
            <w:bidi w:val="0"/>
            <w:adjustRightInd/>
            <w:snapToGrid/>
            <w:spacing w:line="300" w:lineRule="exac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_Toc23687 </w:instrText>
          </w:r>
          <w:r>
            <w:rPr>
              <w:rFonts w:hint="eastAsia" w:ascii="宋体" w:hAnsi="宋体" w:eastAsia="宋体" w:cs="宋体"/>
            </w:rPr>
            <w:fldChar w:fldCharType="separate"/>
          </w:r>
          <w:r>
            <w:rPr>
              <w:rFonts w:hint="eastAsia" w:ascii="宋体" w:hAnsi="宋体" w:eastAsia="宋体" w:cs="宋体"/>
              <w:i w:val="0"/>
            </w:rPr>
            <w:t xml:space="preserve">5 </w:t>
          </w:r>
          <w:r>
            <w:rPr>
              <w:rFonts w:hint="eastAsia" w:ascii="宋体" w:hAnsi="宋体" w:eastAsia="宋体" w:cs="宋体"/>
            </w:rPr>
            <w:t>评分标准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_Toc23687 \h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rPr>
            <w:fldChar w:fldCharType="end"/>
          </w:r>
          <w:r>
            <w:rPr>
              <w:rFonts w:hint="eastAsia" w:ascii="宋体" w:hAnsi="宋体" w:eastAsia="宋体" w:cs="宋体"/>
            </w:rPr>
            <w:fldChar w:fldCharType="end"/>
          </w:r>
        </w:p>
        <w:p w14:paraId="13540407">
          <w:pPr>
            <w:pStyle w:val="10"/>
            <w:keepNext w:val="0"/>
            <w:keepLines w:val="0"/>
            <w:pageBreakBefore w:val="0"/>
            <w:widowControl w:val="0"/>
            <w:tabs>
              <w:tab w:val="right" w:leader="dot" w:pos="9638"/>
            </w:tabs>
            <w:kinsoku/>
            <w:wordWrap/>
            <w:overflowPunct/>
            <w:topLinePunct w:val="0"/>
            <w:autoSpaceDE/>
            <w:autoSpaceDN/>
            <w:bidi w:val="0"/>
            <w:adjustRightInd/>
            <w:snapToGrid/>
            <w:spacing w:line="300" w:lineRule="exac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_Toc21294 </w:instrText>
          </w:r>
          <w:r>
            <w:rPr>
              <w:rFonts w:hint="eastAsia" w:ascii="宋体" w:hAnsi="宋体" w:eastAsia="宋体" w:cs="宋体"/>
            </w:rPr>
            <w:fldChar w:fldCharType="separate"/>
          </w:r>
          <w:r>
            <w:rPr>
              <w:rFonts w:hint="eastAsia" w:ascii="宋体" w:hAnsi="宋体" w:eastAsia="宋体" w:cs="宋体"/>
              <w:i w:val="0"/>
              <w:szCs w:val="28"/>
              <w:lang w:val="en-US" w:eastAsia="zh-CN" w:bidi="ar-SA"/>
            </w:rPr>
            <w:t xml:space="preserve">6 </w:t>
          </w:r>
          <w:r>
            <w:rPr>
              <w:rFonts w:hint="eastAsia" w:ascii="宋体" w:hAnsi="宋体" w:eastAsia="宋体" w:cs="宋体"/>
              <w:szCs w:val="28"/>
              <w:lang w:val="en-US" w:eastAsia="zh-CN" w:bidi="ar-SA"/>
            </w:rPr>
            <w:t>评价方法与实施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_Toc21294 \h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rPr>
            <w:fldChar w:fldCharType="end"/>
          </w:r>
        </w:p>
        <w:p w14:paraId="64110F6B">
          <w:pPr>
            <w:pStyle w:val="10"/>
            <w:keepNext w:val="0"/>
            <w:keepLines w:val="0"/>
            <w:pageBreakBefore w:val="0"/>
            <w:widowControl w:val="0"/>
            <w:tabs>
              <w:tab w:val="right" w:leader="dot" w:pos="9638"/>
            </w:tabs>
            <w:kinsoku/>
            <w:wordWrap/>
            <w:overflowPunct/>
            <w:topLinePunct w:val="0"/>
            <w:autoSpaceDE/>
            <w:autoSpaceDN/>
            <w:bidi w:val="0"/>
            <w:adjustRightInd/>
            <w:snapToGrid/>
            <w:spacing w:line="300" w:lineRule="exac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_Toc29181 </w:instrText>
          </w:r>
          <w:r>
            <w:rPr>
              <w:rFonts w:hint="eastAsia" w:ascii="宋体" w:hAnsi="宋体" w:eastAsia="宋体" w:cs="宋体"/>
            </w:rPr>
            <w:fldChar w:fldCharType="separate"/>
          </w:r>
          <w:r>
            <w:rPr>
              <w:rFonts w:hint="eastAsia" w:ascii="宋体" w:hAnsi="宋体" w:eastAsia="宋体" w:cs="宋体"/>
              <w:i w:val="0"/>
            </w:rPr>
            <w:t xml:space="preserve">7 </w:t>
          </w:r>
          <w:r>
            <w:rPr>
              <w:rFonts w:hint="eastAsia" w:ascii="宋体" w:hAnsi="宋体" w:eastAsia="宋体" w:cs="宋体"/>
            </w:rPr>
            <w:t>评价结果判定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_Toc29181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rPr>
            <w:fldChar w:fldCharType="end"/>
          </w:r>
        </w:p>
        <w:p w14:paraId="08317045">
          <w:pPr>
            <w:pStyle w:val="10"/>
            <w:keepNext w:val="0"/>
            <w:keepLines w:val="0"/>
            <w:pageBreakBefore w:val="0"/>
            <w:widowControl w:val="0"/>
            <w:tabs>
              <w:tab w:val="right" w:leader="dot" w:pos="9638"/>
            </w:tabs>
            <w:kinsoku/>
            <w:wordWrap/>
            <w:overflowPunct/>
            <w:topLinePunct w:val="0"/>
            <w:autoSpaceDE/>
            <w:autoSpaceDN/>
            <w:bidi w:val="0"/>
            <w:adjustRightInd/>
            <w:snapToGrid/>
            <w:spacing w:line="300" w:lineRule="exac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_Toc6421 </w:instrText>
          </w:r>
          <w:r>
            <w:rPr>
              <w:rFonts w:hint="eastAsia" w:ascii="宋体" w:hAnsi="宋体" w:eastAsia="宋体" w:cs="宋体"/>
            </w:rPr>
            <w:fldChar w:fldCharType="separate"/>
          </w:r>
          <w:r>
            <w:rPr>
              <w:rFonts w:hint="eastAsia" w:ascii="宋体" w:hAnsi="宋体" w:eastAsia="宋体" w:cs="宋体"/>
              <w:i w:val="0"/>
            </w:rPr>
            <w:t xml:space="preserve">8 </w:t>
          </w:r>
          <w:r>
            <w:rPr>
              <w:rFonts w:hint="eastAsia" w:ascii="宋体" w:hAnsi="宋体" w:eastAsia="宋体" w:cs="宋体"/>
            </w:rPr>
            <w:t>实施与监督</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_Toc6421 \h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rPr>
            <w:fldChar w:fldCharType="end"/>
          </w:r>
        </w:p>
        <w:p w14:paraId="299A9F76">
          <w:pPr>
            <w:pStyle w:val="10"/>
            <w:keepNext w:val="0"/>
            <w:keepLines w:val="0"/>
            <w:pageBreakBefore w:val="0"/>
            <w:widowControl w:val="0"/>
            <w:tabs>
              <w:tab w:val="right" w:leader="dot" w:pos="9638"/>
            </w:tabs>
            <w:kinsoku/>
            <w:wordWrap/>
            <w:overflowPunct/>
            <w:topLinePunct w:val="0"/>
            <w:autoSpaceDE/>
            <w:autoSpaceDN/>
            <w:bidi w:val="0"/>
            <w:adjustRightInd/>
            <w:snapToGrid/>
            <w:spacing w:line="300" w:lineRule="exac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_Toc14578 </w:instrText>
          </w:r>
          <w:r>
            <w:rPr>
              <w:rFonts w:hint="eastAsia" w:ascii="宋体" w:hAnsi="宋体" w:eastAsia="宋体" w:cs="宋体"/>
            </w:rPr>
            <w:fldChar w:fldCharType="separate"/>
          </w:r>
          <w:r>
            <w:rPr>
              <w:rFonts w:hint="eastAsia" w:ascii="宋体" w:hAnsi="宋体" w:eastAsia="宋体" w:cs="宋体"/>
              <w:szCs w:val="21"/>
            </w:rPr>
            <w:t>附  录  A</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_Toc31457 </w:instrText>
          </w:r>
          <w:r>
            <w:rPr>
              <w:rFonts w:hint="eastAsia" w:ascii="宋体" w:hAnsi="宋体" w:eastAsia="宋体" w:cs="宋体"/>
            </w:rPr>
            <w:fldChar w:fldCharType="separate"/>
          </w:r>
          <w:r>
            <w:rPr>
              <w:rFonts w:hint="eastAsia" w:ascii="宋体" w:hAnsi="宋体" w:eastAsia="宋体" w:cs="宋体"/>
              <w:szCs w:val="21"/>
            </w:rPr>
            <w:t>（</w:t>
          </w:r>
          <w:r>
            <w:rPr>
              <w:rFonts w:hint="eastAsia" w:ascii="宋体" w:hAnsi="宋体" w:eastAsia="宋体" w:cs="宋体"/>
              <w:szCs w:val="21"/>
              <w:lang w:val="en-US" w:eastAsia="zh-CN"/>
            </w:rPr>
            <w:t>资料</w:t>
          </w:r>
          <w:r>
            <w:rPr>
              <w:rFonts w:hint="eastAsia" w:ascii="宋体" w:hAnsi="宋体" w:eastAsia="宋体" w:cs="宋体"/>
              <w:szCs w:val="21"/>
            </w:rPr>
            <w:t>性）</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_Toc28082 </w:instrText>
          </w:r>
          <w:r>
            <w:rPr>
              <w:rFonts w:hint="eastAsia" w:ascii="宋体" w:hAnsi="宋体" w:eastAsia="宋体" w:cs="宋体"/>
            </w:rPr>
            <w:fldChar w:fldCharType="separate"/>
          </w:r>
          <w:r>
            <w:rPr>
              <w:rFonts w:hint="eastAsia" w:ascii="宋体" w:hAnsi="宋体" w:eastAsia="宋体" w:cs="宋体"/>
              <w:szCs w:val="28"/>
            </w:rPr>
            <w:t>电器电子产品环保检测高质量实验室评价申请表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_Toc28082 \h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rPr>
            <w:fldChar w:fldCharType="end"/>
          </w:r>
        </w:p>
        <w:p w14:paraId="68012ECF">
          <w:pPr>
            <w:pStyle w:val="10"/>
            <w:keepNext w:val="0"/>
            <w:keepLines w:val="0"/>
            <w:pageBreakBefore w:val="0"/>
            <w:widowControl w:val="0"/>
            <w:tabs>
              <w:tab w:val="right" w:leader="dot" w:pos="9638"/>
            </w:tabs>
            <w:kinsoku/>
            <w:wordWrap/>
            <w:overflowPunct/>
            <w:topLinePunct w:val="0"/>
            <w:autoSpaceDE/>
            <w:autoSpaceDN/>
            <w:bidi w:val="0"/>
            <w:adjustRightInd/>
            <w:snapToGrid/>
            <w:spacing w:line="300" w:lineRule="exac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_Toc21458 </w:instrText>
          </w:r>
          <w:r>
            <w:rPr>
              <w:rFonts w:hint="eastAsia" w:ascii="宋体" w:hAnsi="宋体" w:eastAsia="宋体" w:cs="宋体"/>
            </w:rPr>
            <w:fldChar w:fldCharType="separate"/>
          </w:r>
          <w:r>
            <w:rPr>
              <w:rFonts w:hint="eastAsia" w:ascii="宋体" w:hAnsi="宋体" w:eastAsia="宋体" w:cs="宋体"/>
              <w:bCs/>
              <w:szCs w:val="21"/>
            </w:rPr>
            <w:t>附  录  B</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_Toc27757 </w:instrText>
          </w:r>
          <w:r>
            <w:rPr>
              <w:rFonts w:hint="eastAsia" w:ascii="宋体" w:hAnsi="宋体" w:eastAsia="宋体" w:cs="宋体"/>
            </w:rPr>
            <w:fldChar w:fldCharType="separate"/>
          </w:r>
          <w:r>
            <w:rPr>
              <w:rFonts w:hint="eastAsia" w:ascii="宋体" w:hAnsi="宋体" w:eastAsia="宋体" w:cs="宋体"/>
              <w:szCs w:val="21"/>
            </w:rPr>
            <w:t>（规范性）</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_Toc28060 </w:instrText>
          </w:r>
          <w:r>
            <w:rPr>
              <w:rFonts w:hint="eastAsia" w:ascii="宋体" w:hAnsi="宋体" w:eastAsia="宋体" w:cs="宋体"/>
            </w:rPr>
            <w:fldChar w:fldCharType="separate"/>
          </w:r>
          <w:r>
            <w:rPr>
              <w:rFonts w:hint="eastAsia" w:ascii="宋体" w:hAnsi="宋体" w:eastAsia="宋体" w:cs="宋体"/>
              <w:bCs w:val="0"/>
              <w:szCs w:val="40"/>
              <w:highlight w:val="none"/>
            </w:rPr>
            <w:t>电器电子产品环保检测高质量实验室评价规范</w:t>
          </w:r>
          <w:r>
            <w:rPr>
              <w:rFonts w:hint="eastAsia" w:ascii="宋体" w:hAnsi="宋体" w:eastAsia="宋体" w:cs="宋体"/>
              <w:bCs w:val="0"/>
              <w:szCs w:val="40"/>
              <w:highlight w:val="none"/>
              <w:lang w:eastAsia="zh-CN"/>
            </w:rPr>
            <w:t>－</w:t>
          </w:r>
          <w:r>
            <w:rPr>
              <w:rFonts w:hint="eastAsia" w:ascii="宋体" w:hAnsi="宋体" w:eastAsia="宋体" w:cs="宋体"/>
              <w:bCs w:val="0"/>
              <w:szCs w:val="40"/>
              <w:highlight w:val="none"/>
            </w:rPr>
            <w:t>评分细则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_Toc28060 \h </w:instrText>
          </w:r>
          <w:r>
            <w:rPr>
              <w:rFonts w:hint="eastAsia" w:ascii="宋体" w:hAnsi="宋体" w:eastAsia="宋体" w:cs="宋体"/>
            </w:rPr>
            <w:fldChar w:fldCharType="separate"/>
          </w:r>
          <w:r>
            <w:rPr>
              <w:rFonts w:hint="eastAsia" w:ascii="宋体" w:hAnsi="宋体" w:eastAsia="宋体" w:cs="宋体"/>
            </w:rPr>
            <w:t>19</w:t>
          </w:r>
          <w:r>
            <w:rPr>
              <w:rFonts w:hint="eastAsia" w:ascii="宋体" w:hAnsi="宋体" w:eastAsia="宋体" w:cs="宋体"/>
            </w:rPr>
            <w:fldChar w:fldCharType="end"/>
          </w:r>
          <w:r>
            <w:rPr>
              <w:rFonts w:hint="eastAsia" w:ascii="宋体" w:hAnsi="宋体" w:eastAsia="宋体" w:cs="宋体"/>
            </w:rPr>
            <w:fldChar w:fldCharType="end"/>
          </w:r>
        </w:p>
        <w:p w14:paraId="15A49396">
          <w:pPr>
            <w:pStyle w:val="10"/>
            <w:keepNext w:val="0"/>
            <w:keepLines w:val="0"/>
            <w:pageBreakBefore w:val="0"/>
            <w:widowControl w:val="0"/>
            <w:tabs>
              <w:tab w:val="right" w:leader="dot" w:pos="9638"/>
            </w:tabs>
            <w:kinsoku/>
            <w:wordWrap/>
            <w:overflowPunct/>
            <w:topLinePunct w:val="0"/>
            <w:autoSpaceDE/>
            <w:autoSpaceDN/>
            <w:bidi w:val="0"/>
            <w:adjustRightInd/>
            <w:snapToGrid/>
            <w:spacing w:line="300" w:lineRule="exac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_Toc17722 </w:instrText>
          </w:r>
          <w:r>
            <w:rPr>
              <w:rFonts w:hint="eastAsia" w:ascii="宋体" w:hAnsi="宋体" w:eastAsia="宋体" w:cs="宋体"/>
            </w:rPr>
            <w:fldChar w:fldCharType="separate"/>
          </w:r>
          <w:r>
            <w:rPr>
              <w:rFonts w:hint="eastAsia" w:ascii="宋体" w:hAnsi="宋体" w:eastAsia="宋体" w:cs="宋体"/>
              <w:szCs w:val="21"/>
            </w:rPr>
            <w:t>附  录  C</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_Toc14411 </w:instrText>
          </w:r>
          <w:r>
            <w:rPr>
              <w:rFonts w:hint="eastAsia" w:ascii="宋体" w:hAnsi="宋体" w:eastAsia="宋体" w:cs="宋体"/>
            </w:rPr>
            <w:fldChar w:fldCharType="separate"/>
          </w:r>
          <w:r>
            <w:rPr>
              <w:rFonts w:hint="eastAsia" w:ascii="宋体" w:hAnsi="宋体" w:eastAsia="宋体" w:cs="宋体"/>
              <w:szCs w:val="21"/>
            </w:rPr>
            <w:t>（规范性）</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_Toc3846 </w:instrText>
          </w:r>
          <w:r>
            <w:rPr>
              <w:rFonts w:hint="eastAsia" w:ascii="宋体" w:hAnsi="宋体" w:eastAsia="宋体" w:cs="宋体"/>
            </w:rPr>
            <w:fldChar w:fldCharType="separate"/>
          </w:r>
          <w:r>
            <w:rPr>
              <w:rFonts w:hint="eastAsia" w:ascii="宋体" w:hAnsi="宋体" w:eastAsia="宋体" w:cs="宋体"/>
              <w:szCs w:val="28"/>
            </w:rPr>
            <w:t>电器电子产品环保检测高质量实验室现场评价核查表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_Toc3846 \h </w:instrText>
          </w:r>
          <w:r>
            <w:rPr>
              <w:rFonts w:hint="eastAsia" w:ascii="宋体" w:hAnsi="宋体" w:eastAsia="宋体" w:cs="宋体"/>
            </w:rPr>
            <w:fldChar w:fldCharType="separate"/>
          </w:r>
          <w:r>
            <w:rPr>
              <w:rFonts w:hint="eastAsia" w:ascii="宋体" w:hAnsi="宋体" w:eastAsia="宋体" w:cs="宋体"/>
            </w:rPr>
            <w:t>25</w:t>
          </w:r>
          <w:r>
            <w:rPr>
              <w:rFonts w:hint="eastAsia" w:ascii="宋体" w:hAnsi="宋体" w:eastAsia="宋体" w:cs="宋体"/>
            </w:rPr>
            <w:fldChar w:fldCharType="end"/>
          </w:r>
          <w:r>
            <w:rPr>
              <w:rFonts w:hint="eastAsia" w:ascii="宋体" w:hAnsi="宋体" w:eastAsia="宋体" w:cs="宋体"/>
            </w:rPr>
            <w:fldChar w:fldCharType="end"/>
          </w:r>
        </w:p>
        <w:p w14:paraId="46DF65BF">
          <w:pPr>
            <w:pStyle w:val="10"/>
            <w:keepNext w:val="0"/>
            <w:keepLines w:val="0"/>
            <w:pageBreakBefore w:val="0"/>
            <w:widowControl w:val="0"/>
            <w:tabs>
              <w:tab w:val="right" w:leader="dot" w:pos="9638"/>
            </w:tabs>
            <w:kinsoku/>
            <w:wordWrap/>
            <w:overflowPunct/>
            <w:topLinePunct w:val="0"/>
            <w:autoSpaceDE/>
            <w:autoSpaceDN/>
            <w:bidi w:val="0"/>
            <w:adjustRightInd/>
            <w:snapToGrid/>
            <w:spacing w:line="300" w:lineRule="exac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_Toc25087 </w:instrText>
          </w:r>
          <w:r>
            <w:rPr>
              <w:rFonts w:hint="eastAsia" w:ascii="宋体" w:hAnsi="宋体" w:eastAsia="宋体" w:cs="宋体"/>
            </w:rPr>
            <w:fldChar w:fldCharType="separate"/>
          </w:r>
          <w:r>
            <w:rPr>
              <w:rFonts w:hint="eastAsia" w:ascii="宋体" w:hAnsi="宋体" w:eastAsia="宋体" w:cs="宋体"/>
              <w:szCs w:val="21"/>
            </w:rPr>
            <w:t>附  录  D</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_Toc28361 </w:instrText>
          </w:r>
          <w:r>
            <w:rPr>
              <w:rFonts w:hint="eastAsia" w:ascii="宋体" w:hAnsi="宋体" w:eastAsia="宋体" w:cs="宋体"/>
            </w:rPr>
            <w:fldChar w:fldCharType="separate"/>
          </w:r>
          <w:r>
            <w:rPr>
              <w:rFonts w:hint="eastAsia" w:ascii="宋体" w:hAnsi="宋体" w:eastAsia="宋体" w:cs="宋体"/>
              <w:szCs w:val="21"/>
            </w:rPr>
            <w:t>（规范性）</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_Toc21947 </w:instrText>
          </w:r>
          <w:r>
            <w:rPr>
              <w:rFonts w:hint="eastAsia" w:ascii="宋体" w:hAnsi="宋体" w:eastAsia="宋体" w:cs="宋体"/>
            </w:rPr>
            <w:fldChar w:fldCharType="separate"/>
          </w:r>
          <w:r>
            <w:rPr>
              <w:rFonts w:hint="eastAsia" w:ascii="宋体" w:hAnsi="宋体" w:eastAsia="宋体" w:cs="宋体"/>
              <w:szCs w:val="28"/>
            </w:rPr>
            <w:t>电器电子产品环保检测高质量实验室等级标识使用规范</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_Toc21947 \h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rPr>
            <w:fldChar w:fldCharType="end"/>
          </w:r>
        </w:p>
        <w:p w14:paraId="3261D59E">
          <w:pPr>
            <w:pStyle w:val="10"/>
            <w:keepNext w:val="0"/>
            <w:keepLines w:val="0"/>
            <w:pageBreakBefore w:val="0"/>
            <w:widowControl w:val="0"/>
            <w:tabs>
              <w:tab w:val="right" w:leader="dot" w:pos="9638"/>
            </w:tabs>
            <w:kinsoku/>
            <w:wordWrap/>
            <w:overflowPunct/>
            <w:topLinePunct w:val="0"/>
            <w:autoSpaceDE/>
            <w:autoSpaceDN/>
            <w:bidi w:val="0"/>
            <w:adjustRightInd/>
            <w:snapToGrid/>
            <w:spacing w:line="300" w:lineRule="exac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_Toc23969 </w:instrText>
          </w:r>
          <w:r>
            <w:rPr>
              <w:rFonts w:hint="eastAsia" w:ascii="宋体" w:hAnsi="宋体" w:eastAsia="宋体" w:cs="宋体"/>
            </w:rPr>
            <w:fldChar w:fldCharType="separate"/>
          </w:r>
          <w:r>
            <w:rPr>
              <w:rFonts w:hint="eastAsia" w:ascii="宋体" w:hAnsi="宋体" w:eastAsia="宋体" w:cs="宋体"/>
              <w:szCs w:val="21"/>
            </w:rPr>
            <w:t>参</w:t>
          </w:r>
          <w:r>
            <w:rPr>
              <w:rFonts w:hint="eastAsia" w:ascii="宋体" w:hAnsi="宋体" w:eastAsia="宋体" w:cs="宋体"/>
              <w:szCs w:val="21"/>
              <w:lang w:val="en-US" w:eastAsia="zh-CN"/>
            </w:rPr>
            <w:t xml:space="preserve">  </w:t>
          </w:r>
          <w:r>
            <w:rPr>
              <w:rFonts w:hint="eastAsia" w:ascii="宋体" w:hAnsi="宋体" w:eastAsia="宋体" w:cs="宋体"/>
              <w:szCs w:val="21"/>
            </w:rPr>
            <w:t>考</w:t>
          </w:r>
          <w:r>
            <w:rPr>
              <w:rFonts w:hint="eastAsia" w:ascii="宋体" w:hAnsi="宋体" w:eastAsia="宋体" w:cs="宋体"/>
              <w:szCs w:val="21"/>
              <w:lang w:val="en-US" w:eastAsia="zh-CN"/>
            </w:rPr>
            <w:t xml:space="preserve">  </w:t>
          </w:r>
          <w:r>
            <w:rPr>
              <w:rFonts w:hint="eastAsia" w:ascii="宋体" w:hAnsi="宋体" w:eastAsia="宋体" w:cs="宋体"/>
              <w:szCs w:val="21"/>
            </w:rPr>
            <w:t>文</w:t>
          </w:r>
          <w:r>
            <w:rPr>
              <w:rFonts w:hint="eastAsia" w:ascii="宋体" w:hAnsi="宋体" w:eastAsia="宋体" w:cs="宋体"/>
              <w:szCs w:val="21"/>
              <w:lang w:val="en-US" w:eastAsia="zh-CN"/>
            </w:rPr>
            <w:t xml:space="preserve">  </w:t>
          </w:r>
          <w:r>
            <w:rPr>
              <w:rFonts w:hint="eastAsia" w:ascii="宋体" w:hAnsi="宋体" w:eastAsia="宋体" w:cs="宋体"/>
              <w:szCs w:val="21"/>
            </w:rPr>
            <w:t>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_Toc23969 \h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rPr>
            <w:fldChar w:fldCharType="end"/>
          </w:r>
        </w:p>
        <w:p w14:paraId="158236A4">
          <w:pPr>
            <w:keepNext w:val="0"/>
            <w:keepLines w:val="0"/>
            <w:pageBreakBefore w:val="0"/>
            <w:widowControl w:val="0"/>
            <w:kinsoku/>
            <w:wordWrap/>
            <w:overflowPunct/>
            <w:topLinePunct w:val="0"/>
            <w:autoSpaceDE/>
            <w:autoSpaceDN/>
            <w:bidi w:val="0"/>
            <w:adjustRightInd/>
            <w:snapToGrid/>
            <w:spacing w:line="300" w:lineRule="exact"/>
            <w:textAlignment w:val="auto"/>
            <w:rPr>
              <w:rFonts w:asciiTheme="minorHAnsi" w:hAnsiTheme="minorHAnsi" w:eastAsiaTheme="minorEastAsia" w:cstheme="minorBidi"/>
              <w:kern w:val="2"/>
              <w:sz w:val="21"/>
              <w:szCs w:val="24"/>
              <w:lang w:val="en-US" w:eastAsia="zh-CN" w:bidi="ar-SA"/>
            </w:rPr>
          </w:pPr>
          <w:r>
            <w:rPr>
              <w:rFonts w:hint="eastAsia" w:ascii="宋体" w:hAnsi="宋体" w:eastAsia="宋体" w:cs="宋体"/>
            </w:rPr>
            <w:fldChar w:fldCharType="end"/>
          </w:r>
        </w:p>
      </w:sdtContent>
    </w:sdt>
    <w:p w14:paraId="513DC4BD">
      <w:pPr>
        <w:rPr>
          <w:rFonts w:ascii="宋体" w:hAnsi="宋体" w:eastAsia="宋体" w:cs="宋体"/>
          <w:b/>
          <w:bCs/>
          <w:sz w:val="22"/>
          <w:szCs w:val="28"/>
        </w:rPr>
      </w:pPr>
    </w:p>
    <w:p w14:paraId="22F31436">
      <w:pPr>
        <w:bidi w:val="0"/>
        <w:rPr>
          <w:rFonts w:asciiTheme="minorHAnsi" w:hAnsiTheme="minorHAnsi" w:eastAsiaTheme="minorEastAsia" w:cstheme="minorBidi"/>
          <w:kern w:val="2"/>
          <w:sz w:val="21"/>
          <w:szCs w:val="24"/>
          <w:lang w:val="en-US" w:eastAsia="zh-CN" w:bidi="ar-SA"/>
        </w:rPr>
      </w:pPr>
    </w:p>
    <w:p w14:paraId="6BFF4563">
      <w:pPr>
        <w:bidi w:val="0"/>
        <w:rPr>
          <w:lang w:val="en-US" w:eastAsia="zh-CN"/>
        </w:rPr>
      </w:pPr>
    </w:p>
    <w:p w14:paraId="3B13A4BD">
      <w:pPr>
        <w:bidi w:val="0"/>
        <w:rPr>
          <w:lang w:val="en-US" w:eastAsia="zh-CN"/>
        </w:rPr>
      </w:pPr>
    </w:p>
    <w:p w14:paraId="03AD9325">
      <w:pPr>
        <w:bidi w:val="0"/>
        <w:rPr>
          <w:lang w:val="en-US" w:eastAsia="zh-CN"/>
        </w:rPr>
      </w:pPr>
    </w:p>
    <w:p w14:paraId="0A553246">
      <w:pPr>
        <w:bidi w:val="0"/>
        <w:rPr>
          <w:lang w:val="en-US" w:eastAsia="zh-CN"/>
        </w:rPr>
      </w:pPr>
    </w:p>
    <w:p w14:paraId="4BB5CBFA">
      <w:pPr>
        <w:bidi w:val="0"/>
        <w:rPr>
          <w:lang w:val="en-US" w:eastAsia="zh-CN"/>
        </w:rPr>
      </w:pPr>
    </w:p>
    <w:p w14:paraId="0FA4A8B6">
      <w:pPr>
        <w:bidi w:val="0"/>
        <w:rPr>
          <w:lang w:val="en-US" w:eastAsia="zh-CN"/>
        </w:rPr>
      </w:pPr>
    </w:p>
    <w:p w14:paraId="54E942CC">
      <w:pPr>
        <w:tabs>
          <w:tab w:val="left" w:pos="7792"/>
        </w:tabs>
        <w:bidi w:val="0"/>
        <w:jc w:val="left"/>
        <w:rPr>
          <w:lang w:val="en-US" w:eastAsia="zh-CN"/>
        </w:rPr>
        <w:sectPr>
          <w:headerReference r:id="rId5" w:type="default"/>
          <w:footerReference r:id="rId7" w:type="default"/>
          <w:headerReference r:id="rId6" w:type="even"/>
          <w:footerReference r:id="rId8" w:type="even"/>
          <w:pgSz w:w="11906" w:h="16838"/>
          <w:pgMar w:top="1928" w:right="1134" w:bottom="1134" w:left="1134" w:header="851" w:footer="992" w:gutter="0"/>
          <w:pgNumType w:fmt="upperRoman" w:start="1"/>
          <w:cols w:space="425" w:num="1"/>
          <w:docGrid w:type="lines" w:linePitch="312" w:charSpace="0"/>
        </w:sectPr>
      </w:pPr>
      <w:r>
        <w:rPr>
          <w:rFonts w:hint="eastAsia"/>
          <w:lang w:val="en-US" w:eastAsia="zh-CN"/>
        </w:rPr>
        <w:tab/>
      </w:r>
    </w:p>
    <w:p w14:paraId="49B15B67">
      <w:pPr>
        <w:pStyle w:val="31"/>
        <w:numPr>
          <w:ilvl w:val="1"/>
          <w:numId w:val="0"/>
        </w:numPr>
        <w:bidi w:val="0"/>
        <w:ind w:firstLine="3920" w:firstLineChars="1400"/>
        <w:rPr>
          <w:rFonts w:hint="eastAsia"/>
          <w:sz w:val="28"/>
          <w:szCs w:val="24"/>
        </w:rPr>
      </w:pPr>
      <w:bookmarkStart w:id="45" w:name="_Toc7783"/>
      <w:r>
        <w:rPr>
          <w:rFonts w:hint="eastAsia"/>
          <w:sz w:val="28"/>
          <w:szCs w:val="24"/>
        </w:rPr>
        <w:t>前     言</w:t>
      </w:r>
      <w:bookmarkEnd w:id="45"/>
    </w:p>
    <w:p w14:paraId="340C68F8">
      <w:pPr>
        <w:ind w:firstLine="420" w:firstLineChars="200"/>
        <w:rPr>
          <w:rFonts w:hint="eastAsia" w:ascii="宋体" w:hAnsi="宋体" w:eastAsia="宋体" w:cs="宋体"/>
          <w:b w:val="0"/>
          <w:bCs w:val="0"/>
          <w:sz w:val="22"/>
          <w:szCs w:val="28"/>
        </w:rPr>
      </w:pPr>
      <w:r>
        <w:rPr>
          <w:rFonts w:hint="eastAsia" w:ascii="宋体" w:hAnsi="宋体" w:eastAsia="宋体" w:cs="宋体"/>
          <w:b w:val="0"/>
          <w:bCs w:val="0"/>
          <w:szCs w:val="28"/>
        </w:rPr>
        <w:t>本文件按照 GB/T 1.1—2020《标准化工作导则 第1部分：标准化文件的结构和起草规则》和 GB/T 20001.5—2017《标准编写规则 第5部分：规范标准》的规定起草。</w:t>
      </w:r>
    </w:p>
    <w:p w14:paraId="5B23B0CF">
      <w:pPr>
        <w:ind w:firstLine="420" w:firstLineChars="200"/>
        <w:rPr>
          <w:rFonts w:hint="eastAsia" w:ascii="宋体" w:hAnsi="宋体" w:eastAsia="宋体" w:cs="宋体"/>
          <w:b w:val="0"/>
          <w:bCs w:val="0"/>
          <w:sz w:val="22"/>
          <w:szCs w:val="28"/>
        </w:rPr>
      </w:pPr>
      <w:r>
        <w:rPr>
          <w:rFonts w:hint="eastAsia" w:ascii="宋体" w:hAnsi="宋体" w:eastAsia="宋体" w:cs="宋体"/>
          <w:b w:val="0"/>
          <w:bCs w:val="0"/>
          <w:szCs w:val="28"/>
        </w:rPr>
        <w:t>本文件在编制过程中，补充了政策衔接、信息安全与数据保护、国际案例展示等内容，增强了标准的系统性与可操作性。</w:t>
      </w:r>
    </w:p>
    <w:p w14:paraId="2388D49C">
      <w:pPr>
        <w:ind w:firstLine="420" w:firstLineChars="200"/>
        <w:rPr>
          <w:rFonts w:hint="eastAsia" w:ascii="宋体" w:hAnsi="宋体" w:eastAsia="宋体" w:cs="宋体"/>
          <w:b w:val="0"/>
          <w:bCs w:val="0"/>
          <w:szCs w:val="28"/>
        </w:rPr>
      </w:pPr>
      <w:r>
        <w:rPr>
          <w:rFonts w:hint="eastAsia" w:ascii="宋体" w:hAnsi="宋体" w:eastAsia="宋体" w:cs="宋体"/>
          <w:b w:val="0"/>
          <w:bCs w:val="0"/>
          <w:szCs w:val="28"/>
        </w:rPr>
        <w:t>请注意本文件的某些内容可能涉及专利。本文件的发布机构不承担识别专利的责任。</w:t>
      </w:r>
    </w:p>
    <w:p w14:paraId="5E7B9662">
      <w:pPr>
        <w:ind w:firstLine="420" w:firstLineChars="200"/>
        <w:rPr>
          <w:rFonts w:hint="eastAsia" w:ascii="宋体" w:hAnsi="宋体" w:eastAsia="宋体" w:cs="宋体"/>
          <w:b w:val="0"/>
          <w:bCs w:val="0"/>
          <w:szCs w:val="28"/>
        </w:rPr>
      </w:pPr>
      <w:r>
        <w:rPr>
          <w:rFonts w:hint="eastAsia" w:ascii="宋体" w:hAnsi="宋体" w:eastAsia="宋体" w:cs="宋体"/>
          <w:b w:val="0"/>
          <w:bCs w:val="0"/>
          <w:szCs w:val="28"/>
        </w:rPr>
        <w:t>本文件在遵循 GB/T 27025等基础性要求的前提下制定，不替代其强制性规定。实验室须首先满足国家法律法规及资质认定基本要求。</w:t>
      </w:r>
    </w:p>
    <w:p w14:paraId="353E621B">
      <w:pPr>
        <w:ind w:firstLine="420" w:firstLineChars="200"/>
        <w:rPr>
          <w:rFonts w:hint="eastAsia" w:ascii="宋体" w:hAnsi="宋体" w:eastAsia="宋体" w:cs="宋体"/>
          <w:b w:val="0"/>
          <w:bCs w:val="0"/>
          <w:sz w:val="22"/>
          <w:szCs w:val="28"/>
        </w:rPr>
      </w:pPr>
      <w:r>
        <w:rPr>
          <w:rFonts w:hint="eastAsia" w:ascii="宋体" w:hAnsi="宋体" w:eastAsia="宋体" w:cs="宋体"/>
          <w:b w:val="0"/>
          <w:bCs w:val="0"/>
          <w:szCs w:val="28"/>
        </w:rPr>
        <w:t>本文件由</w:t>
      </w:r>
      <w:r>
        <w:rPr>
          <w:rFonts w:hint="eastAsia" w:ascii="宋体" w:hAnsi="宋体" w:eastAsia="宋体" w:cs="宋体"/>
          <w:b w:val="0"/>
          <w:bCs w:val="0"/>
          <w:szCs w:val="28"/>
          <w:lang w:val="en-US" w:eastAsia="zh-CN"/>
        </w:rPr>
        <w:t>中国电子节能技术协会电器电子产品绿色制造专业委员会、</w:t>
      </w:r>
      <w:r>
        <w:rPr>
          <w:rFonts w:hint="eastAsia" w:ascii="宋体" w:hAnsi="宋体" w:eastAsia="宋体" w:cs="宋体"/>
          <w:b w:val="0"/>
          <w:bCs w:val="0"/>
          <w:szCs w:val="28"/>
          <w:highlight w:val="none"/>
        </w:rPr>
        <w:t>格林梅德（北京）科技有限公司提出</w:t>
      </w:r>
      <w:r>
        <w:rPr>
          <w:rFonts w:hint="eastAsia" w:ascii="宋体" w:hAnsi="宋体" w:eastAsia="宋体" w:cs="宋体"/>
          <w:b w:val="0"/>
          <w:bCs w:val="0"/>
          <w:szCs w:val="28"/>
        </w:rPr>
        <w:t>。</w:t>
      </w:r>
    </w:p>
    <w:p w14:paraId="354685DF">
      <w:pPr>
        <w:ind w:firstLine="420" w:firstLineChars="200"/>
        <w:rPr>
          <w:rFonts w:hint="eastAsia" w:ascii="宋体" w:hAnsi="宋体" w:eastAsia="宋体" w:cs="宋体"/>
          <w:b w:val="0"/>
          <w:bCs w:val="0"/>
          <w:sz w:val="22"/>
          <w:szCs w:val="28"/>
        </w:rPr>
      </w:pPr>
      <w:r>
        <w:rPr>
          <w:rFonts w:hint="eastAsia" w:ascii="宋体" w:hAnsi="宋体" w:eastAsia="宋体" w:cs="宋体"/>
          <w:b w:val="0"/>
          <w:bCs w:val="0"/>
          <w:szCs w:val="28"/>
        </w:rPr>
        <w:t>本文件由中国电子节能技术协会归口。</w:t>
      </w:r>
    </w:p>
    <w:p w14:paraId="6D8A813E">
      <w:pPr>
        <w:ind w:firstLine="420" w:firstLineChars="200"/>
        <w:rPr>
          <w:rFonts w:hint="eastAsia" w:ascii="宋体" w:hAnsi="宋体" w:eastAsia="宋体" w:cs="宋体"/>
          <w:b w:val="0"/>
          <w:bCs w:val="0"/>
          <w:sz w:val="22"/>
          <w:szCs w:val="28"/>
        </w:rPr>
      </w:pPr>
      <w:r>
        <w:rPr>
          <w:rFonts w:hint="eastAsia" w:ascii="宋体" w:hAnsi="宋体" w:eastAsia="宋体" w:cs="宋体"/>
          <w:b w:val="0"/>
          <w:bCs w:val="0"/>
          <w:szCs w:val="28"/>
        </w:rPr>
        <w:t>本文件起草单位：×××、×××、×××、×××、×××。</w:t>
      </w:r>
    </w:p>
    <w:p w14:paraId="758D216E">
      <w:pPr>
        <w:ind w:firstLine="420" w:firstLineChars="200"/>
        <w:rPr>
          <w:rFonts w:hint="eastAsia" w:ascii="宋体" w:hAnsi="宋体" w:eastAsia="宋体" w:cs="宋体"/>
          <w:b w:val="0"/>
          <w:bCs w:val="0"/>
          <w:sz w:val="22"/>
          <w:szCs w:val="28"/>
        </w:rPr>
      </w:pPr>
      <w:r>
        <w:rPr>
          <w:rFonts w:hint="eastAsia" w:ascii="宋体" w:hAnsi="宋体" w:eastAsia="宋体" w:cs="宋体"/>
          <w:b w:val="0"/>
          <w:bCs w:val="0"/>
          <w:szCs w:val="28"/>
        </w:rPr>
        <w:t>本文件主要起草人：×××、×××、×××、×××、×××。</w:t>
      </w:r>
    </w:p>
    <w:p w14:paraId="4248672E"/>
    <w:p w14:paraId="6EAB310A"/>
    <w:p w14:paraId="38854AF6"/>
    <w:p w14:paraId="6C99A2CB"/>
    <w:p w14:paraId="5D07475F"/>
    <w:p w14:paraId="7B49EAA3"/>
    <w:p w14:paraId="5DBB7B54"/>
    <w:p w14:paraId="7C773920"/>
    <w:p w14:paraId="04D78B3F"/>
    <w:p w14:paraId="5C05A4DC"/>
    <w:p w14:paraId="5F9275DE"/>
    <w:p w14:paraId="10C0BFB6"/>
    <w:p w14:paraId="4D875879"/>
    <w:p w14:paraId="5C59EC01"/>
    <w:p w14:paraId="00BFB83C"/>
    <w:p w14:paraId="560B8F6A"/>
    <w:p w14:paraId="1489C980"/>
    <w:p w14:paraId="0503F956"/>
    <w:p w14:paraId="048116D0"/>
    <w:p w14:paraId="6754D060"/>
    <w:p w14:paraId="3BCAD029"/>
    <w:p w14:paraId="6EA09433"/>
    <w:p w14:paraId="21626A88"/>
    <w:p w14:paraId="579D9C93"/>
    <w:p w14:paraId="548CA3F2"/>
    <w:p w14:paraId="327A4E03"/>
    <w:p w14:paraId="190F8D6D"/>
    <w:p w14:paraId="241DE529">
      <w:pPr>
        <w:pStyle w:val="31"/>
        <w:numPr>
          <w:ilvl w:val="1"/>
          <w:numId w:val="0"/>
        </w:numPr>
        <w:bidi w:val="0"/>
        <w:jc w:val="center"/>
        <w:rPr>
          <w:sz w:val="28"/>
          <w:szCs w:val="24"/>
        </w:rPr>
      </w:pPr>
      <w:bookmarkStart w:id="46" w:name="_Toc21057"/>
      <w:r>
        <w:rPr>
          <w:rFonts w:hint="eastAsia"/>
          <w:sz w:val="28"/>
          <w:szCs w:val="24"/>
        </w:rPr>
        <w:t>引     言</w:t>
      </w:r>
      <w:bookmarkEnd w:id="46"/>
    </w:p>
    <w:p w14:paraId="29ED2000">
      <w:pPr>
        <w:ind w:firstLine="420" w:firstLineChars="200"/>
        <w:rPr>
          <w:rFonts w:hint="eastAsia" w:ascii="宋体" w:hAnsi="宋体" w:eastAsia="宋体" w:cs="宋体"/>
          <w:szCs w:val="28"/>
        </w:rPr>
      </w:pPr>
      <w:r>
        <w:rPr>
          <w:rFonts w:hint="eastAsia" w:ascii="宋体" w:hAnsi="宋体" w:eastAsia="宋体" w:cs="宋体"/>
          <w:szCs w:val="28"/>
        </w:rPr>
        <w:t>当前，我国电器电子产品环保</w:t>
      </w:r>
      <w:r>
        <w:rPr>
          <w:rFonts w:hint="eastAsia" w:ascii="宋体" w:hAnsi="宋体" w:eastAsia="宋体" w:cs="宋体"/>
          <w:szCs w:val="28"/>
          <w:lang w:eastAsia="zh-CN"/>
        </w:rPr>
        <w:t>检验检测实验室</w:t>
      </w:r>
      <w:r>
        <w:rPr>
          <w:rFonts w:hint="eastAsia" w:ascii="宋体" w:hAnsi="宋体" w:eastAsia="宋体" w:cs="宋体"/>
          <w:szCs w:val="28"/>
        </w:rPr>
        <w:t>在技术能力、管理体系、质量控制、数字化水平与创新服务等方面存在差异，缺乏统一、透明、可比较的高质量评价标准。这不仅导致企业在选择第三方检测机构时缺乏科学依据，难以有效控制产品环保合规性风险，也使行业优胜劣汰机制不健全，制约了绿色供应链建设和产业高质量发展。</w:t>
      </w:r>
    </w:p>
    <w:p w14:paraId="08F16C21">
      <w:pPr>
        <w:ind w:firstLine="420" w:firstLineChars="200"/>
        <w:rPr>
          <w:rFonts w:hint="eastAsia" w:ascii="宋体" w:hAnsi="宋体" w:eastAsia="宋体" w:cs="宋体"/>
          <w:szCs w:val="28"/>
        </w:rPr>
      </w:pPr>
      <w:r>
        <w:rPr>
          <w:rFonts w:hint="eastAsia" w:ascii="宋体" w:hAnsi="宋体" w:eastAsia="宋体" w:cs="宋体"/>
          <w:szCs w:val="28"/>
        </w:rPr>
        <w:t>本文件以“服务企业决策、引导行业提升”为核心导向，在</w:t>
      </w:r>
      <w:r>
        <w:rPr>
          <w:rFonts w:hint="eastAsia" w:ascii="宋体" w:hAnsi="宋体" w:eastAsia="宋体" w:cs="宋体"/>
          <w:szCs w:val="28"/>
          <w:lang w:val="en-US" w:eastAsia="zh-CN"/>
        </w:rPr>
        <w:t>遵循</w:t>
      </w:r>
      <w:r>
        <w:rPr>
          <w:rFonts w:hint="eastAsia" w:ascii="宋体" w:hAnsi="宋体" w:eastAsia="宋体" w:cs="宋体"/>
          <w:szCs w:val="28"/>
        </w:rPr>
        <w:t>GB/T 27025等基础要求的同时，系统引入</w:t>
      </w:r>
      <w:r>
        <w:rPr>
          <w:rFonts w:hint="eastAsia" w:ascii="宋体" w:hAnsi="宋体" w:eastAsia="宋体" w:cs="宋体"/>
          <w:szCs w:val="28"/>
          <w:lang w:eastAsia="zh-CN"/>
        </w:rPr>
        <w:t>IECQ QC 080000或GB/T 31274-202</w:t>
      </w:r>
      <w:r>
        <w:rPr>
          <w:rFonts w:hint="eastAsia" w:ascii="宋体" w:hAnsi="宋体" w:eastAsia="宋体" w:cs="宋体"/>
          <w:szCs w:val="28"/>
          <w:lang w:val="en-US" w:eastAsia="zh-CN"/>
        </w:rPr>
        <w:t>4</w:t>
      </w:r>
      <w:r>
        <w:rPr>
          <w:rFonts w:hint="eastAsia" w:ascii="宋体" w:hAnsi="宋体" w:eastAsia="宋体" w:cs="宋体"/>
          <w:szCs w:val="28"/>
        </w:rPr>
        <w:t>有害物质过程管理（HSPM）理念，融合实验室数字化能力（LIMS、自动采集、电子记录）、方法开发、客户满意度</w:t>
      </w:r>
      <w:r>
        <w:rPr>
          <w:rFonts w:hint="eastAsia" w:ascii="宋体" w:hAnsi="宋体" w:eastAsia="宋体" w:cs="宋体"/>
          <w:szCs w:val="28"/>
          <w:lang w:eastAsia="zh-CN"/>
        </w:rPr>
        <w:t>、</w:t>
      </w:r>
      <w:r>
        <w:rPr>
          <w:rFonts w:hint="eastAsia" w:ascii="宋体" w:hAnsi="宋体" w:eastAsia="宋体" w:cs="宋体"/>
          <w:szCs w:val="28"/>
        </w:rPr>
        <w:t>关键维度，构建“基础项—创新项—服务项—加分项”的千分制综合评价体系。</w:t>
      </w:r>
    </w:p>
    <w:p w14:paraId="30CDF672">
      <w:pPr>
        <w:ind w:firstLine="420" w:firstLineChars="200"/>
        <w:rPr>
          <w:rFonts w:hint="eastAsia" w:ascii="宋体" w:hAnsi="宋体" w:eastAsia="宋体" w:cs="宋体"/>
          <w:szCs w:val="28"/>
        </w:rPr>
      </w:pPr>
      <w:r>
        <w:rPr>
          <w:rFonts w:hint="eastAsia" w:ascii="宋体" w:hAnsi="宋体" w:eastAsia="宋体" w:cs="宋体"/>
          <w:szCs w:val="28"/>
        </w:rPr>
        <w:t>通过建立公开、透明、可量化的高质量实验室评价体系，本规范旨在实现以下目标：</w:t>
      </w:r>
    </w:p>
    <w:p w14:paraId="68743FB0">
      <w:pPr>
        <w:numPr>
          <w:ilvl w:val="0"/>
          <w:numId w:val="2"/>
        </w:numPr>
        <w:ind w:left="0" w:leftChars="0" w:firstLine="420" w:firstLineChars="200"/>
        <w:rPr>
          <w:rFonts w:hint="eastAsia" w:ascii="宋体" w:hAnsi="宋体" w:eastAsia="宋体" w:cs="宋体"/>
          <w:szCs w:val="28"/>
        </w:rPr>
      </w:pPr>
      <w:r>
        <w:rPr>
          <w:rFonts w:hint="eastAsia" w:ascii="宋体" w:hAnsi="宋体" w:eastAsia="宋体" w:cs="宋体"/>
          <w:szCs w:val="28"/>
        </w:rPr>
        <w:t>支撑企业科学选择检测服务机构—以客观量化评分为依据，为整机及供应链企业提供选择高质量第三方检测机构的决策参考，促进优质资源高效配置；</w:t>
      </w:r>
    </w:p>
    <w:p w14:paraId="4EBC3FB1">
      <w:pPr>
        <w:numPr>
          <w:ilvl w:val="0"/>
          <w:numId w:val="2"/>
        </w:numPr>
        <w:ind w:left="0" w:leftChars="0" w:firstLine="420" w:firstLineChars="200"/>
        <w:rPr>
          <w:rFonts w:hint="eastAsia" w:ascii="宋体" w:hAnsi="宋体" w:eastAsia="宋体" w:cs="宋体"/>
          <w:szCs w:val="28"/>
        </w:rPr>
      </w:pPr>
      <w:r>
        <w:rPr>
          <w:rFonts w:hint="eastAsia" w:ascii="宋体" w:hAnsi="宋体" w:eastAsia="宋体" w:cs="宋体"/>
          <w:szCs w:val="28"/>
        </w:rPr>
        <w:t>强化企业供应链合规与声誉风险防控能力—高质量检测结果是企业履行RoHS、REACH等环保法规义务、出具符合性声明（DoC</w:t>
      </w:r>
      <w:r>
        <w:rPr>
          <w:rFonts w:hint="eastAsia" w:ascii="宋体" w:hAnsi="宋体" w:eastAsia="宋体" w:cs="宋体"/>
          <w:szCs w:val="28"/>
          <w:lang w:eastAsia="zh-CN"/>
        </w:rPr>
        <w:t>）</w:t>
      </w:r>
      <w:r>
        <w:rPr>
          <w:rFonts w:hint="eastAsia" w:ascii="宋体" w:hAnsi="宋体" w:eastAsia="宋体" w:cs="宋体"/>
          <w:szCs w:val="28"/>
        </w:rPr>
        <w:t>及应对国际绿色贸易壁垒的核心依据。本规范通过规范实验室在数据真实性、过程可追溯性、信息安全及有害物质管控支持等方面的能力，帮助企业有效识别和规避因检测数据失真、报告缺陷或供应链信息断链所引发的合规处罚、产品召回、市场禁入及品牌声誉受损等重大风险；</w:t>
      </w:r>
    </w:p>
    <w:p w14:paraId="26E453B3">
      <w:pPr>
        <w:numPr>
          <w:ilvl w:val="0"/>
          <w:numId w:val="2"/>
        </w:numPr>
        <w:ind w:left="0" w:leftChars="0" w:firstLine="420" w:firstLineChars="200"/>
        <w:rPr>
          <w:rFonts w:hint="eastAsia" w:ascii="宋体" w:hAnsi="宋体" w:eastAsia="宋体" w:cs="宋体"/>
          <w:szCs w:val="28"/>
        </w:rPr>
      </w:pPr>
      <w:r>
        <w:rPr>
          <w:rFonts w:hint="eastAsia" w:ascii="宋体" w:hAnsi="宋体" w:eastAsia="宋体" w:cs="宋体"/>
          <w:szCs w:val="28"/>
        </w:rPr>
        <w:t>形成有效的行业进退机制—通过动态评价与分级管理，推动实验室持续改进、优胜劣汰，构建高标准、高信用的检测服务生态；</w:t>
      </w:r>
    </w:p>
    <w:p w14:paraId="206BD12C">
      <w:pPr>
        <w:numPr>
          <w:ilvl w:val="0"/>
          <w:numId w:val="0"/>
        </w:numPr>
        <w:ind w:firstLine="420" w:firstLineChars="200"/>
        <w:rPr>
          <w:rFonts w:hint="eastAsia" w:ascii="宋体" w:hAnsi="宋体" w:eastAsia="宋体" w:cs="宋体"/>
          <w:szCs w:val="28"/>
        </w:rPr>
      </w:pPr>
      <w:r>
        <w:rPr>
          <w:rFonts w:hint="eastAsia" w:ascii="宋体" w:hAnsi="宋体" w:eastAsia="宋体" w:cs="宋体"/>
          <w:szCs w:val="28"/>
        </w:rPr>
        <w:t>本规范的实施将有效推动检测服务从“合规达标”向“高质量合规、风险控制、智能化、服务意识”转型，为企业供应链绿色管理提供权威依据，为政府部门提供监管参考。</w:t>
      </w:r>
    </w:p>
    <w:p w14:paraId="634441F9"/>
    <w:p w14:paraId="4CA3E81D"/>
    <w:p w14:paraId="470C87A3">
      <w:pPr>
        <w:ind w:firstLine="420" w:firstLineChars="200"/>
      </w:pPr>
    </w:p>
    <w:p w14:paraId="46BC4FA8">
      <w:r>
        <w:rPr>
          <w:rFonts w:hint="eastAsia"/>
        </w:rPr>
        <w:t xml:space="preserve"> </w:t>
      </w:r>
    </w:p>
    <w:p w14:paraId="4148B8E5"/>
    <w:p w14:paraId="1DEA135E"/>
    <w:p w14:paraId="37F5BF63"/>
    <w:p w14:paraId="69BC0251"/>
    <w:p w14:paraId="6CB1D6F5"/>
    <w:p w14:paraId="7D9066AB"/>
    <w:p w14:paraId="27BF9D17"/>
    <w:p w14:paraId="7CFA55A4"/>
    <w:p w14:paraId="2AB47010"/>
    <w:p w14:paraId="673BD679"/>
    <w:p w14:paraId="0F870499"/>
    <w:p w14:paraId="7D9FD6CA"/>
    <w:p w14:paraId="780006BB"/>
    <w:p w14:paraId="340F1DCF"/>
    <w:p w14:paraId="42F75B00"/>
    <w:p w14:paraId="266AEFCF"/>
    <w:p w14:paraId="43A97CCA">
      <w:pPr>
        <w:pStyle w:val="5"/>
        <w:bidi w:val="0"/>
        <w:ind w:firstLine="1968" w:firstLineChars="700"/>
        <w:jc w:val="both"/>
        <w:rPr>
          <w:rFonts w:hint="eastAsia"/>
        </w:rPr>
        <w:sectPr>
          <w:headerReference r:id="rId9" w:type="default"/>
          <w:footerReference r:id="rId11" w:type="default"/>
          <w:headerReference r:id="rId10" w:type="even"/>
          <w:footerReference r:id="rId12" w:type="even"/>
          <w:pgSz w:w="11906" w:h="16838"/>
          <w:pgMar w:top="1928" w:right="1134" w:bottom="1134" w:left="1134" w:header="851" w:footer="992" w:gutter="0"/>
          <w:pgNumType w:fmt="upperRoman"/>
          <w:cols w:space="425" w:num="1"/>
          <w:docGrid w:type="lines" w:linePitch="312" w:charSpace="0"/>
        </w:sectPr>
      </w:pPr>
      <w:bookmarkStart w:id="47" w:name="_Toc13762"/>
      <w:bookmarkStart w:id="48" w:name="_Toc27451"/>
      <w:bookmarkStart w:id="49" w:name="_Toc25244"/>
      <w:bookmarkStart w:id="50" w:name="_Toc4425"/>
      <w:bookmarkStart w:id="51" w:name="_Toc25964"/>
      <w:bookmarkStart w:id="52" w:name="_Toc21663"/>
      <w:bookmarkStart w:id="53" w:name="_Toc9077"/>
      <w:bookmarkStart w:id="54" w:name="_Toc19663"/>
      <w:bookmarkStart w:id="55" w:name="_Toc4231"/>
      <w:bookmarkStart w:id="56" w:name="_Toc22280"/>
      <w:bookmarkStart w:id="57" w:name="_Toc6382"/>
      <w:bookmarkStart w:id="58" w:name="_Toc11640"/>
      <w:bookmarkStart w:id="59" w:name="_Toc29295"/>
    </w:p>
    <w:p w14:paraId="74288A20">
      <w:pPr>
        <w:pStyle w:val="5"/>
        <w:bidi w:val="0"/>
        <w:ind w:firstLine="1968" w:firstLineChars="700"/>
        <w:jc w:val="both"/>
      </w:pPr>
      <w:r>
        <w:rPr>
          <w:rFonts w:hint="eastAsia"/>
        </w:rPr>
        <w:t>电器电子产品环保检测高质量实验室评价规范</w:t>
      </w:r>
      <w:bookmarkEnd w:id="47"/>
      <w:bookmarkEnd w:id="48"/>
      <w:bookmarkEnd w:id="49"/>
      <w:bookmarkEnd w:id="50"/>
      <w:bookmarkEnd w:id="51"/>
      <w:bookmarkEnd w:id="52"/>
      <w:bookmarkEnd w:id="53"/>
      <w:bookmarkEnd w:id="54"/>
      <w:bookmarkEnd w:id="55"/>
      <w:bookmarkEnd w:id="56"/>
      <w:bookmarkEnd w:id="57"/>
      <w:bookmarkEnd w:id="58"/>
      <w:bookmarkEnd w:id="59"/>
    </w:p>
    <w:p w14:paraId="5247E403">
      <w:pPr>
        <w:pStyle w:val="31"/>
        <w:bidi w:val="0"/>
      </w:pPr>
      <w:bookmarkStart w:id="60" w:name="_Toc514"/>
      <w:r>
        <w:rPr>
          <w:rFonts w:hint="eastAsia"/>
        </w:rPr>
        <w:t>范围</w:t>
      </w:r>
      <w:bookmarkEnd w:id="60"/>
    </w:p>
    <w:p w14:paraId="2B0320A1">
      <w:pPr>
        <w:ind w:firstLine="420" w:firstLineChars="200"/>
        <w:rPr>
          <w:rFonts w:asciiTheme="minorEastAsia" w:hAnsiTheme="minorEastAsia" w:cstheme="minorEastAsia"/>
          <w:sz w:val="22"/>
          <w:szCs w:val="28"/>
        </w:rPr>
      </w:pPr>
      <w:r>
        <w:rPr>
          <w:rFonts w:hint="eastAsia" w:asciiTheme="minorEastAsia" w:hAnsiTheme="minorEastAsia" w:cstheme="minorEastAsia"/>
          <w:szCs w:val="28"/>
        </w:rPr>
        <w:t>本文件规定了电器电子产品环保检测高质量实验室的评价、评价内容与要求、评分标准、评价程序及结果判定。</w:t>
      </w:r>
    </w:p>
    <w:p w14:paraId="32079CA7">
      <w:pPr>
        <w:ind w:firstLine="420" w:firstLineChars="200"/>
        <w:rPr>
          <w:rFonts w:hint="eastAsia" w:asciiTheme="minorEastAsia" w:hAnsiTheme="minorEastAsia" w:cstheme="minorEastAsia"/>
          <w:szCs w:val="28"/>
        </w:rPr>
      </w:pPr>
      <w:r>
        <w:rPr>
          <w:rFonts w:hint="eastAsia" w:asciiTheme="minorEastAsia" w:hAnsiTheme="minorEastAsia" w:cstheme="minorEastAsia"/>
          <w:szCs w:val="28"/>
        </w:rPr>
        <w:t>本文件适用于从事电器电子产品（包括但不限于家用电器、信息技术设备、通信设备、照明设备、电动工具等）环保检测（如限用物质检测、挥发性有机物检测等）的实验室高质量水平评价；其他类似环保</w:t>
      </w:r>
      <w:r>
        <w:rPr>
          <w:rFonts w:hint="eastAsia" w:asciiTheme="minorEastAsia" w:hAnsiTheme="minorEastAsia" w:cstheme="minorEastAsia"/>
          <w:szCs w:val="28"/>
          <w:lang w:eastAsia="zh-CN"/>
        </w:rPr>
        <w:t>检验检测实验室</w:t>
      </w:r>
      <w:r>
        <w:rPr>
          <w:rFonts w:hint="eastAsia" w:asciiTheme="minorEastAsia" w:hAnsiTheme="minorEastAsia" w:cstheme="minorEastAsia"/>
          <w:szCs w:val="28"/>
        </w:rPr>
        <w:t>可参照使用。</w:t>
      </w:r>
    </w:p>
    <w:p w14:paraId="44C232AE">
      <w:pPr>
        <w:ind w:firstLine="420" w:firstLineChars="200"/>
        <w:rPr>
          <w:rFonts w:hint="eastAsia" w:asciiTheme="minorEastAsia" w:hAnsiTheme="minorEastAsia" w:cstheme="minorEastAsia"/>
          <w:szCs w:val="28"/>
        </w:rPr>
      </w:pPr>
      <w:r>
        <w:rPr>
          <w:rFonts w:hint="eastAsia" w:asciiTheme="minorEastAsia" w:hAnsiTheme="minorEastAsia" w:cstheme="minorEastAsia"/>
          <w:szCs w:val="28"/>
        </w:rPr>
        <w:t>本文件不适用于仅从事机械、电磁兼容</w:t>
      </w:r>
      <w:r>
        <w:rPr>
          <w:rFonts w:hint="eastAsia" w:ascii="宋体" w:hAnsi="宋体" w:eastAsia="宋体" w:cs="宋体"/>
          <w:szCs w:val="28"/>
        </w:rPr>
        <w:t>（</w:t>
      </w:r>
      <w:r>
        <w:rPr>
          <w:rFonts w:hint="eastAsia" w:ascii="宋体" w:hAnsi="宋体" w:eastAsia="宋体" w:cs="宋体"/>
          <w:szCs w:val="21"/>
        </w:rPr>
        <w:t>EMC</w:t>
      </w:r>
      <w:r>
        <w:rPr>
          <w:rFonts w:hint="eastAsia" w:ascii="宋体" w:hAnsi="宋体" w:eastAsia="宋体" w:cs="宋体"/>
          <w:szCs w:val="28"/>
        </w:rPr>
        <w:t>）</w:t>
      </w:r>
      <w:r>
        <w:rPr>
          <w:rFonts w:hint="eastAsia" w:asciiTheme="minorEastAsia" w:hAnsiTheme="minorEastAsia" w:cstheme="minorEastAsia"/>
          <w:szCs w:val="28"/>
        </w:rPr>
        <w:t>、安全（安规）类检测业务的实验室。</w:t>
      </w:r>
    </w:p>
    <w:p w14:paraId="6911762D">
      <w:pPr>
        <w:pStyle w:val="31"/>
        <w:bidi w:val="0"/>
        <w:rPr>
          <w:b w:val="0"/>
          <w:bCs w:val="0"/>
        </w:rPr>
      </w:pPr>
      <w:bookmarkStart w:id="61" w:name="_Toc29320"/>
      <w:r>
        <w:rPr>
          <w:rFonts w:hint="eastAsia"/>
          <w:b w:val="0"/>
          <w:bCs w:val="0"/>
        </w:rPr>
        <w:t>规范性引用文件</w:t>
      </w:r>
      <w:bookmarkEnd w:id="61"/>
    </w:p>
    <w:p w14:paraId="5DEF8F70">
      <w:pPr>
        <w:ind w:firstLine="420" w:firstLineChars="200"/>
        <w:jc w:val="left"/>
        <w:rPr>
          <w:rFonts w:asciiTheme="minorEastAsia" w:hAnsiTheme="minorEastAsia" w:cstheme="minorEastAsia"/>
          <w:szCs w:val="21"/>
        </w:rPr>
      </w:pPr>
      <w:r>
        <w:rPr>
          <w:rFonts w:hint="eastAsia" w:asciiTheme="minorEastAsia" w:hAnsiTheme="minorEastAsia" w:cstheme="minorEastAsia"/>
          <w:szCs w:val="21"/>
        </w:rPr>
        <w:t>下列文件对于本文件的应用是必不可少的。凡是注日期的引用文件，仅注日期的版本适用于本文件。凡是不注日期的引用文件，其最新版本（包括所有的修改单）适用于本文件。</w:t>
      </w:r>
    </w:p>
    <w:p w14:paraId="4A5E9587">
      <w:pPr>
        <w:ind w:firstLine="420" w:firstLineChars="200"/>
        <w:jc w:val="left"/>
        <w:rPr>
          <w:rFonts w:hint="eastAsia" w:ascii="宋体" w:hAnsi="宋体" w:eastAsia="宋体" w:cs="宋体"/>
          <w:szCs w:val="21"/>
        </w:rPr>
      </w:pPr>
      <w:r>
        <w:rPr>
          <w:rFonts w:hint="default" w:ascii="Times New Roman" w:hAnsi="Times New Roman" w:eastAsia="宋体" w:cs="Times New Roman"/>
          <w:szCs w:val="21"/>
        </w:rPr>
        <w:t>GB/T 27025</w:t>
      </w:r>
      <w:r>
        <w:rPr>
          <w:rFonts w:hint="default" w:ascii="Times New Roman" w:hAnsi="Times New Roman" w:eastAsia="宋体" w:cs="Times New Roman"/>
          <w:szCs w:val="21"/>
          <w:lang w:val="en-US" w:eastAsia="zh-CN"/>
        </w:rPr>
        <w:t>-</w:t>
      </w:r>
      <w:r>
        <w:rPr>
          <w:rFonts w:hint="default" w:ascii="Times New Roman" w:hAnsi="Times New Roman" w:eastAsia="宋体" w:cs="Times New Roman"/>
          <w:szCs w:val="21"/>
        </w:rPr>
        <w:t>20</w:t>
      </w:r>
      <w:r>
        <w:rPr>
          <w:rFonts w:hint="default" w:ascii="Times New Roman" w:hAnsi="Times New Roman" w:eastAsia="宋体" w:cs="Times New Roman"/>
          <w:szCs w:val="21"/>
          <w:lang w:val="en-US" w:eastAsia="zh-CN"/>
        </w:rPr>
        <w:t>24</w:t>
      </w:r>
      <w:r>
        <w:rPr>
          <w:rFonts w:hint="eastAsia" w:ascii="宋体" w:hAnsi="宋体" w:eastAsia="宋体" w:cs="宋体"/>
          <w:szCs w:val="21"/>
        </w:rPr>
        <w:t xml:space="preserve"> 《检测和校准实验室能力的通用要求》</w:t>
      </w:r>
    </w:p>
    <w:p w14:paraId="41359EDF">
      <w:pPr>
        <w:ind w:firstLine="420" w:firstLineChars="200"/>
        <w:jc w:val="left"/>
        <w:rPr>
          <w:rFonts w:hint="eastAsia" w:ascii="宋体" w:hAnsi="宋体" w:eastAsia="宋体" w:cs="宋体"/>
          <w:szCs w:val="21"/>
        </w:rPr>
      </w:pPr>
      <w:r>
        <w:rPr>
          <w:rFonts w:hint="eastAsia" w:ascii="Times New Roman" w:hAnsi="Times New Roman" w:eastAsia="宋体" w:cs="Times New Roman"/>
          <w:szCs w:val="21"/>
        </w:rPr>
        <w:t>GB 26572</w:t>
      </w:r>
      <w:r>
        <w:rPr>
          <w:rFonts w:hint="eastAsia" w:ascii="Times New Roman" w:hAnsi="Times New Roman" w:eastAsia="宋体" w:cs="Times New Roman"/>
          <w:szCs w:val="21"/>
          <w:lang w:val="en-US" w:eastAsia="zh-CN"/>
        </w:rPr>
        <w:t>-</w:t>
      </w:r>
      <w:r>
        <w:rPr>
          <w:rFonts w:hint="eastAsia" w:ascii="Times New Roman" w:hAnsi="Times New Roman" w:eastAsia="宋体" w:cs="Times New Roman"/>
          <w:szCs w:val="21"/>
        </w:rPr>
        <w:t xml:space="preserve">2025 </w:t>
      </w:r>
      <w:r>
        <w:rPr>
          <w:rFonts w:hint="eastAsia" w:ascii="宋体" w:hAnsi="宋体" w:eastAsia="宋体" w:cs="宋体"/>
          <w:szCs w:val="21"/>
        </w:rPr>
        <w:t>《电子电气产品中限用物质的</w:t>
      </w:r>
      <w:r>
        <w:rPr>
          <w:rFonts w:hint="eastAsia" w:ascii="宋体" w:hAnsi="宋体" w:eastAsia="宋体" w:cs="宋体"/>
          <w:szCs w:val="21"/>
          <w:lang w:val="en-US" w:eastAsia="zh-CN"/>
        </w:rPr>
        <w:t>限制使用要求</w:t>
      </w:r>
      <w:r>
        <w:rPr>
          <w:rFonts w:hint="eastAsia" w:ascii="宋体" w:hAnsi="宋体" w:eastAsia="宋体" w:cs="宋体"/>
          <w:szCs w:val="21"/>
        </w:rPr>
        <w:t>》</w:t>
      </w:r>
    </w:p>
    <w:p w14:paraId="411C9F3D">
      <w:pPr>
        <w:ind w:firstLine="420" w:firstLineChars="200"/>
        <w:jc w:val="left"/>
        <w:rPr>
          <w:rFonts w:hint="eastAsia" w:ascii="宋体" w:hAnsi="宋体" w:eastAsia="宋体" w:cs="宋体"/>
          <w:szCs w:val="21"/>
        </w:rPr>
      </w:pPr>
      <w:r>
        <w:rPr>
          <w:rFonts w:hint="eastAsia" w:ascii="Times New Roman" w:hAnsi="Times New Roman" w:eastAsia="宋体" w:cs="Times New Roman"/>
          <w:szCs w:val="21"/>
        </w:rPr>
        <w:t>GB/T 39560</w:t>
      </w:r>
      <w:r>
        <w:rPr>
          <w:rFonts w:hint="eastAsia" w:ascii="宋体" w:hAnsi="宋体" w:eastAsia="宋体" w:cs="宋体"/>
          <w:szCs w:val="21"/>
        </w:rPr>
        <w:t>（所有部分）《电子电气产品中某些物质的测定》</w:t>
      </w:r>
    </w:p>
    <w:p w14:paraId="237C31A6">
      <w:pPr>
        <w:ind w:firstLine="420" w:firstLineChars="200"/>
        <w:jc w:val="left"/>
        <w:rPr>
          <w:rFonts w:hint="eastAsia" w:ascii="宋体" w:hAnsi="宋体" w:eastAsia="宋体" w:cs="宋体"/>
          <w:szCs w:val="21"/>
          <w:lang w:eastAsia="zh-CN"/>
        </w:rPr>
      </w:pPr>
      <w:r>
        <w:rPr>
          <w:rFonts w:hint="eastAsia" w:ascii="Times New Roman" w:hAnsi="Times New Roman" w:eastAsia="宋体" w:cs="Times New Roman"/>
          <w:szCs w:val="21"/>
          <w:lang w:eastAsia="zh-CN"/>
        </w:rPr>
        <w:t>GB/T 31274-2024</w:t>
      </w:r>
      <w:r>
        <w:rPr>
          <w:rFonts w:hint="eastAsia" w:ascii="宋体" w:hAnsi="宋体" w:eastAsia="宋体" w:cs="宋体"/>
          <w:szCs w:val="21"/>
        </w:rPr>
        <w:t xml:space="preserve"> </w:t>
      </w:r>
      <w:r>
        <w:rPr>
          <w:rFonts w:hint="eastAsia" w:ascii="宋体" w:hAnsi="宋体" w:eastAsia="宋体" w:cs="宋体"/>
          <w:szCs w:val="21"/>
          <w:lang w:eastAsia="zh-CN"/>
        </w:rPr>
        <w:t>电子电气产品限用物质管理体系要求</w:t>
      </w:r>
    </w:p>
    <w:p w14:paraId="7978C9CB">
      <w:pPr>
        <w:ind w:firstLine="420" w:firstLineChars="200"/>
        <w:jc w:val="left"/>
        <w:rPr>
          <w:rFonts w:hint="eastAsia" w:ascii="宋体" w:hAnsi="宋体" w:eastAsia="宋体" w:cs="宋体"/>
          <w:szCs w:val="21"/>
        </w:rPr>
      </w:pPr>
      <w:r>
        <w:rPr>
          <w:rFonts w:hint="eastAsia" w:ascii="Times New Roman" w:hAnsi="Times New Roman" w:eastAsia="宋体" w:cs="Times New Roman"/>
          <w:szCs w:val="21"/>
          <w:lang w:eastAsia="zh-CN"/>
        </w:rPr>
        <w:t xml:space="preserve">GB/T 27050.1 </w:t>
      </w:r>
      <w:r>
        <w:rPr>
          <w:rFonts w:hint="eastAsia" w:ascii="宋体" w:hAnsi="宋体" w:eastAsia="宋体" w:cs="宋体"/>
          <w:szCs w:val="21"/>
        </w:rPr>
        <w:t>合格评定供方符合性声明通用要求</w:t>
      </w:r>
    </w:p>
    <w:p w14:paraId="384C837B">
      <w:pPr>
        <w:ind w:firstLine="420" w:firstLineChars="200"/>
        <w:jc w:val="left"/>
        <w:rPr>
          <w:rFonts w:hint="eastAsia" w:ascii="宋体" w:hAnsi="宋体" w:eastAsia="宋体" w:cs="宋体"/>
          <w:szCs w:val="21"/>
        </w:rPr>
      </w:pPr>
      <w:r>
        <w:rPr>
          <w:rFonts w:hint="eastAsia" w:ascii="Times New Roman" w:hAnsi="Times New Roman" w:eastAsia="宋体" w:cs="Times New Roman"/>
          <w:szCs w:val="21"/>
          <w:lang w:eastAsia="zh-CN"/>
        </w:rPr>
        <w:t>GB/T 33760</w:t>
      </w:r>
      <w:r>
        <w:rPr>
          <w:rFonts w:hint="eastAsia" w:ascii="Times New Roman" w:hAnsi="Times New Roman" w:eastAsia="宋体" w:cs="Times New Roman"/>
          <w:szCs w:val="21"/>
          <w:lang w:val="en-US" w:eastAsia="zh-CN"/>
        </w:rPr>
        <w:t>-</w:t>
      </w:r>
      <w:r>
        <w:rPr>
          <w:rFonts w:hint="eastAsia" w:ascii="Times New Roman" w:hAnsi="Times New Roman" w:eastAsia="宋体" w:cs="Times New Roman"/>
          <w:szCs w:val="21"/>
          <w:lang w:eastAsia="zh-CN"/>
        </w:rPr>
        <w:t xml:space="preserve">2017 </w:t>
      </w:r>
      <w:r>
        <w:rPr>
          <w:rFonts w:hint="eastAsia" w:ascii="宋体" w:hAnsi="宋体" w:eastAsia="宋体" w:cs="宋体"/>
          <w:szCs w:val="21"/>
        </w:rPr>
        <w:t>绿色制造评价通则</w:t>
      </w:r>
    </w:p>
    <w:p w14:paraId="5EBE9494">
      <w:pPr>
        <w:ind w:firstLine="420" w:firstLineChars="200"/>
        <w:jc w:val="left"/>
        <w:rPr>
          <w:rFonts w:hint="eastAsia" w:ascii="宋体" w:hAnsi="宋体" w:eastAsia="宋体" w:cs="宋体"/>
          <w:szCs w:val="21"/>
        </w:rPr>
      </w:pPr>
      <w:r>
        <w:rPr>
          <w:rFonts w:hint="eastAsia" w:ascii="Times New Roman" w:hAnsi="Times New Roman" w:eastAsia="宋体" w:cs="Times New Roman"/>
          <w:szCs w:val="21"/>
          <w:lang w:eastAsia="zh-CN"/>
        </w:rPr>
        <w:t>GB/T 38650</w:t>
      </w:r>
      <w:r>
        <w:rPr>
          <w:rFonts w:hint="eastAsia" w:ascii="Times New Roman" w:hAnsi="Times New Roman" w:eastAsia="宋体" w:cs="Times New Roman"/>
          <w:szCs w:val="21"/>
          <w:lang w:val="en-US" w:eastAsia="zh-CN"/>
        </w:rPr>
        <w:t>-</w:t>
      </w:r>
      <w:r>
        <w:rPr>
          <w:rFonts w:hint="eastAsia" w:ascii="Times New Roman" w:hAnsi="Times New Roman" w:eastAsia="宋体" w:cs="Times New Roman"/>
          <w:szCs w:val="21"/>
          <w:lang w:eastAsia="zh-CN"/>
        </w:rPr>
        <w:t xml:space="preserve">2020 </w:t>
      </w:r>
      <w:r>
        <w:rPr>
          <w:rFonts w:hint="eastAsia" w:ascii="宋体" w:hAnsi="宋体" w:eastAsia="宋体" w:cs="宋体"/>
          <w:szCs w:val="21"/>
        </w:rPr>
        <w:t>检验检测机构诚信基本要求</w:t>
      </w:r>
    </w:p>
    <w:p w14:paraId="255DB370">
      <w:pPr>
        <w:ind w:firstLine="420" w:firstLineChars="200"/>
        <w:jc w:val="left"/>
        <w:rPr>
          <w:rFonts w:hint="eastAsia" w:ascii="宋体" w:hAnsi="宋体" w:eastAsia="宋体" w:cs="宋体"/>
          <w:szCs w:val="21"/>
        </w:rPr>
      </w:pPr>
      <w:r>
        <w:rPr>
          <w:rFonts w:hint="eastAsia" w:ascii="Times New Roman" w:hAnsi="Times New Roman" w:eastAsia="宋体" w:cs="Times New Roman"/>
          <w:szCs w:val="21"/>
          <w:lang w:eastAsia="zh-CN"/>
        </w:rPr>
        <w:t>RB/T 240</w:t>
      </w:r>
      <w:r>
        <w:rPr>
          <w:rFonts w:hint="eastAsia" w:ascii="Times New Roman" w:hAnsi="Times New Roman" w:eastAsia="宋体" w:cs="Times New Roman"/>
          <w:szCs w:val="21"/>
          <w:lang w:val="en-US" w:eastAsia="zh-CN"/>
        </w:rPr>
        <w:t>-</w:t>
      </w:r>
      <w:r>
        <w:rPr>
          <w:rFonts w:hint="eastAsia" w:ascii="Times New Roman" w:hAnsi="Times New Roman" w:eastAsia="宋体" w:cs="Times New Roman"/>
          <w:szCs w:val="21"/>
          <w:lang w:eastAsia="zh-CN"/>
        </w:rPr>
        <w:t>2023</w:t>
      </w:r>
      <w:r>
        <w:rPr>
          <w:rFonts w:hint="eastAsia" w:ascii="宋体" w:hAnsi="宋体" w:eastAsia="宋体" w:cs="宋体"/>
          <w:szCs w:val="21"/>
        </w:rPr>
        <w:t xml:space="preserve"> 检验检测机构信息化管理要求</w:t>
      </w:r>
    </w:p>
    <w:p w14:paraId="44662AB9">
      <w:pPr>
        <w:ind w:firstLine="420" w:firstLineChars="200"/>
        <w:jc w:val="left"/>
        <w:rPr>
          <w:rFonts w:hint="eastAsia" w:ascii="宋体" w:hAnsi="宋体" w:eastAsia="宋体" w:cs="宋体"/>
          <w:szCs w:val="21"/>
        </w:rPr>
      </w:pPr>
      <w:r>
        <w:rPr>
          <w:rFonts w:hint="eastAsia" w:ascii="Times New Roman" w:hAnsi="Times New Roman" w:eastAsia="宋体" w:cs="Times New Roman"/>
          <w:szCs w:val="21"/>
          <w:lang w:eastAsia="zh-CN"/>
        </w:rPr>
        <w:t>RB/T 027</w:t>
      </w:r>
      <w:r>
        <w:rPr>
          <w:rFonts w:hint="eastAsia" w:ascii="Times New Roman" w:hAnsi="Times New Roman" w:eastAsia="宋体" w:cs="Times New Roman"/>
          <w:szCs w:val="21"/>
          <w:lang w:val="en-US" w:eastAsia="zh-CN"/>
        </w:rPr>
        <w:t>-</w:t>
      </w:r>
      <w:r>
        <w:rPr>
          <w:rFonts w:hint="eastAsia" w:ascii="Times New Roman" w:hAnsi="Times New Roman" w:eastAsia="宋体" w:cs="Times New Roman"/>
          <w:szCs w:val="21"/>
          <w:lang w:eastAsia="zh-CN"/>
        </w:rPr>
        <w:t xml:space="preserve">2020 </w:t>
      </w:r>
      <w:r>
        <w:rPr>
          <w:rFonts w:hint="eastAsia" w:ascii="宋体" w:hAnsi="宋体" w:eastAsia="宋体" w:cs="宋体"/>
          <w:szCs w:val="21"/>
        </w:rPr>
        <w:t>《检验检测机构内部审核指南》</w:t>
      </w:r>
    </w:p>
    <w:p w14:paraId="0769FD4C">
      <w:pPr>
        <w:ind w:firstLine="420" w:firstLineChars="200"/>
        <w:jc w:val="left"/>
        <w:rPr>
          <w:rFonts w:hint="eastAsia" w:ascii="宋体" w:hAnsi="宋体" w:eastAsia="宋体" w:cs="宋体"/>
          <w:szCs w:val="21"/>
        </w:rPr>
      </w:pPr>
      <w:r>
        <w:rPr>
          <w:rFonts w:hint="eastAsia" w:ascii="Times New Roman" w:hAnsi="Times New Roman" w:eastAsia="宋体" w:cs="Times New Roman"/>
          <w:szCs w:val="21"/>
          <w:lang w:eastAsia="zh-CN"/>
        </w:rPr>
        <w:t>T/CESA 1199</w:t>
      </w:r>
      <w:r>
        <w:rPr>
          <w:rFonts w:hint="eastAsia" w:ascii="Times New Roman" w:hAnsi="Times New Roman" w:eastAsia="宋体" w:cs="Times New Roman"/>
          <w:szCs w:val="21"/>
          <w:lang w:val="en-US" w:eastAsia="zh-CN"/>
        </w:rPr>
        <w:t>-</w:t>
      </w:r>
      <w:r>
        <w:rPr>
          <w:rFonts w:hint="eastAsia" w:ascii="Times New Roman" w:hAnsi="Times New Roman" w:eastAsia="宋体" w:cs="Times New Roman"/>
          <w:szCs w:val="21"/>
          <w:lang w:eastAsia="zh-CN"/>
        </w:rPr>
        <w:t xml:space="preserve">2022 </w:t>
      </w:r>
      <w:r>
        <w:rPr>
          <w:rFonts w:hint="eastAsia" w:ascii="宋体" w:hAnsi="宋体" w:eastAsia="宋体" w:cs="宋体"/>
          <w:szCs w:val="21"/>
        </w:rPr>
        <w:t>绿色设计产品评价技术规范家用电器</w:t>
      </w:r>
    </w:p>
    <w:p w14:paraId="321E4660">
      <w:pPr>
        <w:ind w:firstLine="420" w:firstLineChars="200"/>
        <w:jc w:val="left"/>
        <w:rPr>
          <w:rFonts w:hint="eastAsia" w:ascii="宋体" w:hAnsi="宋体" w:eastAsia="宋体" w:cs="宋体"/>
          <w:szCs w:val="21"/>
        </w:rPr>
      </w:pPr>
      <w:r>
        <w:rPr>
          <w:rFonts w:hint="eastAsia" w:ascii="Times New Roman" w:hAnsi="Times New Roman" w:eastAsia="宋体" w:cs="Times New Roman"/>
          <w:szCs w:val="21"/>
          <w:lang w:eastAsia="zh-CN"/>
        </w:rPr>
        <w:t>IECQ QC 080000</w:t>
      </w:r>
      <w:r>
        <w:rPr>
          <w:rFonts w:hint="eastAsia" w:ascii="宋体" w:hAnsi="宋体" w:eastAsia="宋体" w:cs="宋体"/>
          <w:szCs w:val="21"/>
          <w:lang w:eastAsia="zh-CN"/>
        </w:rPr>
        <w:t>《</w:t>
      </w:r>
      <w:r>
        <w:rPr>
          <w:rFonts w:hint="eastAsia" w:ascii="宋体" w:hAnsi="宋体" w:eastAsia="宋体" w:cs="宋体"/>
          <w:szCs w:val="21"/>
        </w:rPr>
        <w:t>有害物质过程管理体系要求》</w:t>
      </w:r>
    </w:p>
    <w:p w14:paraId="72BE5491">
      <w:pPr>
        <w:ind w:firstLine="420" w:firstLineChars="200"/>
        <w:jc w:val="left"/>
        <w:rPr>
          <w:rFonts w:hint="eastAsia" w:ascii="宋体" w:hAnsi="宋体" w:eastAsia="宋体" w:cs="宋体"/>
          <w:szCs w:val="21"/>
        </w:rPr>
      </w:pPr>
      <w:r>
        <w:rPr>
          <w:rFonts w:hint="eastAsia" w:ascii="Times New Roman" w:hAnsi="Times New Roman" w:eastAsia="宋体" w:cs="Times New Roman"/>
          <w:szCs w:val="21"/>
          <w:lang w:eastAsia="zh-CN"/>
        </w:rPr>
        <w:t>IEC 62321 系列标准</w:t>
      </w:r>
      <w:r>
        <w:rPr>
          <w:rFonts w:hint="eastAsia" w:ascii="宋体" w:hAnsi="宋体" w:eastAsia="宋体" w:cs="宋体"/>
          <w:szCs w:val="21"/>
        </w:rPr>
        <w:t>《电工电子产品中某些物质的测定》</w:t>
      </w:r>
    </w:p>
    <w:p w14:paraId="7CD3CDAF">
      <w:pPr>
        <w:ind w:firstLine="420" w:firstLineChars="200"/>
        <w:jc w:val="left"/>
        <w:rPr>
          <w:rFonts w:hint="eastAsia" w:ascii="宋体" w:hAnsi="宋体" w:eastAsia="宋体" w:cs="宋体"/>
          <w:szCs w:val="21"/>
        </w:rPr>
      </w:pPr>
      <w:r>
        <w:rPr>
          <w:rFonts w:hint="eastAsia" w:ascii="Times New Roman" w:hAnsi="Times New Roman" w:eastAsia="宋体" w:cs="Times New Roman"/>
          <w:szCs w:val="21"/>
          <w:lang w:eastAsia="zh-CN"/>
        </w:rPr>
        <w:t>ISO 14001《</w:t>
      </w:r>
      <w:r>
        <w:rPr>
          <w:rFonts w:hint="eastAsia" w:ascii="宋体" w:hAnsi="宋体" w:eastAsia="宋体" w:cs="宋体"/>
          <w:szCs w:val="21"/>
        </w:rPr>
        <w:t>环境管理体系要求及使用指南》</w:t>
      </w:r>
    </w:p>
    <w:p w14:paraId="6CBA13F8">
      <w:pPr>
        <w:pStyle w:val="31"/>
        <w:bidi w:val="0"/>
      </w:pPr>
      <w:bookmarkStart w:id="62" w:name="_Toc15494"/>
      <w:r>
        <w:rPr>
          <w:rFonts w:hint="eastAsia"/>
        </w:rPr>
        <w:t>术语和定义</w:t>
      </w:r>
      <w:bookmarkEnd w:id="62"/>
    </w:p>
    <w:p w14:paraId="399CFA5E">
      <w:pPr>
        <w:ind w:firstLine="420" w:firstLineChars="200"/>
        <w:rPr>
          <w:rFonts w:asciiTheme="minorEastAsia" w:hAnsiTheme="minorEastAsia" w:cstheme="minorEastAsia"/>
          <w:sz w:val="22"/>
          <w:szCs w:val="28"/>
        </w:rPr>
      </w:pPr>
      <w:r>
        <w:rPr>
          <w:rFonts w:hint="eastAsia" w:asciiTheme="minorEastAsia" w:hAnsiTheme="minorEastAsia" w:cstheme="minorEastAsia"/>
          <w:szCs w:val="28"/>
        </w:rPr>
        <w:t>下列术语和定义适用于本文件。</w:t>
      </w:r>
    </w:p>
    <w:p w14:paraId="563DC9EE">
      <w:pPr>
        <w:rPr>
          <w:rFonts w:asciiTheme="minorEastAsia" w:hAnsiTheme="minorEastAsia" w:cstheme="minorEastAsia"/>
          <w:sz w:val="22"/>
          <w:szCs w:val="28"/>
        </w:rPr>
      </w:pPr>
      <w:r>
        <w:rPr>
          <w:rFonts w:hint="eastAsia" w:ascii="黑体" w:hAnsi="黑体" w:eastAsia="黑体" w:cs="黑体"/>
          <w:szCs w:val="28"/>
        </w:rPr>
        <w:t xml:space="preserve">3.1 </w:t>
      </w:r>
      <w:r>
        <w:rPr>
          <w:rFonts w:hint="eastAsia" w:asciiTheme="minorEastAsia" w:hAnsiTheme="minorEastAsia" w:cstheme="minorEastAsia"/>
          <w:szCs w:val="28"/>
        </w:rPr>
        <w:t xml:space="preserve"> </w:t>
      </w:r>
    </w:p>
    <w:p w14:paraId="1B788AE0">
      <w:pPr>
        <w:ind w:firstLine="420" w:firstLineChars="200"/>
        <w:rPr>
          <w:rFonts w:asciiTheme="minorEastAsia" w:hAnsiTheme="minorEastAsia" w:cstheme="minorEastAsia"/>
          <w:szCs w:val="28"/>
          <w:highlight w:val="none"/>
        </w:rPr>
      </w:pPr>
      <w:r>
        <w:rPr>
          <w:rFonts w:hint="eastAsia" w:ascii="黑体" w:hAnsi="黑体" w:eastAsia="黑体" w:cs="黑体"/>
          <w:szCs w:val="28"/>
          <w:highlight w:val="none"/>
        </w:rPr>
        <w:t>电器电子产品环保检测</w:t>
      </w:r>
    </w:p>
    <w:p w14:paraId="7A747DED">
      <w:pPr>
        <w:ind w:firstLine="420" w:firstLineChars="200"/>
        <w:rPr>
          <w:rFonts w:asciiTheme="minorEastAsia" w:hAnsiTheme="minorEastAsia" w:cstheme="minorEastAsia"/>
          <w:szCs w:val="28"/>
          <w:highlight w:val="none"/>
        </w:rPr>
      </w:pPr>
      <w:r>
        <w:rPr>
          <w:rFonts w:hint="eastAsia" w:asciiTheme="minorEastAsia" w:hAnsiTheme="minorEastAsia" w:cstheme="minorEastAsia"/>
          <w:szCs w:val="28"/>
          <w:highlight w:val="none"/>
        </w:rPr>
        <w:t>指对电气电子设备在产品全生命周期中涉及的有害物质限制、环境合规、资源循环利用及环境性能等方面进行检测、验证与评估的系统性活动。</w:t>
      </w:r>
    </w:p>
    <w:p w14:paraId="620FE308">
      <w:pPr>
        <w:rPr>
          <w:rFonts w:ascii="黑体" w:hAnsi="黑体" w:eastAsia="黑体" w:cs="黑体"/>
          <w:sz w:val="22"/>
          <w:szCs w:val="28"/>
          <w:highlight w:val="none"/>
        </w:rPr>
      </w:pPr>
      <w:r>
        <w:rPr>
          <w:rFonts w:hint="eastAsia" w:ascii="黑体" w:hAnsi="黑体" w:eastAsia="黑体" w:cs="黑体"/>
          <w:szCs w:val="28"/>
          <w:highlight w:val="none"/>
        </w:rPr>
        <w:t xml:space="preserve">3.2 </w:t>
      </w:r>
      <w:r>
        <w:rPr>
          <w:rFonts w:hint="eastAsia" w:ascii="宋体" w:hAnsi="宋体" w:eastAsia="宋体" w:cs="黑体"/>
          <w:szCs w:val="28"/>
          <w:highlight w:val="none"/>
        </w:rPr>
        <w:t xml:space="preserve"> </w:t>
      </w:r>
    </w:p>
    <w:p w14:paraId="2CAE207B">
      <w:pPr>
        <w:ind w:firstLine="420" w:firstLineChars="200"/>
        <w:rPr>
          <w:rFonts w:hint="eastAsia" w:ascii="黑体" w:hAnsi="黑体" w:eastAsia="黑体" w:cs="黑体"/>
          <w:szCs w:val="28"/>
          <w:highlight w:val="none"/>
        </w:rPr>
      </w:pPr>
      <w:r>
        <w:rPr>
          <w:rFonts w:hint="eastAsia" w:ascii="黑体" w:hAnsi="黑体" w:eastAsia="黑体" w:cs="黑体"/>
          <w:szCs w:val="28"/>
          <w:highlight w:val="none"/>
        </w:rPr>
        <w:t xml:space="preserve">高质量实验室 </w:t>
      </w:r>
    </w:p>
    <w:p w14:paraId="2051CC0E">
      <w:pPr>
        <w:ind w:firstLine="420" w:firstLineChars="200"/>
        <w:rPr>
          <w:rFonts w:ascii="宋体" w:hAnsi="宋体" w:eastAsia="宋体" w:cs="宋体"/>
          <w:sz w:val="22"/>
          <w:szCs w:val="28"/>
          <w:highlight w:val="none"/>
        </w:rPr>
      </w:pPr>
      <w:r>
        <w:rPr>
          <w:rFonts w:hint="eastAsia" w:ascii="宋体" w:hAnsi="宋体" w:eastAsia="宋体" w:cs="宋体"/>
          <w:szCs w:val="28"/>
          <w:highlight w:val="none"/>
        </w:rPr>
        <w:t>依据本文件第</w:t>
      </w:r>
      <w:r>
        <w:rPr>
          <w:rFonts w:hint="eastAsia" w:ascii="宋体" w:hAnsi="宋体" w:eastAsia="宋体" w:cs="宋体"/>
          <w:kern w:val="2"/>
          <w:sz w:val="21"/>
          <w:szCs w:val="28"/>
          <w:lang w:val="en-US" w:eastAsia="zh-CN" w:bidi="ar-SA"/>
        </w:rPr>
        <w:t>4</w:t>
      </w:r>
      <w:r>
        <w:rPr>
          <w:rFonts w:hint="eastAsia" w:ascii="宋体" w:hAnsi="宋体" w:eastAsia="宋体" w:cs="宋体"/>
          <w:szCs w:val="28"/>
          <w:highlight w:val="none"/>
        </w:rPr>
        <w:t>章和第</w:t>
      </w:r>
      <w:r>
        <w:rPr>
          <w:rFonts w:hint="eastAsia" w:ascii="宋体" w:hAnsi="宋体" w:eastAsia="宋体" w:cs="宋体"/>
          <w:kern w:val="2"/>
          <w:sz w:val="21"/>
          <w:szCs w:val="28"/>
          <w:lang w:val="en-US" w:eastAsia="zh-CN" w:bidi="ar-SA"/>
        </w:rPr>
        <w:t>5</w:t>
      </w:r>
      <w:r>
        <w:rPr>
          <w:rFonts w:hint="eastAsia" w:ascii="宋体" w:hAnsi="宋体" w:eastAsia="宋体" w:cs="宋体"/>
          <w:szCs w:val="28"/>
          <w:highlight w:val="none"/>
        </w:rPr>
        <w:t>章的要求，通过评价程序，在人员、设备、方法、管理、技术及服务等方面表现出色，并获得高等级评定的实验室。</w:t>
      </w:r>
    </w:p>
    <w:p w14:paraId="7D0DEE1A">
      <w:pPr>
        <w:rPr>
          <w:rFonts w:ascii="黑体" w:hAnsi="黑体" w:eastAsia="黑体" w:cs="黑体"/>
          <w:sz w:val="22"/>
          <w:szCs w:val="28"/>
          <w:highlight w:val="none"/>
        </w:rPr>
      </w:pPr>
      <w:r>
        <w:rPr>
          <w:rFonts w:hint="eastAsia" w:ascii="黑体" w:hAnsi="黑体" w:eastAsia="黑体" w:cs="黑体"/>
          <w:szCs w:val="28"/>
          <w:highlight w:val="none"/>
        </w:rPr>
        <w:t xml:space="preserve">3.3 </w:t>
      </w:r>
    </w:p>
    <w:p w14:paraId="4AFF1C97">
      <w:pPr>
        <w:ind w:firstLine="420" w:firstLineChars="200"/>
        <w:rPr>
          <w:rFonts w:hint="eastAsia" w:ascii="黑体" w:hAnsi="黑体" w:eastAsia="黑体" w:cs="黑体"/>
          <w:szCs w:val="28"/>
          <w:highlight w:val="none"/>
        </w:rPr>
      </w:pPr>
      <w:r>
        <w:rPr>
          <w:rFonts w:hint="eastAsia" w:ascii="黑体" w:hAnsi="黑体" w:eastAsia="黑体" w:cs="黑体"/>
          <w:szCs w:val="28"/>
          <w:highlight w:val="none"/>
        </w:rPr>
        <w:t xml:space="preserve">优质实验室 </w:t>
      </w:r>
    </w:p>
    <w:p w14:paraId="7E3D11D8">
      <w:pPr>
        <w:ind w:firstLine="420" w:firstLineChars="200"/>
        <w:rPr>
          <w:rFonts w:ascii="宋体" w:hAnsi="宋体" w:eastAsia="宋体" w:cs="宋体"/>
          <w:sz w:val="22"/>
          <w:szCs w:val="28"/>
        </w:rPr>
      </w:pPr>
      <w:r>
        <w:rPr>
          <w:rFonts w:hint="eastAsia" w:ascii="宋体" w:hAnsi="宋体" w:eastAsia="宋体" w:cs="宋体"/>
          <w:szCs w:val="28"/>
          <w:highlight w:val="none"/>
        </w:rPr>
        <w:t>依据本文件第</w:t>
      </w:r>
      <w:r>
        <w:rPr>
          <w:rFonts w:hint="eastAsia" w:ascii="宋体" w:hAnsi="宋体" w:eastAsia="宋体" w:cs="宋体"/>
          <w:kern w:val="2"/>
          <w:sz w:val="21"/>
          <w:szCs w:val="28"/>
          <w:lang w:val="en-US" w:eastAsia="zh-CN" w:bidi="ar-SA"/>
        </w:rPr>
        <w:t>4</w:t>
      </w:r>
      <w:r>
        <w:rPr>
          <w:rFonts w:hint="eastAsia" w:ascii="宋体" w:hAnsi="宋体" w:eastAsia="宋体" w:cs="宋体"/>
          <w:szCs w:val="28"/>
          <w:highlight w:val="none"/>
        </w:rPr>
        <w:t>章和第</w:t>
      </w:r>
      <w:r>
        <w:rPr>
          <w:rFonts w:hint="eastAsia" w:ascii="宋体" w:hAnsi="宋体" w:eastAsia="宋体" w:cs="宋体"/>
          <w:kern w:val="2"/>
          <w:sz w:val="21"/>
          <w:szCs w:val="28"/>
          <w:lang w:val="en-US" w:eastAsia="zh-CN" w:bidi="ar-SA"/>
        </w:rPr>
        <w:t>5</w:t>
      </w:r>
      <w:r>
        <w:rPr>
          <w:rFonts w:hint="eastAsia" w:ascii="宋体" w:hAnsi="宋体" w:eastAsia="宋体" w:cs="宋体"/>
          <w:szCs w:val="28"/>
          <w:highlight w:val="none"/>
        </w:rPr>
        <w:t>章的要求，通过评价程序，管理规范、数据可靠，具备良好能力的实验室。</w:t>
      </w:r>
    </w:p>
    <w:p w14:paraId="07E2756C">
      <w:pPr>
        <w:rPr>
          <w:rFonts w:ascii="黑体" w:hAnsi="黑体" w:eastAsia="黑体" w:cs="黑体"/>
          <w:sz w:val="22"/>
          <w:szCs w:val="28"/>
        </w:rPr>
      </w:pPr>
      <w:r>
        <w:rPr>
          <w:rFonts w:hint="eastAsia" w:ascii="黑体" w:hAnsi="黑体" w:eastAsia="黑体" w:cs="黑体"/>
          <w:szCs w:val="28"/>
        </w:rPr>
        <w:t xml:space="preserve">3.4 </w:t>
      </w:r>
    </w:p>
    <w:p w14:paraId="3558DE26">
      <w:pPr>
        <w:ind w:firstLine="420" w:firstLineChars="200"/>
        <w:rPr>
          <w:rFonts w:hint="eastAsia" w:ascii="黑体" w:hAnsi="黑体" w:eastAsia="黑体" w:cs="黑体"/>
          <w:szCs w:val="28"/>
        </w:rPr>
      </w:pPr>
      <w:r>
        <w:rPr>
          <w:rFonts w:hint="eastAsia" w:ascii="黑体" w:hAnsi="黑体" w:eastAsia="黑体" w:cs="黑体"/>
          <w:szCs w:val="28"/>
        </w:rPr>
        <w:t xml:space="preserve">达标实验室 </w:t>
      </w:r>
    </w:p>
    <w:p w14:paraId="5E67087E">
      <w:pPr>
        <w:ind w:firstLine="420" w:firstLineChars="200"/>
        <w:rPr>
          <w:rFonts w:hint="eastAsia" w:ascii="宋体" w:hAnsi="宋体" w:eastAsia="宋体" w:cs="宋体"/>
          <w:szCs w:val="28"/>
        </w:rPr>
      </w:pPr>
      <w:r>
        <w:rPr>
          <w:rFonts w:hint="eastAsia" w:ascii="宋体" w:hAnsi="宋体" w:eastAsia="宋体" w:cs="宋体"/>
          <w:szCs w:val="28"/>
        </w:rPr>
        <w:t>依据本文件第</w:t>
      </w:r>
      <w:r>
        <w:rPr>
          <w:rFonts w:hint="eastAsia" w:ascii="宋体" w:hAnsi="宋体" w:eastAsia="宋体" w:cs="宋体"/>
          <w:kern w:val="2"/>
          <w:sz w:val="21"/>
          <w:szCs w:val="28"/>
          <w:lang w:val="en-US" w:eastAsia="zh-CN" w:bidi="ar-SA"/>
        </w:rPr>
        <w:t>4</w:t>
      </w:r>
      <w:r>
        <w:rPr>
          <w:rFonts w:hint="eastAsia" w:ascii="宋体" w:hAnsi="宋体" w:eastAsia="宋体" w:cs="宋体"/>
          <w:szCs w:val="28"/>
        </w:rPr>
        <w:t>章和第</w:t>
      </w:r>
      <w:r>
        <w:rPr>
          <w:rFonts w:hint="eastAsia" w:ascii="宋体" w:hAnsi="宋体" w:eastAsia="宋体" w:cs="宋体"/>
          <w:kern w:val="2"/>
          <w:sz w:val="21"/>
          <w:szCs w:val="28"/>
          <w:lang w:val="en-US" w:eastAsia="zh-CN" w:bidi="ar-SA"/>
        </w:rPr>
        <w:t>5</w:t>
      </w:r>
      <w:r>
        <w:rPr>
          <w:rFonts w:hint="eastAsia" w:ascii="宋体" w:hAnsi="宋体" w:eastAsia="宋体" w:cs="宋体"/>
          <w:szCs w:val="28"/>
        </w:rPr>
        <w:t>章的要求，通过评价程序，满足国家及行业基本合规要求，检测能力稳定的实验室。</w:t>
      </w:r>
    </w:p>
    <w:p w14:paraId="32801D85">
      <w:pPr>
        <w:rPr>
          <w:rFonts w:ascii="黑体" w:hAnsi="黑体" w:eastAsia="黑体" w:cs="黑体"/>
          <w:sz w:val="22"/>
          <w:szCs w:val="28"/>
        </w:rPr>
      </w:pPr>
      <w:r>
        <w:rPr>
          <w:rFonts w:hint="eastAsia" w:ascii="黑体" w:hAnsi="黑体" w:eastAsia="黑体" w:cs="黑体"/>
          <w:szCs w:val="28"/>
        </w:rPr>
        <w:t xml:space="preserve">3.5 </w:t>
      </w:r>
    </w:p>
    <w:p w14:paraId="1466EFB6">
      <w:pPr>
        <w:ind w:firstLine="420" w:firstLineChars="200"/>
        <w:rPr>
          <w:rFonts w:hint="eastAsia" w:ascii="黑体" w:hAnsi="黑体" w:eastAsia="黑体" w:cs="黑体"/>
          <w:szCs w:val="28"/>
          <w:lang w:val="en-US" w:eastAsia="zh-CN"/>
        </w:rPr>
      </w:pPr>
      <w:r>
        <w:rPr>
          <w:rFonts w:hint="eastAsia" w:ascii="黑体" w:hAnsi="黑体" w:eastAsia="黑体" w:cs="黑体"/>
          <w:szCs w:val="28"/>
        </w:rPr>
        <w:t>未通过评定</w:t>
      </w:r>
      <w:r>
        <w:rPr>
          <w:rFonts w:hint="eastAsia" w:ascii="黑体" w:hAnsi="黑体" w:eastAsia="黑体" w:cs="黑体"/>
          <w:szCs w:val="28"/>
          <w:lang w:val="en-US" w:eastAsia="zh-CN"/>
        </w:rPr>
        <w:t>实验室</w:t>
      </w:r>
    </w:p>
    <w:p w14:paraId="220040B5">
      <w:pPr>
        <w:ind w:firstLine="420" w:firstLineChars="200"/>
        <w:rPr>
          <w:rFonts w:hint="eastAsia" w:ascii="宋体" w:hAnsi="宋体" w:eastAsia="宋体" w:cs="宋体"/>
          <w:b w:val="0"/>
          <w:bCs w:val="0"/>
          <w:szCs w:val="28"/>
        </w:rPr>
      </w:pPr>
      <w:r>
        <w:rPr>
          <w:rFonts w:hint="eastAsia" w:ascii="宋体" w:hAnsi="宋体" w:eastAsia="宋体" w:cs="宋体"/>
          <w:b w:val="0"/>
          <w:bCs w:val="0"/>
          <w:szCs w:val="28"/>
        </w:rPr>
        <w:t>指综合得分＜</w:t>
      </w:r>
      <w:r>
        <w:rPr>
          <w:rFonts w:hint="eastAsia" w:ascii="宋体" w:hAnsi="宋体" w:eastAsia="宋体" w:cs="宋体"/>
          <w:b w:val="0"/>
          <w:bCs w:val="0"/>
          <w:kern w:val="2"/>
          <w:sz w:val="21"/>
          <w:szCs w:val="28"/>
          <w:lang w:val="en-US" w:eastAsia="zh-CN" w:bidi="ar-SA"/>
        </w:rPr>
        <w:t>600</w:t>
      </w:r>
      <w:r>
        <w:rPr>
          <w:rFonts w:hint="eastAsia" w:ascii="宋体" w:hAnsi="宋体" w:eastAsia="宋体" w:cs="宋体"/>
          <w:b w:val="0"/>
          <w:bCs w:val="0"/>
          <w:szCs w:val="28"/>
        </w:rPr>
        <w:t>分，或基础项、创新项中任一项得分率＜</w:t>
      </w:r>
      <w:r>
        <w:rPr>
          <w:rFonts w:hint="eastAsia" w:ascii="宋体" w:hAnsi="宋体" w:eastAsia="宋体" w:cs="宋体"/>
          <w:b w:val="0"/>
          <w:bCs w:val="0"/>
          <w:kern w:val="2"/>
          <w:sz w:val="21"/>
          <w:szCs w:val="28"/>
          <w:lang w:val="en-US" w:eastAsia="zh-CN" w:bidi="ar-SA"/>
        </w:rPr>
        <w:t>60%</w:t>
      </w:r>
      <w:r>
        <w:rPr>
          <w:rFonts w:hint="eastAsia" w:ascii="宋体" w:hAnsi="宋体" w:eastAsia="宋体" w:cs="宋体"/>
          <w:b w:val="0"/>
          <w:bCs w:val="0"/>
          <w:szCs w:val="28"/>
        </w:rPr>
        <w:t>的情形。</w:t>
      </w:r>
    </w:p>
    <w:p w14:paraId="6884040E">
      <w:pPr>
        <w:rPr>
          <w:rFonts w:ascii="黑体" w:hAnsi="黑体" w:eastAsia="黑体" w:cs="黑体"/>
          <w:sz w:val="22"/>
          <w:szCs w:val="28"/>
        </w:rPr>
      </w:pPr>
      <w:r>
        <w:rPr>
          <w:rFonts w:hint="eastAsia" w:ascii="黑体" w:hAnsi="黑体" w:eastAsia="黑体" w:cs="黑体"/>
          <w:szCs w:val="28"/>
        </w:rPr>
        <w:t>3.6</w:t>
      </w:r>
    </w:p>
    <w:p w14:paraId="7714004B">
      <w:pPr>
        <w:ind w:firstLine="420" w:firstLineChars="200"/>
        <w:rPr>
          <w:rFonts w:hint="eastAsia" w:ascii="黑体" w:hAnsi="黑体" w:eastAsia="黑体" w:cs="黑体"/>
          <w:szCs w:val="28"/>
        </w:rPr>
      </w:pPr>
      <w:r>
        <w:rPr>
          <w:rFonts w:hint="eastAsia" w:ascii="黑体" w:hAnsi="黑体" w:eastAsia="黑体" w:cs="黑体"/>
          <w:szCs w:val="28"/>
        </w:rPr>
        <w:t xml:space="preserve">信息安全与数据保护 </w:t>
      </w:r>
    </w:p>
    <w:p w14:paraId="32148A43">
      <w:pPr>
        <w:ind w:firstLine="420" w:firstLineChars="200"/>
        <w:rPr>
          <w:rFonts w:ascii="宋体" w:hAnsi="宋体" w:eastAsia="宋体" w:cs="宋体"/>
          <w:sz w:val="22"/>
          <w:szCs w:val="28"/>
        </w:rPr>
      </w:pPr>
      <w:r>
        <w:rPr>
          <w:rFonts w:hint="eastAsia" w:ascii="宋体" w:hAnsi="宋体" w:eastAsia="宋体" w:cs="宋体"/>
          <w:szCs w:val="28"/>
        </w:rPr>
        <w:t>指对检测数据在采集、传输、存储、使用、备份及销毁全过程中的保密性、完整性、可用性。</w:t>
      </w:r>
    </w:p>
    <w:p w14:paraId="590905E1">
      <w:pPr>
        <w:rPr>
          <w:rFonts w:ascii="黑体" w:hAnsi="黑体" w:eastAsia="黑体" w:cs="黑体"/>
          <w:sz w:val="22"/>
          <w:szCs w:val="28"/>
        </w:rPr>
      </w:pPr>
      <w:r>
        <w:rPr>
          <w:rFonts w:hint="eastAsia" w:ascii="黑体" w:hAnsi="黑体" w:eastAsia="黑体" w:cs="黑体"/>
          <w:szCs w:val="28"/>
        </w:rPr>
        <w:t xml:space="preserve">3.7 </w:t>
      </w:r>
    </w:p>
    <w:p w14:paraId="3F9E22D9">
      <w:pPr>
        <w:ind w:firstLine="420" w:firstLineChars="200"/>
        <w:rPr>
          <w:rFonts w:hint="eastAsia" w:ascii="黑体" w:hAnsi="黑体" w:eastAsia="黑体" w:cs="黑体"/>
          <w:szCs w:val="28"/>
        </w:rPr>
      </w:pPr>
      <w:r>
        <w:rPr>
          <w:rFonts w:hint="eastAsia" w:ascii="黑体" w:hAnsi="黑体" w:eastAsia="黑体" w:cs="黑体"/>
          <w:szCs w:val="28"/>
        </w:rPr>
        <w:t xml:space="preserve">数字化实验室 </w:t>
      </w:r>
    </w:p>
    <w:p w14:paraId="52E709B0">
      <w:pPr>
        <w:ind w:firstLine="420" w:firstLineChars="200"/>
        <w:rPr>
          <w:rFonts w:ascii="黑体" w:hAnsi="黑体" w:eastAsia="黑体" w:cs="黑体"/>
          <w:sz w:val="22"/>
          <w:szCs w:val="28"/>
        </w:rPr>
      </w:pPr>
      <w:r>
        <w:rPr>
          <w:rFonts w:hint="eastAsia" w:ascii="宋体" w:hAnsi="宋体" w:eastAsia="宋体" w:cs="宋体"/>
          <w:szCs w:val="28"/>
        </w:rPr>
        <w:t>通过实验室信息管理系统（</w:t>
      </w:r>
      <w:r>
        <w:rPr>
          <w:rFonts w:hint="eastAsia" w:ascii="宋体" w:hAnsi="宋体" w:eastAsia="宋体" w:cs="宋体"/>
          <w:kern w:val="2"/>
          <w:sz w:val="21"/>
          <w:szCs w:val="28"/>
          <w:lang w:val="en-US" w:eastAsia="zh-CN" w:bidi="ar-SA"/>
        </w:rPr>
        <w:t>LIMS</w:t>
      </w:r>
      <w:r>
        <w:rPr>
          <w:rFonts w:hint="eastAsia" w:ascii="宋体" w:hAnsi="宋体" w:eastAsia="宋体" w:cs="宋体"/>
          <w:szCs w:val="28"/>
        </w:rPr>
        <w:t>）、电子记录（</w:t>
      </w:r>
      <w:r>
        <w:rPr>
          <w:rFonts w:hint="eastAsia" w:ascii="宋体" w:hAnsi="宋体" w:eastAsia="宋体" w:cs="宋体"/>
          <w:kern w:val="2"/>
          <w:sz w:val="21"/>
          <w:szCs w:val="28"/>
          <w:lang w:val="en-US" w:eastAsia="zh-CN" w:bidi="ar-SA"/>
        </w:rPr>
        <w:t>ELN</w:t>
      </w:r>
      <w:r>
        <w:rPr>
          <w:rFonts w:hint="eastAsia" w:ascii="宋体" w:hAnsi="宋体" w:eastAsia="宋体" w:cs="宋体"/>
          <w:szCs w:val="28"/>
        </w:rPr>
        <w:t>）、设备联网、电子报告等手段，实现检测流程自动化、数据可追溯、管理高效化的实验室。</w:t>
      </w:r>
    </w:p>
    <w:p w14:paraId="046B7EC8">
      <w:pPr>
        <w:rPr>
          <w:rFonts w:ascii="黑体" w:hAnsi="黑体" w:eastAsia="黑体" w:cs="黑体"/>
          <w:sz w:val="22"/>
          <w:szCs w:val="28"/>
        </w:rPr>
      </w:pPr>
      <w:r>
        <w:rPr>
          <w:rFonts w:hint="eastAsia" w:ascii="黑体" w:hAnsi="黑体" w:eastAsia="黑体" w:cs="黑体"/>
          <w:szCs w:val="28"/>
        </w:rPr>
        <w:t xml:space="preserve">3.8 </w:t>
      </w:r>
    </w:p>
    <w:p w14:paraId="1F8B044D">
      <w:pPr>
        <w:ind w:firstLine="420" w:firstLineChars="200"/>
        <w:rPr>
          <w:rFonts w:hint="eastAsia" w:ascii="黑体" w:hAnsi="黑体" w:eastAsia="黑体" w:cs="黑体"/>
          <w:szCs w:val="28"/>
        </w:rPr>
      </w:pPr>
      <w:r>
        <w:rPr>
          <w:rFonts w:hint="eastAsia" w:ascii="黑体" w:hAnsi="黑体" w:eastAsia="黑体" w:cs="黑体"/>
          <w:szCs w:val="28"/>
        </w:rPr>
        <w:t>新方法开发</w:t>
      </w:r>
    </w:p>
    <w:p w14:paraId="39572D7D">
      <w:pPr>
        <w:ind w:firstLine="420" w:firstLineChars="200"/>
        <w:rPr>
          <w:rFonts w:ascii="宋体" w:hAnsi="宋体" w:eastAsia="宋体" w:cs="宋体"/>
          <w:sz w:val="22"/>
          <w:szCs w:val="28"/>
        </w:rPr>
      </w:pPr>
      <w:r>
        <w:rPr>
          <w:rFonts w:hint="eastAsia" w:ascii="宋体" w:hAnsi="宋体" w:eastAsia="宋体" w:cs="宋体"/>
          <w:szCs w:val="28"/>
        </w:rPr>
        <w:t>实验室基于技术发展或客户需求，自主开发、验证并应用于实际检测的非标准方法或改进型标准方法，且具备完整的技术文档、内部审批记录。</w:t>
      </w:r>
    </w:p>
    <w:p w14:paraId="6078E029">
      <w:pPr>
        <w:rPr>
          <w:rFonts w:ascii="黑体" w:hAnsi="黑体" w:eastAsia="黑体" w:cs="黑体"/>
          <w:sz w:val="22"/>
          <w:szCs w:val="28"/>
        </w:rPr>
      </w:pPr>
      <w:r>
        <w:rPr>
          <w:rFonts w:hint="eastAsia" w:ascii="黑体" w:hAnsi="黑体" w:eastAsia="黑体" w:cs="黑体"/>
          <w:szCs w:val="28"/>
        </w:rPr>
        <w:t xml:space="preserve">3.9 </w:t>
      </w:r>
    </w:p>
    <w:p w14:paraId="3B75AB13">
      <w:pPr>
        <w:ind w:firstLine="420" w:firstLineChars="200"/>
        <w:rPr>
          <w:rFonts w:hint="eastAsia" w:ascii="黑体" w:hAnsi="黑体" w:eastAsia="黑体" w:cs="黑体"/>
          <w:szCs w:val="28"/>
        </w:rPr>
      </w:pPr>
      <w:r>
        <w:rPr>
          <w:rFonts w:hint="eastAsia" w:ascii="黑体" w:hAnsi="黑体" w:eastAsia="黑体" w:cs="黑体"/>
          <w:szCs w:val="28"/>
        </w:rPr>
        <w:t>客户满意度</w:t>
      </w:r>
    </w:p>
    <w:p w14:paraId="2560FCBB">
      <w:pPr>
        <w:ind w:firstLine="420" w:firstLineChars="200"/>
        <w:rPr>
          <w:rFonts w:ascii="宋体" w:hAnsi="宋体" w:eastAsia="宋体" w:cs="宋体"/>
          <w:sz w:val="22"/>
          <w:szCs w:val="28"/>
        </w:rPr>
      </w:pPr>
      <w:r>
        <w:rPr>
          <w:rFonts w:hint="eastAsia" w:ascii="宋体" w:hAnsi="宋体" w:eastAsia="宋体" w:cs="宋体"/>
          <w:szCs w:val="28"/>
        </w:rPr>
        <w:t>客户对实验室检测服务（包括报告及时性、准确性、沟通响应、问题处理等）的满意程度，通常以年度满意度调查结果量化</w:t>
      </w:r>
      <w:r>
        <w:rPr>
          <w:rFonts w:hint="eastAsia" w:ascii="宋体" w:hAnsi="宋体" w:eastAsia="宋体" w:cs="宋体"/>
          <w:szCs w:val="28"/>
          <w:lang w:eastAsia="zh-CN"/>
        </w:rPr>
        <w:t>。</w:t>
      </w:r>
    </w:p>
    <w:p w14:paraId="14CC6794">
      <w:pPr>
        <w:rPr>
          <w:rFonts w:ascii="黑体" w:hAnsi="黑体" w:eastAsia="黑体" w:cs="黑体"/>
          <w:sz w:val="22"/>
          <w:szCs w:val="28"/>
        </w:rPr>
      </w:pPr>
      <w:r>
        <w:rPr>
          <w:rFonts w:hint="eastAsia" w:ascii="黑体" w:hAnsi="黑体" w:eastAsia="黑体" w:cs="黑体"/>
          <w:szCs w:val="28"/>
        </w:rPr>
        <w:t xml:space="preserve">3.10  </w:t>
      </w:r>
    </w:p>
    <w:p w14:paraId="00AE63D9">
      <w:pPr>
        <w:ind w:firstLine="420" w:firstLineChars="200"/>
        <w:rPr>
          <w:rFonts w:ascii="Arial" w:hAnsi="Arial" w:eastAsia="黑体" w:cs="Arial"/>
          <w:sz w:val="22"/>
          <w:szCs w:val="28"/>
        </w:rPr>
      </w:pPr>
      <w:r>
        <w:rPr>
          <w:rFonts w:hint="eastAsia" w:ascii="黑体" w:hAnsi="黑体" w:eastAsia="黑体" w:cs="黑体"/>
          <w:szCs w:val="28"/>
        </w:rPr>
        <w:t>人机料法环测</w:t>
      </w:r>
    </w:p>
    <w:p w14:paraId="55DE7B1D">
      <w:pPr>
        <w:ind w:firstLine="420" w:firstLineChars="200"/>
        <w:rPr>
          <w:rFonts w:asciiTheme="minorEastAsia" w:hAnsiTheme="minorEastAsia" w:cstheme="minorEastAsia"/>
          <w:sz w:val="22"/>
          <w:szCs w:val="28"/>
        </w:rPr>
      </w:pPr>
      <w:r>
        <w:rPr>
          <w:rFonts w:hint="eastAsia" w:asciiTheme="minorEastAsia" w:hAnsiTheme="minorEastAsia" w:cstheme="minorEastAsia"/>
          <w:szCs w:val="28"/>
        </w:rPr>
        <w:t>实验室管理与检测活动的核心要素，包括“人员（人）、检测设备（机）、物料（样品/试剂/耗材，料）、检测方法与文件（法）、实验室环境（环）、检测过程与结果控制（测）”。</w:t>
      </w:r>
    </w:p>
    <w:p w14:paraId="5325E425">
      <w:pPr>
        <w:rPr>
          <w:rFonts w:ascii="黑体" w:hAnsi="黑体" w:eastAsia="黑体" w:cs="黑体"/>
          <w:sz w:val="22"/>
          <w:szCs w:val="28"/>
        </w:rPr>
      </w:pPr>
      <w:r>
        <w:rPr>
          <w:rFonts w:hint="eastAsia" w:ascii="黑体" w:hAnsi="黑体" w:eastAsia="黑体" w:cs="黑体"/>
          <w:szCs w:val="28"/>
        </w:rPr>
        <w:t xml:space="preserve">3.11 </w:t>
      </w:r>
    </w:p>
    <w:p w14:paraId="6FAE4CC2">
      <w:pPr>
        <w:ind w:firstLine="420" w:firstLineChars="200"/>
        <w:rPr>
          <w:rFonts w:hint="eastAsia" w:ascii="黑体" w:hAnsi="黑体" w:eastAsia="黑体" w:cs="黑体"/>
          <w:szCs w:val="28"/>
        </w:rPr>
      </w:pPr>
      <w:r>
        <w:rPr>
          <w:rFonts w:hint="eastAsia" w:ascii="黑体" w:hAnsi="黑体" w:eastAsia="黑体" w:cs="黑体"/>
          <w:szCs w:val="28"/>
          <w:lang w:eastAsia="zh-CN"/>
        </w:rPr>
        <w:t>IECQ QC 080000</w:t>
      </w:r>
      <w:r>
        <w:rPr>
          <w:rFonts w:hint="eastAsia" w:ascii="黑体" w:hAnsi="黑体" w:eastAsia="黑体" w:cs="黑体"/>
          <w:szCs w:val="28"/>
        </w:rPr>
        <w:t>体系IECQ Hazardous Substance Process Management (HSPM) System</w:t>
      </w:r>
    </w:p>
    <w:p w14:paraId="4A253A21">
      <w:pPr>
        <w:ind w:firstLine="420" w:firstLineChars="200"/>
        <w:rPr>
          <w:rFonts w:hint="eastAsia" w:ascii="宋体" w:hAnsi="宋体" w:eastAsia="宋体" w:cs="宋体"/>
          <w:sz w:val="22"/>
          <w:szCs w:val="28"/>
        </w:rPr>
      </w:pPr>
      <w:r>
        <w:rPr>
          <w:rFonts w:hint="eastAsia" w:ascii="宋体" w:hAnsi="宋体" w:eastAsia="宋体" w:cs="宋体"/>
          <w:b w:val="0"/>
          <w:bCs w:val="0"/>
          <w:szCs w:val="28"/>
        </w:rPr>
        <w:t>《</w:t>
      </w:r>
      <w:r>
        <w:rPr>
          <w:rFonts w:hint="eastAsia" w:ascii="宋体" w:hAnsi="宋体" w:eastAsia="宋体" w:cs="宋体"/>
          <w:szCs w:val="28"/>
          <w:lang w:eastAsia="zh-CN"/>
        </w:rPr>
        <w:t>IECQ QC 080000</w:t>
      </w:r>
      <w:r>
        <w:rPr>
          <w:rFonts w:hint="eastAsia" w:ascii="宋体" w:hAnsi="宋体" w:eastAsia="宋体" w:cs="宋体"/>
          <w:b w:val="0"/>
          <w:bCs w:val="0"/>
          <w:szCs w:val="28"/>
        </w:rPr>
        <w:t>电气电子元器件和产品有害物质过程管理体系要求》</w:t>
      </w:r>
    </w:p>
    <w:p w14:paraId="1133CE78">
      <w:pPr>
        <w:rPr>
          <w:rFonts w:ascii="黑体" w:hAnsi="黑体" w:eastAsia="黑体" w:cs="黑体"/>
          <w:sz w:val="22"/>
          <w:szCs w:val="28"/>
        </w:rPr>
      </w:pPr>
      <w:r>
        <w:rPr>
          <w:rFonts w:hint="eastAsia" w:ascii="黑体" w:hAnsi="黑体" w:eastAsia="黑体" w:cs="黑体"/>
          <w:szCs w:val="28"/>
        </w:rPr>
        <w:t xml:space="preserve">3.12 </w:t>
      </w:r>
    </w:p>
    <w:p w14:paraId="39F679D6">
      <w:pPr>
        <w:ind w:firstLine="420" w:firstLineChars="200"/>
        <w:rPr>
          <w:rFonts w:hint="eastAsia" w:ascii="黑体" w:hAnsi="黑体" w:eastAsia="黑体" w:cs="黑体"/>
          <w:szCs w:val="28"/>
        </w:rPr>
      </w:pPr>
      <w:r>
        <w:rPr>
          <w:rFonts w:hint="eastAsia" w:ascii="黑体" w:hAnsi="黑体" w:eastAsia="黑体" w:cs="黑体"/>
          <w:szCs w:val="28"/>
        </w:rPr>
        <w:t>有害物质过程管理</w:t>
      </w:r>
    </w:p>
    <w:p w14:paraId="5E262694">
      <w:pPr>
        <w:ind w:firstLine="420" w:firstLineChars="200"/>
        <w:rPr>
          <w:rFonts w:hint="eastAsia" w:asciiTheme="minorEastAsia" w:hAnsiTheme="minorEastAsia" w:cstheme="minorEastAsia"/>
          <w:szCs w:val="28"/>
        </w:rPr>
      </w:pPr>
      <w:r>
        <w:rPr>
          <w:rFonts w:hint="eastAsia" w:asciiTheme="minorEastAsia" w:hAnsiTheme="minorEastAsia" w:cstheme="minorEastAsia"/>
          <w:szCs w:val="28"/>
        </w:rPr>
        <w:t>对产品全生命周期中涉及有害物质的采购、检测、生产、存储等环节实施系统化控制的过程。</w:t>
      </w:r>
    </w:p>
    <w:p w14:paraId="445BCC7C">
      <w:pPr>
        <w:rPr>
          <w:rFonts w:hint="eastAsia" w:ascii="黑体" w:hAnsi="黑体" w:eastAsia="黑体" w:cs="黑体"/>
          <w:szCs w:val="28"/>
        </w:rPr>
      </w:pPr>
      <w:r>
        <w:rPr>
          <w:rFonts w:hint="eastAsia" w:ascii="黑体" w:hAnsi="黑体" w:eastAsia="黑体" w:cs="黑体"/>
          <w:szCs w:val="28"/>
        </w:rPr>
        <w:t>3.13</w:t>
      </w:r>
    </w:p>
    <w:p w14:paraId="58D4AC6F">
      <w:pPr>
        <w:ind w:firstLine="420" w:firstLineChars="200"/>
        <w:rPr>
          <w:rFonts w:hint="eastAsia" w:ascii="黑体" w:hAnsi="黑体" w:eastAsia="黑体" w:cs="黑体"/>
          <w:szCs w:val="28"/>
        </w:rPr>
      </w:pPr>
      <w:r>
        <w:rPr>
          <w:rFonts w:hint="eastAsia" w:ascii="黑体" w:hAnsi="黑体" w:eastAsia="黑体" w:cs="黑体"/>
          <w:szCs w:val="28"/>
        </w:rPr>
        <w:t>新兴污染物</w:t>
      </w:r>
    </w:p>
    <w:p w14:paraId="55E3A29B">
      <w:pPr>
        <w:ind w:firstLine="440" w:firstLineChars="200"/>
        <w:rPr>
          <w:rFonts w:hint="eastAsia" w:asciiTheme="minorEastAsia" w:hAnsiTheme="minorEastAsia" w:cstheme="minorEastAsia"/>
          <w:sz w:val="22"/>
          <w:szCs w:val="28"/>
        </w:rPr>
      </w:pPr>
      <w:r>
        <w:rPr>
          <w:rFonts w:hint="eastAsia" w:asciiTheme="minorEastAsia" w:hAnsiTheme="minorEastAsia" w:cstheme="minorEastAsia"/>
          <w:sz w:val="22"/>
          <w:szCs w:val="28"/>
        </w:rPr>
        <w:t>目前尚未被全面纳入环境或产品法规强制管控，但对人体健康或生态环境存在潜在风险，且在电器电子产品产业链中可能存在的化学物质，如全氟和多氟烷基物</w:t>
      </w:r>
      <w:r>
        <w:rPr>
          <w:rFonts w:hint="eastAsia" w:ascii="宋体" w:hAnsi="宋体" w:eastAsia="宋体" w:cs="宋体"/>
          <w:sz w:val="22"/>
          <w:szCs w:val="28"/>
        </w:rPr>
        <w:t>质（</w:t>
      </w:r>
      <w:r>
        <w:rPr>
          <w:rFonts w:hint="eastAsia" w:ascii="宋体" w:hAnsi="宋体" w:eastAsia="宋体" w:cs="宋体"/>
          <w:szCs w:val="28"/>
        </w:rPr>
        <w:t>PFAS</w:t>
      </w:r>
      <w:r>
        <w:rPr>
          <w:rFonts w:hint="eastAsia" w:ascii="宋体" w:hAnsi="宋体" w:eastAsia="宋体" w:cs="宋体"/>
          <w:sz w:val="22"/>
          <w:szCs w:val="28"/>
        </w:rPr>
        <w:t>）</w:t>
      </w:r>
      <w:r>
        <w:rPr>
          <w:rFonts w:hint="eastAsia" w:asciiTheme="minorEastAsia" w:hAnsiTheme="minorEastAsia" w:cstheme="minorEastAsia"/>
          <w:sz w:val="22"/>
          <w:szCs w:val="28"/>
        </w:rPr>
        <w:t>、微塑料、新型阻燃剂、内分泌干扰物等。</w:t>
      </w:r>
    </w:p>
    <w:p w14:paraId="33013D88">
      <w:pPr>
        <w:rPr>
          <w:rFonts w:hint="eastAsia" w:ascii="黑体" w:hAnsi="黑体" w:eastAsia="黑体" w:cs="黑体"/>
          <w:szCs w:val="28"/>
        </w:rPr>
      </w:pPr>
      <w:r>
        <w:rPr>
          <w:rFonts w:hint="eastAsia" w:ascii="黑体" w:hAnsi="黑体" w:eastAsia="黑体" w:cs="黑体"/>
          <w:szCs w:val="28"/>
        </w:rPr>
        <w:t>3.14</w:t>
      </w:r>
    </w:p>
    <w:p w14:paraId="79922121">
      <w:pPr>
        <w:ind w:firstLine="420" w:firstLineChars="200"/>
        <w:rPr>
          <w:rFonts w:hint="eastAsia" w:ascii="黑体" w:hAnsi="黑体" w:eastAsia="黑体" w:cs="黑体"/>
          <w:szCs w:val="28"/>
        </w:rPr>
      </w:pPr>
      <w:r>
        <w:rPr>
          <w:rFonts w:hint="eastAsia" w:ascii="黑体" w:hAnsi="黑体" w:eastAsia="黑体" w:cs="黑体"/>
          <w:szCs w:val="28"/>
        </w:rPr>
        <w:t xml:space="preserve">未知物鉴定与溯源 </w:t>
      </w:r>
    </w:p>
    <w:p w14:paraId="27C3550E">
      <w:pPr>
        <w:ind w:firstLine="440" w:firstLineChars="200"/>
        <w:rPr>
          <w:rFonts w:hint="eastAsia" w:asciiTheme="minorEastAsia" w:hAnsiTheme="minorEastAsia" w:cstheme="minorEastAsia"/>
          <w:sz w:val="22"/>
          <w:szCs w:val="28"/>
        </w:rPr>
      </w:pPr>
      <w:r>
        <w:rPr>
          <w:rFonts w:hint="eastAsia" w:asciiTheme="minorEastAsia" w:hAnsiTheme="minorEastAsia" w:cstheme="minorEastAsia"/>
          <w:sz w:val="22"/>
          <w:szCs w:val="28"/>
        </w:rPr>
        <w:t>利用高分辨质谱、红外光谱等分析技术，对样品中非靶</w:t>
      </w:r>
      <w:r>
        <w:rPr>
          <w:rFonts w:hint="eastAsia" w:ascii="宋体" w:hAnsi="宋体" w:eastAsia="宋体" w:cs="宋体"/>
          <w:sz w:val="22"/>
          <w:szCs w:val="28"/>
        </w:rPr>
        <w:t>向（</w:t>
      </w:r>
      <w:r>
        <w:rPr>
          <w:rFonts w:hint="eastAsia" w:ascii="宋体" w:hAnsi="宋体" w:eastAsia="宋体" w:cs="宋体"/>
          <w:szCs w:val="28"/>
        </w:rPr>
        <w:t>Non-target</w:t>
      </w:r>
      <w:r>
        <w:rPr>
          <w:rFonts w:hint="eastAsia" w:ascii="宋体" w:hAnsi="宋体" w:eastAsia="宋体" w:cs="宋体"/>
          <w:szCs w:val="28"/>
          <w:lang w:val="en-US" w:eastAsia="zh-CN"/>
        </w:rPr>
        <w:t>ed</w:t>
      </w:r>
      <w:r>
        <w:rPr>
          <w:rFonts w:hint="eastAsia" w:ascii="宋体" w:hAnsi="宋体" w:eastAsia="宋体" w:cs="宋体"/>
          <w:sz w:val="22"/>
          <w:szCs w:val="28"/>
        </w:rPr>
        <w:t>）的未</w:t>
      </w:r>
      <w:r>
        <w:rPr>
          <w:rFonts w:hint="eastAsia" w:asciiTheme="minorEastAsia" w:hAnsiTheme="minorEastAsia" w:cstheme="minorEastAsia"/>
          <w:sz w:val="22"/>
          <w:szCs w:val="28"/>
        </w:rPr>
        <w:t>知成分进行定性定量分析，并结合生产工艺推断其来源的技术活动。</w:t>
      </w:r>
    </w:p>
    <w:p w14:paraId="48F3E952">
      <w:pPr>
        <w:rPr>
          <w:rFonts w:hint="eastAsia" w:ascii="黑体" w:hAnsi="黑体" w:eastAsia="黑体" w:cs="黑体"/>
          <w:szCs w:val="28"/>
        </w:rPr>
      </w:pPr>
      <w:r>
        <w:rPr>
          <w:rFonts w:hint="eastAsia" w:ascii="黑体" w:hAnsi="黑体" w:eastAsia="黑体" w:cs="黑体"/>
          <w:szCs w:val="28"/>
        </w:rPr>
        <w:t>3.15</w:t>
      </w:r>
    </w:p>
    <w:p w14:paraId="57AFDE07">
      <w:pPr>
        <w:ind w:firstLine="420" w:firstLineChars="200"/>
        <w:rPr>
          <w:rFonts w:hint="eastAsia" w:ascii="黑体" w:hAnsi="黑体" w:eastAsia="黑体" w:cs="黑体"/>
          <w:szCs w:val="28"/>
        </w:rPr>
      </w:pPr>
      <w:r>
        <w:rPr>
          <w:rFonts w:hint="eastAsia" w:ascii="黑体" w:hAnsi="黑体" w:eastAsia="黑体" w:cs="黑体"/>
          <w:szCs w:val="28"/>
        </w:rPr>
        <w:t xml:space="preserve">绿色实验室 </w:t>
      </w:r>
    </w:p>
    <w:p w14:paraId="5DA97F61">
      <w:pPr>
        <w:ind w:firstLine="440" w:firstLineChars="200"/>
        <w:rPr>
          <w:rFonts w:hint="eastAsia" w:asciiTheme="minorEastAsia" w:hAnsiTheme="minorEastAsia" w:cstheme="minorEastAsia"/>
          <w:sz w:val="22"/>
          <w:szCs w:val="28"/>
        </w:rPr>
      </w:pPr>
      <w:r>
        <w:rPr>
          <w:rFonts w:hint="eastAsia" w:asciiTheme="minorEastAsia" w:hAnsiTheme="minorEastAsia" w:cstheme="minorEastAsia"/>
          <w:sz w:val="22"/>
          <w:szCs w:val="28"/>
        </w:rPr>
        <w:t>在实验室设计、建设、运营全生命周期中，通过技术和管理手段，实现能源节约、资源循环利用、有毒有害物质减量化及废弃物最小化的实验室。</w:t>
      </w:r>
    </w:p>
    <w:p w14:paraId="58FBD2DA">
      <w:pPr>
        <w:rPr>
          <w:rFonts w:hint="eastAsia" w:ascii="黑体" w:hAnsi="黑体" w:eastAsia="黑体" w:cs="黑体"/>
          <w:szCs w:val="28"/>
        </w:rPr>
      </w:pPr>
      <w:r>
        <w:rPr>
          <w:rFonts w:hint="eastAsia" w:ascii="黑体" w:hAnsi="黑体" w:eastAsia="黑体" w:cs="黑体"/>
          <w:szCs w:val="28"/>
        </w:rPr>
        <w:t>3.16</w:t>
      </w:r>
    </w:p>
    <w:p w14:paraId="739766B9">
      <w:pPr>
        <w:ind w:firstLine="420" w:firstLineChars="200"/>
        <w:rPr>
          <w:rFonts w:hint="eastAsia" w:ascii="黑体" w:hAnsi="黑体" w:eastAsia="黑体" w:cs="黑体"/>
          <w:szCs w:val="28"/>
        </w:rPr>
      </w:pPr>
      <w:r>
        <w:rPr>
          <w:rFonts w:hint="eastAsia" w:ascii="黑体" w:hAnsi="黑体" w:eastAsia="黑体" w:cs="黑体"/>
          <w:szCs w:val="28"/>
        </w:rPr>
        <w:t xml:space="preserve">深度数字化 </w:t>
      </w:r>
    </w:p>
    <w:p w14:paraId="4ADC543D">
      <w:pPr>
        <w:ind w:firstLine="440" w:firstLineChars="200"/>
        <w:rPr>
          <w:rFonts w:hint="eastAsia" w:asciiTheme="minorEastAsia" w:hAnsiTheme="minorEastAsia" w:cstheme="minorEastAsia"/>
          <w:sz w:val="22"/>
          <w:szCs w:val="28"/>
        </w:rPr>
      </w:pPr>
      <w:r>
        <w:rPr>
          <w:rFonts w:hint="eastAsia" w:asciiTheme="minorEastAsia" w:hAnsiTheme="minorEastAsia" w:cstheme="minorEastAsia"/>
          <w:sz w:val="22"/>
          <w:szCs w:val="28"/>
        </w:rPr>
        <w:t>指实验室在基础信息化的基础上，实现设备数据的自动采集与上传（无人工干预）、全流程电子记录的审计追踪</w:t>
      </w:r>
      <w:r>
        <w:rPr>
          <w:rFonts w:hint="eastAsia" w:asciiTheme="minorEastAsia" w:hAnsiTheme="minorEastAsia" w:cstheme="minorEastAsia"/>
          <w:sz w:val="22"/>
          <w:szCs w:val="28"/>
          <w:lang w:eastAsia="zh-CN"/>
        </w:rPr>
        <w:t>，以及</w:t>
      </w:r>
      <w:r>
        <w:rPr>
          <w:rFonts w:hint="eastAsia" w:asciiTheme="minorEastAsia" w:hAnsiTheme="minorEastAsia" w:cstheme="minorEastAsia"/>
          <w:sz w:val="22"/>
          <w:szCs w:val="28"/>
        </w:rPr>
        <w:t>利用大数据进行质量趋势分析和风险预警的状态。</w:t>
      </w:r>
    </w:p>
    <w:p w14:paraId="3CA32A44">
      <w:pPr>
        <w:rPr>
          <w:rFonts w:hint="eastAsia" w:ascii="黑体" w:hAnsi="黑体" w:eastAsia="黑体" w:cs="黑体"/>
          <w:szCs w:val="28"/>
        </w:rPr>
      </w:pPr>
      <w:r>
        <w:rPr>
          <w:rFonts w:hint="eastAsia" w:ascii="黑体" w:hAnsi="黑体" w:eastAsia="黑体" w:cs="黑体"/>
          <w:szCs w:val="28"/>
        </w:rPr>
        <w:t>3.</w:t>
      </w:r>
      <w:r>
        <w:rPr>
          <w:rFonts w:hint="eastAsia" w:ascii="黑体" w:hAnsi="黑体" w:eastAsia="黑体" w:cs="黑体"/>
          <w:szCs w:val="28"/>
          <w:lang w:val="en-US" w:eastAsia="zh-CN"/>
        </w:rPr>
        <w:t>17</w:t>
      </w:r>
      <w:r>
        <w:rPr>
          <w:rFonts w:hint="eastAsia" w:ascii="黑体" w:hAnsi="黑体" w:eastAsia="黑体" w:cs="黑体"/>
          <w:szCs w:val="28"/>
        </w:rPr>
        <w:t xml:space="preserve"> </w:t>
      </w:r>
    </w:p>
    <w:p w14:paraId="029BC83F">
      <w:pPr>
        <w:ind w:firstLine="420" w:firstLineChars="200"/>
        <w:rPr>
          <w:rFonts w:hint="eastAsia" w:ascii="黑体" w:hAnsi="黑体" w:eastAsia="黑体" w:cs="黑体"/>
          <w:szCs w:val="28"/>
        </w:rPr>
      </w:pPr>
      <w:r>
        <w:rPr>
          <w:rFonts w:hint="eastAsia" w:ascii="黑体" w:hAnsi="黑体" w:eastAsia="黑体" w:cs="黑体"/>
          <w:szCs w:val="28"/>
        </w:rPr>
        <w:t xml:space="preserve">均质材料 </w:t>
      </w:r>
    </w:p>
    <w:p w14:paraId="4B28DE3B">
      <w:pPr>
        <w:ind w:firstLine="440" w:firstLineChars="200"/>
        <w:rPr>
          <w:rFonts w:hint="eastAsia" w:asciiTheme="minorEastAsia" w:hAnsiTheme="minorEastAsia" w:cstheme="minorEastAsia"/>
          <w:sz w:val="22"/>
          <w:szCs w:val="28"/>
        </w:rPr>
      </w:pPr>
      <w:r>
        <w:rPr>
          <w:rFonts w:hint="eastAsia" w:asciiTheme="minorEastAsia" w:hAnsiTheme="minorEastAsia" w:cstheme="minorEastAsia"/>
          <w:sz w:val="22"/>
          <w:szCs w:val="28"/>
        </w:rPr>
        <w:t>在机械方式下不能再进一步拆分的最小单元材料。</w:t>
      </w:r>
    </w:p>
    <w:p w14:paraId="010547A1">
      <w:pPr>
        <w:rPr>
          <w:rFonts w:hint="eastAsia" w:ascii="黑体" w:hAnsi="黑体" w:eastAsia="黑体" w:cs="黑体"/>
          <w:szCs w:val="28"/>
        </w:rPr>
      </w:pPr>
      <w:r>
        <w:rPr>
          <w:rFonts w:hint="eastAsia" w:ascii="黑体" w:hAnsi="黑体" w:eastAsia="黑体" w:cs="黑体"/>
          <w:szCs w:val="28"/>
        </w:rPr>
        <w:t>3.</w:t>
      </w:r>
      <w:r>
        <w:rPr>
          <w:rFonts w:hint="eastAsia" w:ascii="黑体" w:hAnsi="黑体" w:eastAsia="黑体" w:cs="黑体"/>
          <w:szCs w:val="28"/>
          <w:lang w:val="en-US" w:eastAsia="zh-CN"/>
        </w:rPr>
        <w:t>18</w:t>
      </w:r>
      <w:r>
        <w:rPr>
          <w:rFonts w:hint="eastAsia" w:ascii="黑体" w:hAnsi="黑体" w:eastAsia="黑体" w:cs="黑体"/>
          <w:szCs w:val="28"/>
        </w:rPr>
        <w:t xml:space="preserve"> </w:t>
      </w:r>
    </w:p>
    <w:p w14:paraId="66F3CA5F">
      <w:pPr>
        <w:ind w:firstLine="420" w:firstLineChars="200"/>
        <w:rPr>
          <w:rFonts w:hint="eastAsia" w:ascii="黑体" w:hAnsi="黑体" w:eastAsia="黑体" w:cs="黑体"/>
          <w:szCs w:val="28"/>
        </w:rPr>
      </w:pPr>
      <w:r>
        <w:rPr>
          <w:rFonts w:hint="eastAsia" w:ascii="黑体" w:hAnsi="黑体" w:eastAsia="黑体" w:cs="黑体"/>
          <w:szCs w:val="28"/>
        </w:rPr>
        <w:t xml:space="preserve">测量不确定度 </w:t>
      </w:r>
    </w:p>
    <w:p w14:paraId="56542699">
      <w:pPr>
        <w:ind w:firstLine="440" w:firstLineChars="200"/>
        <w:rPr>
          <w:rFonts w:hint="eastAsia" w:asciiTheme="minorEastAsia" w:hAnsiTheme="minorEastAsia" w:cstheme="minorEastAsia"/>
          <w:sz w:val="22"/>
          <w:szCs w:val="28"/>
        </w:rPr>
      </w:pPr>
      <w:r>
        <w:rPr>
          <w:rFonts w:hint="eastAsia" w:asciiTheme="minorEastAsia" w:hAnsiTheme="minorEastAsia" w:cstheme="minorEastAsia"/>
          <w:sz w:val="22"/>
          <w:szCs w:val="28"/>
        </w:rPr>
        <w:t>表征合理地赋予被测量之值的分散性的非负参数。</w:t>
      </w:r>
    </w:p>
    <w:p w14:paraId="0C4CE564">
      <w:pPr>
        <w:rPr>
          <w:rFonts w:hint="eastAsia" w:ascii="黑体" w:hAnsi="黑体" w:eastAsia="黑体" w:cs="黑体"/>
          <w:szCs w:val="28"/>
        </w:rPr>
      </w:pPr>
      <w:r>
        <w:rPr>
          <w:rFonts w:hint="eastAsia" w:ascii="黑体" w:hAnsi="黑体" w:eastAsia="黑体" w:cs="黑体"/>
          <w:szCs w:val="28"/>
        </w:rPr>
        <w:t>3.1</w:t>
      </w:r>
      <w:r>
        <w:rPr>
          <w:rFonts w:hint="eastAsia" w:ascii="黑体" w:hAnsi="黑体" w:eastAsia="黑体" w:cs="黑体"/>
          <w:szCs w:val="28"/>
          <w:lang w:val="en-US" w:eastAsia="zh-CN"/>
        </w:rPr>
        <w:t>9</w:t>
      </w:r>
      <w:r>
        <w:rPr>
          <w:rFonts w:hint="eastAsia" w:ascii="黑体" w:hAnsi="黑体" w:eastAsia="黑体" w:cs="黑体"/>
          <w:szCs w:val="28"/>
        </w:rPr>
        <w:t xml:space="preserve"> </w:t>
      </w:r>
    </w:p>
    <w:p w14:paraId="430C3263">
      <w:pPr>
        <w:ind w:firstLine="420" w:firstLineChars="200"/>
        <w:rPr>
          <w:rFonts w:hint="eastAsia" w:asciiTheme="minorEastAsia" w:hAnsiTheme="minorEastAsia" w:cstheme="minorEastAsia"/>
          <w:sz w:val="22"/>
          <w:szCs w:val="28"/>
        </w:rPr>
      </w:pPr>
      <w:r>
        <w:rPr>
          <w:rFonts w:hint="eastAsia" w:ascii="黑体" w:hAnsi="黑体" w:eastAsia="黑体" w:cs="黑体"/>
          <w:szCs w:val="28"/>
        </w:rPr>
        <w:t>高质量实验室数据平台</w:t>
      </w:r>
      <w:r>
        <w:rPr>
          <w:rFonts w:hint="eastAsia" w:asciiTheme="minorEastAsia" w:hAnsiTheme="minorEastAsia" w:cstheme="minorEastAsia"/>
          <w:sz w:val="22"/>
          <w:szCs w:val="28"/>
        </w:rPr>
        <w:t xml:space="preserve"> </w:t>
      </w:r>
    </w:p>
    <w:p w14:paraId="58D21D4A">
      <w:pPr>
        <w:ind w:firstLine="440" w:firstLineChars="200"/>
        <w:rPr>
          <w:rFonts w:hint="eastAsia" w:asciiTheme="minorEastAsia" w:hAnsiTheme="minorEastAsia" w:cstheme="minorEastAsia"/>
          <w:sz w:val="22"/>
          <w:szCs w:val="28"/>
        </w:rPr>
      </w:pPr>
      <w:r>
        <w:rPr>
          <w:rFonts w:hint="eastAsia" w:asciiTheme="minorEastAsia" w:hAnsiTheme="minorEastAsia" w:cstheme="minorEastAsia"/>
          <w:sz w:val="22"/>
          <w:szCs w:val="28"/>
        </w:rPr>
        <w:t>由评价机构建立的数字化管理系统，用于实验室元数据采集、检测报告防伪验证码生成、运行状态实时监测及行业质量分析。</w:t>
      </w:r>
    </w:p>
    <w:p w14:paraId="52E24FA4">
      <w:pPr>
        <w:rPr>
          <w:rFonts w:hint="eastAsia" w:ascii="黑体" w:hAnsi="黑体" w:eastAsia="黑体" w:cs="黑体"/>
          <w:szCs w:val="28"/>
        </w:rPr>
      </w:pPr>
      <w:r>
        <w:rPr>
          <w:rFonts w:hint="eastAsia" w:ascii="黑体" w:hAnsi="黑体" w:eastAsia="黑体" w:cs="黑体"/>
          <w:szCs w:val="28"/>
        </w:rPr>
        <w:t>3.</w:t>
      </w:r>
      <w:r>
        <w:rPr>
          <w:rFonts w:hint="eastAsia" w:ascii="黑体" w:hAnsi="黑体" w:eastAsia="黑体" w:cs="黑体"/>
          <w:szCs w:val="28"/>
          <w:lang w:val="en-US" w:eastAsia="zh-CN"/>
        </w:rPr>
        <w:t>20</w:t>
      </w:r>
      <w:r>
        <w:rPr>
          <w:rFonts w:hint="eastAsia" w:ascii="黑体" w:hAnsi="黑体" w:eastAsia="黑体" w:cs="黑体"/>
          <w:szCs w:val="28"/>
        </w:rPr>
        <w:t xml:space="preserve"> </w:t>
      </w:r>
    </w:p>
    <w:p w14:paraId="6377EBB2">
      <w:pPr>
        <w:ind w:firstLine="420" w:firstLineChars="200"/>
        <w:rPr>
          <w:rFonts w:hint="eastAsia" w:ascii="黑体" w:hAnsi="黑体" w:eastAsia="黑体" w:cs="黑体"/>
          <w:szCs w:val="28"/>
        </w:rPr>
      </w:pPr>
      <w:r>
        <w:rPr>
          <w:rFonts w:hint="eastAsia" w:ascii="黑体" w:hAnsi="黑体" w:eastAsia="黑体" w:cs="黑体"/>
          <w:szCs w:val="28"/>
        </w:rPr>
        <w:t xml:space="preserve">飞行检查 </w:t>
      </w:r>
    </w:p>
    <w:p w14:paraId="097FCF22">
      <w:pPr>
        <w:ind w:firstLine="440" w:firstLineChars="200"/>
        <w:rPr>
          <w:rFonts w:hint="eastAsia" w:asciiTheme="minorEastAsia" w:hAnsiTheme="minorEastAsia" w:cstheme="minorEastAsia"/>
          <w:sz w:val="22"/>
          <w:szCs w:val="28"/>
        </w:rPr>
      </w:pPr>
      <w:r>
        <w:rPr>
          <w:rFonts w:hint="eastAsia" w:asciiTheme="minorEastAsia" w:hAnsiTheme="minorEastAsia" w:cstheme="minorEastAsia"/>
          <w:sz w:val="22"/>
          <w:szCs w:val="28"/>
        </w:rPr>
        <w:t>评价机构在不预先通知的情况下，对实验室实施的突击性现场监督评价活动，旨在验证实验室在非迎检状态下的真实能力与合规性。</w:t>
      </w:r>
    </w:p>
    <w:p w14:paraId="3FA03E35">
      <w:pPr>
        <w:pStyle w:val="31"/>
        <w:bidi w:val="0"/>
      </w:pPr>
      <w:bookmarkStart w:id="63" w:name="_Toc31495"/>
      <w:r>
        <w:rPr>
          <w:rFonts w:hint="eastAsia"/>
        </w:rPr>
        <w:t>评价内容与要求</w:t>
      </w:r>
      <w:bookmarkEnd w:id="63"/>
    </w:p>
    <w:p w14:paraId="1DC3CCBC">
      <w:pPr>
        <w:pStyle w:val="30"/>
        <w:ind w:left="0" w:leftChars="0" w:firstLine="0" w:firstLineChars="0"/>
        <w:rPr>
          <w:rFonts w:hint="eastAsia"/>
        </w:rPr>
      </w:pPr>
      <w:r>
        <w:rPr>
          <w:rFonts w:hint="eastAsia"/>
        </w:rPr>
        <w:t>评价工作应遵循以下原则：</w:t>
      </w:r>
    </w:p>
    <w:p w14:paraId="5CE062BA">
      <w:pPr>
        <w:pStyle w:val="30"/>
        <w:ind w:left="0" w:leftChars="0"/>
        <w:rPr>
          <w:rFonts w:hint="eastAsia"/>
        </w:rPr>
      </w:pPr>
      <w:r>
        <w:rPr>
          <w:rFonts w:hint="eastAsia"/>
        </w:rPr>
        <w:t>a) 客观公正：依据确定的标准和程序进行，不受任何利益相关方的影响；</w:t>
      </w:r>
    </w:p>
    <w:p w14:paraId="549DD3C2">
      <w:pPr>
        <w:pStyle w:val="30"/>
        <w:ind w:left="0" w:leftChars="0"/>
        <w:rPr>
          <w:rFonts w:hint="eastAsia"/>
        </w:rPr>
      </w:pPr>
      <w:r>
        <w:rPr>
          <w:rFonts w:hint="eastAsia"/>
        </w:rPr>
        <w:t>b) 科学量化：采用定性与定量相结合的方式，以量化评分为主；</w:t>
      </w:r>
    </w:p>
    <w:p w14:paraId="1AD9F5AE">
      <w:pPr>
        <w:pStyle w:val="30"/>
        <w:ind w:left="0" w:leftChars="0"/>
        <w:rPr>
          <w:rFonts w:hint="eastAsia" w:eastAsia="宋体"/>
          <w:lang w:eastAsia="zh-CN"/>
        </w:rPr>
      </w:pPr>
      <w:r>
        <w:rPr>
          <w:rFonts w:hint="eastAsia"/>
        </w:rPr>
        <w:t>c) 持续改进：引导实验室通过评价发现短板，持续提升技术与管理水平</w:t>
      </w:r>
      <w:r>
        <w:rPr>
          <w:rFonts w:hint="eastAsia"/>
          <w:lang w:eastAsia="zh-CN"/>
        </w:rPr>
        <w:t>；</w:t>
      </w:r>
    </w:p>
    <w:p w14:paraId="5357AF8B">
      <w:pPr>
        <w:pStyle w:val="30"/>
        <w:rPr>
          <w:rFonts w:hint="eastAsia"/>
        </w:rPr>
      </w:pPr>
    </w:p>
    <w:p w14:paraId="22A98D4E">
      <w:pPr>
        <w:pStyle w:val="30"/>
        <w:ind w:left="0" w:leftChars="0" w:firstLine="0" w:firstLineChars="0"/>
        <w:rPr>
          <w:rFonts w:hint="eastAsia" w:ascii="黑体" w:hAnsi="黑体" w:eastAsia="黑体" w:cs="黑体"/>
        </w:rPr>
      </w:pPr>
      <w:r>
        <w:rPr>
          <w:rFonts w:hint="eastAsia" w:ascii="黑体" w:hAnsi="黑体" w:eastAsia="黑体" w:cs="黑体"/>
          <w:kern w:val="2"/>
          <w:sz w:val="21"/>
          <w:szCs w:val="28"/>
          <w:lang w:val="en-US" w:eastAsia="zh-CN" w:bidi="ar-SA"/>
        </w:rPr>
        <w:t>4.1</w:t>
      </w:r>
      <w:r>
        <w:rPr>
          <w:rFonts w:hint="eastAsia"/>
        </w:rPr>
        <w:t xml:space="preserve"> </w:t>
      </w:r>
      <w:r>
        <w:rPr>
          <w:rFonts w:hint="eastAsia" w:ascii="黑体" w:hAnsi="黑体" w:eastAsia="黑体" w:cs="黑体"/>
        </w:rPr>
        <w:t>资质与合规性</w:t>
      </w:r>
    </w:p>
    <w:p w14:paraId="78621DF2">
      <w:pPr>
        <w:pStyle w:val="30"/>
        <w:ind w:left="0" w:leftChars="0" w:firstLine="0" w:firstLineChars="0"/>
        <w:rPr>
          <w:rFonts w:hint="eastAsia" w:ascii="黑体" w:hAnsi="黑体" w:eastAsia="黑体" w:cs="黑体"/>
        </w:rPr>
      </w:pPr>
    </w:p>
    <w:p w14:paraId="5EB30F49">
      <w:pPr>
        <w:pStyle w:val="30"/>
        <w:ind w:left="0" w:leftChars="0" w:firstLine="0" w:firstLineChars="0"/>
        <w:rPr>
          <w:rFonts w:hint="eastAsia" w:ascii="宋体" w:hAnsi="宋体" w:eastAsia="宋体" w:cs="宋体"/>
        </w:rPr>
      </w:pPr>
      <w:r>
        <w:rPr>
          <w:rFonts w:hint="eastAsia" w:ascii="黑体" w:hAnsi="黑体" w:eastAsia="黑体" w:cs="黑体"/>
          <w:kern w:val="2"/>
          <w:sz w:val="21"/>
          <w:szCs w:val="28"/>
          <w:lang w:val="en-US" w:eastAsia="zh-CN" w:bidi="ar-SA"/>
        </w:rPr>
        <w:t>4.1.1</w:t>
      </w:r>
      <w:r>
        <w:rPr>
          <w:rFonts w:hint="eastAsia" w:ascii="宋体" w:hAnsi="宋体" w:eastAsia="宋体" w:cs="宋体"/>
          <w:kern w:val="2"/>
          <w:sz w:val="21"/>
          <w:szCs w:val="28"/>
          <w:lang w:val="en-US" w:eastAsia="zh-CN" w:bidi="ar-SA"/>
        </w:rPr>
        <w:t xml:space="preserve"> </w:t>
      </w:r>
      <w:r>
        <w:rPr>
          <w:rFonts w:hint="eastAsia" w:ascii="宋体" w:hAnsi="宋体" w:eastAsia="宋体" w:cs="宋体"/>
        </w:rPr>
        <w:t>实验室应取得有效的检验检测机构资质认定（</w:t>
      </w:r>
      <w:r>
        <w:rPr>
          <w:rFonts w:hint="eastAsia" w:ascii="宋体" w:hAnsi="宋体" w:eastAsia="宋体" w:cs="宋体"/>
          <w:kern w:val="2"/>
          <w:sz w:val="21"/>
          <w:szCs w:val="28"/>
          <w:lang w:val="en-US" w:eastAsia="zh-CN" w:bidi="ar-SA"/>
        </w:rPr>
        <w:t>CMA</w:t>
      </w:r>
      <w:r>
        <w:rPr>
          <w:rFonts w:hint="eastAsia" w:ascii="宋体" w:hAnsi="宋体" w:eastAsia="宋体" w:cs="宋体"/>
        </w:rPr>
        <w:t>）证书，且证书能力附表范围应覆盖电器电子产品环保检测领域。</w:t>
      </w:r>
    </w:p>
    <w:p w14:paraId="704715DE">
      <w:pPr>
        <w:pStyle w:val="30"/>
        <w:ind w:left="0" w:leftChars="0" w:firstLine="0" w:firstLineChars="0"/>
        <w:rPr>
          <w:rFonts w:hint="eastAsia" w:ascii="宋体" w:hAnsi="宋体" w:eastAsia="宋体" w:cs="宋体"/>
        </w:rPr>
      </w:pPr>
      <w:r>
        <w:rPr>
          <w:rFonts w:hint="eastAsia" w:ascii="黑体" w:hAnsi="黑体" w:eastAsia="黑体" w:cs="黑体"/>
          <w:kern w:val="2"/>
          <w:sz w:val="21"/>
          <w:szCs w:val="28"/>
          <w:lang w:val="en-US" w:eastAsia="zh-CN" w:bidi="ar-SA"/>
        </w:rPr>
        <w:t xml:space="preserve">4.1.2 </w:t>
      </w:r>
      <w:r>
        <w:rPr>
          <w:rFonts w:hint="eastAsia" w:ascii="宋体" w:hAnsi="宋体" w:eastAsia="宋体" w:cs="宋体"/>
        </w:rPr>
        <w:t>若涉及进出口检测或国际客户业务，实验室宜取得中国合格评定国家认可委员会（</w:t>
      </w:r>
      <w:r>
        <w:rPr>
          <w:rFonts w:hint="eastAsia" w:ascii="宋体" w:hAnsi="宋体" w:eastAsia="宋体" w:cs="宋体"/>
          <w:kern w:val="2"/>
          <w:sz w:val="21"/>
          <w:szCs w:val="28"/>
          <w:lang w:val="en-US" w:eastAsia="zh-CN" w:bidi="ar-SA"/>
        </w:rPr>
        <w:t>CNAS</w:t>
      </w:r>
      <w:r>
        <w:rPr>
          <w:rFonts w:hint="eastAsia" w:ascii="宋体" w:hAnsi="宋体" w:eastAsia="宋体" w:cs="宋体"/>
        </w:rPr>
        <w:t>）认可，认可范围应与实际检测能力匹配。</w:t>
      </w:r>
    </w:p>
    <w:p w14:paraId="1D0C7616">
      <w:pPr>
        <w:pStyle w:val="30"/>
        <w:ind w:left="0" w:leftChars="0" w:firstLine="0" w:firstLineChars="0"/>
        <w:rPr>
          <w:rFonts w:hint="eastAsia" w:ascii="宋体" w:hAnsi="宋体" w:eastAsia="宋体" w:cs="宋体"/>
        </w:rPr>
      </w:pPr>
      <w:r>
        <w:rPr>
          <w:rFonts w:hint="eastAsia" w:ascii="黑体" w:hAnsi="黑体" w:eastAsia="黑体" w:cs="黑体"/>
          <w:kern w:val="2"/>
          <w:sz w:val="21"/>
          <w:szCs w:val="28"/>
          <w:lang w:val="en-US" w:eastAsia="zh-CN" w:bidi="ar-SA"/>
        </w:rPr>
        <w:t xml:space="preserve">4.1.3 </w:t>
      </w:r>
      <w:r>
        <w:rPr>
          <w:rFonts w:hint="eastAsia" w:ascii="宋体" w:hAnsi="宋体" w:eastAsia="宋体" w:cs="宋体"/>
        </w:rPr>
        <w:t xml:space="preserve"> 实验室可建立符合</w:t>
      </w:r>
      <w:r>
        <w:rPr>
          <w:rFonts w:hint="eastAsia" w:ascii="宋体" w:hAnsi="宋体" w:eastAsia="宋体" w:cs="宋体"/>
          <w:kern w:val="2"/>
          <w:sz w:val="21"/>
          <w:szCs w:val="28"/>
          <w:lang w:val="en-US" w:eastAsia="zh-CN" w:bidi="ar-SA"/>
        </w:rPr>
        <w:t>GB/T 31274-2024</w:t>
      </w:r>
      <w:r>
        <w:rPr>
          <w:rFonts w:hint="eastAsia" w:ascii="宋体" w:hAnsi="宋体" w:eastAsia="宋体" w:cs="宋体"/>
        </w:rPr>
        <w:t>的限用物质过程管理体系，或具备为客户提供</w:t>
      </w:r>
      <w:r>
        <w:rPr>
          <w:rFonts w:hint="eastAsia" w:ascii="宋体" w:hAnsi="宋体" w:eastAsia="宋体" w:cs="宋体"/>
          <w:kern w:val="2"/>
          <w:sz w:val="21"/>
          <w:szCs w:val="28"/>
          <w:lang w:val="en-US" w:eastAsia="zh-CN" w:bidi="ar-SA"/>
        </w:rPr>
        <w:t>HSPM</w:t>
      </w:r>
      <w:r>
        <w:rPr>
          <w:rFonts w:hint="eastAsia" w:ascii="宋体" w:hAnsi="宋体" w:eastAsia="宋体" w:cs="宋体"/>
        </w:rPr>
        <w:t>合规支持的能力。</w:t>
      </w:r>
    </w:p>
    <w:p w14:paraId="02A6FE97">
      <w:pPr>
        <w:pStyle w:val="30"/>
        <w:ind w:left="0" w:leftChars="0" w:firstLine="0" w:firstLineChars="0"/>
        <w:rPr>
          <w:rFonts w:hint="eastAsia" w:ascii="宋体" w:hAnsi="宋体" w:eastAsia="宋体" w:cs="宋体"/>
          <w:lang w:eastAsia="zh-CN"/>
        </w:rPr>
      </w:pPr>
      <w:r>
        <w:rPr>
          <w:rFonts w:hint="eastAsia" w:ascii="黑体" w:hAnsi="黑体" w:eastAsia="黑体" w:cs="黑体"/>
          <w:kern w:val="2"/>
          <w:sz w:val="21"/>
          <w:szCs w:val="28"/>
          <w:lang w:val="en-US" w:eastAsia="zh-CN" w:bidi="ar-SA"/>
        </w:rPr>
        <w:t>4.1.4</w:t>
      </w:r>
      <w:r>
        <w:rPr>
          <w:rFonts w:hint="eastAsia" w:ascii="宋体" w:hAnsi="宋体" w:eastAsia="宋体" w:cs="宋体"/>
          <w:kern w:val="2"/>
          <w:sz w:val="21"/>
          <w:szCs w:val="28"/>
          <w:lang w:val="en-US" w:eastAsia="zh-CN" w:bidi="ar-SA"/>
        </w:rPr>
        <w:t xml:space="preserve"> </w:t>
      </w:r>
      <w:r>
        <w:rPr>
          <w:rFonts w:hint="eastAsia" w:ascii="宋体" w:hAnsi="宋体" w:eastAsia="宋体" w:cs="宋体"/>
        </w:rPr>
        <w:t>实验室应建立法律法规动态跟踪机制，至少每季度更新欧盟</w:t>
      </w:r>
      <w:r>
        <w:rPr>
          <w:rFonts w:hint="eastAsia" w:ascii="宋体" w:hAnsi="宋体" w:eastAsia="宋体" w:cs="宋体"/>
          <w:kern w:val="2"/>
          <w:sz w:val="21"/>
          <w:szCs w:val="28"/>
          <w:lang w:val="en-US" w:eastAsia="zh-CN" w:bidi="ar-SA"/>
        </w:rPr>
        <w:t>RoHS、REACH</w:t>
      </w:r>
      <w:r>
        <w:rPr>
          <w:rFonts w:hint="eastAsia" w:ascii="宋体" w:hAnsi="宋体" w:eastAsia="宋体" w:cs="宋体"/>
        </w:rPr>
        <w:t>等国际环保法规清单，并及时具备相应检验检测能力</w:t>
      </w:r>
      <w:r>
        <w:rPr>
          <w:rFonts w:hint="eastAsia" w:hAnsi="宋体" w:cs="宋体"/>
          <w:lang w:eastAsia="zh-CN"/>
        </w:rPr>
        <w:t>。</w:t>
      </w:r>
    </w:p>
    <w:p w14:paraId="3F79CEDD">
      <w:pPr>
        <w:pStyle w:val="30"/>
        <w:ind w:left="0" w:leftChars="0" w:firstLine="0" w:firstLineChars="0"/>
        <w:rPr>
          <w:rFonts w:hint="eastAsia" w:ascii="宋体" w:hAnsi="宋体" w:eastAsia="宋体" w:cs="宋体"/>
        </w:rPr>
      </w:pPr>
      <w:r>
        <w:rPr>
          <w:rFonts w:hint="eastAsia" w:ascii="黑体" w:hAnsi="黑体" w:eastAsia="黑体" w:cs="黑体"/>
          <w:kern w:val="2"/>
          <w:sz w:val="21"/>
          <w:szCs w:val="28"/>
          <w:lang w:val="en-US" w:eastAsia="zh-CN" w:bidi="ar-SA"/>
        </w:rPr>
        <w:t xml:space="preserve">4.1.5 </w:t>
      </w:r>
      <w:r>
        <w:rPr>
          <w:rFonts w:hint="eastAsia" w:ascii="宋体" w:hAnsi="宋体" w:eastAsia="宋体" w:cs="宋体"/>
        </w:rPr>
        <w:t>实验室近三年内应无重大违法违规记录、无重大检测质量事故、无数据造假行为，并保持良好的信用记录。</w:t>
      </w:r>
    </w:p>
    <w:p w14:paraId="771FF39D">
      <w:pPr>
        <w:pStyle w:val="30"/>
        <w:ind w:left="0" w:leftChars="0" w:firstLine="0" w:firstLineChars="0"/>
        <w:rPr>
          <w:rFonts w:hint="eastAsia" w:ascii="宋体" w:hAnsi="宋体" w:eastAsia="宋体" w:cs="宋体"/>
        </w:rPr>
      </w:pPr>
    </w:p>
    <w:p w14:paraId="127C30B8">
      <w:pPr>
        <w:pStyle w:val="30"/>
        <w:ind w:left="0" w:leftChars="0" w:firstLine="0" w:firstLineChars="0"/>
        <w:rPr>
          <w:rFonts w:hint="eastAsia" w:ascii="黑体" w:hAnsi="黑体" w:eastAsia="黑体" w:cs="黑体"/>
        </w:rPr>
      </w:pPr>
      <w:r>
        <w:rPr>
          <w:rFonts w:hint="eastAsia" w:ascii="黑体" w:hAnsi="黑体" w:eastAsia="黑体" w:cs="黑体"/>
          <w:kern w:val="2"/>
          <w:sz w:val="21"/>
          <w:szCs w:val="28"/>
          <w:lang w:val="en-US" w:eastAsia="zh-CN" w:bidi="ar-SA"/>
        </w:rPr>
        <w:t xml:space="preserve">4.2 </w:t>
      </w:r>
      <w:r>
        <w:rPr>
          <w:rFonts w:hint="eastAsia" w:ascii="黑体" w:hAnsi="黑体" w:eastAsia="黑体" w:cs="黑体"/>
        </w:rPr>
        <w:t>人员能力</w:t>
      </w:r>
    </w:p>
    <w:p w14:paraId="73AEADA7">
      <w:pPr>
        <w:pStyle w:val="30"/>
        <w:ind w:left="0" w:leftChars="0" w:firstLine="0" w:firstLineChars="0"/>
        <w:rPr>
          <w:rFonts w:hint="eastAsia" w:ascii="宋体" w:hAnsi="宋体" w:eastAsia="宋体" w:cs="宋体"/>
        </w:rPr>
      </w:pPr>
    </w:p>
    <w:p w14:paraId="1D7848D5">
      <w:pPr>
        <w:pStyle w:val="30"/>
        <w:ind w:left="0" w:leftChars="0" w:firstLine="0" w:firstLineChars="0"/>
        <w:rPr>
          <w:rFonts w:hint="eastAsia" w:ascii="宋体" w:hAnsi="宋体" w:eastAsia="宋体" w:cs="宋体"/>
        </w:rPr>
      </w:pPr>
      <w:r>
        <w:rPr>
          <w:rFonts w:hint="eastAsia" w:ascii="黑体" w:hAnsi="黑体" w:eastAsia="黑体" w:cs="黑体"/>
        </w:rPr>
        <w:t>4.2.1</w:t>
      </w:r>
      <w:r>
        <w:rPr>
          <w:rFonts w:hint="eastAsia" w:ascii="宋体" w:hAnsi="宋体" w:eastAsia="宋体" w:cs="宋体"/>
        </w:rPr>
        <w:t xml:space="preserve"> 总体要求</w:t>
      </w:r>
    </w:p>
    <w:p w14:paraId="6CEE32DA">
      <w:pPr>
        <w:pStyle w:val="30"/>
        <w:ind w:left="0" w:leftChars="0" w:firstLine="0" w:firstLineChars="0"/>
        <w:rPr>
          <w:rFonts w:hint="eastAsia" w:ascii="宋体" w:hAnsi="宋体" w:eastAsia="宋体" w:cs="宋体"/>
        </w:rPr>
      </w:pPr>
      <w:r>
        <w:rPr>
          <w:rFonts w:hint="eastAsia" w:ascii="宋体" w:hAnsi="宋体" w:eastAsia="宋体" w:cs="宋体"/>
        </w:rPr>
        <w:t>实验室应建立分级分层的人员管理体系，依据岗位职责对样品前处理、仪器分析、技术管理等不同环节的人员设定差异化的能力要求，确保全流程质量可控。</w:t>
      </w:r>
    </w:p>
    <w:p w14:paraId="2514F81D">
      <w:pPr>
        <w:pStyle w:val="30"/>
        <w:ind w:left="0" w:leftChars="0" w:firstLine="0" w:firstLineChars="0"/>
        <w:rPr>
          <w:rFonts w:hint="eastAsia" w:ascii="宋体" w:hAnsi="宋体" w:eastAsia="宋体" w:cs="宋体"/>
        </w:rPr>
      </w:pPr>
      <w:r>
        <w:rPr>
          <w:rFonts w:hint="eastAsia" w:ascii="黑体" w:hAnsi="黑体" w:eastAsia="黑体" w:cs="黑体"/>
        </w:rPr>
        <w:t xml:space="preserve">4.2.2 </w:t>
      </w:r>
      <w:r>
        <w:rPr>
          <w:rFonts w:hint="eastAsia" w:ascii="宋体" w:hAnsi="宋体" w:eastAsia="宋体" w:cs="宋体"/>
        </w:rPr>
        <w:t>样品前处理与筛选人员</w:t>
      </w:r>
    </w:p>
    <w:p w14:paraId="76B24BC9">
      <w:pPr>
        <w:pStyle w:val="30"/>
        <w:ind w:left="0" w:leftChars="0" w:firstLine="0" w:firstLineChars="0"/>
        <w:rPr>
          <w:rFonts w:hint="eastAsia" w:ascii="宋体" w:hAnsi="宋体" w:eastAsia="宋体" w:cs="宋体"/>
        </w:rPr>
      </w:pPr>
      <w:r>
        <w:rPr>
          <w:rFonts w:hint="eastAsia" w:ascii="宋体" w:hAnsi="宋体" w:eastAsia="宋体" w:cs="宋体"/>
        </w:rPr>
        <w:t>负责样品拆解、机械制样（粉碎/研磨）、化学消解及定性筛选（如</w:t>
      </w:r>
      <w:r>
        <w:rPr>
          <w:rFonts w:hint="eastAsia" w:ascii="宋体" w:hAnsi="宋体" w:eastAsia="宋体" w:cs="宋体"/>
          <w:kern w:val="2"/>
          <w:sz w:val="21"/>
          <w:szCs w:val="28"/>
          <w:lang w:val="en-US" w:eastAsia="zh-CN" w:bidi="ar-SA"/>
        </w:rPr>
        <w:t>XRF</w:t>
      </w:r>
      <w:r>
        <w:rPr>
          <w:rFonts w:hint="eastAsia" w:ascii="宋体" w:hAnsi="宋体" w:eastAsia="宋体" w:cs="宋体"/>
        </w:rPr>
        <w:t>扫描）的人员，应满足以下要求：</w:t>
      </w:r>
    </w:p>
    <w:p w14:paraId="345A3BFC">
      <w:pPr>
        <w:pStyle w:val="30"/>
        <w:ind w:left="0" w:leftChars="0" w:firstLine="0" w:firstLineChars="0"/>
        <w:rPr>
          <w:rFonts w:hint="eastAsia" w:ascii="宋体" w:hAnsi="宋体" w:eastAsia="宋体" w:cs="宋体"/>
        </w:rPr>
      </w:pPr>
      <w:r>
        <w:rPr>
          <w:rFonts w:hint="eastAsia" w:ascii="宋体" w:hAnsi="宋体" w:eastAsia="宋体" w:cs="宋体"/>
        </w:rPr>
        <w:t>a) 学历与经验：应具备理工科中专/高中及以上学历，或具备</w:t>
      </w:r>
      <w:r>
        <w:rPr>
          <w:rFonts w:hint="eastAsia" w:ascii="Arial" w:hAnsi="Arial" w:eastAsia="黑体" w:cs="Arial"/>
          <w:kern w:val="2"/>
          <w:sz w:val="21"/>
          <w:szCs w:val="28"/>
          <w:lang w:val="en-US" w:eastAsia="zh-CN" w:bidi="ar-SA"/>
        </w:rPr>
        <w:t>1</w:t>
      </w:r>
      <w:r>
        <w:rPr>
          <w:rFonts w:hint="eastAsia" w:ascii="宋体" w:hAnsi="宋体" w:eastAsia="宋体" w:cs="宋体"/>
        </w:rPr>
        <w:t>年以上 实验室相关工作经验；</w:t>
      </w:r>
    </w:p>
    <w:p w14:paraId="6814E08A">
      <w:pPr>
        <w:pStyle w:val="30"/>
        <w:ind w:left="0" w:leftChars="0" w:firstLine="0" w:firstLineChars="0"/>
        <w:rPr>
          <w:rFonts w:hint="eastAsia" w:ascii="宋体" w:hAnsi="宋体" w:eastAsia="宋体" w:cs="宋体"/>
        </w:rPr>
      </w:pPr>
      <w:r>
        <w:rPr>
          <w:rFonts w:hint="eastAsia" w:ascii="宋体" w:hAnsi="宋体" w:eastAsia="宋体" w:cs="宋体"/>
        </w:rPr>
        <w:t>b) 关键技能：</w:t>
      </w:r>
    </w:p>
    <w:p w14:paraId="511749DE">
      <w:pPr>
        <w:pStyle w:val="30"/>
        <w:ind w:left="0" w:leftChars="0" w:firstLine="0" w:firstLineChars="0"/>
        <w:rPr>
          <w:rFonts w:hint="eastAsia" w:ascii="宋体" w:hAnsi="宋体" w:eastAsia="宋体" w:cs="宋体"/>
        </w:rPr>
      </w:pPr>
      <w:r>
        <w:rPr>
          <w:rFonts w:hint="eastAsia" w:ascii="宋体" w:hAnsi="宋体" w:eastAsia="宋体" w:cs="宋体"/>
        </w:rPr>
        <w:t>1) 拆解技能：熟悉</w:t>
      </w:r>
      <w:r>
        <w:rPr>
          <w:rFonts w:hint="eastAsia" w:ascii="宋体" w:hAnsi="宋体" w:eastAsia="宋体" w:cs="宋体"/>
          <w:kern w:val="2"/>
          <w:sz w:val="21"/>
          <w:szCs w:val="28"/>
          <w:lang w:val="en-US" w:eastAsia="zh-CN" w:bidi="ar-SA"/>
        </w:rPr>
        <w:t>GB/T 39560.2</w:t>
      </w:r>
      <w:r>
        <w:rPr>
          <w:rFonts w:hint="eastAsia" w:ascii="宋体" w:hAnsi="宋体" w:eastAsia="宋体" w:cs="宋体"/>
        </w:rPr>
        <w:t>等拆解标准，能识别电子元器件类型，独立完成整机的物理拆解，并能通过颜色、标识等外观特征对均质材料进行准确分类，避免交叉污染；</w:t>
      </w:r>
    </w:p>
    <w:p w14:paraId="34AF69E9">
      <w:pPr>
        <w:pStyle w:val="30"/>
        <w:ind w:left="0" w:leftChars="0" w:firstLine="0" w:firstLineChars="0"/>
        <w:rPr>
          <w:rFonts w:hint="eastAsia" w:ascii="宋体" w:hAnsi="宋体" w:eastAsia="宋体" w:cs="宋体"/>
        </w:rPr>
      </w:pPr>
      <w:r>
        <w:rPr>
          <w:rFonts w:hint="eastAsia" w:ascii="宋体" w:hAnsi="宋体" w:eastAsia="宋体" w:cs="宋体"/>
        </w:rPr>
        <w:t>2) 制样与消解：掌握研磨机、微波消解仪等前处理设备的安全操作，能严格按照作业指导书完成样品的称量、酸消解及定容操作；</w:t>
      </w:r>
    </w:p>
    <w:p w14:paraId="732434FA">
      <w:pPr>
        <w:pStyle w:val="30"/>
        <w:ind w:left="0" w:leftChars="0" w:firstLine="0" w:firstLineChars="0"/>
        <w:rPr>
          <w:rFonts w:hint="eastAsia" w:ascii="宋体" w:hAnsi="宋体" w:eastAsia="宋体" w:cs="宋体"/>
        </w:rPr>
      </w:pPr>
      <w:r>
        <w:rPr>
          <w:rFonts w:hint="eastAsia" w:ascii="宋体" w:hAnsi="宋体" w:eastAsia="宋体" w:cs="宋体"/>
        </w:rPr>
        <w:t>3) 筛选测试：能规范操作X射线荧光光谱仪（</w:t>
      </w:r>
      <w:r>
        <w:rPr>
          <w:rFonts w:hint="eastAsia" w:ascii="宋体" w:hAnsi="宋体" w:eastAsia="宋体" w:cs="宋体"/>
          <w:kern w:val="2"/>
          <w:sz w:val="21"/>
          <w:szCs w:val="28"/>
          <w:lang w:val="en-US" w:eastAsia="zh-CN" w:bidi="ar-SA"/>
        </w:rPr>
        <w:t>XRF）</w:t>
      </w:r>
      <w:r>
        <w:rPr>
          <w:rFonts w:hint="eastAsia" w:ascii="宋体" w:hAnsi="宋体" w:eastAsia="宋体" w:cs="宋体"/>
        </w:rPr>
        <w:t>进行快速筛选测试，并能对简单的光谱图进行初步判定。</w:t>
      </w:r>
    </w:p>
    <w:p w14:paraId="1C29CF5F">
      <w:pPr>
        <w:pStyle w:val="30"/>
        <w:ind w:left="0" w:leftChars="0" w:firstLine="0" w:firstLineChars="0"/>
        <w:rPr>
          <w:rFonts w:hint="eastAsia" w:ascii="宋体" w:hAnsi="宋体" w:eastAsia="宋体" w:cs="宋体"/>
        </w:rPr>
      </w:pPr>
      <w:r>
        <w:rPr>
          <w:rFonts w:hint="eastAsia" w:hAnsi="宋体" w:cs="宋体"/>
          <w:lang w:val="en-US" w:eastAsia="zh-CN"/>
        </w:rPr>
        <w:t>c</w:t>
      </w:r>
      <w:r>
        <w:rPr>
          <w:rFonts w:hint="eastAsia" w:ascii="宋体" w:hAnsi="宋体" w:eastAsia="宋体" w:cs="宋体"/>
        </w:rPr>
        <w:t>) 资质：经操作考核合格，宜持有行业认可的职业技能等级证书</w:t>
      </w:r>
      <w:r>
        <w:rPr>
          <w:rFonts w:hint="eastAsia" w:hAnsi="宋体" w:cs="宋体"/>
          <w:lang w:eastAsia="zh-CN"/>
        </w:rPr>
        <w:t>。</w:t>
      </w:r>
    </w:p>
    <w:p w14:paraId="40B3C297">
      <w:pPr>
        <w:pStyle w:val="30"/>
        <w:ind w:left="0" w:leftChars="0" w:firstLine="0" w:firstLineChars="0"/>
        <w:rPr>
          <w:rFonts w:hint="eastAsia" w:ascii="宋体" w:hAnsi="宋体" w:eastAsia="宋体" w:cs="宋体"/>
        </w:rPr>
      </w:pPr>
      <w:r>
        <w:rPr>
          <w:rFonts w:hint="eastAsia" w:ascii="黑体" w:hAnsi="黑体" w:eastAsia="黑体" w:cs="黑体"/>
        </w:rPr>
        <w:t xml:space="preserve">4.2.3 </w:t>
      </w:r>
      <w:r>
        <w:rPr>
          <w:rFonts w:hint="eastAsia" w:ascii="宋体" w:hAnsi="宋体" w:eastAsia="宋体" w:cs="宋体"/>
        </w:rPr>
        <w:t>仪器分析人员</w:t>
      </w:r>
    </w:p>
    <w:p w14:paraId="1A668C54">
      <w:pPr>
        <w:pStyle w:val="30"/>
        <w:ind w:left="0" w:leftChars="0" w:firstLine="0" w:firstLineChars="0"/>
        <w:rPr>
          <w:rFonts w:hint="eastAsia" w:ascii="宋体" w:hAnsi="宋体" w:eastAsia="宋体" w:cs="宋体"/>
        </w:rPr>
      </w:pPr>
      <w:r>
        <w:rPr>
          <w:rFonts w:hint="eastAsia" w:ascii="宋体" w:hAnsi="宋体" w:eastAsia="宋体" w:cs="宋体"/>
        </w:rPr>
        <w:t>负责操作精密仪器进行定量分析及数据处理的人员，应满足以下要求：</w:t>
      </w:r>
    </w:p>
    <w:p w14:paraId="33477BCA">
      <w:pPr>
        <w:pStyle w:val="30"/>
        <w:ind w:left="0" w:leftChars="0" w:firstLine="0" w:firstLineChars="0"/>
        <w:rPr>
          <w:rFonts w:hint="eastAsia" w:ascii="宋体" w:hAnsi="宋体" w:eastAsia="宋体" w:cs="宋体"/>
        </w:rPr>
      </w:pPr>
      <w:r>
        <w:rPr>
          <w:rFonts w:hint="eastAsia" w:ascii="宋体" w:hAnsi="宋体" w:eastAsia="宋体" w:cs="宋体"/>
        </w:rPr>
        <w:t>a) 学历与经验：应具备化学、环境或材料相关专业大专及以上学历，并具备3年以上相关检测经验；</w:t>
      </w:r>
    </w:p>
    <w:p w14:paraId="6BD98E53">
      <w:pPr>
        <w:pStyle w:val="30"/>
        <w:ind w:left="0" w:leftChars="0" w:firstLine="0" w:firstLineChars="0"/>
        <w:rPr>
          <w:rFonts w:hint="eastAsia" w:ascii="宋体" w:hAnsi="宋体" w:eastAsia="宋体" w:cs="宋体"/>
        </w:rPr>
      </w:pPr>
      <w:r>
        <w:rPr>
          <w:rFonts w:hint="eastAsia" w:ascii="宋体" w:hAnsi="宋体" w:eastAsia="宋体" w:cs="宋体"/>
        </w:rPr>
        <w:t>b) 关键技能：</w:t>
      </w:r>
    </w:p>
    <w:p w14:paraId="35D95CDA">
      <w:pPr>
        <w:pStyle w:val="30"/>
        <w:ind w:left="0" w:leftChars="0" w:firstLine="0" w:firstLineChars="0"/>
        <w:rPr>
          <w:rFonts w:hint="eastAsia" w:ascii="宋体" w:hAnsi="宋体" w:eastAsia="宋体" w:cs="宋体"/>
        </w:rPr>
      </w:pPr>
      <w:r>
        <w:rPr>
          <w:rFonts w:hint="eastAsia" w:ascii="宋体" w:hAnsi="宋体" w:eastAsia="宋体" w:cs="宋体"/>
        </w:rPr>
        <w:t>1) 精密分析：精通定量分析设备的参数设置、标准曲线绘制及日常校准，能独立完成复杂基质样品的上机测试；</w:t>
      </w:r>
    </w:p>
    <w:p w14:paraId="3419A6BC">
      <w:pPr>
        <w:pStyle w:val="30"/>
        <w:ind w:left="0" w:leftChars="0" w:firstLine="0" w:firstLineChars="0"/>
        <w:rPr>
          <w:rFonts w:hint="eastAsia" w:ascii="宋体" w:hAnsi="宋体" w:eastAsia="宋体" w:cs="宋体"/>
        </w:rPr>
      </w:pPr>
      <w:r>
        <w:rPr>
          <w:rFonts w:hint="eastAsia" w:ascii="宋体" w:hAnsi="宋体" w:eastAsia="宋体" w:cs="宋体"/>
        </w:rPr>
        <w:t>2) 数据处理：具备对色谱/质谱图的解析能力，能识别基质干扰、假阳性/假阴性结果，并熟练使用</w:t>
      </w:r>
      <w:r>
        <w:rPr>
          <w:rFonts w:hint="eastAsia" w:ascii="宋体" w:hAnsi="宋体" w:eastAsia="宋体" w:cs="宋体"/>
          <w:kern w:val="2"/>
          <w:sz w:val="21"/>
          <w:szCs w:val="28"/>
          <w:lang w:val="en-US" w:eastAsia="zh-CN" w:bidi="ar-SA"/>
        </w:rPr>
        <w:t>LIMS</w:t>
      </w:r>
      <w:r>
        <w:rPr>
          <w:rFonts w:hint="eastAsia" w:ascii="宋体" w:hAnsi="宋体" w:eastAsia="宋体" w:cs="宋体"/>
        </w:rPr>
        <w:t>系统进行数据流转；</w:t>
      </w:r>
    </w:p>
    <w:p w14:paraId="14341A49">
      <w:pPr>
        <w:pStyle w:val="30"/>
        <w:ind w:left="0" w:leftChars="0" w:firstLine="0" w:firstLineChars="0"/>
        <w:rPr>
          <w:rFonts w:hint="eastAsia" w:ascii="宋体" w:hAnsi="宋体" w:eastAsia="宋体" w:cs="宋体"/>
        </w:rPr>
      </w:pPr>
      <w:r>
        <w:rPr>
          <w:rFonts w:hint="eastAsia" w:ascii="宋体" w:hAnsi="宋体" w:eastAsia="宋体" w:cs="宋体"/>
        </w:rPr>
        <w:t>3) 设备维护：具备仪器的一级维护能力（如更换进样垫、清洗离子源、更换色谱柱等）。</w:t>
      </w:r>
    </w:p>
    <w:p w14:paraId="33E34D7F">
      <w:pPr>
        <w:pStyle w:val="30"/>
        <w:ind w:left="0" w:leftChars="0" w:firstLine="0" w:firstLineChars="0"/>
        <w:rPr>
          <w:rFonts w:hint="eastAsia" w:hAnsi="宋体" w:cs="宋体"/>
          <w:lang w:eastAsia="zh-CN"/>
        </w:rPr>
      </w:pPr>
      <w:r>
        <w:rPr>
          <w:rFonts w:hint="eastAsia" w:ascii="宋体" w:hAnsi="宋体" w:eastAsia="宋体" w:cs="宋体"/>
        </w:rPr>
        <w:t>c) 资质建议：经专业理论与实操考核合格，宜持有行业认可的职业技能等级证书</w:t>
      </w:r>
      <w:r>
        <w:rPr>
          <w:rFonts w:hint="eastAsia" w:hAnsi="宋体" w:cs="宋体"/>
          <w:lang w:eastAsia="zh-CN"/>
        </w:rPr>
        <w:t>。</w:t>
      </w:r>
    </w:p>
    <w:p w14:paraId="76E56FF2">
      <w:pPr>
        <w:pStyle w:val="30"/>
        <w:ind w:left="0" w:leftChars="0" w:firstLine="0" w:firstLineChars="0"/>
        <w:rPr>
          <w:rFonts w:hint="eastAsia" w:ascii="宋体" w:hAnsi="宋体" w:eastAsia="宋体" w:cs="宋体"/>
        </w:rPr>
      </w:pPr>
      <w:r>
        <w:rPr>
          <w:rFonts w:hint="eastAsia" w:ascii="黑体" w:hAnsi="黑体" w:eastAsia="黑体" w:cs="黑体"/>
        </w:rPr>
        <w:t>4.2.4</w:t>
      </w:r>
      <w:r>
        <w:rPr>
          <w:rFonts w:hint="eastAsia" w:ascii="宋体" w:hAnsi="宋体" w:eastAsia="宋体" w:cs="宋体"/>
        </w:rPr>
        <w:t xml:space="preserve"> 关键技术人员</w:t>
      </w:r>
    </w:p>
    <w:p w14:paraId="3104B94B">
      <w:pPr>
        <w:pStyle w:val="30"/>
        <w:ind w:left="0" w:leftChars="0" w:firstLine="0" w:firstLineChars="0"/>
        <w:rPr>
          <w:rFonts w:hint="eastAsia" w:ascii="宋体" w:hAnsi="宋体" w:eastAsia="宋体" w:cs="宋体"/>
        </w:rPr>
      </w:pPr>
      <w:r>
        <w:rPr>
          <w:rFonts w:hint="eastAsia" w:ascii="宋体" w:hAnsi="宋体" w:eastAsia="宋体" w:cs="宋体"/>
        </w:rPr>
        <w:t>技术负责人、授权签字人及方法开发工程师，应满足以下要求：</w:t>
      </w:r>
    </w:p>
    <w:p w14:paraId="2903CA09">
      <w:pPr>
        <w:pStyle w:val="30"/>
        <w:ind w:left="0" w:leftChars="0" w:firstLine="0" w:firstLineChars="0"/>
        <w:rPr>
          <w:rFonts w:hint="eastAsia" w:ascii="宋体" w:hAnsi="宋体" w:eastAsia="宋体" w:cs="宋体"/>
        </w:rPr>
      </w:pPr>
      <w:r>
        <w:rPr>
          <w:rFonts w:hint="eastAsia" w:ascii="宋体" w:hAnsi="宋体" w:eastAsia="宋体" w:cs="宋体"/>
        </w:rPr>
        <w:t>a) 资历要求：应具备本科及以上学历，且具有 5年以上 技术管理经验；宜具备高级技术职称；</w:t>
      </w:r>
    </w:p>
    <w:p w14:paraId="78703D94">
      <w:pPr>
        <w:pStyle w:val="30"/>
        <w:ind w:left="0" w:leftChars="0" w:firstLine="0" w:firstLineChars="0"/>
        <w:rPr>
          <w:rFonts w:hint="eastAsia" w:ascii="宋体" w:hAnsi="宋体" w:eastAsia="宋体" w:cs="宋体"/>
        </w:rPr>
      </w:pPr>
      <w:r>
        <w:rPr>
          <w:rFonts w:hint="eastAsia" w:ascii="宋体" w:hAnsi="宋体" w:eastAsia="宋体" w:cs="宋体"/>
        </w:rPr>
        <w:t>b) 核心能力：</w:t>
      </w:r>
    </w:p>
    <w:p w14:paraId="7D23BE03">
      <w:pPr>
        <w:pStyle w:val="30"/>
        <w:ind w:left="0" w:leftChars="0" w:firstLine="0" w:firstLineChars="0"/>
        <w:rPr>
          <w:rFonts w:hint="eastAsia" w:ascii="宋体" w:hAnsi="宋体" w:eastAsia="宋体" w:cs="宋体"/>
        </w:rPr>
      </w:pPr>
      <w:r>
        <w:rPr>
          <w:rFonts w:hint="eastAsia" w:ascii="宋体" w:hAnsi="宋体" w:eastAsia="宋体" w:cs="宋体"/>
        </w:rPr>
        <w:t>1) 法规与合规：精通全球环保法规（</w:t>
      </w:r>
      <w:r>
        <w:rPr>
          <w:rFonts w:hint="eastAsia" w:ascii="宋体" w:hAnsi="宋体" w:eastAsia="宋体" w:cs="宋体"/>
          <w:kern w:val="2"/>
          <w:sz w:val="21"/>
          <w:szCs w:val="28"/>
          <w:lang w:val="en-US" w:eastAsia="zh-CN" w:bidi="ar-SA"/>
        </w:rPr>
        <w:t>RoHS/REACH/POPs</w:t>
      </w:r>
      <w:r>
        <w:rPr>
          <w:rFonts w:hint="eastAsia" w:ascii="宋体" w:hAnsi="宋体" w:eastAsia="宋体" w:cs="宋体"/>
        </w:rPr>
        <w:t>等）及豁免条款更新，具备合规性评价与风险预警能力；</w:t>
      </w:r>
    </w:p>
    <w:p w14:paraId="0455AE10">
      <w:pPr>
        <w:pStyle w:val="30"/>
        <w:ind w:left="0" w:leftChars="0" w:firstLine="0" w:firstLineChars="0"/>
        <w:rPr>
          <w:rFonts w:hint="eastAsia" w:ascii="宋体" w:hAnsi="宋体" w:eastAsia="宋体" w:cs="宋体"/>
        </w:rPr>
      </w:pPr>
      <w:r>
        <w:rPr>
          <w:rFonts w:hint="eastAsia" w:ascii="宋体" w:hAnsi="宋体" w:eastAsia="宋体" w:cs="宋体"/>
        </w:rPr>
        <w:t>2) 复杂问题解决：具备未知物鉴定（非靶向分析）、新污染物（</w:t>
      </w:r>
      <w:r>
        <w:rPr>
          <w:rFonts w:hint="eastAsia" w:ascii="宋体" w:hAnsi="宋体" w:eastAsia="宋体" w:cs="宋体"/>
          <w:kern w:val="2"/>
          <w:sz w:val="21"/>
          <w:szCs w:val="28"/>
          <w:lang w:val="en-US" w:eastAsia="zh-CN" w:bidi="ar-SA"/>
        </w:rPr>
        <w:t>PFAS</w:t>
      </w:r>
      <w:r>
        <w:rPr>
          <w:rFonts w:hint="eastAsia" w:ascii="宋体" w:hAnsi="宋体" w:eastAsia="宋体" w:cs="宋体"/>
        </w:rPr>
        <w:t>等）方法开发及复杂失效分析能力；</w:t>
      </w:r>
    </w:p>
    <w:p w14:paraId="5FACD775">
      <w:pPr>
        <w:pStyle w:val="30"/>
        <w:ind w:left="0" w:leftChars="0" w:firstLine="0" w:firstLineChars="0"/>
        <w:rPr>
          <w:rFonts w:hint="eastAsia" w:ascii="宋体" w:hAnsi="宋体" w:eastAsia="宋体" w:cs="宋体"/>
        </w:rPr>
      </w:pPr>
      <w:r>
        <w:rPr>
          <w:rFonts w:hint="eastAsia" w:ascii="宋体" w:hAnsi="宋体" w:eastAsia="宋体" w:cs="宋体"/>
        </w:rPr>
        <w:t>3) 体系与审核：熟悉</w:t>
      </w:r>
      <w:r>
        <w:rPr>
          <w:rFonts w:hint="eastAsia" w:ascii="宋体" w:hAnsi="宋体" w:eastAsia="宋体" w:cs="宋体"/>
          <w:kern w:val="2"/>
          <w:sz w:val="21"/>
          <w:szCs w:val="28"/>
          <w:lang w:val="en-US" w:eastAsia="zh-CN" w:bidi="ar-SA"/>
        </w:rPr>
        <w:t>IECQ QC 080000或GB/T 31274-2024</w:t>
      </w:r>
      <w:r>
        <w:rPr>
          <w:rFonts w:hint="eastAsia" w:ascii="宋体" w:hAnsi="宋体" w:eastAsia="宋体" w:cs="宋体"/>
        </w:rPr>
        <w:t>体系，能对检测数据的合规性及适用性做出最终判定。</w:t>
      </w:r>
    </w:p>
    <w:p w14:paraId="571C036D">
      <w:pPr>
        <w:pStyle w:val="30"/>
        <w:ind w:left="0" w:leftChars="0" w:firstLine="0" w:firstLineChars="0"/>
        <w:rPr>
          <w:rFonts w:hint="eastAsia" w:ascii="宋体" w:hAnsi="宋体" w:eastAsia="宋体" w:cs="宋体"/>
        </w:rPr>
      </w:pPr>
      <w:r>
        <w:rPr>
          <w:rFonts w:hint="eastAsia" w:ascii="宋体" w:hAnsi="宋体" w:eastAsia="宋体" w:cs="宋体"/>
        </w:rPr>
        <w:t>c) 资质建议：宜持有行业认可的高级职业技能证书。</w:t>
      </w:r>
    </w:p>
    <w:p w14:paraId="565B14CC">
      <w:pPr>
        <w:pStyle w:val="30"/>
        <w:ind w:left="0" w:leftChars="0" w:firstLine="0" w:firstLineChars="0"/>
        <w:rPr>
          <w:rFonts w:hint="eastAsia" w:ascii="宋体" w:hAnsi="宋体" w:eastAsia="宋体" w:cs="宋体"/>
          <w:lang w:val="en-US" w:eastAsia="zh-CN"/>
        </w:rPr>
      </w:pPr>
      <w:r>
        <w:rPr>
          <w:rFonts w:hint="eastAsia" w:hAnsi="宋体" w:cs="宋体"/>
          <w:lang w:val="en-US" w:eastAsia="zh-CN"/>
        </w:rPr>
        <w:t>d</w:t>
      </w:r>
      <w:r>
        <w:rPr>
          <w:rFonts w:hint="eastAsia" w:ascii="宋体" w:hAnsi="宋体" w:eastAsia="宋体" w:cs="宋体"/>
        </w:rPr>
        <w:t>) 测量不确定度评定与应用能力：能领导或指导复杂基体样品的测量不确定度评定工作，并能运用不确定度结果为符合性判定提供技术支持</w:t>
      </w:r>
      <w:r>
        <w:rPr>
          <w:rFonts w:hint="eastAsia" w:hAnsi="宋体" w:cs="宋体"/>
          <w:lang w:val="en-US" w:eastAsia="zh-CN"/>
        </w:rPr>
        <w:t>.</w:t>
      </w:r>
    </w:p>
    <w:p w14:paraId="68049FB5">
      <w:pPr>
        <w:pStyle w:val="30"/>
        <w:ind w:left="0" w:leftChars="0" w:firstLine="0" w:firstLineChars="0"/>
        <w:rPr>
          <w:rFonts w:hint="eastAsia" w:ascii="宋体" w:hAnsi="宋体" w:eastAsia="宋体" w:cs="宋体"/>
        </w:rPr>
      </w:pPr>
      <w:r>
        <w:rPr>
          <w:rFonts w:hint="eastAsia" w:ascii="黑体" w:hAnsi="黑体" w:eastAsia="黑体" w:cs="黑体"/>
        </w:rPr>
        <w:t>4.2.5</w:t>
      </w:r>
      <w:r>
        <w:rPr>
          <w:rFonts w:hint="eastAsia" w:ascii="宋体" w:hAnsi="宋体" w:eastAsia="宋体" w:cs="宋体"/>
        </w:rPr>
        <w:t xml:space="preserve"> 持续能力评价</w:t>
      </w:r>
    </w:p>
    <w:p w14:paraId="25D11006">
      <w:pPr>
        <w:pStyle w:val="30"/>
        <w:ind w:left="0" w:leftChars="0" w:firstLine="0" w:firstLineChars="0"/>
        <w:rPr>
          <w:rFonts w:hint="eastAsia" w:ascii="宋体" w:hAnsi="宋体" w:eastAsia="宋体" w:cs="宋体"/>
        </w:rPr>
      </w:pPr>
      <w:r>
        <w:rPr>
          <w:rFonts w:hint="eastAsia" w:ascii="宋体" w:hAnsi="宋体" w:eastAsia="宋体" w:cs="宋体"/>
        </w:rPr>
        <w:t>实验室应建立人员技术档案，并实施动态评价：</w:t>
      </w:r>
    </w:p>
    <w:p w14:paraId="4168C3AE">
      <w:pPr>
        <w:pStyle w:val="30"/>
        <w:ind w:left="0" w:leftChars="0" w:firstLine="0" w:firstLineChars="0"/>
        <w:rPr>
          <w:rFonts w:hint="eastAsia" w:ascii="宋体" w:hAnsi="宋体" w:eastAsia="宋体" w:cs="宋体"/>
        </w:rPr>
      </w:pPr>
      <w:r>
        <w:rPr>
          <w:rFonts w:hint="eastAsia" w:ascii="宋体" w:hAnsi="宋体" w:eastAsia="宋体" w:cs="宋体"/>
        </w:rPr>
        <w:t xml:space="preserve">a) 培训：全员年度专业技术培训时长应 ≥ </w:t>
      </w:r>
      <w:r>
        <w:rPr>
          <w:rFonts w:hint="eastAsia" w:ascii="宋体" w:hAnsi="宋体" w:eastAsia="宋体" w:cs="宋体"/>
          <w:kern w:val="0"/>
          <w:sz w:val="21"/>
          <w:szCs w:val="20"/>
          <w:lang w:val="en-US" w:eastAsia="zh-CN" w:bidi="ar-SA"/>
        </w:rPr>
        <w:t xml:space="preserve">40 </w:t>
      </w:r>
      <w:r>
        <w:rPr>
          <w:rFonts w:hint="eastAsia" w:ascii="宋体" w:hAnsi="宋体" w:eastAsia="宋体" w:cs="宋体"/>
        </w:rPr>
        <w:t>学时/人；</w:t>
      </w:r>
    </w:p>
    <w:p w14:paraId="6A179C94">
      <w:pPr>
        <w:pStyle w:val="30"/>
        <w:ind w:left="0" w:leftChars="0" w:firstLine="0" w:firstLineChars="0"/>
        <w:rPr>
          <w:rFonts w:hint="eastAsia" w:ascii="宋体" w:hAnsi="宋体" w:eastAsia="宋体" w:cs="宋体"/>
          <w:lang w:eastAsia="zh-CN"/>
        </w:rPr>
      </w:pPr>
      <w:r>
        <w:rPr>
          <w:rFonts w:hint="eastAsia" w:ascii="宋体" w:hAnsi="宋体" w:eastAsia="宋体" w:cs="宋体"/>
        </w:rPr>
        <w:t>b) 监控：对前处理人员重点监控拆解的代表性与防污染措施；除了常规的监督与核查外，实验室应建立人员技术档案，通过参加外部能力验证（</w:t>
      </w:r>
      <w:r>
        <w:rPr>
          <w:rFonts w:hint="eastAsia" w:ascii="宋体" w:hAnsi="宋体" w:eastAsia="宋体" w:cs="宋体"/>
          <w:kern w:val="2"/>
          <w:sz w:val="21"/>
          <w:szCs w:val="28"/>
          <w:lang w:val="en-US" w:eastAsia="zh-CN" w:bidi="ar-SA"/>
        </w:rPr>
        <w:t>PT</w:t>
      </w:r>
      <w:r>
        <w:rPr>
          <w:rFonts w:hint="eastAsia" w:ascii="宋体" w:hAnsi="宋体" w:eastAsia="宋体" w:cs="宋体"/>
        </w:rPr>
        <w:t>）、实验室间比对或盲样测试，持续评价关键人员的 独立检测能力，并保存相关评价记录</w:t>
      </w:r>
      <w:r>
        <w:rPr>
          <w:rFonts w:hint="eastAsia" w:hAnsi="宋体" w:cs="宋体"/>
          <w:lang w:eastAsia="zh-CN"/>
        </w:rPr>
        <w:t>；</w:t>
      </w:r>
    </w:p>
    <w:p w14:paraId="31C4497D">
      <w:pPr>
        <w:pStyle w:val="30"/>
        <w:ind w:left="0" w:leftChars="0" w:firstLine="0" w:firstLineChars="0"/>
        <w:rPr>
          <w:rFonts w:hint="default" w:ascii="宋体" w:hAnsi="宋体" w:eastAsia="宋体" w:cs="宋体"/>
          <w:lang w:val="en-US" w:eastAsia="zh-CN"/>
        </w:rPr>
      </w:pPr>
      <w:r>
        <w:rPr>
          <w:rFonts w:hint="eastAsia" w:ascii="宋体" w:hAnsi="宋体" w:eastAsia="宋体" w:cs="宋体"/>
        </w:rPr>
        <w:t>c) 上岗授权：针对关键检测设备及关键检测项目（如邻苯二甲酸酯、</w:t>
      </w:r>
      <w:r>
        <w:rPr>
          <w:rFonts w:hint="eastAsia" w:ascii="宋体" w:hAnsi="宋体" w:eastAsia="宋体" w:cs="宋体"/>
          <w:kern w:val="2"/>
          <w:sz w:val="21"/>
          <w:szCs w:val="28"/>
          <w:lang w:val="en-US" w:eastAsia="zh-CN" w:bidi="ar-SA"/>
        </w:rPr>
        <w:t>HBCDD</w:t>
      </w:r>
      <w:r>
        <w:rPr>
          <w:rFonts w:hint="eastAsia" w:ascii="宋体" w:hAnsi="宋体" w:eastAsia="宋体" w:cs="宋体"/>
        </w:rPr>
        <w:t>等），操作人员须完成实验室内部系统培训，并在专业人员的技术指导下进行实操练习；经专项能力考核合格，并形成完整的培训评价与授权记录档案后，方可正式获准上岗</w:t>
      </w:r>
      <w:r>
        <w:rPr>
          <w:rFonts w:hint="eastAsia" w:hAnsi="宋体" w:cs="宋体"/>
          <w:lang w:eastAsia="zh-CN"/>
        </w:rPr>
        <w:t>，</w:t>
      </w:r>
      <w:r>
        <w:rPr>
          <w:rFonts w:hint="eastAsia" w:hAnsi="宋体" w:cs="宋体"/>
          <w:lang w:val="en-US" w:eastAsia="zh-CN"/>
        </w:rPr>
        <w:t>保证核心技术人员稳定（3年）在岗。</w:t>
      </w:r>
    </w:p>
    <w:p w14:paraId="55DE861C">
      <w:pPr>
        <w:pStyle w:val="30"/>
        <w:ind w:left="0" w:leftChars="0" w:firstLine="0" w:firstLineChars="0"/>
        <w:rPr>
          <w:rFonts w:hint="eastAsia" w:ascii="宋体" w:hAnsi="宋体" w:eastAsia="宋体" w:cs="宋体"/>
        </w:rPr>
      </w:pPr>
    </w:p>
    <w:p w14:paraId="4E73637A">
      <w:pPr>
        <w:pStyle w:val="30"/>
        <w:ind w:left="0" w:leftChars="0" w:firstLine="0" w:firstLineChars="0"/>
        <w:rPr>
          <w:rFonts w:hint="eastAsia" w:ascii="黑体" w:hAnsi="黑体" w:eastAsia="黑体" w:cs="黑体"/>
        </w:rPr>
      </w:pPr>
      <w:r>
        <w:rPr>
          <w:rFonts w:hint="eastAsia" w:ascii="黑体" w:hAnsi="黑体" w:eastAsia="黑体" w:cs="黑体"/>
        </w:rPr>
        <w:t>4.3 检测设备</w:t>
      </w:r>
    </w:p>
    <w:p w14:paraId="0F0A8639">
      <w:pPr>
        <w:pStyle w:val="30"/>
        <w:ind w:left="0" w:leftChars="0" w:firstLine="0" w:firstLineChars="0"/>
        <w:rPr>
          <w:rFonts w:hint="eastAsia" w:ascii="黑体" w:hAnsi="黑体" w:eastAsia="黑体" w:cs="黑体"/>
        </w:rPr>
      </w:pPr>
    </w:p>
    <w:p w14:paraId="3F06AC07">
      <w:pPr>
        <w:pStyle w:val="30"/>
        <w:ind w:left="0" w:leftChars="0" w:firstLine="0" w:firstLineChars="0"/>
        <w:rPr>
          <w:rFonts w:hint="eastAsia" w:ascii="宋体" w:hAnsi="宋体" w:eastAsia="宋体" w:cs="宋体"/>
        </w:rPr>
      </w:pPr>
      <w:r>
        <w:rPr>
          <w:rFonts w:hint="eastAsia" w:ascii="黑体" w:hAnsi="黑体" w:eastAsia="黑体" w:cs="黑体"/>
          <w:kern w:val="2"/>
          <w:sz w:val="21"/>
          <w:szCs w:val="28"/>
          <w:lang w:val="en-US" w:eastAsia="zh-CN" w:bidi="ar-SA"/>
        </w:rPr>
        <w:t>4.3.1</w:t>
      </w:r>
      <w:r>
        <w:rPr>
          <w:rFonts w:hint="eastAsia" w:ascii="宋体" w:hAnsi="宋体" w:eastAsia="宋体" w:cs="宋体"/>
        </w:rPr>
        <w:t xml:space="preserve"> 设备配置：应配备与检测项目相匹配的定量分析设备（如</w:t>
      </w:r>
      <w:r>
        <w:rPr>
          <w:rFonts w:hint="eastAsia" w:ascii="宋体" w:hAnsi="宋体" w:eastAsia="宋体" w:cs="宋体"/>
          <w:kern w:val="2"/>
          <w:sz w:val="21"/>
          <w:szCs w:val="28"/>
          <w:lang w:val="en-US" w:eastAsia="zh-CN" w:bidi="ar-SA"/>
        </w:rPr>
        <w:t>ICP-OES/MS、GC-MS、UV-Vis、IC</w:t>
      </w:r>
      <w:r>
        <w:rPr>
          <w:rFonts w:hint="eastAsia" w:ascii="宋体" w:hAnsi="宋体" w:eastAsia="宋体" w:cs="宋体"/>
        </w:rPr>
        <w:t>等）或经验证的定性筛选设备（如</w:t>
      </w:r>
      <w:r>
        <w:rPr>
          <w:rFonts w:hint="eastAsia" w:ascii="宋体" w:hAnsi="宋体" w:eastAsia="宋体" w:cs="宋体"/>
          <w:kern w:val="2"/>
          <w:sz w:val="21"/>
          <w:szCs w:val="28"/>
          <w:lang w:val="en-US" w:eastAsia="zh-CN" w:bidi="ar-SA"/>
        </w:rPr>
        <w:t>XRF、LIBS）</w:t>
      </w:r>
      <w:r>
        <w:rPr>
          <w:rFonts w:hint="eastAsia" w:ascii="宋体" w:hAnsi="宋体" w:eastAsia="宋体" w:cs="宋体"/>
        </w:rPr>
        <w:t>。关键定量设备配置数量应满足业务冗余需求，保障检测连续性。</w:t>
      </w:r>
    </w:p>
    <w:p w14:paraId="55D37BC7">
      <w:pPr>
        <w:pStyle w:val="30"/>
        <w:ind w:left="0" w:leftChars="0" w:firstLine="0" w:firstLineChars="0"/>
        <w:rPr>
          <w:rFonts w:hint="eastAsia" w:ascii="宋体" w:hAnsi="宋体" w:eastAsia="宋体" w:cs="宋体"/>
        </w:rPr>
      </w:pPr>
      <w:r>
        <w:rPr>
          <w:rFonts w:hint="eastAsia" w:ascii="黑体" w:hAnsi="黑体" w:eastAsia="黑体" w:cs="黑体"/>
          <w:kern w:val="2"/>
          <w:sz w:val="21"/>
          <w:szCs w:val="28"/>
          <w:lang w:val="en-US" w:eastAsia="zh-CN" w:bidi="ar-SA"/>
        </w:rPr>
        <w:t xml:space="preserve">4.3.2 </w:t>
      </w:r>
      <w:r>
        <w:rPr>
          <w:rFonts w:hint="eastAsia" w:ascii="宋体" w:hAnsi="宋体" w:eastAsia="宋体" w:cs="宋体"/>
        </w:rPr>
        <w:t>校准与维护：所有对结果有影响的设备应按</w:t>
      </w:r>
      <w:r>
        <w:rPr>
          <w:rFonts w:hint="eastAsia" w:ascii="宋体" w:hAnsi="宋体" w:eastAsia="宋体" w:cs="宋体"/>
          <w:kern w:val="2"/>
          <w:sz w:val="21"/>
          <w:szCs w:val="28"/>
          <w:lang w:val="en-US" w:eastAsia="zh-CN" w:bidi="ar-SA"/>
        </w:rPr>
        <w:t>GB 27025-2025</w:t>
      </w:r>
      <w:r>
        <w:rPr>
          <w:rFonts w:hint="eastAsia" w:ascii="宋体" w:hAnsi="宋体" w:eastAsia="宋体" w:cs="宋体"/>
        </w:rPr>
        <w:t>要求制定校准/检定计划并严格执行，确保量值溯源有效；建立完善的“一机一档”管理，记录采购、验收、使用、维护、维修及报废全过程。</w:t>
      </w:r>
    </w:p>
    <w:p w14:paraId="714D04BD">
      <w:pPr>
        <w:pStyle w:val="30"/>
        <w:ind w:left="0" w:leftChars="0" w:firstLine="0" w:firstLineChars="0"/>
        <w:rPr>
          <w:rFonts w:hint="eastAsia" w:ascii="宋体" w:hAnsi="宋体" w:eastAsia="宋体" w:cs="宋体"/>
        </w:rPr>
      </w:pPr>
      <w:r>
        <w:rPr>
          <w:rFonts w:hint="eastAsia" w:ascii="黑体" w:hAnsi="黑体" w:eastAsia="黑体" w:cs="黑体"/>
          <w:kern w:val="2"/>
          <w:sz w:val="21"/>
          <w:szCs w:val="28"/>
          <w:lang w:val="en-US" w:eastAsia="zh-CN" w:bidi="ar-SA"/>
        </w:rPr>
        <w:t>4.3.3</w:t>
      </w:r>
      <w:r>
        <w:rPr>
          <w:rFonts w:hint="eastAsia" w:ascii="宋体" w:hAnsi="宋体" w:eastAsia="宋体" w:cs="宋体"/>
        </w:rPr>
        <w:t xml:space="preserve"> 标识管理：设备应张贴清晰的“三色”状态标识（合格/准用/停用），且内容填写完整、在有效期内；停用设备应实施物理隔离或加贴封条，防止误用。</w:t>
      </w:r>
    </w:p>
    <w:p w14:paraId="424A9E11">
      <w:pPr>
        <w:pStyle w:val="30"/>
        <w:ind w:left="0" w:leftChars="0" w:firstLine="0" w:firstLineChars="0"/>
        <w:rPr>
          <w:rFonts w:hint="eastAsia" w:ascii="宋体" w:hAnsi="宋体" w:eastAsia="宋体" w:cs="宋体"/>
        </w:rPr>
      </w:pPr>
    </w:p>
    <w:p w14:paraId="7CC3442D">
      <w:pPr>
        <w:pStyle w:val="30"/>
        <w:ind w:left="0" w:leftChars="0" w:firstLine="0" w:firstLineChars="0"/>
        <w:rPr>
          <w:rFonts w:hint="eastAsia" w:ascii="黑体" w:hAnsi="黑体" w:eastAsia="黑体" w:cs="黑体"/>
        </w:rPr>
      </w:pPr>
      <w:r>
        <w:rPr>
          <w:rFonts w:hint="eastAsia" w:ascii="黑体" w:hAnsi="黑体" w:eastAsia="黑体" w:cs="黑体"/>
        </w:rPr>
        <w:t>4.4 物料管理</w:t>
      </w:r>
    </w:p>
    <w:p w14:paraId="499EF0D6">
      <w:pPr>
        <w:pStyle w:val="30"/>
        <w:ind w:left="0" w:leftChars="0" w:firstLine="0" w:firstLineChars="0"/>
        <w:rPr>
          <w:rFonts w:hint="eastAsia" w:ascii="黑体" w:hAnsi="黑体" w:eastAsia="黑体" w:cs="黑体"/>
        </w:rPr>
      </w:pPr>
    </w:p>
    <w:p w14:paraId="18D22ACC">
      <w:pPr>
        <w:pStyle w:val="30"/>
        <w:ind w:left="0" w:leftChars="0" w:firstLine="0" w:firstLineChars="0"/>
        <w:rPr>
          <w:rFonts w:hint="eastAsia" w:ascii="宋体" w:hAnsi="宋体" w:eastAsia="宋体" w:cs="宋体"/>
        </w:rPr>
      </w:pPr>
      <w:r>
        <w:rPr>
          <w:rFonts w:hint="eastAsia" w:ascii="黑体" w:hAnsi="黑体" w:eastAsia="黑体" w:cs="黑体"/>
        </w:rPr>
        <w:t xml:space="preserve">4.4.1 </w:t>
      </w:r>
      <w:r>
        <w:rPr>
          <w:rFonts w:hint="eastAsia" w:ascii="宋体" w:hAnsi="宋体" w:eastAsia="宋体" w:cs="宋体"/>
        </w:rPr>
        <w:t>样品管理：建立样品唯一性标识制度（如条码/二维码系统），实现样品接收、流转、制备、测试、留样、处置的全生命周期可追溯，并确保样品无混淆、无污染、无损坏。</w:t>
      </w:r>
    </w:p>
    <w:p w14:paraId="0D6713AC">
      <w:pPr>
        <w:pStyle w:val="30"/>
        <w:ind w:left="0" w:leftChars="0" w:firstLine="0" w:firstLineChars="0"/>
        <w:rPr>
          <w:rFonts w:hint="eastAsia" w:ascii="宋体" w:hAnsi="宋体" w:eastAsia="宋体" w:cs="宋体"/>
        </w:rPr>
      </w:pPr>
      <w:r>
        <w:rPr>
          <w:rFonts w:hint="eastAsia" w:ascii="黑体" w:hAnsi="黑体" w:eastAsia="黑体" w:cs="黑体"/>
        </w:rPr>
        <w:t xml:space="preserve">4.4.2 </w:t>
      </w:r>
      <w:r>
        <w:rPr>
          <w:rFonts w:hint="eastAsia" w:ascii="宋体" w:hAnsi="宋体" w:eastAsia="宋体" w:cs="宋体"/>
        </w:rPr>
        <w:t>试剂管理：建立化学试剂管理台账，记录名称、纯度、批号、有效期及出入库信息；剧毒品、易制毒化学品等危险品必须实行“双人双锁、双人收发、双人记账”管理，并配备相应的安全技术说明书（MSDS）。</w:t>
      </w:r>
    </w:p>
    <w:p w14:paraId="622B339A">
      <w:pPr>
        <w:pStyle w:val="30"/>
        <w:ind w:left="0" w:leftChars="0" w:firstLine="0" w:firstLineChars="0"/>
        <w:rPr>
          <w:rFonts w:hint="eastAsia" w:ascii="宋体" w:hAnsi="宋体" w:eastAsia="宋体" w:cs="宋体"/>
        </w:rPr>
      </w:pPr>
      <w:r>
        <w:rPr>
          <w:rFonts w:hint="eastAsia" w:ascii="黑体" w:hAnsi="黑体" w:eastAsia="黑体" w:cs="黑体"/>
        </w:rPr>
        <w:t>4.4.3</w:t>
      </w:r>
      <w:r>
        <w:rPr>
          <w:rFonts w:hint="eastAsia" w:ascii="宋体" w:hAnsi="宋体" w:eastAsia="宋体" w:cs="宋体"/>
        </w:rPr>
        <w:t xml:space="preserve"> 耗材管理：标准物质、滤膜、玻璃器皿等耗材应在有效期内使用，建立核查与领用记录；过期或变质耗材应及时隔离并按规定进行无害化处置。</w:t>
      </w:r>
    </w:p>
    <w:p w14:paraId="4BE8DBCC">
      <w:pPr>
        <w:pStyle w:val="30"/>
        <w:ind w:left="0" w:leftChars="0" w:firstLine="0" w:firstLineChars="0"/>
        <w:rPr>
          <w:rFonts w:hint="eastAsia" w:ascii="宋体" w:hAnsi="宋体" w:eastAsia="宋体" w:cs="宋体"/>
        </w:rPr>
      </w:pPr>
    </w:p>
    <w:p w14:paraId="002306B6">
      <w:pPr>
        <w:pStyle w:val="30"/>
        <w:ind w:left="0" w:leftChars="0" w:firstLine="0" w:firstLineChars="0"/>
        <w:rPr>
          <w:rFonts w:hint="eastAsia" w:ascii="黑体" w:hAnsi="黑体" w:eastAsia="黑体" w:cs="黑体"/>
        </w:rPr>
      </w:pPr>
      <w:r>
        <w:rPr>
          <w:rFonts w:hint="eastAsia" w:ascii="黑体" w:hAnsi="黑体" w:eastAsia="黑体" w:cs="黑体"/>
        </w:rPr>
        <w:t>4.5 方法与文件</w:t>
      </w:r>
    </w:p>
    <w:p w14:paraId="3062AF73">
      <w:pPr>
        <w:pStyle w:val="30"/>
        <w:ind w:left="0" w:leftChars="0" w:firstLine="0" w:firstLineChars="0"/>
        <w:rPr>
          <w:rFonts w:hint="eastAsia" w:ascii="黑体" w:hAnsi="黑体" w:eastAsia="黑体" w:cs="黑体"/>
        </w:rPr>
      </w:pPr>
    </w:p>
    <w:p w14:paraId="4985D0A6">
      <w:pPr>
        <w:pStyle w:val="30"/>
        <w:ind w:left="0" w:leftChars="0" w:firstLine="0" w:firstLineChars="0"/>
        <w:rPr>
          <w:rFonts w:hint="eastAsia" w:ascii="宋体" w:hAnsi="宋体" w:eastAsia="宋体" w:cs="宋体"/>
        </w:rPr>
      </w:pPr>
      <w:r>
        <w:rPr>
          <w:rFonts w:hint="eastAsia" w:ascii="黑体" w:hAnsi="黑体" w:eastAsia="黑体" w:cs="黑体"/>
        </w:rPr>
        <w:t xml:space="preserve">4.5.1 </w:t>
      </w:r>
      <w:r>
        <w:rPr>
          <w:rFonts w:hint="eastAsia" w:ascii="宋体" w:hAnsi="宋体" w:eastAsia="宋体" w:cs="宋体"/>
        </w:rPr>
        <w:t>方法选择与验证：应优先采用现行有效标准；对于新引入标准、非标方法或实验室自制方法，必须进行完整的技术验证（包含精密度、准确度、检出限、线性范围、干扰试验等），形成验证报告并经技术负责人批准。</w:t>
      </w:r>
    </w:p>
    <w:p w14:paraId="46838FC5">
      <w:pPr>
        <w:pStyle w:val="30"/>
        <w:ind w:left="0" w:leftChars="0" w:firstLine="0" w:firstLineChars="0"/>
        <w:rPr>
          <w:rFonts w:hint="eastAsia" w:ascii="宋体" w:hAnsi="宋体" w:eastAsia="宋体" w:cs="宋体"/>
        </w:rPr>
      </w:pPr>
      <w:r>
        <w:rPr>
          <w:rFonts w:hint="eastAsia" w:ascii="黑体" w:hAnsi="黑体" w:eastAsia="黑体" w:cs="黑体"/>
        </w:rPr>
        <w:t xml:space="preserve">4.5.2 </w:t>
      </w:r>
      <w:r>
        <w:rPr>
          <w:rFonts w:hint="eastAsia" w:ascii="宋体" w:hAnsi="宋体" w:eastAsia="宋体" w:cs="宋体"/>
        </w:rPr>
        <w:t>文件控制：建立完善的质量管理体系文件（手册、程序、作业指导书、表单），确保检测现场使用的是受控的现行有效版本；文件修订、发放、回收记录应完整。</w:t>
      </w:r>
    </w:p>
    <w:p w14:paraId="4CE9F5C1">
      <w:pPr>
        <w:pStyle w:val="30"/>
        <w:ind w:left="0" w:leftChars="0" w:firstLine="0" w:firstLineChars="0"/>
        <w:rPr>
          <w:rFonts w:hint="eastAsia" w:ascii="宋体" w:hAnsi="宋体" w:eastAsia="宋体" w:cs="宋体"/>
        </w:rPr>
      </w:pPr>
      <w:r>
        <w:rPr>
          <w:rFonts w:hint="eastAsia" w:ascii="黑体" w:hAnsi="黑体" w:eastAsia="黑体" w:cs="黑体"/>
        </w:rPr>
        <w:t>4.5.3</w:t>
      </w:r>
      <w:r>
        <w:rPr>
          <w:rFonts w:hint="eastAsia" w:ascii="宋体" w:hAnsi="宋体" w:eastAsia="宋体" w:cs="宋体"/>
        </w:rPr>
        <w:t xml:space="preserve"> 记录管理：原始记录（纸质或电子）应实时、准确、完整，包含足够的信息以重现检测过程（如环境参数、设备编号、仪器参数、计算公式等）；档案保存期限不应低于</w:t>
      </w:r>
      <w:r>
        <w:rPr>
          <w:rFonts w:hint="eastAsia" w:ascii="宋体" w:hAnsi="宋体" w:eastAsia="宋体" w:cs="宋体"/>
          <w:kern w:val="0"/>
          <w:sz w:val="21"/>
          <w:szCs w:val="20"/>
          <w:lang w:val="en-US" w:eastAsia="zh-CN" w:bidi="ar-SA"/>
        </w:rPr>
        <w:t>6</w:t>
      </w:r>
      <w:r>
        <w:rPr>
          <w:rFonts w:hint="eastAsia" w:ascii="宋体" w:hAnsi="宋体" w:eastAsia="宋体" w:cs="宋体"/>
        </w:rPr>
        <w:t>年。</w:t>
      </w:r>
    </w:p>
    <w:p w14:paraId="5E7D46B4">
      <w:pPr>
        <w:pStyle w:val="30"/>
        <w:ind w:left="0" w:leftChars="0" w:firstLine="0" w:firstLineChars="0"/>
        <w:rPr>
          <w:rFonts w:hint="eastAsia" w:ascii="宋体" w:hAnsi="宋体" w:eastAsia="宋体" w:cs="宋体"/>
        </w:rPr>
      </w:pPr>
    </w:p>
    <w:p w14:paraId="58826055">
      <w:pPr>
        <w:pStyle w:val="30"/>
        <w:ind w:left="0" w:leftChars="0" w:firstLine="0" w:firstLineChars="0"/>
        <w:rPr>
          <w:rFonts w:hint="eastAsia" w:ascii="黑体" w:hAnsi="黑体" w:eastAsia="黑体" w:cs="黑体"/>
        </w:rPr>
      </w:pPr>
      <w:r>
        <w:rPr>
          <w:rFonts w:hint="eastAsia" w:ascii="黑体" w:hAnsi="黑体" w:eastAsia="黑体" w:cs="黑体"/>
        </w:rPr>
        <w:t>4.6 实验室环境</w:t>
      </w:r>
    </w:p>
    <w:p w14:paraId="3716D866">
      <w:pPr>
        <w:pStyle w:val="30"/>
        <w:ind w:left="0" w:leftChars="0" w:firstLine="0" w:firstLineChars="0"/>
        <w:rPr>
          <w:rFonts w:hint="eastAsia" w:ascii="黑体" w:hAnsi="黑体" w:eastAsia="黑体" w:cs="黑体"/>
        </w:rPr>
      </w:pPr>
    </w:p>
    <w:p w14:paraId="2A8F63D6">
      <w:pPr>
        <w:pStyle w:val="30"/>
        <w:ind w:left="0" w:leftChars="0" w:firstLine="0" w:firstLineChars="0"/>
        <w:rPr>
          <w:rFonts w:hint="eastAsia" w:ascii="宋体" w:hAnsi="宋体" w:eastAsia="宋体" w:cs="宋体"/>
        </w:rPr>
      </w:pPr>
      <w:r>
        <w:rPr>
          <w:rFonts w:hint="eastAsia" w:ascii="黑体" w:hAnsi="黑体" w:eastAsia="黑体" w:cs="黑体"/>
        </w:rPr>
        <w:t>4.6.1</w:t>
      </w:r>
      <w:r>
        <w:rPr>
          <w:rFonts w:hint="eastAsia" w:ascii="宋体" w:hAnsi="宋体" w:eastAsia="宋体" w:cs="宋体"/>
        </w:rPr>
        <w:t xml:space="preserve"> 环境监控：检测区域与办公区域应有效隔离；前处理室（产生污染）与仪器室（精密分析）应分区设置；对温湿度有要求的区域应每日进行监控并记录，温湿度监控频次≥</w:t>
      </w:r>
      <w:r>
        <w:rPr>
          <w:rFonts w:hint="eastAsia" w:ascii="宋体" w:hAnsi="宋体" w:eastAsia="宋体" w:cs="宋体"/>
          <w:kern w:val="0"/>
          <w:sz w:val="21"/>
          <w:szCs w:val="20"/>
          <w:lang w:val="en-US" w:eastAsia="zh-CN" w:bidi="ar-SA"/>
        </w:rPr>
        <w:t>2</w:t>
      </w:r>
      <w:r>
        <w:rPr>
          <w:rFonts w:hint="eastAsia" w:ascii="宋体" w:hAnsi="宋体" w:eastAsia="宋体" w:cs="宋体"/>
        </w:rPr>
        <w:t>次/日，记录保存≥</w:t>
      </w:r>
      <w:r>
        <w:rPr>
          <w:rFonts w:hint="eastAsia" w:ascii="宋体" w:hAnsi="宋体" w:eastAsia="宋体" w:cs="宋体"/>
          <w:kern w:val="0"/>
          <w:sz w:val="21"/>
          <w:szCs w:val="20"/>
          <w:lang w:val="en-US" w:eastAsia="zh-CN" w:bidi="ar-SA"/>
        </w:rPr>
        <w:t>3</w:t>
      </w:r>
      <w:r>
        <w:rPr>
          <w:rFonts w:hint="eastAsia" w:ascii="宋体" w:hAnsi="宋体" w:eastAsia="宋体" w:cs="宋体"/>
        </w:rPr>
        <w:t>年；环境条件应满足</w:t>
      </w:r>
      <w:r>
        <w:rPr>
          <w:rFonts w:hint="eastAsia" w:ascii="宋体" w:hAnsi="宋体" w:eastAsia="宋体" w:cs="宋体"/>
          <w:kern w:val="0"/>
          <w:sz w:val="21"/>
          <w:szCs w:val="20"/>
          <w:lang w:val="en-US" w:eastAsia="zh-CN" w:bidi="ar-SA"/>
        </w:rPr>
        <w:t>GB/T 27025-2024</w:t>
      </w:r>
      <w:r>
        <w:rPr>
          <w:rFonts w:hint="eastAsia" w:ascii="宋体" w:hAnsi="宋体" w:eastAsia="宋体" w:cs="宋体"/>
        </w:rPr>
        <w:t>中</w:t>
      </w:r>
      <w:r>
        <w:rPr>
          <w:rFonts w:hint="eastAsia" w:ascii="宋体" w:hAnsi="宋体" w:eastAsia="宋体" w:cs="宋体"/>
          <w:kern w:val="0"/>
          <w:sz w:val="21"/>
          <w:szCs w:val="20"/>
          <w:lang w:val="en-US" w:eastAsia="zh-CN" w:bidi="ar-SA"/>
        </w:rPr>
        <w:t>7.2.2</w:t>
      </w:r>
      <w:r>
        <w:rPr>
          <w:rFonts w:hint="eastAsia" w:ascii="宋体" w:hAnsi="宋体" w:eastAsia="宋体" w:cs="宋体"/>
        </w:rPr>
        <w:t>要求。</w:t>
      </w:r>
    </w:p>
    <w:p w14:paraId="212C97DC">
      <w:pPr>
        <w:pStyle w:val="30"/>
        <w:ind w:left="0" w:leftChars="0" w:firstLine="0" w:firstLineChars="0"/>
        <w:rPr>
          <w:rFonts w:hint="eastAsia" w:ascii="宋体" w:hAnsi="宋体" w:eastAsia="宋体" w:cs="宋体"/>
        </w:rPr>
      </w:pPr>
      <w:r>
        <w:rPr>
          <w:rFonts w:hint="eastAsia" w:ascii="黑体" w:hAnsi="黑体" w:eastAsia="黑体" w:cs="黑体"/>
        </w:rPr>
        <w:t xml:space="preserve">4.6.2 </w:t>
      </w:r>
      <w:r>
        <w:rPr>
          <w:rFonts w:hint="eastAsia" w:ascii="宋体" w:hAnsi="宋体" w:eastAsia="宋体" w:cs="宋体"/>
        </w:rPr>
        <w:t>安全设施：应配备紧急喷淋洗眼装置、通风橱、消防器材、气体泄漏报警装置等安全设施，并定期检查有效性；实验区域应张贴明显的安全警示标识。</w:t>
      </w:r>
    </w:p>
    <w:p w14:paraId="5184352E">
      <w:pPr>
        <w:pStyle w:val="30"/>
        <w:ind w:left="0" w:leftChars="0" w:firstLine="0" w:firstLineChars="0"/>
        <w:rPr>
          <w:rFonts w:hint="eastAsia" w:ascii="宋体" w:hAnsi="宋体" w:eastAsia="宋体" w:cs="宋体"/>
        </w:rPr>
      </w:pPr>
      <w:r>
        <w:rPr>
          <w:rFonts w:hint="eastAsia" w:ascii="黑体" w:hAnsi="黑体" w:eastAsia="黑体" w:cs="黑体"/>
        </w:rPr>
        <w:t>4.6.3</w:t>
      </w:r>
      <w:r>
        <w:rPr>
          <w:rFonts w:hint="eastAsia" w:ascii="宋体" w:hAnsi="宋体" w:eastAsia="宋体" w:cs="宋体"/>
        </w:rPr>
        <w:t xml:space="preserve"> 污染控制：实验室“三废”（废气、废水、固废）的处置应符合《中华人民共和国环境保护法》要求，废弃物应分类收集并委托有资质单位处理，每年定期进行三废排放检测并保留报告。</w:t>
      </w:r>
    </w:p>
    <w:p w14:paraId="61F3400B">
      <w:pPr>
        <w:pStyle w:val="30"/>
        <w:ind w:left="0" w:leftChars="0" w:firstLine="0" w:firstLineChars="0"/>
        <w:rPr>
          <w:rFonts w:hint="default" w:ascii="宋体" w:hAnsi="宋体" w:eastAsia="宋体" w:cs="宋体"/>
          <w:lang w:val="en-US" w:eastAsia="zh-CN"/>
        </w:rPr>
      </w:pPr>
      <w:r>
        <w:rPr>
          <w:rFonts w:hint="eastAsia" w:ascii="黑体" w:hAnsi="黑体" w:eastAsia="黑体" w:cs="黑体"/>
          <w:lang w:val="en-US" w:eastAsia="zh-CN"/>
        </w:rPr>
        <w:t>4.6.4</w:t>
      </w:r>
      <w:r>
        <w:rPr>
          <w:rFonts w:hint="eastAsia" w:hAnsi="宋体" w:cs="宋体"/>
          <w:lang w:val="en-US" w:eastAsia="zh-CN"/>
        </w:rPr>
        <w:t xml:space="preserve"> 交叉污染</w:t>
      </w:r>
      <w:r>
        <w:rPr>
          <w:rFonts w:hint="eastAsia" w:ascii="宋体" w:hAnsi="宋体" w:eastAsia="宋体" w:cs="宋体"/>
          <w:lang w:val="en-US" w:eastAsia="zh-CN"/>
        </w:rPr>
        <w:t>:</w:t>
      </w:r>
      <w:r>
        <w:rPr>
          <w:rFonts w:hint="eastAsia" w:hAnsi="宋体" w:cs="宋体"/>
          <w:lang w:val="en-US" w:eastAsia="zh-CN"/>
        </w:rPr>
        <w:t>实验室应建立并实施有效的交叉污染控制措施，应有物理隔离或有效的流程控制。</w:t>
      </w:r>
    </w:p>
    <w:p w14:paraId="2E196E1A">
      <w:pPr>
        <w:pStyle w:val="30"/>
        <w:ind w:left="0" w:leftChars="0" w:firstLine="0" w:firstLineChars="0"/>
        <w:rPr>
          <w:rFonts w:hint="eastAsia" w:ascii="宋体" w:hAnsi="宋体" w:eastAsia="宋体" w:cs="宋体"/>
        </w:rPr>
      </w:pPr>
    </w:p>
    <w:p w14:paraId="619F5F89">
      <w:pPr>
        <w:pStyle w:val="30"/>
        <w:ind w:left="0" w:leftChars="0" w:firstLine="0" w:firstLineChars="0"/>
        <w:rPr>
          <w:rFonts w:hint="eastAsia" w:ascii="黑体" w:hAnsi="黑体" w:eastAsia="黑体" w:cs="黑体"/>
        </w:rPr>
      </w:pPr>
      <w:r>
        <w:rPr>
          <w:rFonts w:hint="eastAsia" w:ascii="黑体" w:hAnsi="黑体" w:eastAsia="黑体" w:cs="黑体"/>
        </w:rPr>
        <w:t>4.7 检测过程与结果控制</w:t>
      </w:r>
    </w:p>
    <w:p w14:paraId="552479CC">
      <w:pPr>
        <w:pStyle w:val="30"/>
        <w:ind w:left="0" w:leftChars="0" w:firstLine="0" w:firstLineChars="0"/>
        <w:rPr>
          <w:rFonts w:hint="eastAsia" w:ascii="黑体" w:hAnsi="黑体" w:eastAsia="黑体" w:cs="黑体"/>
        </w:rPr>
      </w:pPr>
    </w:p>
    <w:p w14:paraId="2A9EC76F">
      <w:pPr>
        <w:pStyle w:val="30"/>
        <w:ind w:left="0" w:leftChars="0" w:firstLine="0" w:firstLineChars="0"/>
        <w:rPr>
          <w:rFonts w:hint="eastAsia" w:ascii="宋体" w:hAnsi="宋体" w:eastAsia="宋体" w:cs="宋体"/>
        </w:rPr>
      </w:pPr>
      <w:r>
        <w:rPr>
          <w:rFonts w:hint="eastAsia" w:ascii="黑体" w:hAnsi="黑体" w:eastAsia="黑体" w:cs="黑体"/>
        </w:rPr>
        <w:t>4.7.1</w:t>
      </w:r>
      <w:r>
        <w:rPr>
          <w:rFonts w:hint="eastAsia" w:ascii="宋体" w:hAnsi="宋体" w:eastAsia="宋体" w:cs="宋体"/>
        </w:rPr>
        <w:t xml:space="preserve"> 过程规范：检测全过程应严格遵循作业指导书要求，确保人、机、料、法、环各环节处于受控状态。</w:t>
      </w:r>
    </w:p>
    <w:p w14:paraId="1C615B29">
      <w:pPr>
        <w:pStyle w:val="30"/>
        <w:ind w:left="0" w:leftChars="0" w:firstLine="0" w:firstLineChars="0"/>
        <w:rPr>
          <w:rFonts w:hint="eastAsia" w:ascii="宋体" w:hAnsi="宋体" w:eastAsia="宋体" w:cs="宋体"/>
        </w:rPr>
      </w:pPr>
      <w:r>
        <w:rPr>
          <w:rFonts w:hint="eastAsia" w:ascii="黑体" w:hAnsi="黑体" w:eastAsia="黑体" w:cs="黑体"/>
        </w:rPr>
        <w:t>4.7.2</w:t>
      </w:r>
      <w:r>
        <w:rPr>
          <w:rFonts w:hint="eastAsia" w:ascii="宋体" w:hAnsi="宋体" w:eastAsia="宋体" w:cs="宋体"/>
        </w:rPr>
        <w:t xml:space="preserve"> 质量控制：</w:t>
      </w:r>
    </w:p>
    <w:p w14:paraId="67A1CF63">
      <w:pPr>
        <w:pStyle w:val="30"/>
        <w:ind w:left="0" w:leftChars="0" w:firstLine="0" w:firstLineChars="0"/>
        <w:rPr>
          <w:rFonts w:hint="eastAsia" w:ascii="宋体" w:hAnsi="宋体" w:eastAsia="宋体" w:cs="宋体"/>
        </w:rPr>
      </w:pPr>
      <w:r>
        <w:rPr>
          <w:rFonts w:hint="eastAsia" w:hAnsi="宋体" w:cs="宋体"/>
          <w:lang w:eastAsia="zh-CN"/>
        </w:rPr>
        <w:t>a）</w:t>
      </w:r>
      <w:r>
        <w:rPr>
          <w:rFonts w:hint="eastAsia" w:ascii="宋体" w:hAnsi="宋体" w:eastAsia="宋体" w:cs="宋体"/>
        </w:rPr>
        <w:t xml:space="preserve"> 制定年度质量控制计划，覆盖</w:t>
      </w:r>
      <w:r>
        <w:rPr>
          <w:rFonts w:hint="eastAsia" w:hAnsi="宋体" w:cs="宋体"/>
          <w:lang w:val="en-US" w:eastAsia="zh-CN"/>
        </w:rPr>
        <w:t>电子电器产品</w:t>
      </w:r>
      <w:r>
        <w:rPr>
          <w:rFonts w:hint="eastAsia" w:ascii="宋体" w:hAnsi="宋体" w:eastAsia="宋体" w:cs="宋体"/>
        </w:rPr>
        <w:t>检测项目；</w:t>
      </w:r>
    </w:p>
    <w:p w14:paraId="60DCAAD1">
      <w:pPr>
        <w:pStyle w:val="30"/>
        <w:ind w:left="0" w:leftChars="0" w:firstLine="0" w:firstLineChars="0"/>
        <w:rPr>
          <w:rFonts w:hint="eastAsia" w:ascii="宋体" w:hAnsi="宋体" w:eastAsia="宋体" w:cs="宋体"/>
        </w:rPr>
      </w:pPr>
      <w:r>
        <w:rPr>
          <w:rFonts w:hint="eastAsia" w:hAnsi="宋体" w:cs="宋体"/>
          <w:lang w:eastAsia="zh-CN"/>
        </w:rPr>
        <w:t>b）</w:t>
      </w:r>
      <w:r>
        <w:rPr>
          <w:rFonts w:hint="eastAsia" w:ascii="宋体" w:hAnsi="宋体" w:eastAsia="宋体" w:cs="宋体"/>
        </w:rPr>
        <w:t xml:space="preserve"> 定期开展内部质控，包括空白试验、平行样测试、加标回收率试验、标准物质核查等；</w:t>
      </w:r>
    </w:p>
    <w:p w14:paraId="04BD33EF">
      <w:pPr>
        <w:pStyle w:val="30"/>
        <w:ind w:left="0" w:leftChars="0" w:firstLine="0" w:firstLineChars="0"/>
        <w:rPr>
          <w:rFonts w:hint="eastAsia" w:ascii="宋体" w:hAnsi="宋体" w:eastAsia="宋体" w:cs="宋体"/>
        </w:rPr>
      </w:pPr>
      <w:r>
        <w:rPr>
          <w:rFonts w:hint="eastAsia" w:hAnsi="宋体" w:cs="宋体"/>
          <w:lang w:eastAsia="zh-CN"/>
        </w:rPr>
        <w:t>c）</w:t>
      </w:r>
      <w:r>
        <w:rPr>
          <w:rFonts w:hint="eastAsia" w:ascii="宋体" w:hAnsi="宋体" w:eastAsia="宋体" w:cs="宋体"/>
        </w:rPr>
        <w:t xml:space="preserve"> 每年至少参加</w:t>
      </w:r>
      <w:r>
        <w:rPr>
          <w:rFonts w:hint="eastAsia" w:ascii="Arial" w:hAnsi="Arial" w:eastAsia="宋体" w:cs="Arial"/>
          <w:kern w:val="0"/>
          <w:sz w:val="21"/>
          <w:szCs w:val="20"/>
          <w:lang w:val="en-US" w:eastAsia="zh-CN" w:bidi="ar-SA"/>
        </w:rPr>
        <w:t>1</w:t>
      </w:r>
      <w:r>
        <w:rPr>
          <w:rFonts w:hint="eastAsia" w:ascii="宋体" w:hAnsi="宋体" w:eastAsia="宋体" w:cs="宋体"/>
        </w:rPr>
        <w:t>次国家级、行业级能力验证或测量审核，结果应为“满意”；无能力验证资源的项目，应开展实验室间比对。</w:t>
      </w:r>
    </w:p>
    <w:p w14:paraId="0AA10A46">
      <w:pPr>
        <w:pStyle w:val="30"/>
        <w:ind w:left="0" w:leftChars="0" w:firstLine="0" w:firstLineChars="0"/>
        <w:rPr>
          <w:rFonts w:hint="eastAsia" w:ascii="宋体" w:hAnsi="宋体" w:eastAsia="宋体" w:cs="宋体"/>
        </w:rPr>
      </w:pPr>
      <w:r>
        <w:rPr>
          <w:rFonts w:hint="eastAsia" w:ascii="黑体" w:hAnsi="黑体" w:eastAsia="黑体" w:cs="黑体"/>
        </w:rPr>
        <w:t xml:space="preserve">4.7.3 </w:t>
      </w:r>
      <w:r>
        <w:rPr>
          <w:rFonts w:hint="eastAsia" w:ascii="宋体" w:hAnsi="宋体" w:eastAsia="宋体" w:cs="宋体"/>
        </w:rPr>
        <w:t>报告与数字认证</w:t>
      </w:r>
    </w:p>
    <w:p w14:paraId="6FB2AA76">
      <w:pPr>
        <w:pStyle w:val="30"/>
        <w:ind w:left="0" w:leftChars="0" w:firstLine="0" w:firstLineChars="0"/>
        <w:rPr>
          <w:rFonts w:hint="eastAsia" w:ascii="宋体" w:hAnsi="宋体" w:eastAsia="宋体" w:cs="宋体"/>
        </w:rPr>
      </w:pPr>
      <w:r>
        <w:rPr>
          <w:rFonts w:hint="eastAsia" w:ascii="宋体" w:hAnsi="宋体" w:eastAsia="宋体" w:cs="宋体"/>
        </w:rPr>
        <w:t>a) 实验室出具的符合本规范要求、并使用了“高质量实验室”相关标识的检测报告，必须包含由评价机构数据平台生成的唯一防伪验证码（或数字指纹）。</w:t>
      </w:r>
    </w:p>
    <w:p w14:paraId="17B6812B">
      <w:pPr>
        <w:pStyle w:val="30"/>
        <w:ind w:left="0" w:leftChars="0" w:firstLine="0" w:firstLineChars="0"/>
        <w:rPr>
          <w:rFonts w:hint="eastAsia" w:ascii="宋体" w:hAnsi="宋体" w:eastAsia="宋体" w:cs="宋体"/>
        </w:rPr>
      </w:pPr>
      <w:r>
        <w:rPr>
          <w:rFonts w:hint="eastAsia" w:ascii="宋体" w:hAnsi="宋体" w:eastAsia="宋体" w:cs="宋体"/>
        </w:rPr>
        <w:t>b) 实验室应建立API接口或通过平台客户端，在报告签发前向平台上传必要的溯源元数据（至少包含：报告编号、签发日期、样品名称、检测结论摘要）以获取验证码。</w:t>
      </w:r>
    </w:p>
    <w:p w14:paraId="1C648D54">
      <w:pPr>
        <w:pStyle w:val="30"/>
        <w:ind w:left="0" w:leftChars="0" w:firstLine="0" w:firstLineChars="0"/>
        <w:rPr>
          <w:rFonts w:hint="eastAsia" w:ascii="宋体" w:hAnsi="宋体" w:eastAsia="宋体" w:cs="宋体"/>
        </w:rPr>
      </w:pPr>
      <w:r>
        <w:rPr>
          <w:rFonts w:hint="eastAsia" w:ascii="宋体" w:hAnsi="宋体" w:eastAsia="宋体" w:cs="宋体"/>
        </w:rPr>
        <w:t>c) 未包含有效验证码的检测报告，不得使用“高质量实验室”称号、Logo及相关评价等级标识</w:t>
      </w:r>
    </w:p>
    <w:p w14:paraId="1C7AF4F8">
      <w:pPr>
        <w:pStyle w:val="30"/>
        <w:ind w:left="0" w:leftChars="0" w:firstLine="0" w:firstLineChars="0"/>
        <w:rPr>
          <w:rFonts w:hint="eastAsia" w:ascii="宋体" w:hAnsi="宋体" w:eastAsia="宋体" w:cs="宋体"/>
        </w:rPr>
      </w:pPr>
    </w:p>
    <w:p w14:paraId="5F08C19D">
      <w:pPr>
        <w:pStyle w:val="30"/>
        <w:ind w:left="0" w:leftChars="0" w:firstLine="0" w:firstLineChars="0"/>
        <w:rPr>
          <w:rFonts w:hint="eastAsia" w:ascii="黑体" w:hAnsi="黑体" w:eastAsia="黑体" w:cs="黑体"/>
        </w:rPr>
      </w:pPr>
      <w:r>
        <w:rPr>
          <w:rFonts w:hint="eastAsia" w:ascii="黑体" w:hAnsi="黑体" w:eastAsia="黑体" w:cs="黑体"/>
        </w:rPr>
        <w:t>4.8 风险控制与体系运行</w:t>
      </w:r>
    </w:p>
    <w:p w14:paraId="0F7C1687">
      <w:pPr>
        <w:pStyle w:val="30"/>
        <w:ind w:left="0" w:leftChars="0" w:firstLine="0" w:firstLineChars="0"/>
        <w:rPr>
          <w:rFonts w:hint="eastAsia" w:ascii="黑体" w:hAnsi="黑体" w:eastAsia="黑体" w:cs="黑体"/>
        </w:rPr>
      </w:pPr>
    </w:p>
    <w:p w14:paraId="25D4D90B">
      <w:pPr>
        <w:pStyle w:val="30"/>
        <w:ind w:left="0" w:leftChars="0" w:firstLine="0" w:firstLineChars="0"/>
        <w:rPr>
          <w:rFonts w:hint="eastAsia" w:ascii="宋体" w:hAnsi="宋体" w:eastAsia="宋体" w:cs="宋体"/>
        </w:rPr>
      </w:pPr>
      <w:r>
        <w:rPr>
          <w:rFonts w:hint="eastAsia" w:ascii="黑体" w:hAnsi="黑体" w:eastAsia="黑体" w:cs="黑体"/>
        </w:rPr>
        <w:t>4.8.1</w:t>
      </w:r>
      <w:r>
        <w:rPr>
          <w:rFonts w:hint="eastAsia" w:ascii="宋体" w:hAnsi="宋体" w:eastAsia="宋体" w:cs="宋体"/>
        </w:rPr>
        <w:t xml:space="preserve"> 风险管理：实验室应识别公正性、化学安全、信息安全及检测质量风险，建立风险评估表并制定相应的管控措施。</w:t>
      </w:r>
    </w:p>
    <w:p w14:paraId="3AE36B65">
      <w:pPr>
        <w:pStyle w:val="30"/>
        <w:ind w:left="0" w:leftChars="0" w:firstLine="0" w:firstLineChars="0"/>
        <w:rPr>
          <w:rFonts w:hint="eastAsia" w:ascii="宋体" w:hAnsi="宋体" w:eastAsia="宋体" w:cs="宋体"/>
        </w:rPr>
      </w:pPr>
      <w:r>
        <w:rPr>
          <w:rFonts w:hint="eastAsia" w:ascii="黑体" w:hAnsi="黑体" w:eastAsia="黑体" w:cs="黑体"/>
        </w:rPr>
        <w:t>4.8.2</w:t>
      </w:r>
      <w:r>
        <w:rPr>
          <w:rFonts w:hint="eastAsia" w:ascii="宋体" w:hAnsi="宋体" w:eastAsia="宋体" w:cs="宋体"/>
        </w:rPr>
        <w:t xml:space="preserve"> 体系运行：</w:t>
      </w:r>
    </w:p>
    <w:p w14:paraId="78D73D2C">
      <w:pPr>
        <w:pStyle w:val="30"/>
        <w:ind w:left="0" w:leftChars="0" w:firstLine="0" w:firstLineChars="0"/>
        <w:rPr>
          <w:rFonts w:hint="eastAsia" w:ascii="宋体" w:hAnsi="宋体" w:eastAsia="宋体" w:cs="宋体"/>
        </w:rPr>
      </w:pPr>
      <w:r>
        <w:rPr>
          <w:rFonts w:hint="eastAsia" w:hAnsi="宋体" w:cs="宋体"/>
          <w:lang w:eastAsia="zh-CN"/>
        </w:rPr>
        <w:t>a）</w:t>
      </w:r>
      <w:r>
        <w:rPr>
          <w:rFonts w:hint="eastAsia" w:ascii="宋体" w:hAnsi="宋体" w:eastAsia="宋体" w:cs="宋体"/>
        </w:rPr>
        <w:t xml:space="preserve"> 每年至少开展</w:t>
      </w:r>
      <w:r>
        <w:rPr>
          <w:rFonts w:hint="eastAsia" w:ascii="Arial" w:hAnsi="Arial" w:eastAsia="宋体" w:cs="Arial"/>
          <w:kern w:val="0"/>
          <w:sz w:val="21"/>
          <w:szCs w:val="20"/>
          <w:lang w:val="en-US" w:eastAsia="zh-CN" w:bidi="ar-SA"/>
        </w:rPr>
        <w:t>1</w:t>
      </w:r>
      <w:r>
        <w:rPr>
          <w:rFonts w:hint="eastAsia" w:ascii="宋体" w:hAnsi="宋体" w:eastAsia="宋体" w:cs="宋体"/>
        </w:rPr>
        <w:t>次覆盖全部要素和部门的内部审核，对发现的不符合项及时整改并验证闭环；</w:t>
      </w:r>
    </w:p>
    <w:p w14:paraId="59442AD4">
      <w:pPr>
        <w:pStyle w:val="30"/>
        <w:ind w:left="0" w:leftChars="0" w:firstLine="0" w:firstLineChars="0"/>
        <w:rPr>
          <w:rFonts w:hint="eastAsia" w:ascii="宋体" w:hAnsi="宋体" w:eastAsia="宋体" w:cs="宋体"/>
        </w:rPr>
      </w:pPr>
      <w:r>
        <w:rPr>
          <w:rFonts w:hint="eastAsia" w:hAnsi="宋体" w:cs="宋体"/>
          <w:lang w:eastAsia="zh-CN"/>
        </w:rPr>
        <w:t>b）</w:t>
      </w:r>
      <w:r>
        <w:rPr>
          <w:rFonts w:hint="eastAsia" w:ascii="宋体" w:hAnsi="宋体" w:eastAsia="宋体" w:cs="宋体"/>
        </w:rPr>
        <w:t xml:space="preserve"> 每12个月开展</w:t>
      </w:r>
      <w:r>
        <w:rPr>
          <w:rFonts w:hint="eastAsia" w:ascii="Arial" w:hAnsi="Arial" w:eastAsia="宋体" w:cs="Arial"/>
          <w:kern w:val="0"/>
          <w:sz w:val="21"/>
          <w:szCs w:val="20"/>
          <w:lang w:val="en-US" w:eastAsia="zh-CN" w:bidi="ar-SA"/>
        </w:rPr>
        <w:t>1</w:t>
      </w:r>
      <w:r>
        <w:rPr>
          <w:rFonts w:hint="eastAsia" w:ascii="宋体" w:hAnsi="宋体" w:eastAsia="宋体" w:cs="宋体"/>
        </w:rPr>
        <w:t>次管理评审，评价管理体系的适宜性、充分性和有效性，并输出改进计划。</w:t>
      </w:r>
    </w:p>
    <w:p w14:paraId="5209DC36">
      <w:pPr>
        <w:pStyle w:val="30"/>
        <w:ind w:left="0" w:leftChars="0" w:firstLine="0" w:firstLineChars="0"/>
        <w:rPr>
          <w:rFonts w:hint="eastAsia" w:ascii="宋体" w:hAnsi="宋体" w:eastAsia="宋体" w:cs="宋体"/>
        </w:rPr>
      </w:pPr>
      <w:r>
        <w:rPr>
          <w:rFonts w:hint="eastAsia" w:ascii="黑体" w:hAnsi="黑体" w:eastAsia="黑体" w:cs="黑体"/>
        </w:rPr>
        <w:t>4.8.3</w:t>
      </w:r>
      <w:r>
        <w:rPr>
          <w:rFonts w:hint="eastAsia" w:ascii="宋体" w:hAnsi="宋体" w:eastAsia="宋体" w:cs="宋体"/>
        </w:rPr>
        <w:t xml:space="preserve"> </w:t>
      </w:r>
      <w:r>
        <w:rPr>
          <w:rFonts w:hint="eastAsia" w:ascii="宋体" w:hAnsi="宋体" w:eastAsia="宋体" w:cs="宋体"/>
          <w:kern w:val="2"/>
          <w:sz w:val="21"/>
          <w:szCs w:val="28"/>
          <w:lang w:val="en-US" w:eastAsia="zh-CN" w:bidi="ar-SA"/>
        </w:rPr>
        <w:t>HSPM</w:t>
      </w:r>
      <w:r>
        <w:rPr>
          <w:rFonts w:hint="eastAsia" w:ascii="宋体" w:hAnsi="宋体" w:eastAsia="宋体" w:cs="宋体"/>
        </w:rPr>
        <w:t>支持：建立与有害物质过程管理</w:t>
      </w:r>
      <w:r>
        <w:rPr>
          <w:rFonts w:hint="eastAsia" w:ascii="宋体" w:hAnsi="宋体" w:eastAsia="宋体" w:cs="宋体"/>
          <w:kern w:val="2"/>
          <w:sz w:val="21"/>
          <w:szCs w:val="28"/>
          <w:lang w:val="en-US" w:eastAsia="zh-CN" w:bidi="ar-SA"/>
        </w:rPr>
        <w:t>（HSPM）</w:t>
      </w:r>
      <w:r>
        <w:rPr>
          <w:rFonts w:hint="eastAsia" w:ascii="宋体" w:hAnsi="宋体" w:eastAsia="宋体" w:cs="宋体"/>
        </w:rPr>
        <w:t>或</w:t>
      </w:r>
      <w:r>
        <w:rPr>
          <w:rFonts w:hint="eastAsia" w:ascii="宋体" w:hAnsi="宋体" w:eastAsia="宋体" w:cs="宋体"/>
          <w:kern w:val="2"/>
          <w:sz w:val="21"/>
          <w:szCs w:val="28"/>
          <w:lang w:val="en-US" w:eastAsia="zh-CN" w:bidi="ar-SA"/>
        </w:rPr>
        <w:t>GB/T 31274-2024</w:t>
      </w:r>
      <w:r>
        <w:rPr>
          <w:rFonts w:hint="eastAsia" w:ascii="宋体" w:hAnsi="宋体" w:eastAsia="宋体" w:cs="宋体"/>
        </w:rPr>
        <w:t>相关的程序文件，明确如何在检测环节支持客户的绿色供应链管理。</w:t>
      </w:r>
    </w:p>
    <w:p w14:paraId="5E32A0F4">
      <w:pPr>
        <w:pStyle w:val="30"/>
        <w:ind w:left="0" w:leftChars="0" w:firstLine="0" w:firstLineChars="0"/>
        <w:rPr>
          <w:rFonts w:hint="eastAsia" w:ascii="宋体" w:hAnsi="宋体" w:eastAsia="宋体" w:cs="宋体"/>
        </w:rPr>
      </w:pPr>
      <w:r>
        <w:rPr>
          <w:rFonts w:hint="eastAsia" w:ascii="黑体" w:hAnsi="黑体" w:eastAsia="黑体" w:cs="黑体"/>
        </w:rPr>
        <w:t>4.8.4</w:t>
      </w:r>
      <w:r>
        <w:rPr>
          <w:rFonts w:hint="eastAsia" w:ascii="宋体" w:hAnsi="宋体" w:eastAsia="宋体" w:cs="宋体"/>
        </w:rPr>
        <w:t xml:space="preserve"> 符合性声明支持：具备支持客户出具</w:t>
      </w:r>
      <w:r>
        <w:rPr>
          <w:rFonts w:hint="eastAsia" w:ascii="宋体" w:hAnsi="宋体" w:eastAsia="宋体" w:cs="宋体"/>
          <w:kern w:val="2"/>
          <w:sz w:val="21"/>
          <w:szCs w:val="28"/>
          <w:lang w:val="en-US" w:eastAsia="zh-CN" w:bidi="ar-SA"/>
        </w:rPr>
        <w:t>IECQ QC 080000</w:t>
      </w:r>
      <w:r>
        <w:rPr>
          <w:rFonts w:hint="eastAsia" w:ascii="宋体" w:hAnsi="宋体" w:eastAsia="宋体" w:cs="宋体"/>
          <w:b w:val="0"/>
          <w:bCs w:val="0"/>
          <w:kern w:val="2"/>
          <w:sz w:val="21"/>
          <w:szCs w:val="28"/>
          <w:lang w:val="en-US" w:eastAsia="zh-CN" w:bidi="ar-SA"/>
        </w:rPr>
        <w:t>或</w:t>
      </w:r>
      <w:r>
        <w:rPr>
          <w:rFonts w:hint="eastAsia" w:ascii="宋体" w:hAnsi="宋体" w:eastAsia="宋体" w:cs="宋体"/>
          <w:kern w:val="2"/>
          <w:sz w:val="21"/>
          <w:szCs w:val="28"/>
          <w:lang w:val="en-US" w:eastAsia="zh-CN" w:bidi="ar-SA"/>
        </w:rPr>
        <w:t>GB/T 31274-2024</w:t>
      </w:r>
      <w:r>
        <w:rPr>
          <w:rFonts w:hint="eastAsia" w:ascii="宋体" w:hAnsi="宋体" w:eastAsia="宋体" w:cs="宋体"/>
        </w:rPr>
        <w:t>符合性声明（</w:t>
      </w:r>
      <w:r>
        <w:rPr>
          <w:rFonts w:hint="eastAsia" w:ascii="宋体" w:hAnsi="宋体" w:eastAsia="宋体" w:cs="宋体"/>
          <w:kern w:val="2"/>
          <w:sz w:val="21"/>
          <w:szCs w:val="28"/>
          <w:lang w:val="en-US" w:eastAsia="zh-CN" w:bidi="ar-SA"/>
        </w:rPr>
        <w:t>DoC）</w:t>
      </w:r>
      <w:r>
        <w:rPr>
          <w:rFonts w:hint="eastAsia" w:ascii="宋体" w:hAnsi="宋体" w:eastAsia="宋体" w:cs="宋体"/>
        </w:rPr>
        <w:t>的能力，检验检测数据的能力。</w:t>
      </w:r>
    </w:p>
    <w:p w14:paraId="63A1736A">
      <w:pPr>
        <w:pStyle w:val="30"/>
        <w:ind w:left="0" w:leftChars="0" w:firstLine="0" w:firstLineChars="0"/>
        <w:rPr>
          <w:rFonts w:hint="eastAsia" w:ascii="宋体" w:hAnsi="宋体" w:eastAsia="宋体" w:cs="宋体"/>
        </w:rPr>
      </w:pPr>
    </w:p>
    <w:p w14:paraId="25D944E0">
      <w:pPr>
        <w:pStyle w:val="30"/>
        <w:ind w:left="0" w:leftChars="0" w:firstLine="0" w:firstLineChars="0"/>
        <w:rPr>
          <w:rFonts w:hint="eastAsia" w:ascii="黑体" w:hAnsi="黑体" w:eastAsia="黑体" w:cs="黑体"/>
        </w:rPr>
      </w:pPr>
      <w:r>
        <w:rPr>
          <w:rFonts w:hint="eastAsia" w:ascii="黑体" w:hAnsi="黑体" w:eastAsia="黑体" w:cs="黑体"/>
        </w:rPr>
        <w:t>4.9 技术创新能力</w:t>
      </w:r>
    </w:p>
    <w:p w14:paraId="5553CDE0">
      <w:pPr>
        <w:pStyle w:val="30"/>
        <w:ind w:left="0" w:leftChars="0" w:firstLine="0" w:firstLineChars="0"/>
        <w:rPr>
          <w:rFonts w:hint="eastAsia" w:ascii="黑体" w:hAnsi="黑体" w:eastAsia="黑体" w:cs="黑体"/>
        </w:rPr>
      </w:pPr>
    </w:p>
    <w:p w14:paraId="6662EF6D">
      <w:pPr>
        <w:pStyle w:val="30"/>
        <w:ind w:left="0" w:leftChars="0" w:firstLine="0" w:firstLineChars="0"/>
        <w:rPr>
          <w:rFonts w:hint="eastAsia" w:ascii="宋体" w:hAnsi="宋体" w:eastAsia="宋体" w:cs="宋体"/>
        </w:rPr>
      </w:pPr>
      <w:r>
        <w:rPr>
          <w:rFonts w:hint="eastAsia" w:ascii="黑体" w:hAnsi="黑体" w:eastAsia="黑体" w:cs="黑体"/>
        </w:rPr>
        <w:t>4.9.1</w:t>
      </w:r>
      <w:r>
        <w:rPr>
          <w:rFonts w:hint="eastAsia" w:ascii="宋体" w:hAnsi="宋体" w:eastAsia="宋体" w:cs="宋体"/>
        </w:rPr>
        <w:t xml:space="preserve"> 自主研发与知识产权：实验室应具备自主研发能力，近三年内：</w:t>
      </w:r>
    </w:p>
    <w:p w14:paraId="5B50AD17">
      <w:pPr>
        <w:pStyle w:val="30"/>
        <w:ind w:left="0" w:leftChars="0" w:firstLine="0" w:firstLineChars="0"/>
        <w:rPr>
          <w:rFonts w:hint="eastAsia" w:ascii="宋体" w:hAnsi="宋体" w:eastAsia="宋体" w:cs="宋体"/>
        </w:rPr>
      </w:pPr>
      <w:r>
        <w:rPr>
          <w:rFonts w:hint="eastAsia" w:hAnsi="宋体" w:cs="宋体"/>
          <w:lang w:val="en-US" w:eastAsia="zh-CN"/>
        </w:rPr>
        <w:t>a)</w:t>
      </w:r>
      <w:r>
        <w:rPr>
          <w:rFonts w:hint="eastAsia" w:ascii="宋体" w:hAnsi="宋体" w:eastAsia="宋体" w:cs="宋体"/>
        </w:rPr>
        <w:t xml:space="preserve"> 完成≥</w:t>
      </w:r>
      <w:r>
        <w:rPr>
          <w:rFonts w:hint="eastAsia" w:ascii="Arial" w:hAnsi="Arial" w:eastAsia="宋体" w:cs="Arial"/>
          <w:kern w:val="0"/>
          <w:sz w:val="21"/>
          <w:szCs w:val="20"/>
          <w:lang w:val="en-US" w:eastAsia="zh-CN" w:bidi="ar-SA"/>
        </w:rPr>
        <w:t>1</w:t>
      </w:r>
      <w:r>
        <w:rPr>
          <w:rFonts w:hint="eastAsia" w:ascii="宋体" w:hAnsi="宋体" w:eastAsia="宋体" w:cs="宋体"/>
        </w:rPr>
        <w:t>项检测方法/设备改良并应用；</w:t>
      </w:r>
    </w:p>
    <w:p w14:paraId="33C9E225">
      <w:pPr>
        <w:pStyle w:val="30"/>
        <w:ind w:left="0" w:leftChars="0" w:firstLine="0" w:firstLineChars="0"/>
        <w:rPr>
          <w:rFonts w:hint="eastAsia" w:ascii="宋体" w:hAnsi="宋体" w:eastAsia="宋体" w:cs="宋体"/>
        </w:rPr>
      </w:pPr>
      <w:r>
        <w:rPr>
          <w:rFonts w:hint="eastAsia" w:hAnsi="宋体" w:cs="宋体"/>
          <w:lang w:val="en-US" w:eastAsia="zh-CN"/>
        </w:rPr>
        <w:t>b)</w:t>
      </w:r>
      <w:r>
        <w:rPr>
          <w:rFonts w:hint="eastAsia" w:ascii="宋体" w:hAnsi="宋体" w:eastAsia="宋体" w:cs="宋体"/>
        </w:rPr>
        <w:t>获得≥</w:t>
      </w:r>
      <w:r>
        <w:rPr>
          <w:rFonts w:hint="eastAsia" w:ascii="Arial" w:hAnsi="Arial" w:eastAsia="宋体" w:cs="Arial"/>
          <w:kern w:val="0"/>
          <w:sz w:val="21"/>
          <w:szCs w:val="20"/>
          <w:lang w:val="en-US" w:eastAsia="zh-CN" w:bidi="ar-SA"/>
        </w:rPr>
        <w:t>1</w:t>
      </w:r>
      <w:r>
        <w:rPr>
          <w:rFonts w:hint="eastAsia" w:ascii="宋体" w:hAnsi="宋体" w:eastAsia="宋体" w:cs="宋体"/>
        </w:rPr>
        <w:t>项相关专利/软著；</w:t>
      </w:r>
    </w:p>
    <w:p w14:paraId="64CDB06D">
      <w:pPr>
        <w:pStyle w:val="30"/>
        <w:ind w:left="0" w:leftChars="0" w:firstLine="0" w:firstLineChars="0"/>
        <w:rPr>
          <w:rFonts w:hint="eastAsia" w:ascii="宋体" w:hAnsi="宋体" w:eastAsia="宋体" w:cs="宋体"/>
        </w:rPr>
      </w:pPr>
      <w:r>
        <w:rPr>
          <w:rFonts w:hint="eastAsia" w:hAnsi="宋体" w:cs="宋体"/>
          <w:lang w:val="en-US" w:eastAsia="zh-CN"/>
        </w:rPr>
        <w:t>c)</w:t>
      </w:r>
      <w:r>
        <w:rPr>
          <w:rFonts w:hint="eastAsia" w:ascii="宋体" w:hAnsi="宋体" w:eastAsia="宋体" w:cs="宋体"/>
        </w:rPr>
        <w:t xml:space="preserve"> 发表≥</w:t>
      </w:r>
      <w:r>
        <w:rPr>
          <w:rFonts w:hint="eastAsia" w:ascii="Arial" w:hAnsi="Arial" w:eastAsia="宋体" w:cs="Arial"/>
          <w:kern w:val="0"/>
          <w:sz w:val="21"/>
          <w:szCs w:val="20"/>
          <w:lang w:val="en-US" w:eastAsia="zh-CN" w:bidi="ar-SA"/>
        </w:rPr>
        <w:t>1</w:t>
      </w:r>
      <w:r>
        <w:rPr>
          <w:rFonts w:hint="eastAsia" w:ascii="宋体" w:hAnsi="宋体" w:eastAsia="宋体" w:cs="宋体"/>
        </w:rPr>
        <w:t>篇核心期刊论文。</w:t>
      </w:r>
    </w:p>
    <w:p w14:paraId="2FE115A0">
      <w:pPr>
        <w:pStyle w:val="30"/>
        <w:ind w:left="0" w:leftChars="0" w:firstLine="0" w:firstLineChars="0"/>
        <w:rPr>
          <w:rFonts w:hint="eastAsia" w:ascii="宋体" w:hAnsi="宋体" w:eastAsia="宋体" w:cs="宋体"/>
        </w:rPr>
      </w:pPr>
      <w:r>
        <w:rPr>
          <w:rFonts w:hint="eastAsia" w:ascii="宋体" w:hAnsi="宋体" w:eastAsia="宋体" w:cs="宋体"/>
        </w:rPr>
        <w:t>并提供相关证明材料。</w:t>
      </w:r>
    </w:p>
    <w:p w14:paraId="1AEF3F2A">
      <w:pPr>
        <w:pStyle w:val="30"/>
        <w:ind w:left="0" w:leftChars="0" w:firstLine="0" w:firstLineChars="0"/>
        <w:rPr>
          <w:rFonts w:hint="eastAsia" w:ascii="宋体" w:hAnsi="宋体" w:eastAsia="宋体" w:cs="宋体"/>
        </w:rPr>
      </w:pPr>
      <w:r>
        <w:rPr>
          <w:rFonts w:hint="eastAsia" w:ascii="黑体" w:hAnsi="黑体" w:eastAsia="黑体" w:cs="黑体"/>
        </w:rPr>
        <w:t>4.9.2</w:t>
      </w:r>
      <w:r>
        <w:rPr>
          <w:rFonts w:hint="eastAsia" w:ascii="宋体" w:hAnsi="宋体" w:eastAsia="宋体" w:cs="宋体"/>
        </w:rPr>
        <w:t xml:space="preserve"> 标准制定：实验室应积极利用技术优势，主导或参与国际标准（</w:t>
      </w:r>
      <w:r>
        <w:rPr>
          <w:rFonts w:hint="eastAsia" w:ascii="宋体" w:hAnsi="宋体" w:eastAsia="宋体" w:cs="宋体"/>
          <w:kern w:val="2"/>
          <w:sz w:val="21"/>
          <w:szCs w:val="28"/>
          <w:lang w:val="en-US" w:eastAsia="zh-CN" w:bidi="ar-SA"/>
        </w:rPr>
        <w:t>IEC/ISO</w:t>
      </w:r>
      <w:r>
        <w:rPr>
          <w:rFonts w:hint="eastAsia" w:ascii="宋体" w:hAnsi="宋体" w:eastAsia="宋体" w:cs="宋体"/>
        </w:rPr>
        <w:t>）、国家标准、行业标准及团体标准的制修订工作，推动行业技术进步。</w:t>
      </w:r>
    </w:p>
    <w:p w14:paraId="0B1202BA">
      <w:pPr>
        <w:pStyle w:val="30"/>
        <w:ind w:left="0" w:leftChars="0" w:firstLine="0" w:firstLineChars="0"/>
        <w:rPr>
          <w:rFonts w:hint="eastAsia" w:ascii="宋体" w:hAnsi="宋体" w:eastAsia="宋体" w:cs="宋体"/>
        </w:rPr>
      </w:pPr>
      <w:r>
        <w:rPr>
          <w:rFonts w:hint="eastAsia" w:ascii="黑体" w:hAnsi="黑体" w:eastAsia="黑体" w:cs="黑体"/>
        </w:rPr>
        <w:t xml:space="preserve">4.9.3 </w:t>
      </w:r>
      <w:r>
        <w:rPr>
          <w:rFonts w:hint="eastAsia" w:ascii="宋体" w:hAnsi="宋体" w:eastAsia="宋体" w:cs="宋体"/>
        </w:rPr>
        <w:t>复杂分析能力：</w:t>
      </w:r>
    </w:p>
    <w:p w14:paraId="3BCBFA88">
      <w:pPr>
        <w:pStyle w:val="30"/>
        <w:ind w:left="0" w:leftChars="0" w:firstLine="0" w:firstLineChars="0"/>
        <w:rPr>
          <w:rFonts w:hint="eastAsia" w:ascii="宋体" w:hAnsi="宋体" w:eastAsia="宋体" w:cs="宋体"/>
        </w:rPr>
      </w:pPr>
      <w:r>
        <w:rPr>
          <w:rFonts w:hint="eastAsia" w:hAnsi="宋体" w:cs="宋体"/>
          <w:lang w:eastAsia="zh-CN"/>
        </w:rPr>
        <w:t>a）</w:t>
      </w:r>
      <w:r>
        <w:rPr>
          <w:rFonts w:hint="eastAsia" w:ascii="宋体" w:hAnsi="宋体" w:eastAsia="宋体" w:cs="宋体"/>
        </w:rPr>
        <w:t xml:space="preserve"> 未知物鉴定：具备利用红外光谱、高分辨质谱等技术，对复杂样品中的非靶向（</w:t>
      </w:r>
      <w:r>
        <w:rPr>
          <w:rFonts w:hint="eastAsia" w:ascii="宋体" w:hAnsi="宋体" w:eastAsia="宋体" w:cs="宋体"/>
          <w:kern w:val="2"/>
          <w:sz w:val="21"/>
          <w:szCs w:val="28"/>
          <w:lang w:val="en-US" w:eastAsia="zh-CN" w:bidi="ar-SA"/>
        </w:rPr>
        <w:t>Non-targeted</w:t>
      </w:r>
      <w:r>
        <w:rPr>
          <w:rFonts w:hint="eastAsia" w:ascii="宋体" w:hAnsi="宋体" w:eastAsia="宋体" w:cs="宋体"/>
        </w:rPr>
        <w:t>）未知物进行定性鉴定、定量分析及来源解析的能力；</w:t>
      </w:r>
    </w:p>
    <w:p w14:paraId="404860F4">
      <w:pPr>
        <w:pStyle w:val="30"/>
        <w:ind w:left="0" w:leftChars="0" w:firstLine="0" w:firstLineChars="0"/>
        <w:rPr>
          <w:rFonts w:hint="eastAsia" w:ascii="宋体" w:hAnsi="宋体" w:eastAsia="宋体" w:cs="宋体"/>
          <w:lang w:eastAsia="zh-CN"/>
        </w:rPr>
      </w:pPr>
      <w:r>
        <w:rPr>
          <w:rFonts w:hint="eastAsia" w:hAnsi="宋体" w:cs="宋体"/>
          <w:lang w:eastAsia="zh-CN"/>
        </w:rPr>
        <w:t>b）</w:t>
      </w:r>
      <w:r>
        <w:rPr>
          <w:rFonts w:hint="eastAsia" w:ascii="宋体" w:hAnsi="宋体" w:eastAsia="宋体" w:cs="宋体"/>
        </w:rPr>
        <w:t xml:space="preserve"> 新兴污染物检测：建立针对</w:t>
      </w:r>
      <w:r>
        <w:rPr>
          <w:rFonts w:hint="eastAsia" w:ascii="宋体" w:hAnsi="宋体" w:eastAsia="宋体" w:cs="宋体"/>
          <w:kern w:val="2"/>
          <w:sz w:val="21"/>
          <w:szCs w:val="28"/>
          <w:lang w:val="en-US" w:eastAsia="zh-CN" w:bidi="ar-SA"/>
        </w:rPr>
        <w:t>PFAS</w:t>
      </w:r>
      <w:r>
        <w:rPr>
          <w:rFonts w:hint="eastAsia" w:ascii="宋体" w:hAnsi="宋体" w:eastAsia="宋体" w:cs="宋体"/>
        </w:rPr>
        <w:t>（全氟和多氟烷基物质）、微塑料、新型阻燃剂、抗生素等行业前瞻性新兴污染物</w:t>
      </w:r>
      <w:r>
        <w:rPr>
          <w:rFonts w:hint="eastAsia" w:hAnsi="宋体" w:cs="宋体"/>
          <w:lang w:val="en-US" w:eastAsia="zh-CN"/>
        </w:rPr>
        <w:t>或</w:t>
      </w:r>
      <w:r>
        <w:rPr>
          <w:rFonts w:hint="eastAsia" w:ascii="宋体" w:hAnsi="宋体" w:eastAsia="宋体" w:cs="宋体"/>
        </w:rPr>
        <w:t>潜在或已列入关注清单</w:t>
      </w:r>
      <w:r>
        <w:rPr>
          <w:rFonts w:hint="eastAsia" w:hAnsi="宋体" w:cs="宋体"/>
          <w:lang w:eastAsia="zh-CN"/>
        </w:rPr>
        <w:t>（如REACH SVHC候选清单、POPs公约审查物质清单）</w:t>
      </w:r>
      <w:r>
        <w:rPr>
          <w:rFonts w:hint="eastAsia" w:ascii="宋体" w:hAnsi="宋体" w:eastAsia="宋体" w:cs="宋体"/>
        </w:rPr>
        <w:t>的进行方法开发、验证和检测的能力</w:t>
      </w:r>
      <w:r>
        <w:rPr>
          <w:rFonts w:hint="eastAsia" w:hAnsi="宋体" w:cs="宋体"/>
          <w:lang w:eastAsia="zh-CN"/>
        </w:rPr>
        <w:t>。</w:t>
      </w:r>
    </w:p>
    <w:p w14:paraId="238BCBCE">
      <w:pPr>
        <w:pStyle w:val="30"/>
        <w:ind w:left="0" w:leftChars="0" w:firstLine="0" w:firstLineChars="0"/>
        <w:rPr>
          <w:rFonts w:hint="eastAsia" w:ascii="宋体" w:hAnsi="宋体" w:eastAsia="宋体" w:cs="宋体"/>
        </w:rPr>
      </w:pPr>
      <w:r>
        <w:rPr>
          <w:rFonts w:hint="eastAsia" w:ascii="黑体" w:hAnsi="黑体" w:eastAsia="黑体" w:cs="黑体"/>
        </w:rPr>
        <w:t>4.9.4</w:t>
      </w:r>
      <w:r>
        <w:rPr>
          <w:rFonts w:hint="eastAsia" w:ascii="宋体" w:hAnsi="宋体" w:eastAsia="宋体" w:cs="宋体"/>
        </w:rPr>
        <w:t xml:space="preserve"> 新方法开发：具备完善的新方法开发流程（立项</w:t>
      </w:r>
      <w:r>
        <w:rPr>
          <w:rFonts w:hint="eastAsia" w:hAnsi="宋体" w:cs="宋体"/>
          <w:lang w:eastAsia="zh-CN"/>
        </w:rPr>
        <w:t>－</w:t>
      </w:r>
      <w:r>
        <w:rPr>
          <w:rFonts w:hint="eastAsia" w:ascii="宋体" w:hAnsi="宋体" w:eastAsia="宋体" w:cs="宋体"/>
        </w:rPr>
        <w:t>设计</w:t>
      </w:r>
      <w:r>
        <w:rPr>
          <w:rFonts w:hint="eastAsia" w:hAnsi="宋体" w:cs="宋体"/>
          <w:lang w:eastAsia="zh-CN"/>
        </w:rPr>
        <w:t>－</w:t>
      </w:r>
      <w:r>
        <w:rPr>
          <w:rFonts w:hint="eastAsia" w:ascii="宋体" w:hAnsi="宋体" w:eastAsia="宋体" w:cs="宋体"/>
        </w:rPr>
        <w:t>验证</w:t>
      </w:r>
      <w:r>
        <w:rPr>
          <w:rFonts w:hint="eastAsia" w:hAnsi="宋体" w:cs="宋体"/>
          <w:lang w:eastAsia="zh-CN"/>
        </w:rPr>
        <w:t>－</w:t>
      </w:r>
      <w:r>
        <w:rPr>
          <w:rFonts w:hint="eastAsia" w:ascii="宋体" w:hAnsi="宋体" w:eastAsia="宋体" w:cs="宋体"/>
        </w:rPr>
        <w:t>审批）。近三年内应至少完成 1 项非标方法或新方法的开发，形成正式的作业指导书，并有实际应用于客户服务的成功案例。</w:t>
      </w:r>
    </w:p>
    <w:p w14:paraId="1DFD6F3C">
      <w:pPr>
        <w:pStyle w:val="30"/>
        <w:ind w:left="0" w:leftChars="0" w:firstLine="0" w:firstLineChars="0"/>
        <w:rPr>
          <w:rFonts w:hint="eastAsia" w:ascii="宋体" w:hAnsi="宋体" w:eastAsia="宋体" w:cs="宋体"/>
        </w:rPr>
      </w:pPr>
    </w:p>
    <w:p w14:paraId="455B8D6C">
      <w:pPr>
        <w:pStyle w:val="30"/>
        <w:ind w:left="0" w:leftChars="0" w:firstLine="0" w:firstLineChars="0"/>
        <w:rPr>
          <w:rFonts w:hint="eastAsia" w:ascii="黑体" w:hAnsi="黑体" w:eastAsia="黑体" w:cs="黑体"/>
        </w:rPr>
      </w:pPr>
      <w:r>
        <w:rPr>
          <w:rFonts w:hint="eastAsia" w:ascii="黑体" w:hAnsi="黑体" w:eastAsia="黑体" w:cs="黑体"/>
        </w:rPr>
        <w:t>4.10 数字化与智能化</w:t>
      </w:r>
    </w:p>
    <w:p w14:paraId="75D6B0E4">
      <w:pPr>
        <w:pStyle w:val="30"/>
        <w:ind w:left="0" w:leftChars="0" w:firstLine="0" w:firstLineChars="0"/>
        <w:rPr>
          <w:rFonts w:hint="eastAsia" w:ascii="黑体" w:hAnsi="黑体" w:eastAsia="黑体" w:cs="黑体"/>
        </w:rPr>
      </w:pPr>
    </w:p>
    <w:p w14:paraId="2B1663D6">
      <w:pPr>
        <w:pStyle w:val="30"/>
        <w:ind w:left="0" w:leftChars="0" w:firstLine="0" w:firstLineChars="0"/>
        <w:rPr>
          <w:rFonts w:hint="eastAsia" w:ascii="宋体" w:hAnsi="宋体" w:eastAsia="宋体" w:cs="宋体"/>
        </w:rPr>
      </w:pPr>
      <w:r>
        <w:rPr>
          <w:rFonts w:hint="eastAsia" w:ascii="黑体" w:hAnsi="黑体" w:eastAsia="黑体" w:cs="黑体"/>
        </w:rPr>
        <w:t>4.10.1</w:t>
      </w:r>
      <w:r>
        <w:rPr>
          <w:rFonts w:hint="eastAsia" w:ascii="宋体" w:hAnsi="宋体" w:eastAsia="宋体" w:cs="宋体"/>
        </w:rPr>
        <w:t xml:space="preserve"> </w:t>
      </w:r>
      <w:r>
        <w:rPr>
          <w:rFonts w:hint="eastAsia" w:ascii="宋体" w:hAnsi="宋体" w:eastAsia="宋体" w:cs="宋体"/>
          <w:kern w:val="2"/>
          <w:sz w:val="21"/>
          <w:szCs w:val="28"/>
          <w:lang w:val="en-US" w:eastAsia="zh-CN" w:bidi="ar-SA"/>
        </w:rPr>
        <w:t>LIMS</w:t>
      </w:r>
      <w:r>
        <w:rPr>
          <w:rFonts w:hint="eastAsia" w:ascii="宋体" w:hAnsi="宋体" w:eastAsia="宋体" w:cs="宋体"/>
        </w:rPr>
        <w:t>系统应用：应部署实验室信息管理系统（</w:t>
      </w:r>
      <w:r>
        <w:rPr>
          <w:rFonts w:hint="eastAsia" w:ascii="宋体" w:hAnsi="宋体" w:eastAsia="宋体" w:cs="宋体"/>
          <w:kern w:val="2"/>
          <w:sz w:val="21"/>
          <w:szCs w:val="28"/>
          <w:lang w:val="en-US" w:eastAsia="zh-CN" w:bidi="ar-SA"/>
        </w:rPr>
        <w:t>LIMS</w:t>
      </w:r>
      <w:r>
        <w:rPr>
          <w:rFonts w:hint="eastAsia" w:ascii="宋体" w:hAnsi="宋体" w:eastAsia="宋体" w:cs="宋体"/>
        </w:rPr>
        <w:t>），功能模块应覆盖样品管理、任务分配、数据录入、报告生成、资源管理等核心业务流程，实现管理流程的数字化。</w:t>
      </w:r>
    </w:p>
    <w:p w14:paraId="2847CDD7">
      <w:pPr>
        <w:pStyle w:val="30"/>
        <w:ind w:left="0" w:leftChars="0" w:firstLine="0" w:firstLineChars="0"/>
        <w:rPr>
          <w:rFonts w:hint="eastAsia" w:ascii="宋体" w:hAnsi="宋体" w:eastAsia="宋体" w:cs="宋体"/>
          <w:lang w:eastAsia="zh-CN"/>
        </w:rPr>
      </w:pPr>
      <w:r>
        <w:rPr>
          <w:rFonts w:hint="eastAsia" w:ascii="黑体" w:hAnsi="黑体" w:eastAsia="黑体" w:cs="黑体"/>
        </w:rPr>
        <w:t>4.10.2</w:t>
      </w:r>
      <w:r>
        <w:rPr>
          <w:rFonts w:hint="eastAsia" w:ascii="宋体" w:hAnsi="宋体" w:eastAsia="宋体" w:cs="宋体"/>
        </w:rPr>
        <w:t xml:space="preserve"> 数据自动采集：关键定量检测设备（如 </w:t>
      </w:r>
      <w:r>
        <w:rPr>
          <w:rFonts w:hint="eastAsia" w:ascii="宋体" w:hAnsi="宋体" w:eastAsia="宋体" w:cs="宋体"/>
          <w:kern w:val="2"/>
          <w:sz w:val="21"/>
          <w:szCs w:val="28"/>
          <w:lang w:val="en-US" w:eastAsia="zh-CN" w:bidi="ar-SA"/>
        </w:rPr>
        <w:t>ICP-MS、GC-MS、UV-Vis</w:t>
      </w:r>
      <w:r>
        <w:rPr>
          <w:rFonts w:hint="eastAsia" w:ascii="宋体" w:hAnsi="宋体" w:eastAsia="宋体" w:cs="宋体"/>
        </w:rPr>
        <w:t xml:space="preserve"> 等）应实现与</w:t>
      </w:r>
      <w:r>
        <w:rPr>
          <w:rFonts w:hint="eastAsia" w:ascii="宋体" w:hAnsi="宋体" w:eastAsia="宋体" w:cs="宋体"/>
          <w:kern w:val="2"/>
          <w:sz w:val="21"/>
          <w:szCs w:val="28"/>
          <w:lang w:val="en-US" w:eastAsia="zh-CN" w:bidi="ar-SA"/>
        </w:rPr>
        <w:t>LIMS</w:t>
      </w:r>
      <w:r>
        <w:rPr>
          <w:rFonts w:hint="eastAsia" w:ascii="宋体" w:hAnsi="宋体" w:eastAsia="宋体" w:cs="宋体"/>
        </w:rPr>
        <w:t>系统的接口对接，检测数据应自动采集、传输和计算，最大限度减少人工录入，确保数据从仪器原始输出到LIMS系统的传输过程完整、准确且未经篡改</w:t>
      </w:r>
      <w:r>
        <w:rPr>
          <w:rFonts w:hint="eastAsia" w:hAnsi="宋体" w:cs="宋体"/>
          <w:lang w:eastAsia="zh-CN"/>
        </w:rPr>
        <w:t>。</w:t>
      </w:r>
    </w:p>
    <w:p w14:paraId="4CB04771">
      <w:pPr>
        <w:pStyle w:val="30"/>
        <w:ind w:left="0" w:leftChars="0" w:firstLine="0" w:firstLineChars="0"/>
        <w:rPr>
          <w:rFonts w:hint="eastAsia" w:ascii="宋体" w:hAnsi="宋体" w:eastAsia="宋体" w:cs="宋体"/>
        </w:rPr>
      </w:pPr>
      <w:r>
        <w:rPr>
          <w:rFonts w:hint="eastAsia" w:ascii="黑体" w:hAnsi="黑体" w:eastAsia="黑体" w:cs="黑体"/>
        </w:rPr>
        <w:t>4.10.3</w:t>
      </w:r>
      <w:r>
        <w:rPr>
          <w:rFonts w:hint="eastAsia" w:ascii="宋体" w:hAnsi="宋体" w:eastAsia="宋体" w:cs="宋体"/>
        </w:rPr>
        <w:t xml:space="preserve"> 电子记录合规：应用电子原始记录（</w:t>
      </w:r>
      <w:r>
        <w:rPr>
          <w:rFonts w:hint="eastAsia" w:ascii="宋体" w:hAnsi="宋体" w:eastAsia="宋体" w:cs="宋体"/>
          <w:kern w:val="2"/>
          <w:sz w:val="21"/>
          <w:szCs w:val="28"/>
          <w:lang w:val="en-US" w:eastAsia="zh-CN" w:bidi="ar-SA"/>
        </w:rPr>
        <w:t>ELN</w:t>
      </w:r>
      <w:r>
        <w:rPr>
          <w:rFonts w:hint="eastAsia" w:ascii="宋体" w:hAnsi="宋体" w:eastAsia="宋体" w:cs="宋体"/>
        </w:rPr>
        <w:t>）系统，系统应符合《</w:t>
      </w:r>
      <w:r>
        <w:rPr>
          <w:rFonts w:hint="eastAsia" w:ascii="宋体" w:hAnsi="宋体" w:eastAsia="宋体" w:cs="宋体"/>
          <w:lang w:eastAsia="zh-CN"/>
        </w:rPr>
        <w:t>中华人民共和国电子签名法</w:t>
      </w:r>
      <w:r>
        <w:rPr>
          <w:rFonts w:hint="eastAsia" w:ascii="宋体" w:hAnsi="宋体" w:eastAsia="宋体" w:cs="宋体"/>
        </w:rPr>
        <w:t>》及</w:t>
      </w:r>
      <w:r>
        <w:rPr>
          <w:rFonts w:hint="eastAsia" w:ascii="宋体" w:hAnsi="宋体" w:eastAsia="宋体" w:cs="宋体"/>
          <w:kern w:val="2"/>
          <w:sz w:val="21"/>
          <w:szCs w:val="28"/>
          <w:lang w:val="en-US" w:eastAsia="zh-CN" w:bidi="ar-SA"/>
        </w:rPr>
        <w:t>RB/T 240</w:t>
      </w:r>
      <w:r>
        <w:rPr>
          <w:rFonts w:hint="eastAsia" w:ascii="宋体" w:hAnsi="宋体" w:eastAsia="宋体" w:cs="宋体"/>
        </w:rPr>
        <w:t>的要求，具备完善的权限控制，确保数据修改留痕且不可篡改。</w:t>
      </w:r>
    </w:p>
    <w:p w14:paraId="0DDA5669">
      <w:pPr>
        <w:pStyle w:val="30"/>
        <w:ind w:left="0" w:leftChars="0" w:firstLine="0" w:firstLineChars="0"/>
        <w:rPr>
          <w:rFonts w:hint="eastAsia" w:ascii="宋体" w:hAnsi="宋体" w:eastAsia="宋体" w:cs="宋体"/>
        </w:rPr>
      </w:pPr>
      <w:r>
        <w:rPr>
          <w:rFonts w:hint="eastAsia" w:ascii="黑体" w:hAnsi="黑体" w:eastAsia="黑体" w:cs="黑体"/>
        </w:rPr>
        <w:t>4.10.4</w:t>
      </w:r>
      <w:r>
        <w:rPr>
          <w:rFonts w:hint="eastAsia" w:ascii="宋体" w:hAnsi="宋体" w:eastAsia="宋体" w:cs="宋体"/>
        </w:rPr>
        <w:t xml:space="preserve"> 智能数据应用：具备利用大数据技术对历史检测数据进行挖掘的能力，如开展质量趋势分析、风险预警，或为客户提供基于数据的供应链画像服务。</w:t>
      </w:r>
    </w:p>
    <w:p w14:paraId="4F2E95D2">
      <w:pPr>
        <w:pStyle w:val="30"/>
        <w:ind w:left="0" w:leftChars="0" w:firstLine="0" w:firstLineChars="0"/>
        <w:rPr>
          <w:rFonts w:hint="eastAsia" w:ascii="宋体" w:hAnsi="宋体" w:eastAsia="宋体" w:cs="宋体"/>
        </w:rPr>
      </w:pPr>
    </w:p>
    <w:p w14:paraId="30F9E86B">
      <w:pPr>
        <w:pStyle w:val="30"/>
        <w:ind w:left="0" w:leftChars="0" w:firstLine="0" w:firstLineChars="0"/>
        <w:rPr>
          <w:rFonts w:hint="eastAsia" w:ascii="黑体" w:hAnsi="黑体" w:eastAsia="黑体" w:cs="黑体"/>
        </w:rPr>
      </w:pPr>
      <w:r>
        <w:rPr>
          <w:rFonts w:hint="eastAsia" w:ascii="黑体" w:hAnsi="黑体" w:eastAsia="黑体" w:cs="黑体"/>
        </w:rPr>
        <w:t>4.11 客户服务与服务创新</w:t>
      </w:r>
    </w:p>
    <w:p w14:paraId="13819F22">
      <w:pPr>
        <w:pStyle w:val="30"/>
        <w:ind w:left="0" w:leftChars="0" w:firstLine="0" w:firstLineChars="0"/>
        <w:rPr>
          <w:rFonts w:hint="eastAsia" w:ascii="黑体" w:hAnsi="黑体" w:eastAsia="黑体" w:cs="黑体"/>
        </w:rPr>
      </w:pPr>
    </w:p>
    <w:p w14:paraId="38A49F7B">
      <w:pPr>
        <w:pStyle w:val="30"/>
        <w:ind w:left="0" w:leftChars="0" w:firstLine="0" w:firstLineChars="0"/>
        <w:rPr>
          <w:rFonts w:hint="eastAsia" w:ascii="宋体" w:hAnsi="宋体" w:eastAsia="宋体" w:cs="宋体"/>
        </w:rPr>
      </w:pPr>
      <w:r>
        <w:rPr>
          <w:rFonts w:hint="eastAsia" w:ascii="黑体" w:hAnsi="黑体" w:eastAsia="黑体" w:cs="黑体"/>
        </w:rPr>
        <w:t>4.11.1</w:t>
      </w:r>
      <w:r>
        <w:rPr>
          <w:rFonts w:hint="eastAsia" w:ascii="宋体" w:hAnsi="宋体" w:eastAsia="宋体" w:cs="宋体"/>
        </w:rPr>
        <w:t xml:space="preserve"> 满意度调查：每年至少开展1次客户满意度调查，调查范围应覆盖主要客户群体，满意度指标应达到</w:t>
      </w:r>
      <w:r>
        <w:rPr>
          <w:rFonts w:hint="eastAsia" w:hAnsi="宋体" w:cs="宋体"/>
          <w:lang w:val="en-US" w:eastAsia="zh-CN"/>
        </w:rPr>
        <w:t>90</w:t>
      </w:r>
      <w:r>
        <w:rPr>
          <w:rFonts w:hint="eastAsia" w:ascii="宋体" w:hAnsi="宋体" w:eastAsia="宋体" w:cs="宋体"/>
        </w:rPr>
        <w:t>% 以上。</w:t>
      </w:r>
    </w:p>
    <w:p w14:paraId="060C45B8">
      <w:pPr>
        <w:pStyle w:val="30"/>
        <w:ind w:left="0" w:leftChars="0" w:firstLine="0" w:firstLineChars="0"/>
        <w:rPr>
          <w:rFonts w:hint="eastAsia" w:ascii="宋体" w:hAnsi="宋体" w:eastAsia="宋体" w:cs="宋体"/>
        </w:rPr>
      </w:pPr>
      <w:r>
        <w:rPr>
          <w:rFonts w:hint="eastAsia" w:ascii="黑体" w:hAnsi="黑体" w:eastAsia="黑体" w:cs="黑体"/>
        </w:rPr>
        <w:t>4.11.2</w:t>
      </w:r>
      <w:r>
        <w:rPr>
          <w:rFonts w:hint="eastAsia" w:ascii="宋体" w:hAnsi="宋体" w:eastAsia="宋体" w:cs="宋体"/>
        </w:rPr>
        <w:t xml:space="preserve"> 投诉处理：建立完善的客户投诉处理机制，对投诉进行登记、调查、根源分析及纠正措施制定，确保投诉处理闭环。</w:t>
      </w:r>
    </w:p>
    <w:p w14:paraId="5051665D">
      <w:pPr>
        <w:pStyle w:val="30"/>
        <w:ind w:left="0" w:leftChars="0" w:firstLine="0" w:firstLineChars="0"/>
        <w:rPr>
          <w:rFonts w:hint="eastAsia" w:ascii="宋体" w:hAnsi="宋体" w:eastAsia="宋体" w:cs="宋体"/>
        </w:rPr>
      </w:pPr>
      <w:r>
        <w:rPr>
          <w:rFonts w:hint="eastAsia" w:ascii="黑体" w:hAnsi="黑体" w:eastAsia="黑体" w:cs="黑体"/>
        </w:rPr>
        <w:t xml:space="preserve">4.11.3 </w:t>
      </w:r>
      <w:r>
        <w:rPr>
          <w:rFonts w:hint="eastAsia" w:ascii="宋体" w:hAnsi="宋体" w:eastAsia="宋体" w:cs="宋体"/>
        </w:rPr>
        <w:t>改进机制：针对客户反馈的不满意项或建议，应制定具体的改进计划并验证实施效果。</w:t>
      </w:r>
    </w:p>
    <w:p w14:paraId="47EC578B">
      <w:pPr>
        <w:pStyle w:val="30"/>
        <w:ind w:left="0" w:leftChars="0" w:firstLine="0" w:firstLineChars="0"/>
        <w:rPr>
          <w:rFonts w:hint="eastAsia" w:ascii="宋体" w:hAnsi="宋体" w:eastAsia="宋体" w:cs="宋体"/>
        </w:rPr>
      </w:pPr>
      <w:r>
        <w:rPr>
          <w:rFonts w:hint="eastAsia" w:ascii="黑体" w:hAnsi="黑体" w:eastAsia="黑体" w:cs="黑体"/>
        </w:rPr>
        <w:t>4.11.4</w:t>
      </w:r>
      <w:r>
        <w:rPr>
          <w:rFonts w:hint="eastAsia" w:ascii="宋体" w:hAnsi="宋体" w:eastAsia="宋体" w:cs="宋体"/>
        </w:rPr>
        <w:t xml:space="preserve"> 国际化服务：具备为国际客户提供英文或中英双语检测报告的能力，并能提供基于国际标准的合规性技术咨询。</w:t>
      </w:r>
    </w:p>
    <w:p w14:paraId="783084AF">
      <w:pPr>
        <w:pStyle w:val="30"/>
        <w:ind w:left="0" w:leftChars="0" w:firstLine="0" w:firstLineChars="0"/>
        <w:rPr>
          <w:rFonts w:hint="eastAsia" w:ascii="宋体" w:hAnsi="宋体" w:eastAsia="宋体" w:cs="宋体"/>
        </w:rPr>
      </w:pPr>
      <w:r>
        <w:rPr>
          <w:rFonts w:hint="eastAsia" w:ascii="黑体" w:hAnsi="黑体" w:eastAsia="黑体" w:cs="黑体"/>
        </w:rPr>
        <w:t>4.11.5</w:t>
      </w:r>
      <w:r>
        <w:rPr>
          <w:rFonts w:hint="eastAsia" w:ascii="宋体" w:hAnsi="宋体" w:eastAsia="宋体" w:cs="宋体"/>
        </w:rPr>
        <w:t xml:space="preserve"> 高质量服务创新：实验室应提供差异化的增值服务，包括但不限于：提供定制化合规解决方案、开展法规技术培训、支撑政府课题研究或利用新媒体平台开展行业科普宣传等。</w:t>
      </w:r>
    </w:p>
    <w:p w14:paraId="69D6C5E4">
      <w:pPr>
        <w:pStyle w:val="30"/>
        <w:ind w:left="0" w:leftChars="0" w:firstLine="0" w:firstLineChars="0"/>
        <w:rPr>
          <w:rFonts w:hint="eastAsia" w:ascii="黑体" w:hAnsi="黑体" w:eastAsia="黑体" w:cs="黑体"/>
        </w:rPr>
      </w:pPr>
    </w:p>
    <w:p w14:paraId="4A4F6A39">
      <w:pPr>
        <w:pStyle w:val="30"/>
        <w:ind w:left="0" w:leftChars="0" w:firstLine="0" w:firstLineChars="0"/>
        <w:rPr>
          <w:rFonts w:hint="eastAsia" w:ascii="黑体" w:hAnsi="黑体" w:eastAsia="黑体" w:cs="黑体"/>
        </w:rPr>
      </w:pPr>
      <w:r>
        <w:rPr>
          <w:rFonts w:hint="eastAsia" w:ascii="黑体" w:hAnsi="黑体" w:eastAsia="黑体" w:cs="黑体"/>
        </w:rPr>
        <w:t>4.12 信息安全与数据保护</w:t>
      </w:r>
    </w:p>
    <w:p w14:paraId="0C4D50D3">
      <w:pPr>
        <w:pStyle w:val="30"/>
        <w:ind w:left="0" w:leftChars="0" w:firstLine="0" w:firstLineChars="0"/>
        <w:rPr>
          <w:rFonts w:hint="eastAsia" w:ascii="黑体" w:hAnsi="黑体" w:eastAsia="黑体" w:cs="黑体"/>
        </w:rPr>
      </w:pPr>
    </w:p>
    <w:p w14:paraId="3FB24F94">
      <w:pPr>
        <w:pStyle w:val="30"/>
        <w:ind w:left="0" w:leftChars="0" w:firstLine="0" w:firstLineChars="0"/>
        <w:rPr>
          <w:rFonts w:hint="default" w:hAnsi="宋体" w:cs="宋体"/>
          <w:lang w:val="en-US" w:eastAsia="zh-CN"/>
        </w:rPr>
      </w:pPr>
      <w:r>
        <w:rPr>
          <w:rFonts w:hint="eastAsia" w:ascii="黑体" w:hAnsi="黑体" w:eastAsia="黑体" w:cs="黑体"/>
        </w:rPr>
        <w:t>4.12</w:t>
      </w:r>
      <w:r>
        <w:rPr>
          <w:rFonts w:hint="eastAsia" w:ascii="黑体" w:hAnsi="黑体" w:eastAsia="黑体" w:cs="黑体"/>
          <w:lang w:val="en-US" w:eastAsia="zh-CN"/>
        </w:rPr>
        <w:t>.1</w:t>
      </w:r>
      <w:r>
        <w:rPr>
          <w:rFonts w:hint="eastAsia" w:hAnsi="宋体" w:cs="宋体"/>
          <w:lang w:val="en-US" w:eastAsia="zh-CN"/>
        </w:rPr>
        <w:t xml:space="preserve"> 实验室数据原则</w:t>
      </w:r>
    </w:p>
    <w:p w14:paraId="4D853D09">
      <w:pPr>
        <w:pStyle w:val="30"/>
        <w:ind w:left="0" w:leftChars="0" w:firstLine="0" w:firstLineChars="0"/>
        <w:rPr>
          <w:rFonts w:hint="eastAsia" w:ascii="宋体" w:hAnsi="宋体" w:eastAsia="宋体" w:cs="宋体"/>
        </w:rPr>
      </w:pPr>
      <w:r>
        <w:rPr>
          <w:rFonts w:hint="eastAsia" w:ascii="宋体" w:hAnsi="宋体" w:eastAsia="宋体" w:cs="宋体"/>
        </w:rPr>
        <w:t>实验室应建立严格的信息安全管理制度，采取防火墙、数据加密、异地备份、权限隔离等技术手段，覆盖数据采集、传输、存储、使用及销毁的全生命周期，确保客户信息与检测数据的保密性、完整性和可用性。</w:t>
      </w:r>
    </w:p>
    <w:p w14:paraId="0DE0613E">
      <w:pPr>
        <w:pStyle w:val="30"/>
        <w:ind w:left="0" w:leftChars="0" w:firstLine="0" w:firstLineChars="0"/>
        <w:rPr>
          <w:rFonts w:hint="eastAsia" w:ascii="宋体" w:hAnsi="宋体" w:eastAsia="宋体" w:cs="宋体"/>
        </w:rPr>
      </w:pPr>
      <w:r>
        <w:rPr>
          <w:rFonts w:hint="eastAsia" w:ascii="黑体" w:hAnsi="黑体" w:eastAsia="黑体" w:cs="黑体"/>
        </w:rPr>
        <w:t>4.12.</w:t>
      </w:r>
      <w:r>
        <w:rPr>
          <w:rFonts w:hint="eastAsia" w:ascii="黑体" w:hAnsi="黑体" w:eastAsia="黑体" w:cs="黑体"/>
          <w:lang w:val="en-US" w:eastAsia="zh-CN"/>
        </w:rPr>
        <w:t>2</w:t>
      </w:r>
      <w:r>
        <w:rPr>
          <w:rFonts w:hint="eastAsia" w:ascii="宋体" w:hAnsi="宋体" w:eastAsia="宋体" w:cs="宋体"/>
        </w:rPr>
        <w:t xml:space="preserve"> 数据平台协作</w:t>
      </w:r>
    </w:p>
    <w:p w14:paraId="7C29A426">
      <w:pPr>
        <w:pStyle w:val="30"/>
        <w:ind w:left="0" w:leftChars="0" w:firstLine="0" w:firstLineChars="0"/>
        <w:rPr>
          <w:rFonts w:hint="eastAsia" w:ascii="宋体" w:hAnsi="宋体" w:eastAsia="宋体" w:cs="宋体"/>
        </w:rPr>
      </w:pPr>
      <w:r>
        <w:rPr>
          <w:rFonts w:hint="eastAsia" w:ascii="宋体" w:hAnsi="宋体" w:eastAsia="宋体" w:cs="宋体"/>
        </w:rPr>
        <w:t>实验室应开通并维护“高质量实验室数据平台”账号，配合评价机构进行必要的数据采集与核验：</w:t>
      </w:r>
    </w:p>
    <w:p w14:paraId="23531F52">
      <w:pPr>
        <w:pStyle w:val="30"/>
        <w:ind w:left="0" w:leftChars="0" w:firstLine="0" w:firstLineChars="0"/>
        <w:rPr>
          <w:rFonts w:hint="eastAsia" w:ascii="宋体" w:hAnsi="宋体" w:eastAsia="宋体" w:cs="宋体"/>
        </w:rPr>
      </w:pPr>
      <w:r>
        <w:rPr>
          <w:rFonts w:hint="eastAsia" w:ascii="宋体" w:hAnsi="宋体" w:eastAsia="宋体" w:cs="宋体"/>
        </w:rPr>
        <w:t>a) 数据归属：实验室上传的原始检测数据所有权归实验室及其客户所有；</w:t>
      </w:r>
    </w:p>
    <w:p w14:paraId="5092103A">
      <w:pPr>
        <w:pStyle w:val="30"/>
        <w:ind w:left="0" w:leftChars="0" w:firstLine="0" w:firstLineChars="0"/>
        <w:rPr>
          <w:rFonts w:hint="eastAsia" w:ascii="宋体" w:hAnsi="宋体" w:eastAsia="宋体" w:cs="宋体"/>
        </w:rPr>
      </w:pPr>
      <w:r>
        <w:rPr>
          <w:rFonts w:hint="eastAsia" w:ascii="宋体" w:hAnsi="宋体" w:eastAsia="宋体" w:cs="宋体"/>
        </w:rPr>
        <w:t>b) 授权使用：实验室授权评价机构对数据进行脱敏处理（去除客户名称、具体产品型号等标识信息）后，用于行业质量趋势分析、风险预警模型建立及真伪核验；</w:t>
      </w:r>
    </w:p>
    <w:p w14:paraId="387A8BD7">
      <w:pPr>
        <w:pStyle w:val="30"/>
        <w:ind w:left="0" w:leftChars="0" w:firstLine="0" w:firstLineChars="0"/>
        <w:rPr>
          <w:rFonts w:hint="eastAsia" w:ascii="宋体" w:hAnsi="宋体" w:eastAsia="宋体" w:cs="宋体"/>
        </w:rPr>
      </w:pPr>
      <w:r>
        <w:rPr>
          <w:rFonts w:hint="eastAsia" w:ascii="宋体" w:hAnsi="宋体" w:eastAsia="宋体" w:cs="宋体"/>
        </w:rPr>
        <w:t>c) 保密责任：评价机构须建立严格的数据保密制度，不得将实验室原始数据泄露给第三方或用于商业出售。</w:t>
      </w:r>
    </w:p>
    <w:p w14:paraId="01EE2FEC">
      <w:pPr>
        <w:pStyle w:val="30"/>
        <w:ind w:left="0" w:leftChars="0" w:firstLine="0" w:firstLineChars="0"/>
        <w:rPr>
          <w:rFonts w:hint="eastAsia" w:ascii="宋体" w:hAnsi="宋体" w:eastAsia="宋体" w:cs="宋体"/>
        </w:rPr>
      </w:pPr>
      <w:r>
        <w:rPr>
          <w:rFonts w:hint="eastAsia" w:ascii="黑体" w:hAnsi="黑体" w:eastAsia="黑体" w:cs="黑体"/>
        </w:rPr>
        <w:t>4.12.</w:t>
      </w:r>
      <w:r>
        <w:rPr>
          <w:rFonts w:hint="eastAsia" w:ascii="黑体" w:hAnsi="黑体" w:eastAsia="黑体" w:cs="黑体"/>
          <w:lang w:val="en-US" w:eastAsia="zh-CN"/>
        </w:rPr>
        <w:t>3</w:t>
      </w:r>
      <w:r>
        <w:rPr>
          <w:rFonts w:hint="eastAsia" w:ascii="宋体" w:hAnsi="宋体" w:eastAsia="宋体" w:cs="宋体"/>
        </w:rPr>
        <w:t xml:space="preserve"> 数据最小化与隐私保护</w:t>
      </w:r>
    </w:p>
    <w:p w14:paraId="4CA3DCCE">
      <w:pPr>
        <w:pStyle w:val="30"/>
        <w:ind w:left="0" w:leftChars="0" w:firstLine="0" w:firstLineChars="0"/>
        <w:rPr>
          <w:rFonts w:hint="eastAsia" w:ascii="宋体" w:hAnsi="宋体" w:eastAsia="宋体" w:cs="宋体"/>
        </w:rPr>
      </w:pPr>
      <w:r>
        <w:rPr>
          <w:rFonts w:hint="eastAsia" w:ascii="宋体" w:hAnsi="宋体" w:eastAsia="宋体" w:cs="宋体"/>
        </w:rPr>
        <w:t>为平衡监管与商业机密保护，实验室向平台上传的数据应遵循“验证所需最小化原则”：</w:t>
      </w:r>
    </w:p>
    <w:p w14:paraId="7714ED44">
      <w:pPr>
        <w:pStyle w:val="30"/>
        <w:ind w:left="0" w:leftChars="0" w:firstLine="0" w:firstLineChars="0"/>
        <w:rPr>
          <w:rFonts w:hint="eastAsia" w:ascii="宋体" w:hAnsi="宋体" w:eastAsia="宋体" w:cs="宋体"/>
        </w:rPr>
      </w:pPr>
      <w:r>
        <w:rPr>
          <w:rFonts w:hint="eastAsia" w:ascii="宋体" w:hAnsi="宋体" w:eastAsia="宋体" w:cs="宋体"/>
        </w:rPr>
        <w:t>a) 必传数据：报告编号、样品名称、委托单位（可脱敏为行业代码）、检测结论（合格/不合格）、签发人、签发时间；</w:t>
      </w:r>
    </w:p>
    <w:p w14:paraId="70B7BDA4">
      <w:pPr>
        <w:pStyle w:val="30"/>
        <w:ind w:left="0" w:leftChars="0" w:firstLine="0" w:firstLineChars="0"/>
        <w:rPr>
          <w:rFonts w:hint="eastAsia" w:ascii="宋体" w:hAnsi="宋体" w:eastAsia="宋体" w:cs="宋体"/>
        </w:rPr>
      </w:pPr>
      <w:r>
        <w:rPr>
          <w:rFonts w:hint="eastAsia" w:ascii="宋体" w:hAnsi="宋体" w:eastAsia="宋体" w:cs="宋体"/>
        </w:rPr>
        <w:t>b) 免传数据：具体的测试谱图、配方分析细节、详细测试数值（除非涉及特定监管要求）及客户的详细商业联系信息；</w:t>
      </w:r>
    </w:p>
    <w:p w14:paraId="74C1971C">
      <w:pPr>
        <w:pStyle w:val="30"/>
        <w:ind w:left="0" w:leftChars="0" w:firstLine="0" w:firstLineChars="0"/>
        <w:rPr>
          <w:rFonts w:hint="eastAsia" w:ascii="宋体" w:hAnsi="宋体" w:eastAsia="宋体" w:cs="宋体"/>
        </w:rPr>
      </w:pPr>
      <w:r>
        <w:rPr>
          <w:rFonts w:hint="eastAsia" w:ascii="宋体" w:hAnsi="宋体" w:eastAsia="宋体" w:cs="宋体"/>
        </w:rPr>
        <w:t>c) 平台仅对上传数据的逻辑一致性和机构状态进行验证，不留存实验室的核心技术机密。</w:t>
      </w:r>
    </w:p>
    <w:p w14:paraId="00CF9ACC">
      <w:pPr>
        <w:pStyle w:val="30"/>
        <w:ind w:left="0" w:leftChars="0" w:firstLine="0" w:firstLineChars="0"/>
        <w:rPr>
          <w:rFonts w:hint="eastAsia" w:ascii="宋体" w:hAnsi="宋体" w:eastAsia="宋体" w:cs="宋体"/>
        </w:rPr>
      </w:pPr>
    </w:p>
    <w:p w14:paraId="267351E0">
      <w:pPr>
        <w:pStyle w:val="30"/>
        <w:ind w:left="0" w:leftChars="0" w:firstLine="0" w:firstLineChars="0"/>
        <w:rPr>
          <w:rFonts w:hint="eastAsia" w:ascii="黑体" w:hAnsi="黑体" w:eastAsia="黑体" w:cs="黑体"/>
        </w:rPr>
      </w:pPr>
      <w:r>
        <w:rPr>
          <w:rFonts w:hint="eastAsia" w:ascii="黑体" w:hAnsi="黑体" w:eastAsia="黑体" w:cs="黑体"/>
        </w:rPr>
        <w:t>4.13 绿色运营能力</w:t>
      </w:r>
    </w:p>
    <w:p w14:paraId="312882A9">
      <w:pPr>
        <w:pStyle w:val="30"/>
        <w:ind w:left="0" w:leftChars="0" w:firstLine="0" w:firstLineChars="0"/>
        <w:rPr>
          <w:rFonts w:hint="eastAsia" w:ascii="黑体" w:hAnsi="黑体" w:eastAsia="黑体" w:cs="黑体"/>
        </w:rPr>
      </w:pPr>
    </w:p>
    <w:p w14:paraId="22C41046">
      <w:pPr>
        <w:pStyle w:val="30"/>
        <w:ind w:left="0" w:leftChars="0" w:firstLine="0" w:firstLineChars="0"/>
        <w:rPr>
          <w:rFonts w:hint="default" w:ascii="宋体" w:hAnsi="宋体" w:eastAsia="宋体" w:cs="宋体"/>
          <w:lang w:val="en-US" w:eastAsia="zh-CN"/>
        </w:rPr>
      </w:pPr>
      <w:r>
        <w:rPr>
          <w:rFonts w:hint="eastAsia" w:ascii="黑体" w:hAnsi="黑体" w:eastAsia="黑体" w:cs="黑体"/>
        </w:rPr>
        <w:t>4.13.1</w:t>
      </w:r>
      <w:r>
        <w:rPr>
          <w:rFonts w:hint="eastAsia" w:ascii="宋体" w:hAnsi="宋体" w:eastAsia="宋体" w:cs="宋体"/>
        </w:rPr>
        <w:t xml:space="preserve"> 能效管理：实验室应建立水、电、气等能源消耗的监控与统计制度，安装计量器具，并制定可行的节能降耗措施及目标</w:t>
      </w:r>
      <w:r>
        <w:rPr>
          <w:rFonts w:hint="eastAsia" w:hAnsi="宋体" w:cs="宋体"/>
          <w:lang w:val="en-US" w:eastAsia="zh-CN"/>
        </w:rPr>
        <w:t>,</w:t>
      </w:r>
      <w:r>
        <w:rPr>
          <w:rFonts w:hint="eastAsia" w:ascii="宋体" w:hAnsi="宋体" w:eastAsia="宋体" w:cs="宋体"/>
        </w:rPr>
        <w:t>检测业务量综合能耗年降幅</w:t>
      </w:r>
      <w:r>
        <w:rPr>
          <w:rFonts w:hint="eastAsia" w:ascii="宋体" w:hAnsi="宋体" w:eastAsia="宋体" w:cs="宋体"/>
          <w:kern w:val="0"/>
          <w:sz w:val="21"/>
          <w:szCs w:val="20"/>
          <w:lang w:val="en-US" w:eastAsia="zh-CN" w:bidi="ar-SA"/>
        </w:rPr>
        <w:t>≥3%</w:t>
      </w:r>
      <w:r>
        <w:rPr>
          <w:rFonts w:hint="eastAsia" w:ascii="宋体" w:hAnsi="宋体" w:eastAsia="宋体" w:cs="宋体"/>
          <w:lang w:val="en-US" w:eastAsia="zh-CN"/>
        </w:rPr>
        <w:t>(</w:t>
      </w:r>
      <w:r>
        <w:rPr>
          <w:rFonts w:hint="eastAsia" w:ascii="宋体" w:hAnsi="宋体" w:eastAsia="宋体" w:cs="宋体"/>
        </w:rPr>
        <w:t>参考</w:t>
      </w:r>
      <w:r>
        <w:rPr>
          <w:rFonts w:hint="eastAsia" w:ascii="宋体" w:hAnsi="宋体" w:eastAsia="宋体" w:cs="宋体"/>
          <w:kern w:val="0"/>
          <w:sz w:val="21"/>
          <w:szCs w:val="20"/>
          <w:lang w:val="en-US" w:eastAsia="zh-CN" w:bidi="ar-SA"/>
        </w:rPr>
        <w:t>GB/T 33760</w:t>
      </w:r>
      <w:r>
        <w:rPr>
          <w:rFonts w:hint="eastAsia" w:ascii="宋体" w:hAnsi="宋体" w:eastAsia="宋体" w:cs="宋体"/>
          <w:lang w:val="en-US" w:eastAsia="zh-CN"/>
        </w:rPr>
        <w:t>)。</w:t>
      </w:r>
    </w:p>
    <w:p w14:paraId="2BBF5372">
      <w:pPr>
        <w:pStyle w:val="30"/>
        <w:ind w:left="0" w:leftChars="0" w:firstLine="0" w:firstLineChars="0"/>
        <w:rPr>
          <w:rFonts w:hint="eastAsia" w:ascii="宋体" w:hAnsi="宋体" w:eastAsia="宋体" w:cs="宋体"/>
        </w:rPr>
      </w:pPr>
      <w:r>
        <w:rPr>
          <w:rFonts w:hint="eastAsia" w:ascii="黑体" w:hAnsi="黑体" w:eastAsia="黑体" w:cs="黑体"/>
        </w:rPr>
        <w:t>4.13.2</w:t>
      </w:r>
      <w:r>
        <w:rPr>
          <w:rFonts w:hint="eastAsia" w:ascii="宋体" w:hAnsi="宋体" w:eastAsia="宋体" w:cs="宋体"/>
        </w:rPr>
        <w:t xml:space="preserve"> 资源减量化：在保证检测质量的前提下，推广使用微量分析技术以减少试剂消耗；实施废液、废弃耗材的资源化利用或减量化处理；鼓励实验室申请并获得“绿色实验室”相关评价或认证。</w:t>
      </w:r>
    </w:p>
    <w:p w14:paraId="56899629">
      <w:pPr>
        <w:pStyle w:val="30"/>
        <w:ind w:left="0" w:leftChars="0" w:firstLine="0" w:firstLineChars="0"/>
        <w:rPr>
          <w:rFonts w:hint="eastAsia" w:ascii="宋体" w:hAnsi="宋体" w:eastAsia="宋体" w:cs="宋体"/>
        </w:rPr>
      </w:pPr>
    </w:p>
    <w:p w14:paraId="7F1442AB">
      <w:pPr>
        <w:pStyle w:val="30"/>
        <w:ind w:left="0" w:leftChars="0" w:firstLine="0" w:firstLineChars="0"/>
        <w:rPr>
          <w:rFonts w:hint="eastAsia" w:ascii="黑体" w:hAnsi="黑体" w:eastAsia="黑体" w:cs="黑体"/>
        </w:rPr>
      </w:pPr>
      <w:r>
        <w:rPr>
          <w:rFonts w:hint="eastAsia" w:ascii="黑体" w:hAnsi="黑体" w:eastAsia="黑体" w:cs="黑体"/>
        </w:rPr>
        <w:t>4.14 行业贡献</w:t>
      </w:r>
    </w:p>
    <w:p w14:paraId="218ADFAE">
      <w:pPr>
        <w:pStyle w:val="30"/>
        <w:ind w:left="0" w:leftChars="0" w:firstLine="0" w:firstLineChars="0"/>
        <w:rPr>
          <w:rFonts w:hint="eastAsia" w:ascii="黑体" w:hAnsi="黑体" w:eastAsia="黑体" w:cs="黑体"/>
        </w:rPr>
      </w:pPr>
    </w:p>
    <w:p w14:paraId="55FBC05E">
      <w:pPr>
        <w:pStyle w:val="30"/>
        <w:ind w:left="0" w:leftChars="0" w:firstLine="0" w:firstLineChars="0"/>
        <w:rPr>
          <w:rFonts w:hint="eastAsia" w:ascii="宋体" w:hAnsi="宋体" w:eastAsia="宋体" w:cs="宋体"/>
        </w:rPr>
      </w:pPr>
      <w:r>
        <w:rPr>
          <w:rFonts w:hint="eastAsia" w:ascii="宋体" w:hAnsi="宋体" w:eastAsia="宋体" w:cs="宋体"/>
        </w:rPr>
        <w:t>鼓励实验室在满足基本要求的基础上，积极争取行业荣誉与贡献：</w:t>
      </w:r>
    </w:p>
    <w:p w14:paraId="4FC83F08">
      <w:pPr>
        <w:pStyle w:val="30"/>
        <w:ind w:left="0" w:leftChars="0" w:firstLine="0" w:firstLineChars="0"/>
        <w:rPr>
          <w:rFonts w:hint="eastAsia" w:ascii="宋体" w:hAnsi="宋体" w:eastAsia="宋体" w:cs="宋体"/>
        </w:rPr>
      </w:pPr>
      <w:r>
        <w:rPr>
          <w:rFonts w:hint="eastAsia" w:hAnsi="宋体" w:cs="宋体"/>
          <w:lang w:eastAsia="zh-CN"/>
        </w:rPr>
        <w:t>a）</w:t>
      </w:r>
      <w:r>
        <w:rPr>
          <w:rFonts w:hint="eastAsia" w:ascii="宋体" w:hAnsi="宋体" w:eastAsia="宋体" w:cs="宋体"/>
        </w:rPr>
        <w:t xml:space="preserve"> 获得省部级及以上“优秀检测机构</w:t>
      </w:r>
      <w:r>
        <w:rPr>
          <w:rFonts w:hint="eastAsia" w:hAnsi="宋体" w:cs="宋体"/>
          <w:lang w:eastAsia="zh-CN"/>
        </w:rPr>
        <w:t>”“</w:t>
      </w:r>
      <w:r>
        <w:rPr>
          <w:rFonts w:hint="eastAsia" w:ascii="宋体" w:hAnsi="宋体" w:eastAsia="宋体" w:cs="宋体"/>
        </w:rPr>
        <w:t>质量标杆</w:t>
      </w:r>
      <w:r>
        <w:rPr>
          <w:rFonts w:hint="eastAsia" w:hAnsi="宋体" w:cs="宋体"/>
          <w:lang w:eastAsia="zh-CN"/>
        </w:rPr>
        <w:t>”“</w:t>
      </w:r>
      <w:r>
        <w:rPr>
          <w:rFonts w:hint="eastAsia" w:ascii="宋体" w:hAnsi="宋体" w:eastAsia="宋体" w:cs="宋体"/>
        </w:rPr>
        <w:t>专精特新”企业等荣誉称号；</w:t>
      </w:r>
    </w:p>
    <w:p w14:paraId="261BE51A">
      <w:pPr>
        <w:pStyle w:val="30"/>
        <w:ind w:left="0" w:leftChars="0" w:firstLine="0" w:firstLineChars="0"/>
        <w:rPr>
          <w:rFonts w:hint="eastAsia" w:ascii="宋体" w:hAnsi="宋体" w:eastAsia="宋体" w:cs="宋体"/>
        </w:rPr>
      </w:pPr>
      <w:r>
        <w:rPr>
          <w:rFonts w:hint="eastAsia" w:hAnsi="宋体" w:cs="宋体"/>
          <w:lang w:eastAsia="zh-CN"/>
        </w:rPr>
        <w:t>b）</w:t>
      </w:r>
      <w:r>
        <w:rPr>
          <w:rFonts w:hint="eastAsia" w:ascii="宋体" w:hAnsi="宋体" w:eastAsia="宋体" w:cs="宋体"/>
        </w:rPr>
        <w:t xml:space="preserve"> 组织或选派人员参加全国性、行业性或省市级的检测技能竞赛并获得奖项；</w:t>
      </w:r>
    </w:p>
    <w:p w14:paraId="4A078ABB">
      <w:pPr>
        <w:pStyle w:val="30"/>
        <w:ind w:left="0" w:leftChars="0" w:firstLine="0" w:firstLineChars="0"/>
        <w:rPr>
          <w:rFonts w:hint="eastAsia" w:ascii="宋体" w:hAnsi="宋体" w:eastAsia="宋体" w:cs="宋体"/>
        </w:rPr>
      </w:pPr>
      <w:r>
        <w:rPr>
          <w:rFonts w:hint="eastAsia" w:hAnsi="宋体" w:cs="宋体"/>
          <w:lang w:eastAsia="zh-CN"/>
        </w:rPr>
        <w:t>c）</w:t>
      </w:r>
      <w:r>
        <w:rPr>
          <w:rFonts w:hint="eastAsia" w:ascii="宋体" w:hAnsi="宋体" w:eastAsia="宋体" w:cs="宋体"/>
        </w:rPr>
        <w:t xml:space="preserve"> 主动对接制造企业，协助其建设绿色供应链管控平台或提供数字化转型技术服务。</w:t>
      </w:r>
    </w:p>
    <w:p w14:paraId="0F29DD0E">
      <w:pPr>
        <w:pStyle w:val="31"/>
        <w:bidi w:val="0"/>
      </w:pPr>
      <w:bookmarkStart w:id="64" w:name="_Toc23687"/>
      <w:r>
        <w:rPr>
          <w:rFonts w:hint="eastAsia"/>
        </w:rPr>
        <w:t>评分标准</w:t>
      </w:r>
      <w:bookmarkEnd w:id="64"/>
    </w:p>
    <w:p w14:paraId="54121586">
      <w:pPr>
        <w:pStyle w:val="32"/>
        <w:spacing w:before="156" w:after="156"/>
        <w:rPr>
          <w:rFonts w:hAnsi="黑体" w:cs="黑体"/>
          <w:szCs w:val="21"/>
        </w:rPr>
      </w:pPr>
      <w:r>
        <w:rPr>
          <w:rFonts w:hint="eastAsia" w:hAnsi="黑体" w:cs="黑体"/>
          <w:szCs w:val="21"/>
        </w:rPr>
        <w:t>总分设定</w:t>
      </w:r>
    </w:p>
    <w:p w14:paraId="26F173C9">
      <w:pPr>
        <w:pStyle w:val="30"/>
        <w:rPr>
          <w:rFonts w:hint="eastAsia"/>
        </w:rPr>
      </w:pPr>
      <w:r>
        <w:rPr>
          <w:rFonts w:hint="eastAsia"/>
        </w:rPr>
        <w:t>实验室评价采用千分制，总分</w:t>
      </w:r>
      <w:r>
        <w:rPr>
          <w:rFonts w:hint="eastAsia" w:ascii="Arial" w:hAnsi="Arial" w:eastAsia="宋体" w:cs="Arial"/>
          <w:kern w:val="0"/>
          <w:sz w:val="21"/>
          <w:szCs w:val="20"/>
          <w:lang w:val="en-US" w:eastAsia="zh-CN" w:bidi="ar-SA"/>
        </w:rPr>
        <w:t>1000</w:t>
      </w:r>
      <w:r>
        <w:rPr>
          <w:rFonts w:hint="eastAsia"/>
        </w:rPr>
        <w:t>分</w:t>
      </w:r>
      <w:r>
        <w:rPr>
          <w:rFonts w:hint="eastAsia"/>
          <w:lang w:eastAsia="zh-CN"/>
        </w:rPr>
        <w:t>，</w:t>
      </w:r>
      <w:r>
        <w:rPr>
          <w:rFonts w:hint="eastAsia"/>
        </w:rPr>
        <w:t>各评价类别构成见表1。</w:t>
      </w:r>
    </w:p>
    <w:p w14:paraId="0443408B">
      <w:pPr>
        <w:pStyle w:val="30"/>
        <w:rPr>
          <w:rFonts w:hint="eastAsia"/>
        </w:rPr>
      </w:pPr>
    </w:p>
    <w:p w14:paraId="6AB413CB">
      <w:pPr>
        <w:pStyle w:val="30"/>
        <w:ind w:left="0" w:leftChars="0" w:firstLine="0" w:firstLineChars="0"/>
        <w:jc w:val="center"/>
        <w:rPr>
          <w:rFonts w:hint="eastAsia" w:ascii="宋体" w:hAnsi="宋体" w:eastAsia="宋体" w:cs="宋体"/>
        </w:rPr>
      </w:pPr>
      <w:r>
        <w:rPr>
          <w:rFonts w:hint="eastAsia" w:ascii="宋体" w:hAnsi="宋体" w:eastAsia="宋体" w:cs="宋体"/>
        </w:rPr>
        <w:t>表1 评价体系构成表</w:t>
      </w:r>
    </w:p>
    <w:tbl>
      <w:tblPr>
        <w:tblStyle w:val="15"/>
        <w:tblW w:w="494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76"/>
        <w:gridCol w:w="1590"/>
        <w:gridCol w:w="1554"/>
        <w:gridCol w:w="3346"/>
        <w:gridCol w:w="1662"/>
      </w:tblGrid>
      <w:tr w14:paraId="42811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13C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评价类别</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77A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权重</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6C8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满分</w:t>
            </w:r>
          </w:p>
        </w:tc>
        <w:tc>
          <w:tcPr>
            <w:tcW w:w="17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98280">
            <w:pPr>
              <w:keepNext w:val="0"/>
              <w:keepLines w:val="0"/>
              <w:widowControl/>
              <w:suppressLineNumbers w:val="0"/>
              <w:jc w:val="left"/>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包含一级指标</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FEB4B">
            <w:pPr>
              <w:keepNext w:val="0"/>
              <w:keepLines w:val="0"/>
              <w:widowControl/>
              <w:suppressLineNumbers w:val="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配分</w:t>
            </w:r>
          </w:p>
        </w:tc>
      </w:tr>
      <w:tr w14:paraId="20E2B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722" w:type="pct"/>
            <w:vMerge w:val="restart"/>
            <w:tcBorders>
              <w:left w:val="single" w:color="000000" w:sz="4" w:space="0"/>
              <w:right w:val="single" w:color="000000" w:sz="4" w:space="0"/>
            </w:tcBorders>
            <w:shd w:val="clear" w:color="auto" w:fill="auto"/>
            <w:vAlign w:val="center"/>
          </w:tcPr>
          <w:p w14:paraId="00EBB793">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基础项</w:t>
            </w:r>
          </w:p>
        </w:tc>
        <w:tc>
          <w:tcPr>
            <w:tcW w:w="834" w:type="pct"/>
            <w:vMerge w:val="restart"/>
            <w:tcBorders>
              <w:left w:val="single" w:color="000000" w:sz="4" w:space="0"/>
              <w:right w:val="single" w:color="000000" w:sz="4" w:space="0"/>
            </w:tcBorders>
            <w:shd w:val="clear" w:color="auto" w:fill="auto"/>
            <w:vAlign w:val="center"/>
          </w:tcPr>
          <w:p w14:paraId="0791A2A9">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65%</w:t>
            </w:r>
          </w:p>
        </w:tc>
        <w:tc>
          <w:tcPr>
            <w:tcW w:w="815" w:type="pct"/>
            <w:vMerge w:val="restart"/>
            <w:tcBorders>
              <w:left w:val="single" w:color="000000" w:sz="4" w:space="0"/>
              <w:right w:val="single" w:color="000000" w:sz="4" w:space="0"/>
            </w:tcBorders>
            <w:shd w:val="clear" w:color="auto" w:fill="auto"/>
            <w:vAlign w:val="center"/>
          </w:tcPr>
          <w:p w14:paraId="1D4A3E5D">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650</w:t>
            </w:r>
          </w:p>
        </w:tc>
        <w:tc>
          <w:tcPr>
            <w:tcW w:w="1755" w:type="pct"/>
            <w:tcBorders>
              <w:top w:val="single" w:color="auto" w:sz="4" w:space="0"/>
              <w:left w:val="single" w:color="000000" w:sz="4" w:space="0"/>
              <w:bottom w:val="single" w:color="auto" w:sz="4" w:space="0"/>
              <w:right w:val="single" w:color="000000" w:sz="4" w:space="0"/>
            </w:tcBorders>
            <w:shd w:val="clear" w:color="auto" w:fill="auto"/>
            <w:vAlign w:val="center"/>
          </w:tcPr>
          <w:p w14:paraId="17F3CC5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 资质与合规性</w:t>
            </w:r>
          </w:p>
        </w:tc>
        <w:tc>
          <w:tcPr>
            <w:tcW w:w="872" w:type="pct"/>
            <w:tcBorders>
              <w:top w:val="single" w:color="auto" w:sz="4" w:space="0"/>
              <w:left w:val="single" w:color="000000" w:sz="4" w:space="0"/>
              <w:bottom w:val="single" w:color="auto" w:sz="4" w:space="0"/>
              <w:right w:val="single" w:color="000000" w:sz="4" w:space="0"/>
            </w:tcBorders>
            <w:shd w:val="clear" w:color="auto" w:fill="auto"/>
            <w:vAlign w:val="center"/>
          </w:tcPr>
          <w:p w14:paraId="59CBAE9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70分</w:t>
            </w:r>
          </w:p>
        </w:tc>
      </w:tr>
      <w:tr w14:paraId="2B79B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722" w:type="pct"/>
            <w:vMerge w:val="continue"/>
            <w:tcBorders>
              <w:left w:val="single" w:color="000000" w:sz="4" w:space="0"/>
              <w:right w:val="single" w:color="000000" w:sz="4" w:space="0"/>
            </w:tcBorders>
            <w:shd w:val="clear" w:color="auto" w:fill="auto"/>
            <w:vAlign w:val="center"/>
          </w:tcPr>
          <w:p w14:paraId="32D7375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34" w:type="pct"/>
            <w:vMerge w:val="continue"/>
            <w:tcBorders>
              <w:left w:val="single" w:color="000000" w:sz="4" w:space="0"/>
              <w:right w:val="single" w:color="000000" w:sz="4" w:space="0"/>
            </w:tcBorders>
            <w:shd w:val="clear" w:color="auto" w:fill="auto"/>
            <w:vAlign w:val="center"/>
          </w:tcPr>
          <w:p w14:paraId="13F0EA3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15" w:type="pct"/>
            <w:vMerge w:val="continue"/>
            <w:tcBorders>
              <w:left w:val="single" w:color="000000" w:sz="4" w:space="0"/>
              <w:right w:val="single" w:color="000000" w:sz="4" w:space="0"/>
            </w:tcBorders>
            <w:shd w:val="clear" w:color="auto" w:fill="auto"/>
            <w:vAlign w:val="center"/>
          </w:tcPr>
          <w:p w14:paraId="1BB0E36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pct"/>
            <w:tcBorders>
              <w:top w:val="single" w:color="auto" w:sz="4" w:space="0"/>
              <w:left w:val="single" w:color="000000" w:sz="4" w:space="0"/>
              <w:bottom w:val="single" w:color="auto" w:sz="4" w:space="0"/>
              <w:right w:val="single" w:color="000000" w:sz="4" w:space="0"/>
            </w:tcBorders>
            <w:shd w:val="clear" w:color="auto" w:fill="auto"/>
            <w:vAlign w:val="center"/>
          </w:tcPr>
          <w:p w14:paraId="0F20615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 人员能力</w:t>
            </w:r>
          </w:p>
        </w:tc>
        <w:tc>
          <w:tcPr>
            <w:tcW w:w="872" w:type="pct"/>
            <w:tcBorders>
              <w:top w:val="single" w:color="auto" w:sz="4" w:space="0"/>
              <w:left w:val="single" w:color="000000" w:sz="4" w:space="0"/>
              <w:bottom w:val="single" w:color="auto" w:sz="4" w:space="0"/>
              <w:right w:val="single" w:color="000000" w:sz="4" w:space="0"/>
            </w:tcBorders>
            <w:shd w:val="clear" w:color="auto" w:fill="auto"/>
            <w:vAlign w:val="center"/>
          </w:tcPr>
          <w:p w14:paraId="5C39CA2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80分</w:t>
            </w:r>
          </w:p>
        </w:tc>
      </w:tr>
      <w:tr w14:paraId="61F0E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722" w:type="pct"/>
            <w:vMerge w:val="continue"/>
            <w:tcBorders>
              <w:left w:val="single" w:color="000000" w:sz="4" w:space="0"/>
              <w:right w:val="single" w:color="000000" w:sz="4" w:space="0"/>
            </w:tcBorders>
            <w:shd w:val="clear" w:color="auto" w:fill="auto"/>
            <w:vAlign w:val="center"/>
          </w:tcPr>
          <w:p w14:paraId="1E20D6D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34" w:type="pct"/>
            <w:vMerge w:val="continue"/>
            <w:tcBorders>
              <w:left w:val="single" w:color="000000" w:sz="4" w:space="0"/>
              <w:right w:val="single" w:color="000000" w:sz="4" w:space="0"/>
            </w:tcBorders>
            <w:shd w:val="clear" w:color="auto" w:fill="auto"/>
            <w:vAlign w:val="center"/>
          </w:tcPr>
          <w:p w14:paraId="78F1353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15" w:type="pct"/>
            <w:vMerge w:val="continue"/>
            <w:tcBorders>
              <w:left w:val="single" w:color="000000" w:sz="4" w:space="0"/>
              <w:right w:val="single" w:color="000000" w:sz="4" w:space="0"/>
            </w:tcBorders>
            <w:shd w:val="clear" w:color="auto" w:fill="auto"/>
            <w:vAlign w:val="center"/>
          </w:tcPr>
          <w:p w14:paraId="188FEF6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pct"/>
            <w:tcBorders>
              <w:top w:val="single" w:color="auto" w:sz="4" w:space="0"/>
              <w:left w:val="single" w:color="000000" w:sz="4" w:space="0"/>
              <w:bottom w:val="single" w:color="auto" w:sz="4" w:space="0"/>
              <w:right w:val="single" w:color="000000" w:sz="4" w:space="0"/>
            </w:tcBorders>
            <w:shd w:val="clear" w:color="auto" w:fill="auto"/>
            <w:vAlign w:val="center"/>
          </w:tcPr>
          <w:p w14:paraId="0A170B8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 检测设备</w:t>
            </w:r>
          </w:p>
        </w:tc>
        <w:tc>
          <w:tcPr>
            <w:tcW w:w="872" w:type="pct"/>
            <w:tcBorders>
              <w:top w:val="single" w:color="auto" w:sz="4" w:space="0"/>
              <w:left w:val="single" w:color="000000" w:sz="4" w:space="0"/>
              <w:bottom w:val="single" w:color="auto" w:sz="4" w:space="0"/>
              <w:right w:val="single" w:color="000000" w:sz="4" w:space="0"/>
            </w:tcBorders>
            <w:shd w:val="clear" w:color="auto" w:fill="auto"/>
            <w:vAlign w:val="center"/>
          </w:tcPr>
          <w:p w14:paraId="39E4642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80分</w:t>
            </w:r>
          </w:p>
        </w:tc>
      </w:tr>
      <w:tr w14:paraId="6EDD9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722" w:type="pct"/>
            <w:vMerge w:val="continue"/>
            <w:tcBorders>
              <w:left w:val="single" w:color="000000" w:sz="4" w:space="0"/>
              <w:right w:val="single" w:color="000000" w:sz="4" w:space="0"/>
            </w:tcBorders>
            <w:shd w:val="clear" w:color="auto" w:fill="auto"/>
            <w:vAlign w:val="center"/>
          </w:tcPr>
          <w:p w14:paraId="3745A21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34" w:type="pct"/>
            <w:vMerge w:val="continue"/>
            <w:tcBorders>
              <w:left w:val="single" w:color="000000" w:sz="4" w:space="0"/>
              <w:right w:val="single" w:color="000000" w:sz="4" w:space="0"/>
            </w:tcBorders>
            <w:shd w:val="clear" w:color="auto" w:fill="auto"/>
            <w:vAlign w:val="center"/>
          </w:tcPr>
          <w:p w14:paraId="6133215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15" w:type="pct"/>
            <w:vMerge w:val="continue"/>
            <w:tcBorders>
              <w:left w:val="single" w:color="000000" w:sz="4" w:space="0"/>
              <w:right w:val="single" w:color="000000" w:sz="4" w:space="0"/>
            </w:tcBorders>
            <w:shd w:val="clear" w:color="auto" w:fill="auto"/>
            <w:vAlign w:val="center"/>
          </w:tcPr>
          <w:p w14:paraId="3D0BF82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pct"/>
            <w:tcBorders>
              <w:top w:val="single" w:color="auto" w:sz="4" w:space="0"/>
              <w:left w:val="single" w:color="000000" w:sz="4" w:space="0"/>
              <w:bottom w:val="single" w:color="auto" w:sz="4" w:space="0"/>
              <w:right w:val="single" w:color="000000" w:sz="4" w:space="0"/>
            </w:tcBorders>
            <w:shd w:val="clear" w:color="auto" w:fill="auto"/>
            <w:vAlign w:val="center"/>
          </w:tcPr>
          <w:p w14:paraId="58D038A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 物料管理</w:t>
            </w:r>
          </w:p>
        </w:tc>
        <w:tc>
          <w:tcPr>
            <w:tcW w:w="872" w:type="pct"/>
            <w:tcBorders>
              <w:top w:val="single" w:color="auto" w:sz="4" w:space="0"/>
              <w:left w:val="single" w:color="000000" w:sz="4" w:space="0"/>
              <w:bottom w:val="single" w:color="auto" w:sz="4" w:space="0"/>
              <w:right w:val="single" w:color="000000" w:sz="4" w:space="0"/>
            </w:tcBorders>
            <w:shd w:val="clear" w:color="auto" w:fill="auto"/>
            <w:vAlign w:val="center"/>
          </w:tcPr>
          <w:p w14:paraId="06CFBD6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70分</w:t>
            </w:r>
          </w:p>
        </w:tc>
      </w:tr>
      <w:tr w14:paraId="0D65E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722" w:type="pct"/>
            <w:vMerge w:val="continue"/>
            <w:tcBorders>
              <w:left w:val="single" w:color="000000" w:sz="4" w:space="0"/>
              <w:right w:val="single" w:color="000000" w:sz="4" w:space="0"/>
            </w:tcBorders>
            <w:shd w:val="clear" w:color="auto" w:fill="auto"/>
            <w:vAlign w:val="center"/>
          </w:tcPr>
          <w:p w14:paraId="6F73A24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34" w:type="pct"/>
            <w:vMerge w:val="continue"/>
            <w:tcBorders>
              <w:left w:val="single" w:color="000000" w:sz="4" w:space="0"/>
              <w:right w:val="single" w:color="000000" w:sz="4" w:space="0"/>
            </w:tcBorders>
            <w:shd w:val="clear" w:color="auto" w:fill="auto"/>
            <w:vAlign w:val="center"/>
          </w:tcPr>
          <w:p w14:paraId="1400BB7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15" w:type="pct"/>
            <w:vMerge w:val="continue"/>
            <w:tcBorders>
              <w:left w:val="single" w:color="000000" w:sz="4" w:space="0"/>
              <w:right w:val="single" w:color="000000" w:sz="4" w:space="0"/>
            </w:tcBorders>
            <w:shd w:val="clear" w:color="auto" w:fill="auto"/>
            <w:vAlign w:val="center"/>
          </w:tcPr>
          <w:p w14:paraId="2A96F95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pct"/>
            <w:tcBorders>
              <w:top w:val="single" w:color="auto" w:sz="4" w:space="0"/>
              <w:left w:val="single" w:color="000000" w:sz="4" w:space="0"/>
              <w:bottom w:val="single" w:color="auto" w:sz="4" w:space="0"/>
              <w:right w:val="single" w:color="000000" w:sz="4" w:space="0"/>
            </w:tcBorders>
            <w:shd w:val="clear" w:color="auto" w:fill="auto"/>
            <w:vAlign w:val="center"/>
          </w:tcPr>
          <w:p w14:paraId="0FAD2F8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 方法与文件</w:t>
            </w:r>
          </w:p>
        </w:tc>
        <w:tc>
          <w:tcPr>
            <w:tcW w:w="872" w:type="pct"/>
            <w:tcBorders>
              <w:top w:val="single" w:color="auto" w:sz="4" w:space="0"/>
              <w:left w:val="single" w:color="000000" w:sz="4" w:space="0"/>
              <w:bottom w:val="single" w:color="auto" w:sz="4" w:space="0"/>
              <w:right w:val="single" w:color="000000" w:sz="4" w:space="0"/>
            </w:tcBorders>
            <w:shd w:val="clear" w:color="auto" w:fill="auto"/>
            <w:vAlign w:val="center"/>
          </w:tcPr>
          <w:p w14:paraId="49A7E0C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70分</w:t>
            </w:r>
          </w:p>
        </w:tc>
      </w:tr>
      <w:tr w14:paraId="0FC29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722" w:type="pct"/>
            <w:vMerge w:val="continue"/>
            <w:tcBorders>
              <w:left w:val="single" w:color="000000" w:sz="4" w:space="0"/>
              <w:right w:val="single" w:color="000000" w:sz="4" w:space="0"/>
            </w:tcBorders>
            <w:shd w:val="clear" w:color="auto" w:fill="auto"/>
            <w:vAlign w:val="center"/>
          </w:tcPr>
          <w:p w14:paraId="0D80F2A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34" w:type="pct"/>
            <w:vMerge w:val="continue"/>
            <w:tcBorders>
              <w:left w:val="single" w:color="000000" w:sz="4" w:space="0"/>
              <w:right w:val="single" w:color="000000" w:sz="4" w:space="0"/>
            </w:tcBorders>
            <w:shd w:val="clear" w:color="auto" w:fill="auto"/>
            <w:vAlign w:val="center"/>
          </w:tcPr>
          <w:p w14:paraId="18205A0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15" w:type="pct"/>
            <w:vMerge w:val="continue"/>
            <w:tcBorders>
              <w:left w:val="single" w:color="000000" w:sz="4" w:space="0"/>
              <w:right w:val="single" w:color="000000" w:sz="4" w:space="0"/>
            </w:tcBorders>
            <w:shd w:val="clear" w:color="auto" w:fill="auto"/>
            <w:vAlign w:val="center"/>
          </w:tcPr>
          <w:p w14:paraId="6CD0C1D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pct"/>
            <w:tcBorders>
              <w:top w:val="single" w:color="auto" w:sz="4" w:space="0"/>
              <w:left w:val="single" w:color="000000" w:sz="4" w:space="0"/>
              <w:bottom w:val="single" w:color="auto" w:sz="4" w:space="0"/>
              <w:right w:val="single" w:color="000000" w:sz="4" w:space="0"/>
            </w:tcBorders>
            <w:shd w:val="clear" w:color="auto" w:fill="auto"/>
            <w:vAlign w:val="center"/>
          </w:tcPr>
          <w:p w14:paraId="7650B2A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 实验室环境</w:t>
            </w:r>
          </w:p>
        </w:tc>
        <w:tc>
          <w:tcPr>
            <w:tcW w:w="872" w:type="pct"/>
            <w:tcBorders>
              <w:top w:val="single" w:color="auto" w:sz="4" w:space="0"/>
              <w:left w:val="single" w:color="000000" w:sz="4" w:space="0"/>
              <w:bottom w:val="single" w:color="auto" w:sz="4" w:space="0"/>
              <w:right w:val="single" w:color="000000" w:sz="4" w:space="0"/>
            </w:tcBorders>
            <w:shd w:val="clear" w:color="auto" w:fill="auto"/>
            <w:vAlign w:val="center"/>
          </w:tcPr>
          <w:p w14:paraId="6137E37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70分</w:t>
            </w:r>
          </w:p>
        </w:tc>
      </w:tr>
      <w:tr w14:paraId="4B019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722" w:type="pct"/>
            <w:vMerge w:val="continue"/>
            <w:tcBorders>
              <w:left w:val="single" w:color="000000" w:sz="4" w:space="0"/>
              <w:right w:val="single" w:color="000000" w:sz="4" w:space="0"/>
            </w:tcBorders>
            <w:shd w:val="clear" w:color="auto" w:fill="auto"/>
            <w:vAlign w:val="center"/>
          </w:tcPr>
          <w:p w14:paraId="5C87832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34" w:type="pct"/>
            <w:vMerge w:val="continue"/>
            <w:tcBorders>
              <w:left w:val="single" w:color="000000" w:sz="4" w:space="0"/>
              <w:right w:val="single" w:color="000000" w:sz="4" w:space="0"/>
            </w:tcBorders>
            <w:shd w:val="clear" w:color="auto" w:fill="auto"/>
            <w:vAlign w:val="center"/>
          </w:tcPr>
          <w:p w14:paraId="75E97D4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15" w:type="pct"/>
            <w:vMerge w:val="continue"/>
            <w:tcBorders>
              <w:left w:val="single" w:color="000000" w:sz="4" w:space="0"/>
              <w:right w:val="single" w:color="000000" w:sz="4" w:space="0"/>
            </w:tcBorders>
            <w:shd w:val="clear" w:color="auto" w:fill="auto"/>
            <w:vAlign w:val="center"/>
          </w:tcPr>
          <w:p w14:paraId="79B7F5D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pct"/>
            <w:tcBorders>
              <w:top w:val="single" w:color="auto" w:sz="4" w:space="0"/>
              <w:left w:val="single" w:color="000000" w:sz="4" w:space="0"/>
              <w:bottom w:val="single" w:color="auto" w:sz="4" w:space="0"/>
              <w:right w:val="single" w:color="000000" w:sz="4" w:space="0"/>
            </w:tcBorders>
            <w:shd w:val="clear" w:color="auto" w:fill="auto"/>
            <w:vAlign w:val="center"/>
          </w:tcPr>
          <w:p w14:paraId="12746DC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 检测过程控制</w:t>
            </w:r>
          </w:p>
        </w:tc>
        <w:tc>
          <w:tcPr>
            <w:tcW w:w="872" w:type="pct"/>
            <w:tcBorders>
              <w:top w:val="single" w:color="auto" w:sz="4" w:space="0"/>
              <w:left w:val="single" w:color="000000" w:sz="4" w:space="0"/>
              <w:bottom w:val="single" w:color="auto" w:sz="4" w:space="0"/>
              <w:right w:val="single" w:color="000000" w:sz="4" w:space="0"/>
            </w:tcBorders>
            <w:shd w:val="clear" w:color="auto" w:fill="auto"/>
            <w:vAlign w:val="center"/>
          </w:tcPr>
          <w:p w14:paraId="1ADBD85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110分</w:t>
            </w:r>
          </w:p>
        </w:tc>
      </w:tr>
      <w:tr w14:paraId="4495D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722" w:type="pct"/>
            <w:vMerge w:val="continue"/>
            <w:tcBorders>
              <w:left w:val="single" w:color="000000" w:sz="4" w:space="0"/>
              <w:bottom w:val="single" w:color="auto" w:sz="4" w:space="0"/>
              <w:right w:val="single" w:color="000000" w:sz="4" w:space="0"/>
            </w:tcBorders>
            <w:shd w:val="clear" w:color="auto" w:fill="auto"/>
            <w:vAlign w:val="center"/>
          </w:tcPr>
          <w:p w14:paraId="3460EDC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34" w:type="pct"/>
            <w:vMerge w:val="continue"/>
            <w:tcBorders>
              <w:left w:val="single" w:color="000000" w:sz="4" w:space="0"/>
              <w:bottom w:val="single" w:color="auto" w:sz="4" w:space="0"/>
              <w:right w:val="single" w:color="000000" w:sz="4" w:space="0"/>
            </w:tcBorders>
            <w:shd w:val="clear" w:color="auto" w:fill="auto"/>
            <w:vAlign w:val="center"/>
          </w:tcPr>
          <w:p w14:paraId="2CDB279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15" w:type="pct"/>
            <w:vMerge w:val="continue"/>
            <w:tcBorders>
              <w:left w:val="single" w:color="000000" w:sz="4" w:space="0"/>
              <w:bottom w:val="single" w:color="auto" w:sz="4" w:space="0"/>
              <w:right w:val="single" w:color="000000" w:sz="4" w:space="0"/>
            </w:tcBorders>
            <w:shd w:val="clear" w:color="auto" w:fill="auto"/>
            <w:vAlign w:val="center"/>
          </w:tcPr>
          <w:p w14:paraId="7CB4639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pct"/>
            <w:tcBorders>
              <w:top w:val="single" w:color="auto" w:sz="4" w:space="0"/>
              <w:left w:val="single" w:color="000000" w:sz="4" w:space="0"/>
              <w:bottom w:val="single" w:color="auto" w:sz="4" w:space="0"/>
              <w:right w:val="single" w:color="000000" w:sz="4" w:space="0"/>
            </w:tcBorders>
            <w:shd w:val="clear" w:color="auto" w:fill="auto"/>
            <w:vAlign w:val="center"/>
          </w:tcPr>
          <w:p w14:paraId="5AC5060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 风险与体系</w:t>
            </w:r>
          </w:p>
        </w:tc>
        <w:tc>
          <w:tcPr>
            <w:tcW w:w="872" w:type="pct"/>
            <w:tcBorders>
              <w:top w:val="single" w:color="auto" w:sz="4" w:space="0"/>
              <w:left w:val="single" w:color="000000" w:sz="4" w:space="0"/>
              <w:bottom w:val="single" w:color="auto" w:sz="4" w:space="0"/>
              <w:right w:val="single" w:color="000000" w:sz="4" w:space="0"/>
            </w:tcBorders>
            <w:shd w:val="clear" w:color="auto" w:fill="auto"/>
            <w:vAlign w:val="center"/>
          </w:tcPr>
          <w:p w14:paraId="3D99CB6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100分</w:t>
            </w:r>
          </w:p>
        </w:tc>
      </w:tr>
      <w:tr w14:paraId="21511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722" w:type="pct"/>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6DD05A07">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创新项</w:t>
            </w:r>
          </w:p>
        </w:tc>
        <w:tc>
          <w:tcPr>
            <w:tcW w:w="834" w:type="pct"/>
            <w:vMerge w:val="restart"/>
            <w:tcBorders>
              <w:top w:val="single" w:color="auto" w:sz="4" w:space="0"/>
              <w:left w:val="single" w:color="000000" w:sz="4" w:space="0"/>
              <w:right w:val="single" w:color="000000" w:sz="4" w:space="0"/>
            </w:tcBorders>
            <w:shd w:val="clear" w:color="auto" w:fill="auto"/>
            <w:vAlign w:val="center"/>
          </w:tcPr>
          <w:p w14:paraId="3FB6E791">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w:t>
            </w:r>
          </w:p>
        </w:tc>
        <w:tc>
          <w:tcPr>
            <w:tcW w:w="815" w:type="pct"/>
            <w:vMerge w:val="restart"/>
            <w:tcBorders>
              <w:top w:val="single" w:color="auto" w:sz="4" w:space="0"/>
              <w:left w:val="single" w:color="000000" w:sz="4" w:space="0"/>
              <w:right w:val="single" w:color="000000" w:sz="4" w:space="0"/>
            </w:tcBorders>
            <w:shd w:val="clear" w:color="auto" w:fill="auto"/>
            <w:vAlign w:val="center"/>
          </w:tcPr>
          <w:p w14:paraId="6BBC939A">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250</w:t>
            </w:r>
          </w:p>
        </w:tc>
        <w:tc>
          <w:tcPr>
            <w:tcW w:w="1755" w:type="pct"/>
            <w:tcBorders>
              <w:top w:val="single" w:color="auto" w:sz="4" w:space="0"/>
              <w:left w:val="single" w:color="000000" w:sz="4" w:space="0"/>
              <w:right w:val="single" w:color="000000" w:sz="4" w:space="0"/>
            </w:tcBorders>
            <w:shd w:val="clear" w:color="auto" w:fill="auto"/>
            <w:vAlign w:val="center"/>
          </w:tcPr>
          <w:p w14:paraId="4DB4553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 技术创新能力</w:t>
            </w:r>
          </w:p>
        </w:tc>
        <w:tc>
          <w:tcPr>
            <w:tcW w:w="872" w:type="pct"/>
            <w:tcBorders>
              <w:top w:val="single" w:color="auto" w:sz="4" w:space="0"/>
              <w:left w:val="single" w:color="000000" w:sz="4" w:space="0"/>
              <w:right w:val="single" w:color="000000" w:sz="4" w:space="0"/>
            </w:tcBorders>
            <w:shd w:val="clear" w:color="auto" w:fill="auto"/>
            <w:vAlign w:val="center"/>
          </w:tcPr>
          <w:p w14:paraId="39DB1DA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100分</w:t>
            </w:r>
          </w:p>
        </w:tc>
      </w:tr>
      <w:tr w14:paraId="6E6C3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722"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FA0270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34" w:type="pct"/>
            <w:vMerge w:val="continue"/>
            <w:tcBorders>
              <w:left w:val="single" w:color="000000" w:sz="4" w:space="0"/>
              <w:right w:val="single" w:color="000000" w:sz="4" w:space="0"/>
            </w:tcBorders>
            <w:shd w:val="clear" w:color="auto" w:fill="auto"/>
            <w:vAlign w:val="center"/>
          </w:tcPr>
          <w:p w14:paraId="6C86B8D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15" w:type="pct"/>
            <w:vMerge w:val="continue"/>
            <w:tcBorders>
              <w:left w:val="single" w:color="000000" w:sz="4" w:space="0"/>
              <w:right w:val="single" w:color="000000" w:sz="4" w:space="0"/>
            </w:tcBorders>
            <w:shd w:val="clear" w:color="auto" w:fill="auto"/>
            <w:vAlign w:val="center"/>
          </w:tcPr>
          <w:p w14:paraId="51233DB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pct"/>
            <w:tcBorders>
              <w:top w:val="single" w:color="auto" w:sz="4" w:space="0"/>
              <w:left w:val="single" w:color="000000" w:sz="4" w:space="0"/>
              <w:bottom w:val="single" w:color="auto" w:sz="4" w:space="0"/>
              <w:right w:val="single" w:color="000000" w:sz="4" w:space="0"/>
            </w:tcBorders>
            <w:shd w:val="clear" w:color="auto" w:fill="auto"/>
            <w:vAlign w:val="center"/>
          </w:tcPr>
          <w:p w14:paraId="0AFD736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 服务创新能力</w:t>
            </w:r>
          </w:p>
        </w:tc>
        <w:tc>
          <w:tcPr>
            <w:tcW w:w="872" w:type="pct"/>
            <w:tcBorders>
              <w:top w:val="single" w:color="auto" w:sz="4" w:space="0"/>
              <w:left w:val="single" w:color="000000" w:sz="4" w:space="0"/>
              <w:bottom w:val="single" w:color="auto" w:sz="4" w:space="0"/>
              <w:right w:val="single" w:color="000000" w:sz="4" w:space="0"/>
            </w:tcBorders>
            <w:shd w:val="clear" w:color="auto" w:fill="auto"/>
            <w:vAlign w:val="center"/>
          </w:tcPr>
          <w:p w14:paraId="2F79CCD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20分</w:t>
            </w:r>
          </w:p>
        </w:tc>
      </w:tr>
      <w:tr w14:paraId="40080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722"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BCEA4A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34" w:type="pct"/>
            <w:vMerge w:val="continue"/>
            <w:tcBorders>
              <w:left w:val="single" w:color="000000" w:sz="4" w:space="0"/>
              <w:bottom w:val="single" w:color="000000" w:sz="4" w:space="0"/>
              <w:right w:val="single" w:color="000000" w:sz="4" w:space="0"/>
            </w:tcBorders>
            <w:shd w:val="clear" w:color="auto" w:fill="auto"/>
            <w:vAlign w:val="center"/>
          </w:tcPr>
          <w:p w14:paraId="3863891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15" w:type="pct"/>
            <w:vMerge w:val="continue"/>
            <w:tcBorders>
              <w:left w:val="single" w:color="000000" w:sz="4" w:space="0"/>
              <w:right w:val="single" w:color="000000" w:sz="4" w:space="0"/>
            </w:tcBorders>
            <w:shd w:val="clear" w:color="auto" w:fill="auto"/>
            <w:vAlign w:val="center"/>
          </w:tcPr>
          <w:p w14:paraId="32599DF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pct"/>
            <w:tcBorders>
              <w:top w:val="single" w:color="auto" w:sz="4" w:space="0"/>
              <w:left w:val="single" w:color="000000" w:sz="4" w:space="0"/>
              <w:bottom w:val="single" w:color="auto" w:sz="4" w:space="0"/>
              <w:right w:val="single" w:color="000000" w:sz="4" w:space="0"/>
            </w:tcBorders>
            <w:shd w:val="clear" w:color="auto" w:fill="auto"/>
            <w:vAlign w:val="center"/>
          </w:tcPr>
          <w:p w14:paraId="53B885D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 数字化与智能化</w:t>
            </w:r>
          </w:p>
        </w:tc>
        <w:tc>
          <w:tcPr>
            <w:tcW w:w="872" w:type="pct"/>
            <w:tcBorders>
              <w:top w:val="single" w:color="auto" w:sz="4" w:space="0"/>
              <w:left w:val="single" w:color="000000" w:sz="4" w:space="0"/>
              <w:bottom w:val="single" w:color="auto" w:sz="4" w:space="0"/>
              <w:right w:val="single" w:color="000000" w:sz="4" w:space="0"/>
            </w:tcBorders>
            <w:shd w:val="clear" w:color="auto" w:fill="auto"/>
            <w:vAlign w:val="center"/>
          </w:tcPr>
          <w:p w14:paraId="38BFDA7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100分</w:t>
            </w:r>
          </w:p>
        </w:tc>
      </w:tr>
      <w:tr w14:paraId="5F4B0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722"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021C0C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34" w:type="pct"/>
            <w:vMerge w:val="continue"/>
            <w:tcBorders>
              <w:left w:val="single" w:color="000000" w:sz="4" w:space="0"/>
              <w:bottom w:val="single" w:color="000000" w:sz="4" w:space="0"/>
              <w:right w:val="single" w:color="000000" w:sz="4" w:space="0"/>
            </w:tcBorders>
            <w:shd w:val="clear" w:color="auto" w:fill="auto"/>
            <w:vAlign w:val="center"/>
          </w:tcPr>
          <w:p w14:paraId="6A1D2F0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15" w:type="pct"/>
            <w:vMerge w:val="continue"/>
            <w:tcBorders>
              <w:left w:val="single" w:color="000000" w:sz="4" w:space="0"/>
              <w:bottom w:val="single" w:color="000000" w:sz="4" w:space="0"/>
              <w:right w:val="single" w:color="000000" w:sz="4" w:space="0"/>
            </w:tcBorders>
            <w:shd w:val="clear" w:color="auto" w:fill="auto"/>
            <w:vAlign w:val="center"/>
          </w:tcPr>
          <w:p w14:paraId="75A3E02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pct"/>
            <w:tcBorders>
              <w:top w:val="single" w:color="auto" w:sz="4" w:space="0"/>
              <w:left w:val="single" w:color="000000" w:sz="4" w:space="0"/>
              <w:bottom w:val="single" w:color="000000" w:sz="4" w:space="0"/>
              <w:right w:val="single" w:color="000000" w:sz="4" w:space="0"/>
            </w:tcBorders>
            <w:shd w:val="clear" w:color="auto" w:fill="auto"/>
            <w:vAlign w:val="center"/>
          </w:tcPr>
          <w:p w14:paraId="405DAB3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 绿色运营能力</w:t>
            </w:r>
          </w:p>
        </w:tc>
        <w:tc>
          <w:tcPr>
            <w:tcW w:w="872" w:type="pct"/>
            <w:tcBorders>
              <w:top w:val="single" w:color="auto" w:sz="4" w:space="0"/>
              <w:left w:val="single" w:color="000000" w:sz="4" w:space="0"/>
              <w:bottom w:val="single" w:color="000000" w:sz="4" w:space="0"/>
              <w:right w:val="single" w:color="000000" w:sz="4" w:space="0"/>
            </w:tcBorders>
            <w:shd w:val="clear" w:color="auto" w:fill="auto"/>
            <w:vAlign w:val="center"/>
          </w:tcPr>
          <w:p w14:paraId="34FB2BD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30分</w:t>
            </w:r>
          </w:p>
        </w:tc>
      </w:tr>
      <w:tr w14:paraId="62CA9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722" w:type="pct"/>
            <w:tcBorders>
              <w:top w:val="single" w:color="auto" w:sz="4" w:space="0"/>
              <w:left w:val="single" w:color="000000" w:sz="4" w:space="0"/>
              <w:bottom w:val="single" w:color="000000" w:sz="4" w:space="0"/>
              <w:right w:val="single" w:color="000000" w:sz="4" w:space="0"/>
            </w:tcBorders>
            <w:shd w:val="clear" w:color="auto" w:fill="auto"/>
            <w:vAlign w:val="center"/>
          </w:tcPr>
          <w:p w14:paraId="634D72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服务项</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D44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6A7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17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6C2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13. 客户服务 </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ABAEE">
            <w:pPr>
              <w:keepNext w:val="0"/>
              <w:keepLines w:val="0"/>
              <w:widowControl/>
              <w:suppressLineNumbers w:val="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50分</w:t>
            </w:r>
          </w:p>
        </w:tc>
      </w:tr>
      <w:tr w14:paraId="0525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DF0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加分项</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F0E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179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17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B84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14. 行业贡献 </w:t>
            </w:r>
          </w:p>
        </w:tc>
        <w:tc>
          <w:tcPr>
            <w:tcW w:w="872" w:type="pct"/>
            <w:tcBorders>
              <w:top w:val="single" w:color="000000" w:sz="4" w:space="0"/>
              <w:left w:val="single" w:color="000000" w:sz="4" w:space="0"/>
              <w:bottom w:val="nil"/>
              <w:right w:val="single" w:color="000000" w:sz="4" w:space="0"/>
            </w:tcBorders>
            <w:shd w:val="clear" w:color="auto" w:fill="auto"/>
            <w:vAlign w:val="center"/>
          </w:tcPr>
          <w:p w14:paraId="34D0BEB2">
            <w:pPr>
              <w:keepNext w:val="0"/>
              <w:keepLines w:val="0"/>
              <w:widowControl/>
              <w:suppressLineNumbers w:val="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50分</w:t>
            </w:r>
          </w:p>
        </w:tc>
      </w:tr>
      <w:tr w14:paraId="5D694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E4E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 计</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1BE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7B5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w:t>
            </w:r>
          </w:p>
        </w:tc>
        <w:tc>
          <w:tcPr>
            <w:tcW w:w="17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1B5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E9A3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bl>
    <w:p w14:paraId="2F5CB03E">
      <w:pPr>
        <w:pStyle w:val="30"/>
        <w:ind w:left="0" w:leftChars="0" w:firstLine="0" w:firstLineChars="0"/>
      </w:pPr>
    </w:p>
    <w:p w14:paraId="4611578C">
      <w:pPr>
        <w:pStyle w:val="32"/>
        <w:spacing w:before="156" w:after="156"/>
        <w:rPr>
          <w:rFonts w:hAnsi="黑体" w:cs="黑体"/>
          <w:sz w:val="22"/>
          <w:szCs w:val="28"/>
        </w:rPr>
      </w:pPr>
      <w:r>
        <w:rPr>
          <w:rFonts w:hint="eastAsia" w:hAnsi="黑体" w:cs="黑体"/>
        </w:rPr>
        <w:t>评分细则</w:t>
      </w:r>
    </w:p>
    <w:p w14:paraId="09CC904F">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1"/>
          <w:szCs w:val="21"/>
          <w:u w:val="none"/>
          <w:lang w:val="en-US" w:eastAsia="zh-CN" w:bidi="ar"/>
        </w:rPr>
        <w:t>表2 评分细节构成表</w:t>
      </w:r>
    </w:p>
    <w:tbl>
      <w:tblPr>
        <w:tblStyle w:val="15"/>
        <w:tblW w:w="0" w:type="auto"/>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2"/>
        <w:gridCol w:w="1894"/>
        <w:gridCol w:w="846"/>
        <w:gridCol w:w="4966"/>
        <w:gridCol w:w="902"/>
      </w:tblGrid>
      <w:tr w14:paraId="3BD45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96D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071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一级指标</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B76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总分</w:t>
            </w: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2EC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二级指标 / 考核内容</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23732">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配分</w:t>
            </w:r>
          </w:p>
        </w:tc>
      </w:tr>
      <w:tr w14:paraId="08950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3602A0">
            <w:pPr>
              <w:keepNext w:val="0"/>
              <w:keepLines w:val="0"/>
              <w:widowControl/>
              <w:suppressLineNumbers w:val="0"/>
              <w:jc w:val="center"/>
              <w:textAlignment w:val="center"/>
              <w:rPr>
                <w:rFonts w:hint="eastAsia" w:ascii="黑体" w:hAnsi="黑体" w:eastAsia="黑体" w:cs="黑体"/>
                <w:kern w:val="0"/>
                <w:sz w:val="21"/>
                <w:szCs w:val="20"/>
                <w:lang w:val="en-US" w:eastAsia="zh-CN" w:bidi="ar-SA"/>
              </w:rPr>
            </w:pPr>
            <w:r>
              <w:rPr>
                <w:rFonts w:hint="eastAsia" w:ascii="黑体" w:hAnsi="黑体" w:eastAsia="黑体" w:cs="黑体"/>
                <w:kern w:val="0"/>
                <w:sz w:val="21"/>
                <w:szCs w:val="20"/>
                <w:lang w:val="en-US" w:eastAsia="zh-CN" w:bidi="ar-SA"/>
              </w:rPr>
              <w:t>5.2.1</w:t>
            </w:r>
          </w:p>
        </w:tc>
        <w:tc>
          <w:tcPr>
            <w:tcW w:w="19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BADE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资质与合规性</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337E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w:t>
            </w: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536E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具备有效</w:t>
            </w:r>
            <w:r>
              <w:rPr>
                <w:rFonts w:hint="eastAsia" w:ascii="Arial" w:hAnsi="Arial" w:eastAsia="黑体" w:cs="Arial"/>
                <w:kern w:val="2"/>
                <w:sz w:val="21"/>
                <w:szCs w:val="28"/>
                <w:lang w:val="en-US" w:eastAsia="zh-CN" w:bidi="ar-SA"/>
              </w:rPr>
              <w:t>CMA</w:t>
            </w:r>
            <w:r>
              <w:rPr>
                <w:rFonts w:hint="eastAsia" w:ascii="宋体" w:hAnsi="宋体" w:eastAsia="宋体" w:cs="宋体"/>
                <w:i w:val="0"/>
                <w:iCs w:val="0"/>
                <w:color w:val="000000"/>
                <w:kern w:val="0"/>
                <w:sz w:val="21"/>
                <w:szCs w:val="21"/>
                <w:u w:val="none"/>
                <w:lang w:val="en-US" w:eastAsia="zh-CN" w:bidi="ar"/>
              </w:rPr>
              <w:t>资质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E8E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r>
      <w:tr w14:paraId="565F7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79C1B">
            <w:pPr>
              <w:jc w:val="center"/>
              <w:rPr>
                <w:rFonts w:hint="eastAsia" w:ascii="黑体" w:hAnsi="黑体" w:eastAsia="黑体" w:cs="黑体"/>
                <w:kern w:val="0"/>
                <w:sz w:val="21"/>
                <w:szCs w:val="20"/>
                <w:lang w:val="en-US" w:eastAsia="zh-CN" w:bidi="ar-SA"/>
              </w:rPr>
            </w:pPr>
          </w:p>
        </w:tc>
        <w:tc>
          <w:tcPr>
            <w:tcW w:w="1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A2B88">
            <w:pPr>
              <w:jc w:val="center"/>
              <w:rPr>
                <w:rFonts w:hint="eastAsia" w:ascii="宋体" w:hAnsi="宋体" w:eastAsia="宋体" w:cs="宋体"/>
                <w:i w:val="0"/>
                <w:iCs w:val="0"/>
                <w:color w:val="000000"/>
                <w:sz w:val="21"/>
                <w:szCs w:val="21"/>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82963">
            <w:pPr>
              <w:jc w:val="center"/>
              <w:rPr>
                <w:rFonts w:hint="eastAsia" w:ascii="宋体" w:hAnsi="宋体" w:eastAsia="宋体" w:cs="宋体"/>
                <w:i w:val="0"/>
                <w:iCs w:val="0"/>
                <w:color w:val="000000"/>
                <w:sz w:val="21"/>
                <w:szCs w:val="21"/>
                <w:u w:val="none"/>
              </w:rPr>
            </w:pP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600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近三年无重大违法违规记录</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112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r>
      <w:tr w14:paraId="2B5F2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70961F">
            <w:pPr>
              <w:keepNext w:val="0"/>
              <w:keepLines w:val="0"/>
              <w:widowControl/>
              <w:suppressLineNumbers w:val="0"/>
              <w:jc w:val="center"/>
              <w:textAlignment w:val="center"/>
              <w:rPr>
                <w:rFonts w:hint="eastAsia" w:ascii="黑体" w:hAnsi="黑体" w:eastAsia="黑体" w:cs="黑体"/>
                <w:kern w:val="0"/>
                <w:sz w:val="21"/>
                <w:szCs w:val="20"/>
                <w:lang w:val="en-US" w:eastAsia="zh-CN" w:bidi="ar-SA"/>
              </w:rPr>
            </w:pPr>
            <w:r>
              <w:rPr>
                <w:rFonts w:hint="eastAsia" w:ascii="黑体" w:hAnsi="黑体" w:eastAsia="黑体" w:cs="黑体"/>
                <w:kern w:val="0"/>
                <w:sz w:val="21"/>
                <w:szCs w:val="20"/>
                <w:lang w:val="en-US" w:eastAsia="zh-CN" w:bidi="ar-SA"/>
              </w:rPr>
              <w:t>5.2.2</w:t>
            </w:r>
          </w:p>
        </w:tc>
        <w:tc>
          <w:tcPr>
            <w:tcW w:w="19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2392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人员能力</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DBDE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75D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关键岗位人员资历与能力达标</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04B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r>
      <w:tr w14:paraId="35E19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591BD">
            <w:pPr>
              <w:jc w:val="center"/>
              <w:rPr>
                <w:rFonts w:hint="eastAsia" w:ascii="黑体" w:hAnsi="黑体" w:eastAsia="黑体" w:cs="黑体"/>
                <w:kern w:val="0"/>
                <w:sz w:val="21"/>
                <w:szCs w:val="20"/>
                <w:lang w:val="en-US" w:eastAsia="zh-CN" w:bidi="ar-SA"/>
              </w:rPr>
            </w:pPr>
          </w:p>
        </w:tc>
        <w:tc>
          <w:tcPr>
            <w:tcW w:w="1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F2FDA6">
            <w:pPr>
              <w:jc w:val="center"/>
              <w:rPr>
                <w:rFonts w:hint="eastAsia" w:ascii="宋体" w:hAnsi="宋体" w:eastAsia="宋体" w:cs="宋体"/>
                <w:i w:val="0"/>
                <w:iCs w:val="0"/>
                <w:color w:val="000000"/>
                <w:sz w:val="21"/>
                <w:szCs w:val="21"/>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19541">
            <w:pPr>
              <w:jc w:val="center"/>
              <w:rPr>
                <w:rFonts w:hint="eastAsia" w:ascii="宋体" w:hAnsi="宋体" w:eastAsia="宋体" w:cs="宋体"/>
                <w:i w:val="0"/>
                <w:iCs w:val="0"/>
                <w:color w:val="000000"/>
                <w:sz w:val="21"/>
                <w:szCs w:val="21"/>
                <w:u w:val="none"/>
              </w:rPr>
            </w:pP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6E9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检测人员持证上岗、技能熟练</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F67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r>
      <w:tr w14:paraId="103DA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E9532">
            <w:pPr>
              <w:jc w:val="center"/>
              <w:rPr>
                <w:rFonts w:hint="eastAsia" w:ascii="黑体" w:hAnsi="黑体" w:eastAsia="黑体" w:cs="黑体"/>
                <w:kern w:val="0"/>
                <w:sz w:val="21"/>
                <w:szCs w:val="20"/>
                <w:lang w:val="en-US" w:eastAsia="zh-CN" w:bidi="ar-SA"/>
              </w:rPr>
            </w:pPr>
          </w:p>
        </w:tc>
        <w:tc>
          <w:tcPr>
            <w:tcW w:w="1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FD33A">
            <w:pPr>
              <w:jc w:val="center"/>
              <w:rPr>
                <w:rFonts w:hint="eastAsia" w:ascii="宋体" w:hAnsi="宋体" w:eastAsia="宋体" w:cs="宋体"/>
                <w:i w:val="0"/>
                <w:iCs w:val="0"/>
                <w:color w:val="000000"/>
                <w:sz w:val="21"/>
                <w:szCs w:val="21"/>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435F97">
            <w:pPr>
              <w:jc w:val="center"/>
              <w:rPr>
                <w:rFonts w:hint="eastAsia" w:ascii="宋体" w:hAnsi="宋体" w:eastAsia="宋体" w:cs="宋体"/>
                <w:i w:val="0"/>
                <w:iCs w:val="0"/>
                <w:color w:val="000000"/>
                <w:sz w:val="21"/>
                <w:szCs w:val="21"/>
                <w:u w:val="none"/>
              </w:rPr>
            </w:pP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EFB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培训体系完善且全员受训</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794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14:paraId="7535F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821645">
            <w:pPr>
              <w:keepNext w:val="0"/>
              <w:keepLines w:val="0"/>
              <w:widowControl/>
              <w:suppressLineNumbers w:val="0"/>
              <w:jc w:val="center"/>
              <w:textAlignment w:val="center"/>
              <w:rPr>
                <w:rFonts w:hint="eastAsia" w:ascii="黑体" w:hAnsi="黑体" w:eastAsia="黑体" w:cs="黑体"/>
                <w:kern w:val="0"/>
                <w:sz w:val="21"/>
                <w:szCs w:val="20"/>
                <w:lang w:val="en-US" w:eastAsia="zh-CN" w:bidi="ar-SA"/>
              </w:rPr>
            </w:pPr>
            <w:r>
              <w:rPr>
                <w:rFonts w:hint="eastAsia" w:ascii="黑体" w:hAnsi="黑体" w:eastAsia="黑体" w:cs="黑体"/>
                <w:kern w:val="0"/>
                <w:sz w:val="21"/>
                <w:szCs w:val="20"/>
                <w:lang w:val="en-US" w:eastAsia="zh-CN" w:bidi="ar-SA"/>
              </w:rPr>
              <w:t>5.2.3</w:t>
            </w:r>
          </w:p>
        </w:tc>
        <w:tc>
          <w:tcPr>
            <w:tcW w:w="19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9D76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检测设备</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5B2A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147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设备配置满足要求且有冗余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04A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r>
      <w:tr w14:paraId="1243F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50F0C3">
            <w:pPr>
              <w:jc w:val="center"/>
              <w:rPr>
                <w:rFonts w:hint="eastAsia" w:ascii="黑体" w:hAnsi="黑体" w:eastAsia="黑体" w:cs="黑体"/>
                <w:kern w:val="0"/>
                <w:sz w:val="21"/>
                <w:szCs w:val="20"/>
                <w:lang w:val="en-US" w:eastAsia="zh-CN" w:bidi="ar-SA"/>
              </w:rPr>
            </w:pPr>
          </w:p>
        </w:tc>
        <w:tc>
          <w:tcPr>
            <w:tcW w:w="1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C6FA1">
            <w:pPr>
              <w:jc w:val="center"/>
              <w:rPr>
                <w:rFonts w:hint="eastAsia" w:ascii="宋体" w:hAnsi="宋体" w:eastAsia="宋体" w:cs="宋体"/>
                <w:i w:val="0"/>
                <w:iCs w:val="0"/>
                <w:color w:val="000000"/>
                <w:sz w:val="21"/>
                <w:szCs w:val="21"/>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A8636">
            <w:pPr>
              <w:jc w:val="center"/>
              <w:rPr>
                <w:rFonts w:hint="eastAsia" w:ascii="宋体" w:hAnsi="宋体" w:eastAsia="宋体" w:cs="宋体"/>
                <w:i w:val="0"/>
                <w:iCs w:val="0"/>
                <w:color w:val="000000"/>
                <w:sz w:val="21"/>
                <w:szCs w:val="21"/>
                <w:u w:val="none"/>
              </w:rPr>
            </w:pP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868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设备校准、标识及档案管理规范</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09F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r>
      <w:tr w14:paraId="045A8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52FBD1">
            <w:pPr>
              <w:keepNext w:val="0"/>
              <w:keepLines w:val="0"/>
              <w:widowControl/>
              <w:suppressLineNumbers w:val="0"/>
              <w:jc w:val="center"/>
              <w:textAlignment w:val="center"/>
              <w:rPr>
                <w:rFonts w:hint="eastAsia" w:ascii="黑体" w:hAnsi="黑体" w:eastAsia="黑体" w:cs="黑体"/>
                <w:kern w:val="0"/>
                <w:sz w:val="21"/>
                <w:szCs w:val="20"/>
                <w:lang w:val="en-US" w:eastAsia="zh-CN" w:bidi="ar-SA"/>
              </w:rPr>
            </w:pPr>
            <w:r>
              <w:rPr>
                <w:rFonts w:hint="eastAsia" w:ascii="黑体" w:hAnsi="黑体" w:eastAsia="黑体" w:cs="黑体"/>
                <w:kern w:val="0"/>
                <w:sz w:val="21"/>
                <w:szCs w:val="20"/>
                <w:lang w:val="en-US" w:eastAsia="zh-CN" w:bidi="ar-SA"/>
              </w:rPr>
              <w:t>5.2.4</w:t>
            </w:r>
          </w:p>
        </w:tc>
        <w:tc>
          <w:tcPr>
            <w:tcW w:w="19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4DF3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物料管理</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7B0F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w:t>
            </w: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A9F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样品管理全流程可追溯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553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r>
      <w:tr w14:paraId="1C0A3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7AAD3">
            <w:pPr>
              <w:jc w:val="center"/>
              <w:rPr>
                <w:rFonts w:hint="eastAsia" w:ascii="黑体" w:hAnsi="黑体" w:eastAsia="黑体" w:cs="黑体"/>
                <w:kern w:val="0"/>
                <w:sz w:val="21"/>
                <w:szCs w:val="20"/>
                <w:lang w:val="en-US" w:eastAsia="zh-CN" w:bidi="ar-SA"/>
              </w:rPr>
            </w:pPr>
          </w:p>
        </w:tc>
        <w:tc>
          <w:tcPr>
            <w:tcW w:w="1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22E8C">
            <w:pPr>
              <w:jc w:val="center"/>
              <w:rPr>
                <w:rFonts w:hint="eastAsia" w:ascii="宋体" w:hAnsi="宋体" w:eastAsia="宋体" w:cs="宋体"/>
                <w:i w:val="0"/>
                <w:iCs w:val="0"/>
                <w:color w:val="000000"/>
                <w:sz w:val="21"/>
                <w:szCs w:val="21"/>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8B7E75">
            <w:pPr>
              <w:jc w:val="center"/>
              <w:rPr>
                <w:rFonts w:hint="eastAsia" w:ascii="宋体" w:hAnsi="宋体" w:eastAsia="宋体" w:cs="宋体"/>
                <w:i w:val="0"/>
                <w:iCs w:val="0"/>
                <w:color w:val="000000"/>
                <w:sz w:val="21"/>
                <w:szCs w:val="21"/>
                <w:u w:val="none"/>
              </w:rPr>
            </w:pP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997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试剂与耗材管理规范，特别是危险品管理</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00C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r>
      <w:tr w14:paraId="18A20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060992">
            <w:pPr>
              <w:keepNext w:val="0"/>
              <w:keepLines w:val="0"/>
              <w:widowControl/>
              <w:suppressLineNumbers w:val="0"/>
              <w:jc w:val="center"/>
              <w:textAlignment w:val="center"/>
              <w:rPr>
                <w:rFonts w:hint="eastAsia" w:ascii="黑体" w:hAnsi="黑体" w:eastAsia="黑体" w:cs="黑体"/>
                <w:kern w:val="0"/>
                <w:sz w:val="21"/>
                <w:szCs w:val="20"/>
                <w:lang w:val="en-US" w:eastAsia="zh-CN" w:bidi="ar-SA"/>
              </w:rPr>
            </w:pPr>
            <w:r>
              <w:rPr>
                <w:rFonts w:hint="eastAsia" w:ascii="黑体" w:hAnsi="黑体" w:eastAsia="黑体" w:cs="黑体"/>
                <w:kern w:val="0"/>
                <w:sz w:val="21"/>
                <w:szCs w:val="20"/>
                <w:lang w:val="en-US" w:eastAsia="zh-CN" w:bidi="ar-SA"/>
              </w:rPr>
              <w:t>5.2.5</w:t>
            </w:r>
          </w:p>
        </w:tc>
        <w:tc>
          <w:tcPr>
            <w:tcW w:w="19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709A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方法与文件</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ACE3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w:t>
            </w: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703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使用现行有效标准，非标方法经充分验证</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1F0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r>
      <w:tr w14:paraId="73909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116D0">
            <w:pPr>
              <w:jc w:val="center"/>
              <w:rPr>
                <w:rFonts w:hint="eastAsia" w:ascii="黑体" w:hAnsi="黑体" w:eastAsia="黑体" w:cs="黑体"/>
                <w:kern w:val="0"/>
                <w:sz w:val="21"/>
                <w:szCs w:val="20"/>
                <w:lang w:val="en-US" w:eastAsia="zh-CN" w:bidi="ar-SA"/>
              </w:rPr>
            </w:pPr>
          </w:p>
        </w:tc>
        <w:tc>
          <w:tcPr>
            <w:tcW w:w="1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3C96A">
            <w:pPr>
              <w:jc w:val="center"/>
              <w:rPr>
                <w:rFonts w:hint="eastAsia" w:ascii="宋体" w:hAnsi="宋体" w:eastAsia="宋体" w:cs="宋体"/>
                <w:i w:val="0"/>
                <w:iCs w:val="0"/>
                <w:color w:val="000000"/>
                <w:sz w:val="21"/>
                <w:szCs w:val="21"/>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114A0">
            <w:pPr>
              <w:jc w:val="center"/>
              <w:rPr>
                <w:rFonts w:hint="eastAsia" w:ascii="宋体" w:hAnsi="宋体" w:eastAsia="宋体" w:cs="宋体"/>
                <w:i w:val="0"/>
                <w:iCs w:val="0"/>
                <w:color w:val="000000"/>
                <w:sz w:val="21"/>
                <w:szCs w:val="21"/>
                <w:u w:val="none"/>
              </w:rPr>
            </w:pP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596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文件受控，记录完整可溯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C76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r>
      <w:tr w14:paraId="0060C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786913">
            <w:pPr>
              <w:keepNext w:val="0"/>
              <w:keepLines w:val="0"/>
              <w:widowControl/>
              <w:suppressLineNumbers w:val="0"/>
              <w:jc w:val="center"/>
              <w:textAlignment w:val="center"/>
              <w:rPr>
                <w:rFonts w:hint="eastAsia" w:ascii="黑体" w:hAnsi="黑体" w:eastAsia="黑体" w:cs="黑体"/>
                <w:kern w:val="0"/>
                <w:sz w:val="21"/>
                <w:szCs w:val="20"/>
                <w:lang w:val="en-US" w:eastAsia="zh-CN" w:bidi="ar-SA"/>
              </w:rPr>
            </w:pPr>
            <w:r>
              <w:rPr>
                <w:rFonts w:hint="eastAsia" w:ascii="黑体" w:hAnsi="黑体" w:eastAsia="黑体" w:cs="黑体"/>
                <w:kern w:val="0"/>
                <w:sz w:val="21"/>
                <w:szCs w:val="20"/>
                <w:lang w:val="en-US" w:eastAsia="zh-CN" w:bidi="ar-SA"/>
              </w:rPr>
              <w:t>5.2.6</w:t>
            </w:r>
          </w:p>
        </w:tc>
        <w:tc>
          <w:tcPr>
            <w:tcW w:w="19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D5B1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实验室环境</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D8A1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w:t>
            </w: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AB2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环境分区合理、监控有效</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3E6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r>
      <w:tr w14:paraId="6E30D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6B7EF">
            <w:pPr>
              <w:jc w:val="center"/>
              <w:rPr>
                <w:rFonts w:hint="eastAsia" w:ascii="黑体" w:hAnsi="黑体" w:eastAsia="黑体" w:cs="黑体"/>
                <w:kern w:val="0"/>
                <w:sz w:val="21"/>
                <w:szCs w:val="20"/>
                <w:lang w:val="en-US" w:eastAsia="zh-CN" w:bidi="ar-SA"/>
              </w:rPr>
            </w:pPr>
          </w:p>
        </w:tc>
        <w:tc>
          <w:tcPr>
            <w:tcW w:w="1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F11E6">
            <w:pPr>
              <w:jc w:val="center"/>
              <w:rPr>
                <w:rFonts w:hint="eastAsia" w:ascii="宋体" w:hAnsi="宋体" w:eastAsia="宋体" w:cs="宋体"/>
                <w:i w:val="0"/>
                <w:iCs w:val="0"/>
                <w:color w:val="000000"/>
                <w:sz w:val="21"/>
                <w:szCs w:val="21"/>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AB1C1">
            <w:pPr>
              <w:jc w:val="center"/>
              <w:rPr>
                <w:rFonts w:hint="eastAsia" w:ascii="宋体" w:hAnsi="宋体" w:eastAsia="宋体" w:cs="宋体"/>
                <w:i w:val="0"/>
                <w:iCs w:val="0"/>
                <w:color w:val="000000"/>
                <w:sz w:val="21"/>
                <w:szCs w:val="21"/>
                <w:u w:val="none"/>
              </w:rPr>
            </w:pP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07A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安全环保设施齐全、运行有效</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8FA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r>
      <w:tr w14:paraId="568F8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D75A44">
            <w:pPr>
              <w:keepNext w:val="0"/>
              <w:keepLines w:val="0"/>
              <w:widowControl/>
              <w:suppressLineNumbers w:val="0"/>
              <w:jc w:val="center"/>
              <w:textAlignment w:val="center"/>
              <w:rPr>
                <w:rFonts w:hint="eastAsia" w:ascii="黑体" w:hAnsi="黑体" w:eastAsia="黑体" w:cs="黑体"/>
                <w:kern w:val="0"/>
                <w:sz w:val="21"/>
                <w:szCs w:val="20"/>
                <w:lang w:val="en-US" w:eastAsia="zh-CN" w:bidi="ar-SA"/>
              </w:rPr>
            </w:pPr>
            <w:r>
              <w:rPr>
                <w:rFonts w:hint="eastAsia" w:ascii="黑体" w:hAnsi="黑体" w:eastAsia="黑体" w:cs="黑体"/>
                <w:kern w:val="0"/>
                <w:sz w:val="21"/>
                <w:szCs w:val="20"/>
                <w:lang w:val="en-US" w:eastAsia="zh-CN" w:bidi="ar-SA"/>
              </w:rPr>
              <w:t>5.2.7</w:t>
            </w:r>
          </w:p>
        </w:tc>
        <w:tc>
          <w:tcPr>
            <w:tcW w:w="19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5740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检测过程控制</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198F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w:t>
            </w: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C70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质量控制计划有效实施，外部能力验证结果满意</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D2C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r>
      <w:tr w14:paraId="5EE0A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686D1">
            <w:pPr>
              <w:jc w:val="center"/>
              <w:rPr>
                <w:rFonts w:hint="eastAsia" w:ascii="黑体" w:hAnsi="黑体" w:eastAsia="黑体" w:cs="黑体"/>
                <w:kern w:val="0"/>
                <w:sz w:val="21"/>
                <w:szCs w:val="20"/>
                <w:lang w:val="en-US" w:eastAsia="zh-CN" w:bidi="ar-SA"/>
              </w:rPr>
            </w:pPr>
          </w:p>
        </w:tc>
        <w:tc>
          <w:tcPr>
            <w:tcW w:w="1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1141C">
            <w:pPr>
              <w:jc w:val="center"/>
              <w:rPr>
                <w:rFonts w:hint="eastAsia" w:ascii="宋体" w:hAnsi="宋体" w:eastAsia="宋体" w:cs="宋体"/>
                <w:i w:val="0"/>
                <w:iCs w:val="0"/>
                <w:color w:val="000000"/>
                <w:sz w:val="21"/>
                <w:szCs w:val="21"/>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D0FFD">
            <w:pPr>
              <w:jc w:val="center"/>
              <w:rPr>
                <w:rFonts w:hint="eastAsia" w:ascii="宋体" w:hAnsi="宋体" w:eastAsia="宋体" w:cs="宋体"/>
                <w:i w:val="0"/>
                <w:iCs w:val="0"/>
                <w:color w:val="000000"/>
                <w:sz w:val="21"/>
                <w:szCs w:val="21"/>
                <w:u w:val="none"/>
              </w:rPr>
            </w:pP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198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报告质量高，与原始记录追溯链完整</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849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r>
      <w:tr w14:paraId="57E1D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F5ABB2">
            <w:pPr>
              <w:keepNext w:val="0"/>
              <w:keepLines w:val="0"/>
              <w:widowControl/>
              <w:suppressLineNumbers w:val="0"/>
              <w:jc w:val="center"/>
              <w:textAlignment w:val="center"/>
              <w:rPr>
                <w:rFonts w:hint="eastAsia" w:ascii="黑体" w:hAnsi="黑体" w:eastAsia="黑体" w:cs="黑体"/>
                <w:kern w:val="0"/>
                <w:sz w:val="21"/>
                <w:szCs w:val="20"/>
                <w:lang w:val="en-US" w:eastAsia="zh-CN" w:bidi="ar-SA"/>
              </w:rPr>
            </w:pPr>
            <w:r>
              <w:rPr>
                <w:rFonts w:hint="eastAsia" w:ascii="黑体" w:hAnsi="黑体" w:eastAsia="黑体" w:cs="黑体"/>
                <w:kern w:val="0"/>
                <w:sz w:val="21"/>
                <w:szCs w:val="20"/>
                <w:lang w:val="en-US" w:eastAsia="zh-CN" w:bidi="ar-SA"/>
              </w:rPr>
              <w:t>5.2.8</w:t>
            </w:r>
          </w:p>
        </w:tc>
        <w:tc>
          <w:tcPr>
            <w:tcW w:w="19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DD5B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风险与体系</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FF68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C48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管理体系有效运行，内审管评完整闭环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F97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r>
      <w:tr w14:paraId="10163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7E250">
            <w:pPr>
              <w:jc w:val="center"/>
              <w:rPr>
                <w:rFonts w:hint="eastAsia" w:ascii="黑体" w:hAnsi="黑体" w:eastAsia="黑体" w:cs="黑体"/>
                <w:kern w:val="0"/>
                <w:sz w:val="21"/>
                <w:szCs w:val="20"/>
                <w:lang w:val="en-US" w:eastAsia="zh-CN" w:bidi="ar-SA"/>
              </w:rPr>
            </w:pPr>
          </w:p>
        </w:tc>
        <w:tc>
          <w:tcPr>
            <w:tcW w:w="1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8F06F">
            <w:pPr>
              <w:jc w:val="center"/>
              <w:rPr>
                <w:rFonts w:hint="eastAsia" w:ascii="宋体" w:hAnsi="宋体" w:eastAsia="宋体" w:cs="宋体"/>
                <w:i w:val="0"/>
                <w:iCs w:val="0"/>
                <w:color w:val="000000"/>
                <w:sz w:val="21"/>
                <w:szCs w:val="21"/>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0B540D">
            <w:pPr>
              <w:jc w:val="center"/>
              <w:rPr>
                <w:rFonts w:hint="eastAsia" w:ascii="宋体" w:hAnsi="宋体" w:eastAsia="宋体" w:cs="宋体"/>
                <w:i w:val="0"/>
                <w:iCs w:val="0"/>
                <w:color w:val="000000"/>
                <w:sz w:val="21"/>
                <w:szCs w:val="21"/>
                <w:u w:val="none"/>
              </w:rPr>
            </w:pP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86C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风险识别与管控措施到位</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B5E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r>
      <w:tr w14:paraId="4CDDD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C7DC3">
            <w:pPr>
              <w:jc w:val="center"/>
              <w:rPr>
                <w:rFonts w:hint="eastAsia" w:ascii="黑体" w:hAnsi="黑体" w:eastAsia="黑体" w:cs="黑体"/>
                <w:kern w:val="0"/>
                <w:sz w:val="21"/>
                <w:szCs w:val="20"/>
                <w:lang w:val="en-US" w:eastAsia="zh-CN" w:bidi="ar-SA"/>
              </w:rPr>
            </w:pPr>
          </w:p>
        </w:tc>
        <w:tc>
          <w:tcPr>
            <w:tcW w:w="1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73CAC6">
            <w:pPr>
              <w:jc w:val="center"/>
              <w:rPr>
                <w:rFonts w:hint="eastAsia" w:ascii="宋体" w:hAnsi="宋体" w:eastAsia="宋体" w:cs="宋体"/>
                <w:i w:val="0"/>
                <w:iCs w:val="0"/>
                <w:color w:val="000000"/>
                <w:sz w:val="21"/>
                <w:szCs w:val="21"/>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ACDC1">
            <w:pPr>
              <w:jc w:val="center"/>
              <w:rPr>
                <w:rFonts w:hint="eastAsia" w:ascii="宋体" w:hAnsi="宋体" w:eastAsia="宋体" w:cs="宋体"/>
                <w:i w:val="0"/>
                <w:iCs w:val="0"/>
                <w:color w:val="000000"/>
                <w:sz w:val="21"/>
                <w:szCs w:val="21"/>
                <w:u w:val="none"/>
              </w:rPr>
            </w:pP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BC1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信息安全管理规范</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0F6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r>
      <w:tr w14:paraId="3FDBD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CBA6DB">
            <w:pPr>
              <w:keepNext w:val="0"/>
              <w:keepLines w:val="0"/>
              <w:widowControl/>
              <w:suppressLineNumbers w:val="0"/>
              <w:jc w:val="center"/>
              <w:textAlignment w:val="center"/>
              <w:rPr>
                <w:rFonts w:hint="eastAsia" w:ascii="黑体" w:hAnsi="黑体" w:eastAsia="黑体" w:cs="黑体"/>
                <w:kern w:val="0"/>
                <w:sz w:val="21"/>
                <w:szCs w:val="20"/>
                <w:lang w:val="en-US" w:eastAsia="zh-CN" w:bidi="ar-SA"/>
              </w:rPr>
            </w:pPr>
            <w:r>
              <w:rPr>
                <w:rFonts w:hint="eastAsia" w:ascii="黑体" w:hAnsi="黑体" w:eastAsia="黑体" w:cs="黑体"/>
                <w:kern w:val="0"/>
                <w:sz w:val="21"/>
                <w:szCs w:val="20"/>
                <w:lang w:val="en-US" w:eastAsia="zh-CN" w:bidi="ar-SA"/>
              </w:rPr>
              <w:t>5.2.9</w:t>
            </w:r>
          </w:p>
        </w:tc>
        <w:tc>
          <w:tcPr>
            <w:tcW w:w="19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AADB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技术创新能力</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19B7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4E8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拥有专利、软著等知识产权</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794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r>
      <w:tr w14:paraId="66118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1EA5A">
            <w:pPr>
              <w:jc w:val="center"/>
              <w:rPr>
                <w:rFonts w:hint="eastAsia" w:ascii="黑体" w:hAnsi="黑体" w:eastAsia="黑体" w:cs="黑体"/>
                <w:kern w:val="0"/>
                <w:sz w:val="21"/>
                <w:szCs w:val="20"/>
                <w:lang w:val="en-US" w:eastAsia="zh-CN" w:bidi="ar-SA"/>
              </w:rPr>
            </w:pPr>
          </w:p>
        </w:tc>
        <w:tc>
          <w:tcPr>
            <w:tcW w:w="1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21BE5">
            <w:pPr>
              <w:jc w:val="center"/>
              <w:rPr>
                <w:rFonts w:hint="eastAsia" w:ascii="宋体" w:hAnsi="宋体" w:eastAsia="宋体" w:cs="宋体"/>
                <w:i w:val="0"/>
                <w:iCs w:val="0"/>
                <w:color w:val="000000"/>
                <w:sz w:val="21"/>
                <w:szCs w:val="21"/>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AD811">
            <w:pPr>
              <w:jc w:val="center"/>
              <w:rPr>
                <w:rFonts w:hint="eastAsia" w:ascii="宋体" w:hAnsi="宋体" w:eastAsia="宋体" w:cs="宋体"/>
                <w:i w:val="0"/>
                <w:iCs w:val="0"/>
                <w:color w:val="000000"/>
                <w:sz w:val="21"/>
                <w:szCs w:val="21"/>
                <w:u w:val="none"/>
              </w:rPr>
            </w:pP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881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参与标准制修订</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36C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14:paraId="7013D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79D8B">
            <w:pPr>
              <w:jc w:val="center"/>
              <w:rPr>
                <w:rFonts w:hint="eastAsia" w:ascii="黑体" w:hAnsi="黑体" w:eastAsia="黑体" w:cs="黑体"/>
                <w:kern w:val="0"/>
                <w:sz w:val="21"/>
                <w:szCs w:val="20"/>
                <w:lang w:val="en-US" w:eastAsia="zh-CN" w:bidi="ar-SA"/>
              </w:rPr>
            </w:pPr>
          </w:p>
        </w:tc>
        <w:tc>
          <w:tcPr>
            <w:tcW w:w="1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7588C">
            <w:pPr>
              <w:jc w:val="center"/>
              <w:rPr>
                <w:rFonts w:hint="eastAsia" w:ascii="宋体" w:hAnsi="宋体" w:eastAsia="宋体" w:cs="宋体"/>
                <w:i w:val="0"/>
                <w:iCs w:val="0"/>
                <w:color w:val="000000"/>
                <w:sz w:val="21"/>
                <w:szCs w:val="21"/>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539B5">
            <w:pPr>
              <w:jc w:val="center"/>
              <w:rPr>
                <w:rFonts w:hint="eastAsia" w:ascii="宋体" w:hAnsi="宋体" w:eastAsia="宋体" w:cs="宋体"/>
                <w:i w:val="0"/>
                <w:iCs w:val="0"/>
                <w:color w:val="000000"/>
                <w:sz w:val="21"/>
                <w:szCs w:val="21"/>
                <w:u w:val="none"/>
              </w:rPr>
            </w:pP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B79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具备未知物鉴定或新兴污染物检测能力</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CB1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r>
      <w:tr w14:paraId="539E8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F807E">
            <w:pPr>
              <w:jc w:val="center"/>
              <w:rPr>
                <w:rFonts w:hint="eastAsia" w:ascii="黑体" w:hAnsi="黑体" w:eastAsia="黑体" w:cs="黑体"/>
                <w:kern w:val="0"/>
                <w:sz w:val="21"/>
                <w:szCs w:val="20"/>
                <w:lang w:val="en-US" w:eastAsia="zh-CN" w:bidi="ar-SA"/>
              </w:rPr>
            </w:pPr>
          </w:p>
        </w:tc>
        <w:tc>
          <w:tcPr>
            <w:tcW w:w="1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B545D">
            <w:pPr>
              <w:jc w:val="center"/>
              <w:rPr>
                <w:rFonts w:hint="eastAsia" w:ascii="宋体" w:hAnsi="宋体" w:eastAsia="宋体" w:cs="宋体"/>
                <w:i w:val="0"/>
                <w:iCs w:val="0"/>
                <w:color w:val="000000"/>
                <w:sz w:val="21"/>
                <w:szCs w:val="21"/>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C39AF">
            <w:pPr>
              <w:jc w:val="center"/>
              <w:rPr>
                <w:rFonts w:hint="eastAsia" w:ascii="宋体" w:hAnsi="宋体" w:eastAsia="宋体" w:cs="宋体"/>
                <w:i w:val="0"/>
                <w:iCs w:val="0"/>
                <w:color w:val="000000"/>
                <w:sz w:val="21"/>
                <w:szCs w:val="21"/>
                <w:u w:val="none"/>
              </w:rPr>
            </w:pP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0C3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完成新方法开发并应用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95E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14:paraId="3467C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8AE46F">
            <w:pPr>
              <w:keepNext w:val="0"/>
              <w:keepLines w:val="0"/>
              <w:widowControl/>
              <w:suppressLineNumbers w:val="0"/>
              <w:jc w:val="center"/>
              <w:textAlignment w:val="center"/>
              <w:rPr>
                <w:rFonts w:hint="eastAsia" w:ascii="黑体" w:hAnsi="黑体" w:eastAsia="黑体" w:cs="黑体"/>
                <w:kern w:val="0"/>
                <w:sz w:val="21"/>
                <w:szCs w:val="20"/>
                <w:lang w:val="en-US" w:eastAsia="zh-CN" w:bidi="ar-SA"/>
              </w:rPr>
            </w:pPr>
            <w:r>
              <w:rPr>
                <w:rFonts w:hint="eastAsia" w:ascii="黑体" w:hAnsi="黑体" w:eastAsia="黑体" w:cs="黑体"/>
                <w:kern w:val="0"/>
                <w:sz w:val="21"/>
                <w:szCs w:val="20"/>
                <w:lang w:val="en-US" w:eastAsia="zh-CN" w:bidi="ar-SA"/>
              </w:rPr>
              <w:t>5.2.10</w:t>
            </w:r>
          </w:p>
        </w:tc>
        <w:tc>
          <w:tcPr>
            <w:tcW w:w="19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D3B1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数字化与智能化</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C971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345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部署LIMS系统并覆盖核心流程</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A47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r>
      <w:tr w14:paraId="6768F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3BAFC">
            <w:pPr>
              <w:jc w:val="center"/>
              <w:rPr>
                <w:rFonts w:hint="eastAsia" w:ascii="黑体" w:hAnsi="黑体" w:eastAsia="黑体" w:cs="黑体"/>
                <w:kern w:val="0"/>
                <w:sz w:val="21"/>
                <w:szCs w:val="20"/>
                <w:lang w:val="en-US" w:eastAsia="zh-CN" w:bidi="ar-SA"/>
              </w:rPr>
            </w:pPr>
          </w:p>
        </w:tc>
        <w:tc>
          <w:tcPr>
            <w:tcW w:w="1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C98DC">
            <w:pPr>
              <w:jc w:val="center"/>
              <w:rPr>
                <w:rFonts w:hint="eastAsia" w:ascii="宋体" w:hAnsi="宋体" w:eastAsia="宋体" w:cs="宋体"/>
                <w:i w:val="0"/>
                <w:iCs w:val="0"/>
                <w:color w:val="000000"/>
                <w:sz w:val="21"/>
                <w:szCs w:val="21"/>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22DE50">
            <w:pPr>
              <w:jc w:val="center"/>
              <w:rPr>
                <w:rFonts w:hint="eastAsia" w:ascii="宋体" w:hAnsi="宋体" w:eastAsia="宋体" w:cs="宋体"/>
                <w:i w:val="0"/>
                <w:iCs w:val="0"/>
                <w:color w:val="000000"/>
                <w:sz w:val="21"/>
                <w:szCs w:val="21"/>
                <w:u w:val="none"/>
              </w:rPr>
            </w:pP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2BC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关键设备数据实现自动采集</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832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r>
      <w:tr w14:paraId="18E9E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D0A6E5">
            <w:pPr>
              <w:jc w:val="center"/>
              <w:rPr>
                <w:rFonts w:hint="eastAsia" w:ascii="黑体" w:hAnsi="黑体" w:eastAsia="黑体" w:cs="黑体"/>
                <w:kern w:val="0"/>
                <w:sz w:val="21"/>
                <w:szCs w:val="20"/>
                <w:lang w:val="en-US" w:eastAsia="zh-CN" w:bidi="ar-SA"/>
              </w:rPr>
            </w:pPr>
          </w:p>
        </w:tc>
        <w:tc>
          <w:tcPr>
            <w:tcW w:w="1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63C9C">
            <w:pPr>
              <w:jc w:val="center"/>
              <w:rPr>
                <w:rFonts w:hint="eastAsia" w:ascii="宋体" w:hAnsi="宋体" w:eastAsia="宋体" w:cs="宋体"/>
                <w:i w:val="0"/>
                <w:iCs w:val="0"/>
                <w:color w:val="000000"/>
                <w:sz w:val="21"/>
                <w:szCs w:val="21"/>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43E0A">
            <w:pPr>
              <w:jc w:val="center"/>
              <w:rPr>
                <w:rFonts w:hint="eastAsia" w:ascii="宋体" w:hAnsi="宋体" w:eastAsia="宋体" w:cs="宋体"/>
                <w:i w:val="0"/>
                <w:iCs w:val="0"/>
                <w:color w:val="000000"/>
                <w:sz w:val="21"/>
                <w:szCs w:val="21"/>
                <w:u w:val="none"/>
              </w:rPr>
            </w:pP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D1C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电子记录系统合规</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EAB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r>
      <w:tr w14:paraId="7A4ED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934" w:type="dxa"/>
            <w:vMerge w:val="restart"/>
            <w:tcBorders>
              <w:top w:val="single" w:color="000000" w:sz="4" w:space="0"/>
              <w:left w:val="single" w:color="000000" w:sz="4" w:space="0"/>
              <w:right w:val="single" w:color="000000" w:sz="4" w:space="0"/>
            </w:tcBorders>
            <w:shd w:val="clear" w:color="auto" w:fill="auto"/>
            <w:vAlign w:val="center"/>
          </w:tcPr>
          <w:p w14:paraId="797CC015">
            <w:pPr>
              <w:keepNext w:val="0"/>
              <w:keepLines w:val="0"/>
              <w:widowControl/>
              <w:suppressLineNumbers w:val="0"/>
              <w:jc w:val="left"/>
              <w:textAlignment w:val="center"/>
              <w:rPr>
                <w:rFonts w:hint="eastAsia" w:ascii="黑体" w:hAnsi="黑体" w:eastAsia="黑体" w:cs="黑体"/>
                <w:kern w:val="0"/>
                <w:sz w:val="21"/>
                <w:szCs w:val="20"/>
                <w:lang w:val="en-US" w:eastAsia="zh-CN" w:bidi="ar-SA"/>
              </w:rPr>
            </w:pPr>
            <w:r>
              <w:rPr>
                <w:rFonts w:hint="eastAsia" w:ascii="黑体" w:hAnsi="黑体" w:eastAsia="黑体" w:cs="黑体"/>
                <w:kern w:val="0"/>
                <w:sz w:val="21"/>
                <w:szCs w:val="20"/>
                <w:lang w:val="en-US" w:eastAsia="zh-CN" w:bidi="ar-SA"/>
              </w:rPr>
              <w:t>5.2.11</w:t>
            </w:r>
          </w:p>
        </w:tc>
        <w:tc>
          <w:tcPr>
            <w:tcW w:w="1920" w:type="dxa"/>
            <w:vMerge w:val="restart"/>
            <w:tcBorders>
              <w:top w:val="single" w:color="000000" w:sz="4" w:space="0"/>
              <w:left w:val="single" w:color="000000" w:sz="4" w:space="0"/>
              <w:right w:val="single" w:color="000000" w:sz="4" w:space="0"/>
            </w:tcBorders>
            <w:shd w:val="clear" w:color="auto" w:fill="auto"/>
            <w:vAlign w:val="center"/>
          </w:tcPr>
          <w:p w14:paraId="03F3C4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绿色运营能力</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71BC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0F4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实施能耗监控与节能措施</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D8F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r>
      <w:tr w14:paraId="509EF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934" w:type="dxa"/>
            <w:vMerge w:val="continue"/>
            <w:tcBorders>
              <w:left w:val="single" w:color="000000" w:sz="4" w:space="0"/>
              <w:bottom w:val="single" w:color="000000" w:sz="4" w:space="0"/>
              <w:right w:val="single" w:color="000000" w:sz="4" w:space="0"/>
            </w:tcBorders>
            <w:shd w:val="clear" w:color="auto" w:fill="auto"/>
            <w:vAlign w:val="center"/>
          </w:tcPr>
          <w:p w14:paraId="50DCEF2E">
            <w:pPr>
              <w:rPr>
                <w:rFonts w:hint="eastAsia" w:ascii="黑体" w:hAnsi="黑体" w:eastAsia="黑体" w:cs="黑体"/>
                <w:kern w:val="0"/>
                <w:sz w:val="21"/>
                <w:szCs w:val="20"/>
                <w:lang w:val="en-US" w:eastAsia="zh-CN" w:bidi="ar-SA"/>
              </w:rPr>
            </w:pPr>
          </w:p>
        </w:tc>
        <w:tc>
          <w:tcPr>
            <w:tcW w:w="1920" w:type="dxa"/>
            <w:vMerge w:val="continue"/>
            <w:tcBorders>
              <w:left w:val="single" w:color="000000" w:sz="4" w:space="0"/>
              <w:bottom w:val="single" w:color="000000" w:sz="4" w:space="0"/>
              <w:right w:val="single" w:color="000000" w:sz="4" w:space="0"/>
            </w:tcBorders>
            <w:shd w:val="clear" w:color="auto" w:fill="auto"/>
            <w:vAlign w:val="center"/>
          </w:tcPr>
          <w:p w14:paraId="62370CF5">
            <w:pPr>
              <w:rPr>
                <w:rFonts w:hint="eastAsia" w:ascii="宋体" w:hAnsi="宋体" w:eastAsia="宋体" w:cs="宋体"/>
                <w:i w:val="0"/>
                <w:iCs w:val="0"/>
                <w:color w:val="000000"/>
                <w:sz w:val="21"/>
                <w:szCs w:val="21"/>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8C5E22">
            <w:pPr>
              <w:jc w:val="center"/>
              <w:rPr>
                <w:rFonts w:hint="eastAsia" w:ascii="宋体" w:hAnsi="宋体" w:eastAsia="宋体" w:cs="宋体"/>
                <w:i w:val="0"/>
                <w:iCs w:val="0"/>
                <w:color w:val="000000"/>
                <w:sz w:val="21"/>
                <w:szCs w:val="21"/>
                <w:u w:val="none"/>
              </w:rPr>
            </w:pP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9EF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推行绿色实验实践</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9F9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r>
      <w:tr w14:paraId="49451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13A1D">
            <w:pPr>
              <w:keepNext w:val="0"/>
              <w:keepLines w:val="0"/>
              <w:widowControl/>
              <w:suppressLineNumbers w:val="0"/>
              <w:jc w:val="left"/>
              <w:textAlignment w:val="center"/>
              <w:rPr>
                <w:rFonts w:hint="eastAsia" w:ascii="黑体" w:hAnsi="黑体" w:eastAsia="黑体" w:cs="黑体"/>
                <w:kern w:val="0"/>
                <w:sz w:val="21"/>
                <w:szCs w:val="20"/>
                <w:lang w:val="en-US" w:eastAsia="zh-CN" w:bidi="ar-SA"/>
              </w:rPr>
            </w:pPr>
            <w:r>
              <w:rPr>
                <w:rFonts w:hint="eastAsia" w:ascii="黑体" w:hAnsi="黑体" w:eastAsia="黑体" w:cs="黑体"/>
                <w:kern w:val="0"/>
                <w:sz w:val="21"/>
                <w:szCs w:val="20"/>
                <w:lang w:val="en-US" w:eastAsia="zh-CN" w:bidi="ar-SA"/>
              </w:rPr>
              <w:t>5.2.12</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C40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高质量服务能力</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B91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958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提供定制化解决方案、技术咨询等增值服务</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1CB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14:paraId="629D6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6AA07F">
            <w:pPr>
              <w:keepNext w:val="0"/>
              <w:keepLines w:val="0"/>
              <w:widowControl/>
              <w:suppressLineNumbers w:val="0"/>
              <w:jc w:val="center"/>
              <w:textAlignment w:val="center"/>
              <w:rPr>
                <w:rFonts w:hint="eastAsia" w:ascii="黑体" w:hAnsi="黑体" w:eastAsia="黑体" w:cs="黑体"/>
                <w:kern w:val="0"/>
                <w:sz w:val="21"/>
                <w:szCs w:val="20"/>
                <w:lang w:val="en-US" w:eastAsia="zh-CN" w:bidi="ar-SA"/>
              </w:rPr>
            </w:pPr>
            <w:r>
              <w:rPr>
                <w:rFonts w:hint="eastAsia" w:ascii="黑体" w:hAnsi="黑体" w:eastAsia="黑体" w:cs="黑体"/>
                <w:kern w:val="0"/>
                <w:sz w:val="21"/>
                <w:szCs w:val="20"/>
                <w:lang w:val="en-US" w:eastAsia="zh-CN" w:bidi="ar-SA"/>
              </w:rPr>
              <w:t>5.2.13</w:t>
            </w:r>
          </w:p>
        </w:tc>
        <w:tc>
          <w:tcPr>
            <w:tcW w:w="19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6C30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客户服务</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645F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C8C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客户满意度高（≥90%）</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453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r>
      <w:tr w14:paraId="53AE4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784CC">
            <w:pPr>
              <w:jc w:val="center"/>
              <w:rPr>
                <w:rFonts w:hint="eastAsia" w:ascii="黑体" w:hAnsi="黑体" w:eastAsia="黑体" w:cs="黑体"/>
                <w:kern w:val="0"/>
                <w:sz w:val="21"/>
                <w:szCs w:val="20"/>
                <w:lang w:val="en-US" w:eastAsia="zh-CN" w:bidi="ar-SA"/>
              </w:rPr>
            </w:pPr>
          </w:p>
        </w:tc>
        <w:tc>
          <w:tcPr>
            <w:tcW w:w="1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46F57">
            <w:pPr>
              <w:jc w:val="center"/>
              <w:rPr>
                <w:rFonts w:hint="eastAsia" w:ascii="宋体" w:hAnsi="宋体" w:eastAsia="宋体" w:cs="宋体"/>
                <w:i w:val="0"/>
                <w:iCs w:val="0"/>
                <w:color w:val="000000"/>
                <w:sz w:val="21"/>
                <w:szCs w:val="21"/>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F1ED6">
            <w:pPr>
              <w:jc w:val="center"/>
              <w:rPr>
                <w:rFonts w:hint="eastAsia" w:ascii="宋体" w:hAnsi="宋体" w:eastAsia="宋体" w:cs="宋体"/>
                <w:i w:val="0"/>
                <w:iCs w:val="0"/>
                <w:color w:val="000000"/>
                <w:sz w:val="21"/>
                <w:szCs w:val="21"/>
                <w:u w:val="none"/>
              </w:rPr>
            </w:pP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552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投诉处理机制完善</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FE8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14:paraId="11682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8D0F0B">
            <w:pPr>
              <w:keepNext w:val="0"/>
              <w:keepLines w:val="0"/>
              <w:widowControl/>
              <w:suppressLineNumbers w:val="0"/>
              <w:jc w:val="center"/>
              <w:textAlignment w:val="center"/>
              <w:rPr>
                <w:rFonts w:hint="eastAsia" w:ascii="黑体" w:hAnsi="黑体" w:eastAsia="黑体" w:cs="黑体"/>
                <w:kern w:val="0"/>
                <w:sz w:val="21"/>
                <w:szCs w:val="20"/>
                <w:lang w:val="en-US" w:eastAsia="zh-CN" w:bidi="ar-SA"/>
              </w:rPr>
            </w:pPr>
            <w:r>
              <w:rPr>
                <w:rFonts w:hint="eastAsia" w:ascii="黑体" w:hAnsi="黑体" w:eastAsia="黑体" w:cs="黑体"/>
                <w:kern w:val="0"/>
                <w:sz w:val="21"/>
                <w:szCs w:val="20"/>
                <w:lang w:val="en-US" w:eastAsia="zh-CN" w:bidi="ar-SA"/>
              </w:rPr>
              <w:t>5.2.14</w:t>
            </w:r>
          </w:p>
        </w:tc>
        <w:tc>
          <w:tcPr>
            <w:tcW w:w="19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092E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行业贡献</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F2CD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51E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获得省部级以上荣誉</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8B3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14:paraId="64EF6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7E826">
            <w:pPr>
              <w:jc w:val="center"/>
              <w:rPr>
                <w:rFonts w:hint="eastAsia" w:ascii="宋体" w:hAnsi="宋体" w:eastAsia="宋体" w:cs="宋体"/>
                <w:i w:val="0"/>
                <w:iCs w:val="0"/>
                <w:color w:val="000000"/>
                <w:sz w:val="21"/>
                <w:szCs w:val="21"/>
                <w:u w:val="none"/>
              </w:rPr>
            </w:pPr>
          </w:p>
        </w:tc>
        <w:tc>
          <w:tcPr>
            <w:tcW w:w="1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6CD85">
            <w:pPr>
              <w:jc w:val="center"/>
              <w:rPr>
                <w:rFonts w:hint="eastAsia" w:ascii="宋体" w:hAnsi="宋体" w:eastAsia="宋体" w:cs="宋体"/>
                <w:i w:val="0"/>
                <w:iCs w:val="0"/>
                <w:color w:val="000000"/>
                <w:sz w:val="21"/>
                <w:szCs w:val="21"/>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F1852">
            <w:pPr>
              <w:jc w:val="center"/>
              <w:rPr>
                <w:rFonts w:hint="eastAsia" w:ascii="宋体" w:hAnsi="宋体" w:eastAsia="宋体" w:cs="宋体"/>
                <w:i w:val="0"/>
                <w:iCs w:val="0"/>
                <w:color w:val="000000"/>
                <w:sz w:val="21"/>
                <w:szCs w:val="21"/>
                <w:u w:val="none"/>
              </w:rPr>
            </w:pP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6B7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参与技能竞赛获奖</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12F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14:paraId="03558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6A2B8">
            <w:pPr>
              <w:jc w:val="center"/>
              <w:rPr>
                <w:rFonts w:hint="eastAsia" w:ascii="宋体" w:hAnsi="宋体" w:eastAsia="宋体" w:cs="宋体"/>
                <w:i w:val="0"/>
                <w:iCs w:val="0"/>
                <w:color w:val="000000"/>
                <w:sz w:val="21"/>
                <w:szCs w:val="21"/>
                <w:u w:val="none"/>
              </w:rPr>
            </w:pPr>
          </w:p>
        </w:tc>
        <w:tc>
          <w:tcPr>
            <w:tcW w:w="1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EE422">
            <w:pPr>
              <w:jc w:val="center"/>
              <w:rPr>
                <w:rFonts w:hint="eastAsia" w:ascii="宋体" w:hAnsi="宋体" w:eastAsia="宋体" w:cs="宋体"/>
                <w:i w:val="0"/>
                <w:iCs w:val="0"/>
                <w:color w:val="000000"/>
                <w:sz w:val="21"/>
                <w:szCs w:val="21"/>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8B439">
            <w:pPr>
              <w:jc w:val="center"/>
              <w:rPr>
                <w:rFonts w:hint="eastAsia" w:ascii="宋体" w:hAnsi="宋体" w:eastAsia="宋体" w:cs="宋体"/>
                <w:i w:val="0"/>
                <w:iCs w:val="0"/>
                <w:color w:val="000000"/>
                <w:sz w:val="21"/>
                <w:szCs w:val="21"/>
                <w:u w:val="none"/>
              </w:rPr>
            </w:pP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6BD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服务企业绿色/数字化转型</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F4C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14:paraId="5FA70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C24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6E5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总分</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65A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w:t>
            </w: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EAD2E">
            <w:pPr>
              <w:jc w:val="center"/>
              <w:rPr>
                <w:rFonts w:hint="eastAsia" w:ascii="宋体" w:hAnsi="宋体" w:eastAsia="宋体" w:cs="宋体"/>
                <w:i w:val="0"/>
                <w:iCs w:val="0"/>
                <w:color w:val="000000"/>
                <w:sz w:val="21"/>
                <w:szCs w:val="21"/>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A1E15">
            <w:pPr>
              <w:rPr>
                <w:rFonts w:hint="eastAsia" w:ascii="宋体" w:hAnsi="宋体" w:eastAsia="宋体" w:cs="宋体"/>
                <w:i w:val="0"/>
                <w:iCs w:val="0"/>
                <w:color w:val="000000"/>
                <w:sz w:val="21"/>
                <w:szCs w:val="21"/>
                <w:u w:val="none"/>
              </w:rPr>
            </w:pPr>
          </w:p>
        </w:tc>
      </w:tr>
    </w:tbl>
    <w:p w14:paraId="4C4D4E23">
      <w:pPr>
        <w:pStyle w:val="30"/>
        <w:ind w:firstLine="420"/>
        <w:rPr>
          <w:rFonts w:hint="eastAsia" w:ascii="宋体" w:hAnsi="宋体" w:eastAsia="宋体" w:cs="宋体"/>
          <w:sz w:val="21"/>
          <w:szCs w:val="21"/>
        </w:rPr>
      </w:pPr>
    </w:p>
    <w:p w14:paraId="22586A4E">
      <w:pPr>
        <w:pStyle w:val="30"/>
        <w:rPr>
          <w:rFonts w:hint="eastAsia" w:ascii="宋体" w:hAnsi="宋体" w:eastAsia="宋体" w:cs="宋体"/>
        </w:rPr>
      </w:pPr>
      <w:r>
        <w:rPr>
          <w:rFonts w:hint="eastAsia"/>
        </w:rPr>
        <w:t>（注：详细的二级指标评分细则、得分标准及核查要点</w:t>
      </w:r>
      <w:r>
        <w:rPr>
          <w:rFonts w:hint="eastAsia" w:ascii="宋体" w:hAnsi="宋体" w:eastAsia="宋体" w:cs="宋体"/>
        </w:rPr>
        <w:t>见附录</w:t>
      </w:r>
      <w:r>
        <w:rPr>
          <w:rFonts w:hint="eastAsia" w:ascii="宋体" w:hAnsi="宋体" w:eastAsia="宋体" w:cs="宋体"/>
          <w:kern w:val="2"/>
          <w:sz w:val="21"/>
          <w:szCs w:val="28"/>
          <w:lang w:val="en-US" w:eastAsia="zh-CN" w:bidi="ar-SA"/>
        </w:rPr>
        <w:t xml:space="preserve"> B</w:t>
      </w:r>
      <w:r>
        <w:rPr>
          <w:rFonts w:hint="eastAsia" w:ascii="宋体" w:hAnsi="宋体" w:eastAsia="宋体" w:cs="宋体"/>
        </w:rPr>
        <w:t>《电器电子产品环保检测高质量实验室评价规范</w:t>
      </w:r>
      <w:r>
        <w:rPr>
          <w:rFonts w:hint="eastAsia" w:ascii="宋体" w:hAnsi="宋体" w:eastAsia="宋体" w:cs="宋体"/>
          <w:lang w:eastAsia="zh-CN"/>
        </w:rPr>
        <w:t>－</w:t>
      </w:r>
      <w:r>
        <w:rPr>
          <w:rFonts w:hint="eastAsia" w:ascii="宋体" w:hAnsi="宋体" w:eastAsia="宋体" w:cs="宋体"/>
        </w:rPr>
        <w:t>评分细则》</w:t>
      </w:r>
      <w:r>
        <w:rPr>
          <w:rFonts w:hint="eastAsia" w:ascii="宋体" w:hAnsi="宋体" w:eastAsia="宋体" w:cs="宋体"/>
          <w:lang w:eastAsia="zh-CN"/>
        </w:rPr>
        <w:t>）</w:t>
      </w:r>
      <w:r>
        <w:rPr>
          <w:rFonts w:hint="eastAsia" w:ascii="宋体" w:hAnsi="宋体" w:eastAsia="宋体" w:cs="宋体"/>
        </w:rPr>
        <w:t>。</w:t>
      </w:r>
    </w:p>
    <w:p w14:paraId="7D89EBA5">
      <w:pPr>
        <w:pStyle w:val="30"/>
        <w:rPr>
          <w:rFonts w:hint="eastAsia"/>
        </w:rPr>
      </w:pPr>
    </w:p>
    <w:p w14:paraId="2AAA36F7">
      <w:pPr>
        <w:pStyle w:val="32"/>
        <w:spacing w:before="156" w:after="156"/>
        <w:rPr>
          <w:rFonts w:hint="eastAsia" w:hAnsi="黑体" w:cs="黑体"/>
          <w:szCs w:val="28"/>
        </w:rPr>
      </w:pPr>
      <w:r>
        <w:rPr>
          <w:rFonts w:hint="eastAsia" w:hAnsi="黑体" w:cs="黑体"/>
          <w:szCs w:val="28"/>
        </w:rPr>
        <w:t>一票否决项</w:t>
      </w:r>
    </w:p>
    <w:p w14:paraId="14D645E8">
      <w:pPr>
        <w:pStyle w:val="30"/>
        <w:rPr>
          <w:rFonts w:hint="eastAsia"/>
        </w:rPr>
      </w:pPr>
      <w:r>
        <w:rPr>
          <w:rFonts w:hint="eastAsia"/>
        </w:rPr>
        <w:t>实验室存在下列情形之一的，不具备高质量实验室评价资格：</w:t>
      </w:r>
    </w:p>
    <w:p w14:paraId="54C8F32D">
      <w:pPr>
        <w:pStyle w:val="30"/>
        <w:numPr>
          <w:ilvl w:val="0"/>
          <w:numId w:val="3"/>
        </w:numPr>
        <w:ind w:left="425" w:leftChars="0" w:hanging="425" w:firstLineChars="0"/>
        <w:rPr>
          <w:rFonts w:hint="eastAsia"/>
        </w:rPr>
      </w:pPr>
      <w:r>
        <w:rPr>
          <w:rFonts w:hint="eastAsia"/>
        </w:rPr>
        <w:t>未取得有效的检验检测机构资质</w:t>
      </w:r>
      <w:r>
        <w:rPr>
          <w:rFonts w:hint="eastAsia" w:ascii="宋体" w:hAnsi="宋体" w:eastAsia="宋体" w:cs="宋体"/>
        </w:rPr>
        <w:t>认定（</w:t>
      </w:r>
      <w:r>
        <w:rPr>
          <w:rFonts w:hint="eastAsia" w:ascii="宋体" w:hAnsi="宋体" w:eastAsia="宋体" w:cs="宋体"/>
          <w:kern w:val="2"/>
          <w:sz w:val="21"/>
          <w:szCs w:val="28"/>
          <w:lang w:val="en-US" w:eastAsia="zh-CN" w:bidi="ar-SA"/>
        </w:rPr>
        <w:t>CMA</w:t>
      </w:r>
      <w:r>
        <w:rPr>
          <w:rFonts w:hint="eastAsia" w:ascii="宋体" w:hAnsi="宋体" w:eastAsia="宋体" w:cs="宋体"/>
        </w:rPr>
        <w:t>）；</w:t>
      </w:r>
    </w:p>
    <w:p w14:paraId="15896CCC">
      <w:pPr>
        <w:pStyle w:val="30"/>
        <w:numPr>
          <w:ilvl w:val="0"/>
          <w:numId w:val="3"/>
        </w:numPr>
        <w:ind w:left="425" w:leftChars="0" w:hanging="425" w:firstLineChars="0"/>
        <w:rPr>
          <w:rFonts w:hint="eastAsia"/>
        </w:rPr>
      </w:pPr>
      <w:r>
        <w:rPr>
          <w:rFonts w:hint="eastAsia"/>
        </w:rPr>
        <w:t>三年内发生过重大检验检测质量安全事故或有虚假检验检测行为；</w:t>
      </w:r>
    </w:p>
    <w:p w14:paraId="043A8093">
      <w:pPr>
        <w:pStyle w:val="30"/>
        <w:numPr>
          <w:ilvl w:val="0"/>
          <w:numId w:val="3"/>
        </w:numPr>
        <w:ind w:left="425" w:leftChars="0" w:hanging="425" w:firstLineChars="0"/>
        <w:rPr>
          <w:rFonts w:hint="eastAsia"/>
        </w:rPr>
      </w:pPr>
      <w:r>
        <w:rPr>
          <w:rFonts w:hint="eastAsia"/>
        </w:rPr>
        <w:t>在各级监管部门的监督抽查中被判定为严重不合格且未完成整改；</w:t>
      </w:r>
    </w:p>
    <w:p w14:paraId="26DA5AF6">
      <w:pPr>
        <w:pStyle w:val="30"/>
        <w:numPr>
          <w:ilvl w:val="0"/>
          <w:numId w:val="3"/>
        </w:numPr>
        <w:ind w:left="425" w:leftChars="0" w:hanging="425" w:firstLineChars="0"/>
        <w:rPr>
          <w:rFonts w:hint="eastAsia"/>
        </w:rPr>
      </w:pPr>
      <w:r>
        <w:rPr>
          <w:rFonts w:hint="eastAsia"/>
        </w:rPr>
        <w:t>关键检测设备未按规定进行检定/校准。</w:t>
      </w:r>
    </w:p>
    <w:p w14:paraId="202F3F88">
      <w:pPr>
        <w:pStyle w:val="30"/>
        <w:numPr>
          <w:ilvl w:val="0"/>
          <w:numId w:val="3"/>
        </w:numPr>
        <w:ind w:left="425" w:leftChars="0" w:hanging="425" w:firstLineChars="0"/>
        <w:rPr>
          <w:rFonts w:hint="eastAsia"/>
        </w:rPr>
      </w:pPr>
      <w:r>
        <w:rPr>
          <w:rFonts w:hint="eastAsia"/>
        </w:rPr>
        <w:t>无法对接平台进行数据溯源的。</w:t>
      </w:r>
    </w:p>
    <w:p w14:paraId="5AE3A41F">
      <w:pPr>
        <w:pStyle w:val="30"/>
        <w:numPr>
          <w:ilvl w:val="0"/>
          <w:numId w:val="3"/>
        </w:numPr>
        <w:ind w:left="425" w:leftChars="0" w:hanging="425" w:firstLineChars="0"/>
        <w:rPr>
          <w:rFonts w:hint="eastAsia"/>
        </w:rPr>
      </w:pPr>
      <w:r>
        <w:rPr>
          <w:rFonts w:hint="eastAsia"/>
        </w:rPr>
        <w:t>基础能力缺失：评价过程中，基础项（Basic Items）合计得分低于满分的 60%；</w:t>
      </w:r>
    </w:p>
    <w:p w14:paraId="34F30103">
      <w:pPr>
        <w:pStyle w:val="31"/>
        <w:bidi w:val="0"/>
        <w:rPr>
          <w:rFonts w:hint="eastAsia" w:ascii="黑体" w:hAnsi="黑体" w:eastAsia="黑体" w:cs="黑体"/>
          <w:sz w:val="21"/>
          <w:szCs w:val="28"/>
          <w:lang w:val="en-US" w:eastAsia="zh-CN" w:bidi="ar-SA"/>
        </w:rPr>
      </w:pPr>
      <w:bookmarkStart w:id="65" w:name="_Toc21294"/>
      <w:r>
        <w:rPr>
          <w:rFonts w:hint="eastAsia" w:ascii="黑体" w:hAnsi="黑体" w:eastAsia="黑体" w:cs="黑体"/>
          <w:sz w:val="21"/>
          <w:szCs w:val="28"/>
          <w:lang w:val="en-US" w:eastAsia="zh-CN" w:bidi="ar-SA"/>
        </w:rPr>
        <w:t>评价方法与实施</w:t>
      </w:r>
      <w:bookmarkEnd w:id="65"/>
    </w:p>
    <w:p w14:paraId="697A9F49">
      <w:pPr>
        <w:pStyle w:val="32"/>
        <w:spacing w:before="156" w:after="156"/>
        <w:rPr>
          <w:rFonts w:hAnsi="黑体" w:cs="黑体"/>
          <w:sz w:val="22"/>
          <w:szCs w:val="28"/>
        </w:rPr>
      </w:pPr>
      <w:r>
        <w:rPr>
          <w:rFonts w:hint="eastAsia" w:hAnsi="黑体" w:cs="黑体"/>
          <w:szCs w:val="28"/>
        </w:rPr>
        <w:t>评价申请</w:t>
      </w:r>
    </w:p>
    <w:p w14:paraId="203DB380">
      <w:pPr>
        <w:rPr>
          <w:rFonts w:hint="eastAsia" w:ascii="宋体" w:hAnsi="宋体" w:eastAsia="宋体" w:cs="宋体"/>
          <w:sz w:val="22"/>
          <w:szCs w:val="28"/>
        </w:rPr>
      </w:pPr>
      <w:r>
        <w:rPr>
          <w:rFonts w:hint="eastAsia" w:ascii="黑体" w:hAnsi="黑体" w:eastAsia="黑体" w:cs="黑体"/>
          <w:szCs w:val="28"/>
        </w:rPr>
        <w:t>6.1.1</w:t>
      </w:r>
      <w:r>
        <w:rPr>
          <w:rFonts w:hint="eastAsia" w:asciiTheme="minorEastAsia" w:hAnsiTheme="minorEastAsia" w:cstheme="minorEastAsia"/>
          <w:szCs w:val="28"/>
        </w:rPr>
        <w:t xml:space="preserve"> 实验室应向评价机构提交书面申请，并同步提交</w:t>
      </w:r>
      <w:r>
        <w:rPr>
          <w:rFonts w:hint="eastAsia" w:ascii="宋体" w:hAnsi="宋体" w:eastAsia="宋体" w:cs="宋体"/>
          <w:szCs w:val="28"/>
        </w:rPr>
        <w:t>附录A《电器电子产品环保检测高质量实验室评价申请表》及以下支撑材料（电子版+加盖公章纸质版）。</w:t>
      </w:r>
    </w:p>
    <w:p w14:paraId="5A822D83">
      <w:pPr>
        <w:rPr>
          <w:rFonts w:asciiTheme="minorEastAsia" w:hAnsiTheme="minorEastAsia" w:cstheme="minorEastAsia"/>
          <w:sz w:val="22"/>
          <w:szCs w:val="28"/>
        </w:rPr>
      </w:pPr>
      <w:r>
        <w:rPr>
          <w:rFonts w:hint="eastAsia" w:ascii="黑体" w:hAnsi="黑体" w:eastAsia="黑体" w:cs="黑体"/>
          <w:szCs w:val="28"/>
        </w:rPr>
        <w:t>6.1.2</w:t>
      </w:r>
      <w:r>
        <w:rPr>
          <w:rFonts w:hint="eastAsia" w:asciiTheme="minorEastAsia" w:hAnsiTheme="minorEastAsia" w:cstheme="minorEastAsia"/>
          <w:szCs w:val="28"/>
        </w:rPr>
        <w:t xml:space="preserve"> 申请材料应真实、完整、可追溯，实验室对材料真实性负主体责任。</w:t>
      </w:r>
    </w:p>
    <w:p w14:paraId="4F18DBB2">
      <w:pPr>
        <w:pStyle w:val="32"/>
        <w:spacing w:before="156" w:after="156"/>
        <w:rPr>
          <w:rFonts w:hAnsi="黑体" w:cs="黑体"/>
          <w:sz w:val="22"/>
          <w:szCs w:val="28"/>
        </w:rPr>
      </w:pPr>
      <w:r>
        <w:rPr>
          <w:rFonts w:hint="eastAsia" w:hAnsi="黑体" w:cs="黑体"/>
          <w:szCs w:val="28"/>
        </w:rPr>
        <w:t>资料审查</w:t>
      </w:r>
    </w:p>
    <w:p w14:paraId="07B12518">
      <w:pPr>
        <w:pStyle w:val="30"/>
        <w:ind w:firstLine="0" w:firstLineChars="0"/>
      </w:pPr>
      <w:r>
        <w:rPr>
          <w:rFonts w:hint="eastAsia" w:ascii="黑体" w:hAnsi="黑体" w:eastAsia="黑体" w:cs="黑体"/>
        </w:rPr>
        <w:t xml:space="preserve">6.2.1 </w:t>
      </w:r>
      <w:r>
        <w:rPr>
          <w:rFonts w:hint="eastAsia" w:hAnsi="宋体"/>
        </w:rPr>
        <w:t>评价机构在收到完整申请材料后及时组织资料审查，审查通过后调专家组开展现场评价。</w:t>
      </w:r>
    </w:p>
    <w:p w14:paraId="31E8ACA3">
      <w:pPr>
        <w:pStyle w:val="30"/>
        <w:ind w:firstLine="0" w:firstLineChars="0"/>
      </w:pPr>
      <w:r>
        <w:rPr>
          <w:rFonts w:hint="eastAsia" w:ascii="黑体" w:hAnsi="黑体" w:eastAsia="黑体" w:cs="黑体"/>
        </w:rPr>
        <w:t>6.2.2</w:t>
      </w:r>
      <w:r>
        <w:rPr>
          <w:rFonts w:hint="eastAsia" w:hAnsi="宋体"/>
        </w:rPr>
        <w:t xml:space="preserve"> 审查重点包括：</w:t>
      </w:r>
    </w:p>
    <w:p w14:paraId="4633B56B">
      <w:pPr>
        <w:pStyle w:val="30"/>
        <w:numPr>
          <w:ilvl w:val="0"/>
          <w:numId w:val="4"/>
        </w:numPr>
        <w:ind w:firstLineChars="0"/>
      </w:pPr>
      <w:r>
        <w:rPr>
          <w:rFonts w:hint="eastAsia" w:hAnsi="宋体"/>
        </w:rPr>
        <w:t>申请表填写是否规范；</w:t>
      </w:r>
    </w:p>
    <w:p w14:paraId="48C3994B">
      <w:pPr>
        <w:pStyle w:val="30"/>
        <w:numPr>
          <w:ilvl w:val="0"/>
          <w:numId w:val="4"/>
        </w:numPr>
        <w:ind w:firstLineChars="0"/>
      </w:pPr>
      <w:r>
        <w:rPr>
          <w:rFonts w:hint="eastAsia" w:hAnsi="宋体"/>
        </w:rPr>
        <w:t>支撑材料是否覆盖</w:t>
      </w:r>
      <w:r>
        <w:rPr>
          <w:rFonts w:hint="eastAsia" w:ascii="宋体" w:hAnsi="宋体" w:eastAsia="宋体" w:cs="宋体"/>
        </w:rPr>
        <w:t>第</w:t>
      </w:r>
      <w:r>
        <w:rPr>
          <w:rFonts w:hint="eastAsia" w:ascii="宋体" w:hAnsi="宋体" w:eastAsia="宋体" w:cs="宋体"/>
          <w:kern w:val="0"/>
          <w:sz w:val="21"/>
          <w:szCs w:val="20"/>
          <w:lang w:val="en-US" w:eastAsia="zh-CN" w:bidi="ar-SA"/>
        </w:rPr>
        <w:t>4</w:t>
      </w:r>
      <w:r>
        <w:rPr>
          <w:rFonts w:hint="eastAsia" w:ascii="宋体" w:hAnsi="宋体" w:eastAsia="宋体" w:cs="宋体"/>
        </w:rPr>
        <w:t>章全部评价内容；</w:t>
      </w:r>
    </w:p>
    <w:p w14:paraId="12DCC0C5">
      <w:pPr>
        <w:pStyle w:val="30"/>
        <w:numPr>
          <w:ilvl w:val="0"/>
          <w:numId w:val="4"/>
        </w:numPr>
        <w:ind w:firstLineChars="0"/>
      </w:pPr>
      <w:r>
        <w:rPr>
          <w:rFonts w:hint="eastAsia" w:hAnsi="宋体"/>
        </w:rPr>
        <w:t>资质证书是否在有效期内；</w:t>
      </w:r>
    </w:p>
    <w:p w14:paraId="39DBF5F9">
      <w:pPr>
        <w:pStyle w:val="30"/>
        <w:numPr>
          <w:ilvl w:val="0"/>
          <w:numId w:val="4"/>
        </w:numPr>
        <w:ind w:firstLineChars="0"/>
      </w:pPr>
      <w:r>
        <w:rPr>
          <w:rFonts w:hint="eastAsia" w:hAnsi="宋体"/>
        </w:rPr>
        <w:t>是否存在重大违规或数据造假嫌疑。</w:t>
      </w:r>
    </w:p>
    <w:p w14:paraId="467811F8">
      <w:pPr>
        <w:pStyle w:val="30"/>
        <w:ind w:firstLine="0" w:firstLineChars="0"/>
      </w:pPr>
      <w:r>
        <w:rPr>
          <w:rFonts w:hint="eastAsia" w:ascii="黑体" w:hAnsi="黑体" w:eastAsia="黑体" w:cs="黑体"/>
        </w:rPr>
        <w:t>6.2.3</w:t>
      </w:r>
      <w:r>
        <w:rPr>
          <w:rFonts w:hint="eastAsia" w:hAnsi="宋体"/>
        </w:rPr>
        <w:t xml:space="preserve"> 材料不完整的，应一次性告知实验室补正，补正期限不</w:t>
      </w:r>
      <w:r>
        <w:rPr>
          <w:rFonts w:hint="eastAsia" w:ascii="宋体" w:hAnsi="宋体" w:eastAsia="宋体" w:cs="宋体"/>
        </w:rPr>
        <w:t>超过15个工作日</w:t>
      </w:r>
      <w:r>
        <w:rPr>
          <w:rFonts w:hint="eastAsia" w:hAnsi="宋体"/>
        </w:rPr>
        <w:t>；逾期未补正或补正后仍不符合要求的，不予受理。</w:t>
      </w:r>
    </w:p>
    <w:p w14:paraId="07563FFF">
      <w:pPr>
        <w:pStyle w:val="32"/>
        <w:spacing w:before="156" w:after="156"/>
        <w:rPr>
          <w:rFonts w:hAnsi="黑体" w:cs="黑体"/>
          <w:sz w:val="22"/>
          <w:szCs w:val="28"/>
        </w:rPr>
      </w:pPr>
      <w:r>
        <w:rPr>
          <w:rFonts w:hint="eastAsia" w:hAnsi="黑体" w:cs="黑体"/>
          <w:szCs w:val="28"/>
        </w:rPr>
        <w:t>现场评价</w:t>
      </w:r>
    </w:p>
    <w:p w14:paraId="12E1D881">
      <w:pPr>
        <w:pStyle w:val="30"/>
        <w:ind w:firstLine="0" w:firstLineChars="0"/>
      </w:pPr>
      <w:r>
        <w:rPr>
          <w:rFonts w:hint="eastAsia" w:ascii="黑体" w:hAnsi="黑体" w:eastAsia="黑体" w:cs="黑体"/>
        </w:rPr>
        <w:t xml:space="preserve">6.3.1 </w:t>
      </w:r>
      <w:r>
        <w:rPr>
          <w:rFonts w:hint="eastAsia" w:hAnsi="宋体"/>
        </w:rPr>
        <w:t>资料审查通过后，评</w:t>
      </w:r>
      <w:r>
        <w:rPr>
          <w:rFonts w:hint="eastAsia" w:ascii="宋体" w:hAnsi="宋体" w:eastAsia="宋体" w:cs="宋体"/>
        </w:rPr>
        <w:t>价机构应在30个工作日内组织3–5人专家组开展现场评价。</w:t>
      </w:r>
    </w:p>
    <w:p w14:paraId="7D3B8F8C">
      <w:pPr>
        <w:pStyle w:val="30"/>
        <w:ind w:firstLine="0" w:firstLineChars="0"/>
      </w:pPr>
      <w:r>
        <w:rPr>
          <w:rFonts w:hint="eastAsia" w:ascii="黑体" w:hAnsi="黑体" w:eastAsia="黑体" w:cs="黑体"/>
        </w:rPr>
        <w:t>6.3.2</w:t>
      </w:r>
      <w:r>
        <w:rPr>
          <w:rFonts w:hint="eastAsia" w:hAnsi="宋体" w:cs="黑体"/>
        </w:rPr>
        <w:t xml:space="preserve"> </w:t>
      </w:r>
      <w:r>
        <w:rPr>
          <w:rFonts w:hint="eastAsia" w:hAnsi="宋体"/>
        </w:rPr>
        <w:t>专家组应包含：</w:t>
      </w:r>
    </w:p>
    <w:p w14:paraId="70FEE106">
      <w:pPr>
        <w:pStyle w:val="30"/>
        <w:numPr>
          <w:ilvl w:val="0"/>
          <w:numId w:val="5"/>
        </w:numPr>
        <w:ind w:firstLineChars="0"/>
      </w:pPr>
      <w:r>
        <w:rPr>
          <w:rFonts w:hint="eastAsia" w:hAnsi="宋体"/>
        </w:rPr>
        <w:t>至少1名具备电器电子产品环保检测技术背景的专家；</w:t>
      </w:r>
    </w:p>
    <w:p w14:paraId="7D0B840F">
      <w:pPr>
        <w:pStyle w:val="30"/>
        <w:numPr>
          <w:ilvl w:val="0"/>
          <w:numId w:val="5"/>
        </w:numPr>
        <w:ind w:firstLineChars="0"/>
        <w:rPr>
          <w:rFonts w:hint="eastAsia" w:ascii="宋体" w:hAnsi="宋体" w:eastAsia="宋体" w:cs="宋体"/>
        </w:rPr>
      </w:pPr>
      <w:r>
        <w:rPr>
          <w:rFonts w:hint="eastAsia" w:hAnsi="宋体"/>
        </w:rPr>
        <w:t>至少1名</w:t>
      </w:r>
      <w:r>
        <w:rPr>
          <w:rFonts w:hint="eastAsia" w:ascii="宋体" w:hAnsi="宋体" w:eastAsia="宋体" w:cs="宋体"/>
        </w:rPr>
        <w:t>熟悉ISO/IEC 17025、</w:t>
      </w:r>
      <w:r>
        <w:rPr>
          <w:rFonts w:hint="eastAsia" w:ascii="宋体" w:hAnsi="宋体" w:eastAsia="宋体" w:cs="宋体"/>
          <w:lang w:eastAsia="zh-CN"/>
        </w:rPr>
        <w:t>IECQ QC 080000或GB/T 31274-2024</w:t>
      </w:r>
      <w:r>
        <w:rPr>
          <w:rFonts w:hint="eastAsia" w:ascii="宋体" w:hAnsi="宋体" w:eastAsia="宋体" w:cs="宋体"/>
          <w:b w:val="0"/>
          <w:bCs w:val="0"/>
          <w:sz w:val="21"/>
          <w:szCs w:val="20"/>
          <w:highlight w:val="none"/>
        </w:rPr>
        <w:t>《电子电气产品限用物质管理体系要求》</w:t>
      </w:r>
      <w:r>
        <w:rPr>
          <w:rFonts w:hint="eastAsia" w:ascii="宋体" w:hAnsi="宋体" w:eastAsia="宋体" w:cs="宋体"/>
          <w:b w:val="0"/>
          <w:bCs w:val="0"/>
          <w:sz w:val="21"/>
          <w:szCs w:val="20"/>
          <w:highlight w:val="none"/>
          <w:lang w:eastAsia="zh-CN"/>
        </w:rPr>
        <w:t>、</w:t>
      </w:r>
      <w:r>
        <w:rPr>
          <w:rFonts w:hint="eastAsia" w:ascii="宋体" w:hAnsi="宋体" w:eastAsia="宋体" w:cs="宋体"/>
        </w:rPr>
        <w:t>的质量管理体系专家；</w:t>
      </w:r>
    </w:p>
    <w:p w14:paraId="3DD62E68">
      <w:pPr>
        <w:pStyle w:val="30"/>
        <w:numPr>
          <w:ilvl w:val="0"/>
          <w:numId w:val="5"/>
        </w:numPr>
        <w:ind w:firstLineChars="0"/>
        <w:rPr>
          <w:rFonts w:hint="eastAsia" w:ascii="宋体" w:hAnsi="宋体" w:eastAsia="宋体" w:cs="宋体"/>
        </w:rPr>
      </w:pPr>
      <w:r>
        <w:rPr>
          <w:rFonts w:hint="eastAsia" w:ascii="宋体" w:hAnsi="宋体" w:eastAsia="宋体" w:cs="宋体"/>
        </w:rPr>
        <w:t>必要时可邀请数字化或国际互认领域专家。</w:t>
      </w:r>
    </w:p>
    <w:p w14:paraId="7B4C9C5C">
      <w:pPr>
        <w:pStyle w:val="30"/>
        <w:numPr>
          <w:ilvl w:val="0"/>
          <w:numId w:val="5"/>
        </w:numPr>
        <w:ind w:firstLineChars="0"/>
        <w:rPr>
          <w:rFonts w:hint="eastAsia" w:hAnsi="宋体"/>
        </w:rPr>
      </w:pPr>
      <w:r>
        <w:rPr>
          <w:rFonts w:hint="eastAsia" w:hAnsi="宋体"/>
        </w:rPr>
        <w:t>必要时可邀请来自电器电子产品龙头制造企业供应链质量或环保合规部门的专家</w:t>
      </w:r>
      <w:r>
        <w:rPr>
          <w:rFonts w:hint="eastAsia" w:hAnsi="宋体"/>
          <w:lang w:eastAsia="zh-CN"/>
        </w:rPr>
        <w:t>。</w:t>
      </w:r>
    </w:p>
    <w:p w14:paraId="5CBF2877">
      <w:pPr>
        <w:pStyle w:val="30"/>
        <w:ind w:firstLine="0" w:firstLineChars="0"/>
      </w:pPr>
      <w:r>
        <w:rPr>
          <w:rFonts w:hint="eastAsia" w:ascii="黑体" w:hAnsi="黑体" w:eastAsia="黑体" w:cs="黑体"/>
        </w:rPr>
        <w:t xml:space="preserve">6.3.3 </w:t>
      </w:r>
      <w:r>
        <w:rPr>
          <w:rFonts w:hint="eastAsia" w:hAnsi="宋体"/>
        </w:rPr>
        <w:t>现场评价内容包括：</w:t>
      </w:r>
    </w:p>
    <w:p w14:paraId="2C805185">
      <w:pPr>
        <w:pStyle w:val="30"/>
        <w:numPr>
          <w:ilvl w:val="0"/>
          <w:numId w:val="6"/>
        </w:numPr>
        <w:ind w:firstLineChars="0"/>
      </w:pPr>
      <w:r>
        <w:rPr>
          <w:rFonts w:hint="eastAsia" w:hAnsi="宋体"/>
        </w:rPr>
        <w:t>文件核查：对照附</w:t>
      </w:r>
      <w:r>
        <w:rPr>
          <w:rFonts w:hint="eastAsia" w:ascii="宋体" w:hAnsi="宋体" w:eastAsia="宋体" w:cs="宋体"/>
        </w:rPr>
        <w:t>录B《电器</w:t>
      </w:r>
      <w:r>
        <w:rPr>
          <w:rFonts w:hint="eastAsia"/>
        </w:rPr>
        <w:t>电子产品环保检测高质量实验室评价规范</w:t>
      </w:r>
      <w:r>
        <w:rPr>
          <w:rFonts w:hint="eastAsia"/>
          <w:lang w:eastAsia="zh-CN"/>
        </w:rPr>
        <w:t>－</w:t>
      </w:r>
      <w:r>
        <w:rPr>
          <w:rFonts w:hint="eastAsia"/>
        </w:rPr>
        <w:t>评分细则》</w:t>
      </w:r>
      <w:r>
        <w:rPr>
          <w:rFonts w:hint="eastAsia" w:hAnsi="宋体"/>
        </w:rPr>
        <w:t>逐项查验支撑材料；</w:t>
      </w:r>
    </w:p>
    <w:p w14:paraId="51C4318F">
      <w:pPr>
        <w:pStyle w:val="30"/>
        <w:numPr>
          <w:ilvl w:val="0"/>
          <w:numId w:val="6"/>
        </w:numPr>
        <w:ind w:firstLineChars="0"/>
      </w:pPr>
      <w:r>
        <w:rPr>
          <w:rFonts w:hint="eastAsia" w:hAnsi="宋体"/>
        </w:rPr>
        <w:t>设备与环境核查：</w:t>
      </w:r>
    </w:p>
    <w:p w14:paraId="6EAE1769">
      <w:pPr>
        <w:pStyle w:val="30"/>
        <w:numPr>
          <w:ilvl w:val="0"/>
          <w:numId w:val="6"/>
        </w:numPr>
        <w:ind w:firstLineChars="0"/>
      </w:pPr>
      <w:r>
        <w:rPr>
          <w:rFonts w:hint="eastAsia" w:hAnsi="宋体"/>
        </w:rPr>
        <w:t>实地查看设备状态、环境条件、安全设施；</w:t>
      </w:r>
    </w:p>
    <w:p w14:paraId="27C4F688">
      <w:pPr>
        <w:pStyle w:val="30"/>
        <w:numPr>
          <w:ilvl w:val="0"/>
          <w:numId w:val="6"/>
        </w:numPr>
        <w:ind w:firstLineChars="0"/>
      </w:pPr>
      <w:r>
        <w:rPr>
          <w:rFonts w:hint="eastAsia" w:hAnsi="宋体"/>
        </w:rPr>
        <w:t>过程观察：随机观</w:t>
      </w:r>
      <w:r>
        <w:rPr>
          <w:rFonts w:hint="eastAsia" w:ascii="宋体" w:hAnsi="宋体" w:eastAsia="宋体" w:cs="宋体"/>
        </w:rPr>
        <w:t>察1–2个</w:t>
      </w:r>
      <w:r>
        <w:rPr>
          <w:rFonts w:hint="eastAsia" w:hAnsi="宋体"/>
        </w:rPr>
        <w:t>检测项目全流程操作；</w:t>
      </w:r>
    </w:p>
    <w:p w14:paraId="4A327BB9">
      <w:pPr>
        <w:pStyle w:val="30"/>
        <w:numPr>
          <w:ilvl w:val="0"/>
          <w:numId w:val="6"/>
        </w:numPr>
        <w:ind w:firstLineChars="0"/>
      </w:pPr>
      <w:r>
        <w:rPr>
          <w:rFonts w:hint="eastAsia" w:hAnsi="宋体"/>
        </w:rPr>
        <w:t>人员访谈：访谈技术负责人、质量负责人、检测人员，验证其对标准、流程、风险控制的理解；</w:t>
      </w:r>
    </w:p>
    <w:p w14:paraId="0DC14A84">
      <w:pPr>
        <w:pStyle w:val="30"/>
        <w:numPr>
          <w:ilvl w:val="0"/>
          <w:numId w:val="6"/>
        </w:numPr>
        <w:ind w:firstLineChars="0"/>
      </w:pPr>
      <w:r>
        <w:rPr>
          <w:rFonts w:hint="eastAsia" w:hAnsi="宋体"/>
        </w:rPr>
        <w:t>数据追溯：抽查原始记录与检测报告的关联性、完整性、可追溯性。</w:t>
      </w:r>
    </w:p>
    <w:p w14:paraId="4B54696B">
      <w:pPr>
        <w:pStyle w:val="30"/>
        <w:ind w:firstLine="0" w:firstLineChars="0"/>
        <w:rPr>
          <w:rFonts w:hAnsi="宋体"/>
        </w:rPr>
      </w:pPr>
      <w:r>
        <w:rPr>
          <w:rFonts w:hint="eastAsia" w:ascii="黑体" w:hAnsi="黑体" w:eastAsia="黑体" w:cs="黑体"/>
        </w:rPr>
        <w:t xml:space="preserve">6.3.4 </w:t>
      </w:r>
      <w:r>
        <w:rPr>
          <w:rFonts w:hint="eastAsia" w:hAnsi="宋体"/>
        </w:rPr>
        <w:t>现场评价应全程记录，形成《现场评审记录表》由实验室负责人签字确认。</w:t>
      </w:r>
    </w:p>
    <w:p w14:paraId="005D01F2">
      <w:pPr>
        <w:pStyle w:val="30"/>
        <w:ind w:firstLine="0" w:firstLineChars="0"/>
        <w:rPr>
          <w:rFonts w:hAnsi="宋体"/>
        </w:rPr>
      </w:pPr>
      <w:r>
        <w:rPr>
          <w:rFonts w:hint="eastAsia" w:ascii="黑体" w:hAnsi="黑体" w:eastAsia="黑体" w:cs="黑体"/>
        </w:rPr>
        <w:t>6.3.5</w:t>
      </w:r>
      <w:r>
        <w:rPr>
          <w:rFonts w:hint="eastAsia" w:hAnsi="宋体"/>
        </w:rPr>
        <w:t xml:space="preserve"> 专家应签署利益冲突与保密声明，确保评价过程公正、公平。</w:t>
      </w:r>
    </w:p>
    <w:p w14:paraId="18899345">
      <w:pPr>
        <w:pStyle w:val="30"/>
        <w:ind w:firstLine="0" w:firstLineChars="0"/>
        <w:rPr>
          <w:rFonts w:hint="eastAsia" w:hAnsi="宋体"/>
        </w:rPr>
      </w:pPr>
    </w:p>
    <w:p w14:paraId="6605DD40">
      <w:pPr>
        <w:pStyle w:val="32"/>
        <w:spacing w:before="156" w:after="156"/>
        <w:rPr>
          <w:rFonts w:hint="eastAsia" w:hAnsi="黑体" w:cs="黑体"/>
          <w:szCs w:val="28"/>
        </w:rPr>
      </w:pPr>
      <w:r>
        <w:rPr>
          <w:rFonts w:hint="eastAsia" w:hAnsi="黑体" w:cs="黑体"/>
          <w:szCs w:val="28"/>
        </w:rPr>
        <w:t>评价报告与技术诊断</w:t>
      </w:r>
    </w:p>
    <w:p w14:paraId="4D100F2A">
      <w:pPr>
        <w:pStyle w:val="30"/>
        <w:ind w:firstLine="0" w:firstLineChars="0"/>
        <w:rPr>
          <w:rFonts w:hint="eastAsia" w:hAnsi="宋体"/>
        </w:rPr>
      </w:pPr>
      <w:r>
        <w:rPr>
          <w:rFonts w:hint="eastAsia" w:ascii="黑体" w:hAnsi="黑体" w:eastAsia="黑体" w:cs="黑体"/>
        </w:rPr>
        <w:t>6.4.1</w:t>
      </w:r>
      <w:r>
        <w:rPr>
          <w:rFonts w:hint="eastAsia" w:hAnsi="宋体"/>
        </w:rPr>
        <w:t xml:space="preserve"> 现场评价结束后 15 个工作日内，评价机构应出具《高质量实验室评价报告》，内容包括评分明细、不符合项清单及等级判定建议。</w:t>
      </w:r>
    </w:p>
    <w:p w14:paraId="45850397">
      <w:pPr>
        <w:pStyle w:val="30"/>
        <w:ind w:firstLine="0" w:firstLineChars="0"/>
        <w:rPr>
          <w:rFonts w:hint="eastAsia" w:hAnsi="宋体"/>
        </w:rPr>
      </w:pPr>
      <w:r>
        <w:rPr>
          <w:rFonts w:hint="eastAsia" w:ascii="黑体" w:hAnsi="黑体" w:eastAsia="黑体" w:cs="黑体"/>
        </w:rPr>
        <w:t>6.4.2</w:t>
      </w:r>
      <w:r>
        <w:rPr>
          <w:rFonts w:hint="eastAsia" w:hAnsi="宋体"/>
        </w:rPr>
        <w:t xml:space="preserve"> 针对首次评价未达标或存在提升空间的实验室，评价机构可提供《实验室质量提升诊断书》。诊断书仅指出技术短板、管理漏洞及与行业标杆的差距（基于数据平台分析），不提供具体的整改方案设计或咨询服务，整改措施由实验室自主制定并实施。</w:t>
      </w:r>
    </w:p>
    <w:p w14:paraId="6180992D">
      <w:pPr>
        <w:pStyle w:val="30"/>
        <w:ind w:firstLine="0" w:firstLineChars="0"/>
        <w:rPr>
          <w:rFonts w:hint="eastAsia" w:hAnsi="宋体"/>
        </w:rPr>
      </w:pPr>
      <w:r>
        <w:rPr>
          <w:rFonts w:hint="eastAsia" w:ascii="黑体" w:hAnsi="黑体" w:eastAsia="黑体" w:cs="黑体"/>
        </w:rPr>
        <w:t>6.4.3</w:t>
      </w:r>
      <w:r>
        <w:rPr>
          <w:rFonts w:hint="eastAsia" w:hAnsi="宋体"/>
        </w:rPr>
        <w:t xml:space="preserve"> 实验室应在规定期限内完成整改并提交证据，评价机构依据标准进行符合性验证。</w:t>
      </w:r>
    </w:p>
    <w:p w14:paraId="16794BF0">
      <w:pPr>
        <w:pStyle w:val="32"/>
        <w:spacing w:before="156" w:after="156"/>
        <w:rPr>
          <w:rFonts w:hAnsi="黑体" w:cs="黑体"/>
          <w:sz w:val="22"/>
          <w:szCs w:val="28"/>
        </w:rPr>
      </w:pPr>
      <w:r>
        <w:rPr>
          <w:rFonts w:hint="eastAsia" w:hAnsi="黑体" w:cs="黑体"/>
          <w:szCs w:val="28"/>
        </w:rPr>
        <w:t>结果公示</w:t>
      </w:r>
    </w:p>
    <w:p w14:paraId="4662EEC2">
      <w:pPr>
        <w:pStyle w:val="30"/>
        <w:ind w:firstLine="0" w:firstLineChars="0"/>
      </w:pPr>
      <w:r>
        <w:rPr>
          <w:rFonts w:hint="eastAsia" w:ascii="黑体" w:hAnsi="黑体" w:eastAsia="黑体" w:cs="黑体"/>
        </w:rPr>
        <w:t>6.5.1</w:t>
      </w:r>
      <w:r>
        <w:rPr>
          <w:rFonts w:hint="eastAsia" w:hAnsi="宋体"/>
        </w:rPr>
        <w:t xml:space="preserve"> 评价报告无异议后，评价机构</w:t>
      </w:r>
      <w:r>
        <w:rPr>
          <w:rFonts w:hint="eastAsia" w:ascii="宋体" w:hAnsi="宋体" w:eastAsia="宋体" w:cs="宋体"/>
        </w:rPr>
        <w:t>应在5个工作日内于官方网站公示评价结果，公示期15个工作日。</w:t>
      </w:r>
    </w:p>
    <w:p w14:paraId="5C6E67A2">
      <w:pPr>
        <w:pStyle w:val="30"/>
        <w:ind w:firstLine="0" w:firstLineChars="0"/>
      </w:pPr>
      <w:r>
        <w:rPr>
          <w:rFonts w:hint="eastAsia" w:ascii="黑体" w:hAnsi="黑体" w:eastAsia="黑体" w:cs="黑体"/>
        </w:rPr>
        <w:t xml:space="preserve">6.5.2 </w:t>
      </w:r>
      <w:r>
        <w:rPr>
          <w:rFonts w:hint="eastAsia" w:hAnsi="宋体"/>
        </w:rPr>
        <w:t>公示内容包括：实验室名称、申请等级、最终得分、评定等级、有效期。</w:t>
      </w:r>
    </w:p>
    <w:p w14:paraId="58899C4B">
      <w:pPr>
        <w:pStyle w:val="30"/>
        <w:ind w:firstLine="0" w:firstLineChars="0"/>
        <w:rPr>
          <w:rFonts w:asciiTheme="minorEastAsia" w:hAnsiTheme="minorEastAsia" w:cstheme="minorEastAsia"/>
          <w:szCs w:val="28"/>
        </w:rPr>
      </w:pPr>
      <w:r>
        <w:rPr>
          <w:rFonts w:hint="eastAsia" w:ascii="黑体" w:hAnsi="黑体" w:eastAsia="黑体" w:cs="黑体"/>
        </w:rPr>
        <w:t>6.5.3</w:t>
      </w:r>
      <w:r>
        <w:rPr>
          <w:rFonts w:hint="eastAsia" w:hAnsi="宋体"/>
        </w:rPr>
        <w:t xml:space="preserve"> 公示期间收到异议的，评价机构应组织复核，</w:t>
      </w:r>
      <w:r>
        <w:rPr>
          <w:rFonts w:hint="eastAsia" w:ascii="宋体" w:hAnsi="宋体" w:eastAsia="宋体" w:cs="宋体"/>
        </w:rPr>
        <w:t>并在10个工作日内反馈处理结果。</w:t>
      </w:r>
    </w:p>
    <w:p w14:paraId="44CDCCE3">
      <w:pPr>
        <w:pStyle w:val="32"/>
        <w:numPr>
          <w:ilvl w:val="2"/>
          <w:numId w:val="0"/>
        </w:numPr>
        <w:spacing w:before="156" w:after="156"/>
        <w:ind w:leftChars="0"/>
        <w:rPr>
          <w:rFonts w:hint="eastAsia" w:hAnsi="黑体" w:cs="黑体"/>
          <w:szCs w:val="28"/>
        </w:rPr>
      </w:pPr>
      <w:r>
        <w:rPr>
          <w:rFonts w:hint="eastAsia" w:hAnsi="黑体" w:cs="黑体"/>
          <w:szCs w:val="28"/>
        </w:rPr>
        <w:t>6.6 证书有效期与复评</w:t>
      </w:r>
    </w:p>
    <w:p w14:paraId="21CECFB3">
      <w:pPr>
        <w:rPr>
          <w:rFonts w:hint="eastAsia" w:asciiTheme="minorEastAsia" w:hAnsiTheme="minorEastAsia" w:cstheme="minorEastAsia"/>
          <w:szCs w:val="28"/>
        </w:rPr>
      </w:pPr>
      <w:r>
        <w:rPr>
          <w:rFonts w:hint="eastAsia" w:ascii="黑体" w:hAnsi="黑体" w:eastAsia="黑体" w:cs="黑体"/>
          <w:szCs w:val="28"/>
        </w:rPr>
        <w:t>6.6.1</w:t>
      </w:r>
      <w:r>
        <w:rPr>
          <w:rFonts w:hint="eastAsia" w:asciiTheme="minorEastAsia" w:hAnsiTheme="minorEastAsia" w:cstheme="minorEastAsia"/>
          <w:szCs w:val="28"/>
        </w:rPr>
        <w:t xml:space="preserve"> 有效期设定：评价证书有效期为 3 年。</w:t>
      </w:r>
    </w:p>
    <w:p w14:paraId="5DD96FE8">
      <w:pPr>
        <w:rPr>
          <w:rFonts w:hint="eastAsia" w:asciiTheme="minorEastAsia" w:hAnsiTheme="minorEastAsia" w:cstheme="minorEastAsia"/>
          <w:szCs w:val="28"/>
        </w:rPr>
      </w:pPr>
      <w:r>
        <w:rPr>
          <w:rFonts w:hint="eastAsia" w:ascii="黑体" w:hAnsi="黑体" w:eastAsia="黑体" w:cs="黑体"/>
          <w:szCs w:val="28"/>
        </w:rPr>
        <w:t>6.6.2</w:t>
      </w:r>
      <w:r>
        <w:rPr>
          <w:rFonts w:hint="eastAsia" w:asciiTheme="minorEastAsia" w:hAnsiTheme="minorEastAsia" w:cstheme="minorEastAsia"/>
          <w:szCs w:val="28"/>
        </w:rPr>
        <w:t xml:space="preserve"> 证书与平台权限的联动（动态管理）：</w:t>
      </w:r>
    </w:p>
    <w:p w14:paraId="78D1F437">
      <w:pPr>
        <w:rPr>
          <w:rFonts w:hint="eastAsia" w:asciiTheme="minorEastAsia" w:hAnsiTheme="minorEastAsia" w:cstheme="minorEastAsia"/>
          <w:szCs w:val="28"/>
        </w:rPr>
      </w:pPr>
      <w:r>
        <w:rPr>
          <w:rFonts w:hint="eastAsia" w:asciiTheme="minorEastAsia" w:hAnsiTheme="minorEastAsia" w:cstheme="minorEastAsia"/>
          <w:szCs w:val="28"/>
        </w:rPr>
        <w:t>实验室证书的有效性与数据平台的操作权限实时绑定：</w:t>
      </w:r>
    </w:p>
    <w:p w14:paraId="68AC9013">
      <w:pPr>
        <w:rPr>
          <w:rFonts w:hint="eastAsia" w:asciiTheme="minorEastAsia" w:hAnsiTheme="minorEastAsia" w:cstheme="minorEastAsia"/>
          <w:szCs w:val="28"/>
        </w:rPr>
      </w:pPr>
      <w:r>
        <w:rPr>
          <w:rFonts w:hint="eastAsia" w:asciiTheme="minorEastAsia" w:hAnsiTheme="minorEastAsia" w:cstheme="minorEastAsia"/>
          <w:szCs w:val="28"/>
        </w:rPr>
        <w:t>a) 正常状态：通过年度监督评价的实验室，享有平台全功能权限，可实时生成报告验证码，证书状态显示为“有效”；</w:t>
      </w:r>
    </w:p>
    <w:p w14:paraId="1F63F02A">
      <w:pPr>
        <w:rPr>
          <w:rFonts w:hint="eastAsia" w:asciiTheme="minorEastAsia" w:hAnsiTheme="minorEastAsia" w:cstheme="minorEastAsia"/>
          <w:szCs w:val="28"/>
        </w:rPr>
      </w:pPr>
      <w:r>
        <w:rPr>
          <w:rFonts w:hint="eastAsia" w:asciiTheme="minorEastAsia" w:hAnsiTheme="minorEastAsia" w:cstheme="minorEastAsia"/>
          <w:szCs w:val="28"/>
        </w:rPr>
        <w:t>b) 冻结状态：未按时申请年度监督、未缴纳年度服务费用或整改未完成期间，平台将自动冻结其验证码生成权限。在此期间出具的报告无法获得防伪认证，不被视为“高质量检测报告”；</w:t>
      </w:r>
    </w:p>
    <w:p w14:paraId="6842B299">
      <w:pPr>
        <w:rPr>
          <w:rFonts w:hint="eastAsia" w:asciiTheme="minorEastAsia" w:hAnsiTheme="minorEastAsia" w:cstheme="minorEastAsia"/>
          <w:szCs w:val="28"/>
        </w:rPr>
      </w:pPr>
      <w:r>
        <w:rPr>
          <w:rFonts w:hint="eastAsia" w:asciiTheme="minorEastAsia" w:hAnsiTheme="minorEastAsia" w:cstheme="minorEastAsia"/>
          <w:szCs w:val="28"/>
        </w:rPr>
        <w:t>c) 失效状态：证书注销后，实验室历史数据的查询接口将标注“机构已退出”，且不得再开展相关业务宣传。</w:t>
      </w:r>
    </w:p>
    <w:p w14:paraId="69CAD7F2">
      <w:pPr>
        <w:rPr>
          <w:rFonts w:asciiTheme="minorEastAsia" w:hAnsiTheme="minorEastAsia" w:cstheme="minorEastAsia"/>
          <w:szCs w:val="28"/>
        </w:rPr>
      </w:pPr>
      <w:r>
        <w:rPr>
          <w:rFonts w:hint="eastAsia" w:ascii="黑体" w:hAnsi="黑体" w:eastAsia="黑体" w:cs="黑体"/>
          <w:szCs w:val="28"/>
        </w:rPr>
        <w:t>6.6.3</w:t>
      </w:r>
      <w:r>
        <w:rPr>
          <w:rFonts w:hint="eastAsia" w:asciiTheme="minorEastAsia" w:hAnsiTheme="minorEastAsia" w:cstheme="minorEastAsia"/>
          <w:szCs w:val="28"/>
        </w:rPr>
        <w:t xml:space="preserve"> 期满重评：证书有效期届满前3个月，实验室应申请重新评价。重评程序与首次评价一致，须进行全面的现场评审。</w:t>
      </w:r>
    </w:p>
    <w:p w14:paraId="0241D0C8">
      <w:pPr>
        <w:pStyle w:val="32"/>
        <w:numPr>
          <w:ilvl w:val="2"/>
          <w:numId w:val="0"/>
        </w:numPr>
        <w:spacing w:before="156" w:after="156"/>
        <w:ind w:leftChars="0"/>
        <w:rPr>
          <w:rFonts w:hAnsi="黑体" w:cs="黑体"/>
          <w:sz w:val="22"/>
          <w:szCs w:val="28"/>
        </w:rPr>
      </w:pPr>
      <w:r>
        <w:rPr>
          <w:rFonts w:hint="eastAsia" w:hAnsi="黑体" w:cs="黑体"/>
          <w:szCs w:val="28"/>
          <w:lang w:val="en-US" w:eastAsia="zh-CN"/>
        </w:rPr>
        <w:t xml:space="preserve">6.7 </w:t>
      </w:r>
      <w:r>
        <w:rPr>
          <w:rFonts w:hint="eastAsia" w:hAnsi="黑体" w:cs="黑体"/>
          <w:szCs w:val="28"/>
        </w:rPr>
        <w:t>升级</w:t>
      </w:r>
    </w:p>
    <w:p w14:paraId="31F340EE">
      <w:pPr>
        <w:pStyle w:val="30"/>
        <w:ind w:firstLine="0" w:firstLineChars="0"/>
      </w:pPr>
      <w:r>
        <w:rPr>
          <w:rFonts w:hint="eastAsia" w:ascii="黑体" w:hAnsi="黑体" w:eastAsia="黑体" w:cs="黑体"/>
        </w:rPr>
        <w:t>6.7.1</w:t>
      </w:r>
      <w:r>
        <w:rPr>
          <w:rFonts w:hint="eastAsia" w:hAnsi="宋体"/>
        </w:rPr>
        <w:t xml:space="preserve"> 实验室在获得首次评价</w:t>
      </w:r>
      <w:r>
        <w:rPr>
          <w:rFonts w:hint="eastAsia" w:ascii="宋体" w:hAnsi="宋体" w:eastAsia="宋体" w:cs="宋体"/>
        </w:rPr>
        <w:t>6个月后，或证书有效期满前3个月</w:t>
      </w:r>
      <w:r>
        <w:rPr>
          <w:rFonts w:hint="eastAsia" w:hAnsi="宋体"/>
        </w:rPr>
        <w:t>，可申请升级评审（从“达标”升至“优质”或“高质量”）。</w:t>
      </w:r>
    </w:p>
    <w:p w14:paraId="5C0EADBF">
      <w:pPr>
        <w:pStyle w:val="30"/>
        <w:ind w:firstLine="0" w:firstLineChars="0"/>
      </w:pPr>
      <w:r>
        <w:rPr>
          <w:rFonts w:hint="eastAsia" w:ascii="黑体" w:hAnsi="黑体" w:eastAsia="黑体" w:cs="黑体"/>
        </w:rPr>
        <w:t xml:space="preserve">6.7.2 </w:t>
      </w:r>
      <w:r>
        <w:rPr>
          <w:rFonts w:hint="eastAsia" w:hAnsi="宋体"/>
        </w:rPr>
        <w:t>升级评审程序与首次评价一致，重点评估：</w:t>
      </w:r>
    </w:p>
    <w:p w14:paraId="3A2C6D93">
      <w:pPr>
        <w:pStyle w:val="30"/>
        <w:numPr>
          <w:ilvl w:val="0"/>
          <w:numId w:val="7"/>
        </w:numPr>
        <w:ind w:firstLineChars="0"/>
      </w:pPr>
      <w:r>
        <w:rPr>
          <w:rFonts w:hint="eastAsia" w:hAnsi="宋体"/>
        </w:rPr>
        <w:t>创新项（新方法开发、数字化）和服务项（客户满意度）的提升情况；</w:t>
      </w:r>
    </w:p>
    <w:p w14:paraId="55747D8A">
      <w:pPr>
        <w:pStyle w:val="30"/>
        <w:numPr>
          <w:ilvl w:val="0"/>
          <w:numId w:val="7"/>
        </w:numPr>
        <w:ind w:firstLineChars="0"/>
      </w:pPr>
      <w:r>
        <w:rPr>
          <w:rFonts w:hint="eastAsia" w:hAnsi="宋体"/>
        </w:rPr>
        <w:t>是否满足拟申请等级的总分及要素得分要求。</w:t>
      </w:r>
    </w:p>
    <w:p w14:paraId="7100E881">
      <w:pPr>
        <w:pStyle w:val="30"/>
        <w:ind w:firstLine="0" w:firstLineChars="0"/>
        <w:rPr>
          <w:rFonts w:hint="eastAsia" w:hAnsi="宋体"/>
        </w:rPr>
      </w:pPr>
      <w:r>
        <w:rPr>
          <w:rFonts w:hint="eastAsia" w:ascii="黑体" w:hAnsi="黑体" w:eastAsia="黑体" w:cs="黑体"/>
        </w:rPr>
        <w:t>6.7.3</w:t>
      </w:r>
      <w:r>
        <w:rPr>
          <w:rFonts w:hint="eastAsia" w:hAnsi="宋体"/>
        </w:rPr>
        <w:t xml:space="preserve"> 升级评审通过的，颁发新等级证书；未通过的，保留原等级，不影响证书有效性。</w:t>
      </w:r>
    </w:p>
    <w:p w14:paraId="4B60A9C0">
      <w:pPr>
        <w:pStyle w:val="30"/>
        <w:ind w:firstLine="0" w:firstLineChars="0"/>
        <w:rPr>
          <w:rFonts w:hint="eastAsia" w:hAnsi="宋体"/>
        </w:rPr>
      </w:pPr>
    </w:p>
    <w:p w14:paraId="025C6EE8">
      <w:pPr>
        <w:pStyle w:val="32"/>
        <w:numPr>
          <w:ilvl w:val="2"/>
          <w:numId w:val="0"/>
        </w:numPr>
        <w:spacing w:before="156" w:after="156"/>
        <w:ind w:leftChars="0"/>
        <w:rPr>
          <w:rFonts w:hint="eastAsia" w:hAnsi="黑体" w:cs="黑体"/>
          <w:szCs w:val="28"/>
          <w:lang w:val="en-US" w:eastAsia="zh-CN"/>
        </w:rPr>
      </w:pPr>
      <w:r>
        <w:rPr>
          <w:rFonts w:hint="eastAsia" w:hAnsi="黑体" w:cs="黑体"/>
          <w:szCs w:val="28"/>
          <w:lang w:val="en-US" w:eastAsia="zh-CN"/>
        </w:rPr>
        <w:t>6.8 监督评价与飞行检查</w:t>
      </w:r>
    </w:p>
    <w:p w14:paraId="57C7E5AD">
      <w:pPr>
        <w:pStyle w:val="30"/>
        <w:ind w:firstLine="0" w:firstLineChars="0"/>
        <w:rPr>
          <w:rFonts w:hint="eastAsia" w:hAnsi="宋体"/>
        </w:rPr>
      </w:pPr>
      <w:r>
        <w:rPr>
          <w:rFonts w:hint="eastAsia" w:hAnsi="宋体"/>
        </w:rPr>
        <w:t>6.8.1 年度监督评价：</w:t>
      </w:r>
    </w:p>
    <w:p w14:paraId="050AB95A">
      <w:pPr>
        <w:pStyle w:val="30"/>
        <w:ind w:firstLine="0" w:firstLineChars="0"/>
        <w:rPr>
          <w:rFonts w:hint="eastAsia" w:hAnsi="宋体"/>
        </w:rPr>
      </w:pPr>
      <w:r>
        <w:rPr>
          <w:rFonts w:hint="eastAsia" w:hAnsi="宋体"/>
        </w:rPr>
        <w:t>在证书有效期内的第12个月和第24个月，评价机构实施年度监督。</w:t>
      </w:r>
    </w:p>
    <w:p w14:paraId="7374A073">
      <w:pPr>
        <w:pStyle w:val="30"/>
        <w:ind w:firstLine="0" w:firstLineChars="0"/>
        <w:rPr>
          <w:rFonts w:hint="eastAsia" w:hAnsi="宋体"/>
        </w:rPr>
      </w:pPr>
      <w:r>
        <w:rPr>
          <w:rFonts w:hint="eastAsia" w:hAnsi="宋体"/>
        </w:rPr>
        <w:t>a) 方式：结合数据平台在线监测与现场抽查（或远程核查）；</w:t>
      </w:r>
    </w:p>
    <w:p w14:paraId="772511E3">
      <w:pPr>
        <w:pStyle w:val="30"/>
        <w:ind w:firstLine="0" w:firstLineChars="0"/>
        <w:rPr>
          <w:rFonts w:hint="eastAsia" w:hAnsi="宋体"/>
        </w:rPr>
      </w:pPr>
      <w:r>
        <w:rPr>
          <w:rFonts w:hint="eastAsia" w:hAnsi="宋体"/>
        </w:rPr>
        <w:t>b) 内容：重点核查人员变更、设备校准、能力验证（PT）结果及平台数据上传的完整性；</w:t>
      </w:r>
    </w:p>
    <w:p w14:paraId="6F489800">
      <w:pPr>
        <w:pStyle w:val="30"/>
        <w:ind w:firstLine="0" w:firstLineChars="0"/>
        <w:rPr>
          <w:rFonts w:hint="eastAsia" w:hAnsi="宋体"/>
        </w:rPr>
      </w:pPr>
      <w:r>
        <w:rPr>
          <w:rFonts w:hint="eastAsia" w:hAnsi="宋体"/>
        </w:rPr>
        <w:t>c) 结果应用：监督合格者，维持证书有效性及平台端口权限；不合格者，限期整改或暂停资格。</w:t>
      </w:r>
    </w:p>
    <w:p w14:paraId="1DC37884">
      <w:pPr>
        <w:pStyle w:val="30"/>
        <w:ind w:firstLine="0" w:firstLineChars="0"/>
        <w:rPr>
          <w:rFonts w:hint="eastAsia" w:hAnsi="宋体"/>
        </w:rPr>
      </w:pPr>
      <w:r>
        <w:rPr>
          <w:rFonts w:hint="eastAsia" w:hAnsi="宋体"/>
        </w:rPr>
        <w:t>6.8.2 飞行检查：</w:t>
      </w:r>
    </w:p>
    <w:p w14:paraId="38B2CFA0">
      <w:pPr>
        <w:pStyle w:val="30"/>
        <w:ind w:firstLine="0" w:firstLineChars="0"/>
        <w:rPr>
          <w:rFonts w:hint="eastAsia" w:hAnsi="宋体"/>
        </w:rPr>
      </w:pPr>
      <w:r>
        <w:rPr>
          <w:rFonts w:hint="eastAsia" w:hAnsi="宋体"/>
        </w:rPr>
        <w:t>a) 触发机制：当出现客户投诉、监管通报、平台数据异常（如离群值过多）时，评价机构保留启动不预先通知的飞行检查权利；</w:t>
      </w:r>
    </w:p>
    <w:p w14:paraId="669B14D6">
      <w:pPr>
        <w:pStyle w:val="30"/>
        <w:ind w:firstLine="0" w:firstLineChars="0"/>
        <w:rPr>
          <w:rFonts w:hint="eastAsia" w:hAnsi="宋体"/>
        </w:rPr>
      </w:pPr>
      <w:r>
        <w:rPr>
          <w:rFonts w:hint="eastAsia" w:hAnsi="宋体"/>
        </w:rPr>
        <w:t>b) 配合义务：检查组到达现场后，实验室应在 30 分钟内 配合进入检测区域。无正当理由拖延、拒绝进入或隐瞒资料的，直接视为严重不合格，撤销证书并公开通报。</w:t>
      </w:r>
    </w:p>
    <w:p w14:paraId="3705428C">
      <w:pPr>
        <w:pStyle w:val="31"/>
        <w:bidi w:val="0"/>
      </w:pPr>
      <w:bookmarkStart w:id="66" w:name="_Toc29181"/>
      <w:r>
        <w:rPr>
          <w:rFonts w:hint="eastAsia"/>
        </w:rPr>
        <w:t>评价结果判定</w:t>
      </w:r>
      <w:bookmarkEnd w:id="66"/>
    </w:p>
    <w:p w14:paraId="5FD6BB84">
      <w:pPr>
        <w:pStyle w:val="32"/>
        <w:spacing w:before="156" w:after="156"/>
        <w:rPr>
          <w:rFonts w:hAnsi="黑体" w:cs="黑体"/>
          <w:szCs w:val="21"/>
        </w:rPr>
      </w:pPr>
      <w:r>
        <w:rPr>
          <w:rFonts w:hint="eastAsia" w:hAnsi="黑体" w:cs="黑体"/>
          <w:szCs w:val="21"/>
        </w:rPr>
        <w:t>等级判定规则</w:t>
      </w:r>
    </w:p>
    <w:p w14:paraId="2A2C5C33">
      <w:pPr>
        <w:pStyle w:val="30"/>
        <w:ind w:left="0" w:leftChars="0" w:firstLine="0" w:firstLineChars="0"/>
        <w:rPr>
          <w:rFonts w:hint="eastAsia"/>
        </w:rPr>
      </w:pPr>
      <w:r>
        <w:rPr>
          <w:rFonts w:hint="eastAsia" w:ascii="黑体" w:hAnsi="黑体" w:eastAsia="黑体" w:cs="黑体"/>
        </w:rPr>
        <w:t>7.1.1</w:t>
      </w:r>
      <w:r>
        <w:rPr>
          <w:rFonts w:hint="eastAsia"/>
        </w:rPr>
        <w:t xml:space="preserve"> 评分构成</w:t>
      </w:r>
    </w:p>
    <w:p w14:paraId="351AC481">
      <w:pPr>
        <w:pStyle w:val="30"/>
        <w:ind w:left="0" w:leftChars="0" w:firstLine="0" w:firstLineChars="0"/>
        <w:rPr>
          <w:rFonts w:hint="eastAsia"/>
        </w:rPr>
      </w:pPr>
      <w:r>
        <w:rPr>
          <w:rFonts w:hint="eastAsia"/>
        </w:rPr>
        <w:t>实验室综合得分 = 基础项得分 + 创新项得分 + 服务项得分 + 加分项得分（满分 1000 分）。</w:t>
      </w:r>
    </w:p>
    <w:p w14:paraId="17B80380">
      <w:pPr>
        <w:pStyle w:val="30"/>
        <w:ind w:left="0" w:leftChars="0" w:firstLine="0" w:firstLineChars="0"/>
        <w:rPr>
          <w:rFonts w:hint="eastAsia"/>
        </w:rPr>
      </w:pPr>
      <w:r>
        <w:rPr>
          <w:rFonts w:hint="eastAsia" w:ascii="黑体" w:hAnsi="黑体" w:eastAsia="黑体" w:cs="黑体"/>
        </w:rPr>
        <w:t>7.1.2</w:t>
      </w:r>
      <w:r>
        <w:rPr>
          <w:rFonts w:hint="eastAsia"/>
        </w:rPr>
        <w:t xml:space="preserve"> 判定原则（双重阈值机制）</w:t>
      </w:r>
    </w:p>
    <w:p w14:paraId="3A80E0D6">
      <w:pPr>
        <w:pStyle w:val="30"/>
        <w:ind w:left="0" w:leftChars="0" w:firstLine="0" w:firstLineChars="0"/>
        <w:rPr>
          <w:rFonts w:hint="eastAsia"/>
        </w:rPr>
      </w:pPr>
      <w:r>
        <w:rPr>
          <w:rFonts w:hint="eastAsia"/>
        </w:rPr>
        <w:t>本评价体系实行“基础项一票否决制”。评价等级的判定须同时满足“基础项得分率”与“综合总分”双重指标，具体原则如下：</w:t>
      </w:r>
    </w:p>
    <w:p w14:paraId="2E30EEA2">
      <w:pPr>
        <w:pStyle w:val="30"/>
        <w:ind w:left="0" w:leftChars="0" w:firstLine="0" w:firstLineChars="0"/>
        <w:rPr>
          <w:rFonts w:hint="eastAsia"/>
        </w:rPr>
      </w:pPr>
      <w:r>
        <w:rPr>
          <w:rFonts w:hint="eastAsia"/>
        </w:rPr>
        <w:t>a) 基础项门槛：基础项（含资质、人员、设备、方法、环境、管控等，满分 650 分）是实验室运行的核心基石。实验室基础项得分率必须 ≥60%（即 390 分）。</w:t>
      </w:r>
    </w:p>
    <w:p w14:paraId="50A6B32F">
      <w:pPr>
        <w:pStyle w:val="30"/>
        <w:ind w:left="0" w:leftChars="0" w:firstLine="0" w:firstLineChars="0"/>
        <w:rPr>
          <w:rFonts w:hint="eastAsia"/>
        </w:rPr>
      </w:pPr>
      <w:r>
        <w:rPr>
          <w:rFonts w:hint="eastAsia"/>
        </w:rPr>
        <w:t>b) 不可弥补性：创新项、服务项及加分项的得分仅作为评优依据，不得用于抵扣或弥补基础项的失分。若基础项得分未达标，无论综合总分多少，评价结果直接判定为“不合格”。</w:t>
      </w:r>
    </w:p>
    <w:p w14:paraId="44021299">
      <w:pPr>
        <w:pStyle w:val="30"/>
        <w:ind w:left="0" w:leftChars="0" w:firstLine="0" w:firstLineChars="0"/>
        <w:rPr>
          <w:rFonts w:hint="eastAsia"/>
        </w:rPr>
      </w:pPr>
      <w:r>
        <w:rPr>
          <w:rFonts w:hint="eastAsia"/>
        </w:rPr>
        <w:t>c) 等级划分：在满足基础项门槛的前提下，依据综合总分及基础项得分率的高低，划分为三个等级。</w:t>
      </w:r>
    </w:p>
    <w:p w14:paraId="1112859D">
      <w:pPr>
        <w:pStyle w:val="30"/>
        <w:ind w:left="0" w:leftChars="0" w:firstLine="0" w:firstLineChars="0"/>
        <w:rPr>
          <w:rFonts w:hint="eastAsia"/>
        </w:rPr>
      </w:pPr>
      <w:r>
        <w:rPr>
          <w:rFonts w:hint="eastAsia" w:ascii="黑体" w:hAnsi="黑体" w:eastAsia="黑体" w:cs="黑体"/>
        </w:rPr>
        <w:t>7.1.3</w:t>
      </w:r>
      <w:r>
        <w:rPr>
          <w:rFonts w:hint="eastAsia"/>
        </w:rPr>
        <w:t xml:space="preserve"> 等级判定表</w:t>
      </w:r>
    </w:p>
    <w:p w14:paraId="1112E920">
      <w:pPr>
        <w:pStyle w:val="30"/>
        <w:ind w:left="0" w:leftChars="0" w:firstLine="0" w:firstLineChars="0"/>
      </w:pPr>
      <w:r>
        <w:rPr>
          <w:rFonts w:hint="eastAsia"/>
        </w:rPr>
        <w:t>实验室评价等级按表3进行判定，须同时满足“条件 1”和“条件 2”。</w:t>
      </w:r>
    </w:p>
    <w:p w14:paraId="650A725B">
      <w:pPr>
        <w:jc w:val="center"/>
        <w:rPr>
          <w:rFonts w:hint="eastAsia" w:asciiTheme="minorEastAsia" w:hAnsiTheme="minorEastAsia" w:cstheme="minorEastAsia"/>
          <w:szCs w:val="28"/>
        </w:rPr>
      </w:pPr>
      <w:r>
        <w:rPr>
          <w:rFonts w:hint="eastAsia" w:asciiTheme="minorEastAsia" w:hAnsiTheme="minorEastAsia" w:cstheme="minorEastAsia"/>
          <w:szCs w:val="28"/>
        </w:rPr>
        <w:t>表</w:t>
      </w:r>
      <w:r>
        <w:rPr>
          <w:rFonts w:hint="eastAsia" w:asciiTheme="minorEastAsia" w:hAnsiTheme="minorEastAsia" w:cstheme="minorEastAsia"/>
          <w:szCs w:val="28"/>
          <w:lang w:val="en-US" w:eastAsia="zh-CN"/>
        </w:rPr>
        <w:t>3</w:t>
      </w:r>
      <w:r>
        <w:rPr>
          <w:rFonts w:hint="eastAsia" w:asciiTheme="minorEastAsia" w:hAnsiTheme="minorEastAsia" w:cstheme="minorEastAsia"/>
          <w:szCs w:val="28"/>
        </w:rPr>
        <w:t xml:space="preserve"> 实验室评价等级判定表</w:t>
      </w:r>
    </w:p>
    <w:tbl>
      <w:tblPr>
        <w:tblStyle w:val="15"/>
        <w:tblW w:w="10403" w:type="dxa"/>
        <w:tblInd w:w="-414" w:type="dxa"/>
        <w:tblLayout w:type="fixed"/>
        <w:tblCellMar>
          <w:top w:w="0" w:type="dxa"/>
          <w:left w:w="108" w:type="dxa"/>
          <w:bottom w:w="0" w:type="dxa"/>
          <w:right w:w="108" w:type="dxa"/>
        </w:tblCellMar>
      </w:tblPr>
      <w:tblGrid>
        <w:gridCol w:w="1566"/>
        <w:gridCol w:w="1510"/>
        <w:gridCol w:w="5274"/>
        <w:gridCol w:w="2053"/>
      </w:tblGrid>
      <w:tr w14:paraId="6371DCAA">
        <w:tblPrEx>
          <w:tblCellMar>
            <w:top w:w="0" w:type="dxa"/>
            <w:left w:w="108" w:type="dxa"/>
            <w:bottom w:w="0" w:type="dxa"/>
            <w:right w:w="108" w:type="dxa"/>
          </w:tblCellMar>
        </w:tblPrEx>
        <w:trPr>
          <w:trHeight w:val="397" w:hRule="atLeast"/>
        </w:trPr>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3E92F">
            <w:pPr>
              <w:widowControl/>
              <w:jc w:val="center"/>
              <w:textAlignment w:val="bottom"/>
              <w:rPr>
                <w:rFonts w:hint="eastAsia" w:ascii="宋体" w:hAnsi="宋体" w:eastAsia="宋体" w:cs="宋体"/>
                <w:b/>
                <w:bCs/>
                <w:color w:val="000000"/>
                <w:szCs w:val="21"/>
              </w:rPr>
            </w:pPr>
            <w:r>
              <w:rPr>
                <w:rFonts w:hint="eastAsia" w:ascii="宋体" w:hAnsi="宋体" w:eastAsia="宋体" w:cs="宋体"/>
                <w:b/>
                <w:bCs/>
                <w:color w:val="000000"/>
                <w:kern w:val="0"/>
                <w:szCs w:val="21"/>
                <w:lang w:bidi="ar"/>
              </w:rPr>
              <w:t>等级</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5B560">
            <w:pPr>
              <w:widowControl/>
              <w:jc w:val="center"/>
              <w:textAlignment w:val="bottom"/>
              <w:rPr>
                <w:rFonts w:hint="eastAsia" w:ascii="宋体" w:hAnsi="宋体" w:eastAsia="宋体" w:cs="宋体"/>
                <w:b/>
                <w:bCs/>
                <w:color w:val="000000"/>
                <w:szCs w:val="21"/>
              </w:rPr>
            </w:pPr>
            <w:r>
              <w:rPr>
                <w:rFonts w:hint="eastAsia" w:ascii="宋体" w:hAnsi="宋体" w:eastAsia="宋体" w:cs="宋体"/>
                <w:b/>
                <w:bCs/>
                <w:color w:val="000000"/>
                <w:kern w:val="0"/>
                <w:szCs w:val="21"/>
                <w:lang w:bidi="ar"/>
              </w:rPr>
              <w:t>综合得分</w:t>
            </w:r>
          </w:p>
        </w:tc>
        <w:tc>
          <w:tcPr>
            <w:tcW w:w="5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BDCBE">
            <w:pPr>
              <w:widowControl/>
              <w:jc w:val="center"/>
              <w:textAlignment w:val="bottom"/>
              <w:rPr>
                <w:rFonts w:hint="eastAsia" w:ascii="宋体" w:hAnsi="宋体" w:eastAsia="宋体" w:cs="宋体"/>
                <w:b/>
                <w:bCs/>
                <w:color w:val="000000"/>
                <w:szCs w:val="21"/>
              </w:rPr>
            </w:pPr>
            <w:r>
              <w:rPr>
                <w:rFonts w:hint="eastAsia" w:ascii="宋体" w:hAnsi="宋体" w:eastAsia="宋体" w:cs="宋体"/>
                <w:b/>
                <w:bCs/>
                <w:color w:val="000000"/>
                <w:kern w:val="0"/>
                <w:szCs w:val="21"/>
                <w:lang w:bidi="ar"/>
              </w:rPr>
              <w:t>基本要求</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0600F">
            <w:pPr>
              <w:widowControl/>
              <w:jc w:val="center"/>
              <w:textAlignment w:val="bottom"/>
              <w:rPr>
                <w:rFonts w:hint="eastAsia" w:ascii="宋体" w:hAnsi="宋体" w:eastAsia="宋体" w:cs="宋体"/>
                <w:b/>
                <w:bCs/>
                <w:color w:val="000000"/>
                <w:kern w:val="0"/>
                <w:szCs w:val="21"/>
                <w:lang w:bidi="ar"/>
              </w:rPr>
            </w:pPr>
            <w:r>
              <w:rPr>
                <w:rFonts w:hint="eastAsia" w:ascii="宋体" w:hAnsi="宋体" w:eastAsia="宋体" w:cs="宋体"/>
                <w:b/>
                <w:bCs/>
                <w:color w:val="000000"/>
                <w:kern w:val="0"/>
                <w:szCs w:val="21"/>
                <w:lang w:bidi="ar"/>
              </w:rPr>
              <w:t>等级标识</w:t>
            </w:r>
          </w:p>
        </w:tc>
      </w:tr>
      <w:tr w14:paraId="472D4E5F">
        <w:tblPrEx>
          <w:tblCellMar>
            <w:top w:w="0" w:type="dxa"/>
            <w:left w:w="108" w:type="dxa"/>
            <w:bottom w:w="0" w:type="dxa"/>
            <w:right w:w="108" w:type="dxa"/>
          </w:tblCellMar>
        </w:tblPrEx>
        <w:trPr>
          <w:trHeight w:val="397" w:hRule="atLeast"/>
        </w:trPr>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2B4EF6">
            <w:pPr>
              <w:widowControl/>
              <w:jc w:val="left"/>
              <w:textAlignment w:val="bottom"/>
              <w:rPr>
                <w:rFonts w:hint="eastAsia" w:ascii="宋体" w:hAnsi="宋体" w:eastAsia="宋体" w:cs="宋体"/>
                <w:color w:val="000000"/>
                <w:szCs w:val="21"/>
              </w:rPr>
            </w:pPr>
            <w:r>
              <w:rPr>
                <w:rFonts w:hint="eastAsia" w:ascii="宋体" w:hAnsi="宋体" w:eastAsia="宋体" w:cs="宋体"/>
                <w:color w:val="000000"/>
                <w:kern w:val="0"/>
                <w:szCs w:val="21"/>
                <w:lang w:bidi="ar"/>
              </w:rPr>
              <w:t>高质量实验室</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80FEBE">
            <w:pPr>
              <w:widowControl/>
              <w:jc w:val="center"/>
              <w:textAlignment w:val="bottom"/>
              <w:rPr>
                <w:rFonts w:hint="eastAsia" w:ascii="宋体" w:hAnsi="宋体" w:eastAsia="宋体" w:cs="宋体"/>
                <w:color w:val="000000"/>
                <w:szCs w:val="21"/>
              </w:rPr>
            </w:pPr>
            <w:r>
              <w:rPr>
                <w:rFonts w:hint="eastAsia" w:ascii="宋体" w:hAnsi="宋体" w:eastAsia="宋体" w:cs="宋体"/>
                <w:color w:val="000000"/>
                <w:kern w:val="0"/>
                <w:szCs w:val="21"/>
                <w:lang w:bidi="ar"/>
              </w:rPr>
              <w:t>≥880 分</w:t>
            </w:r>
          </w:p>
        </w:tc>
        <w:tc>
          <w:tcPr>
            <w:tcW w:w="52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B9B4E2">
            <w:pPr>
              <w:keepNext w:val="0"/>
              <w:keepLines w:val="0"/>
              <w:widowControl/>
              <w:suppressLineNumbers w:val="0"/>
              <w:jc w:val="left"/>
              <w:rPr>
                <w:rFonts w:hint="eastAsia" w:ascii="宋体" w:hAnsi="宋体" w:eastAsia="宋体" w:cs="宋体"/>
                <w:color w:val="000000"/>
                <w:szCs w:val="21"/>
                <w:lang w:val="en-US" w:eastAsia="zh-CN"/>
              </w:rPr>
            </w:pPr>
            <w:r>
              <w:rPr>
                <w:rFonts w:hint="eastAsia" w:ascii="宋体" w:hAnsi="宋体" w:eastAsia="宋体" w:cs="宋体"/>
                <w:color w:val="000000"/>
                <w:kern w:val="0"/>
                <w:szCs w:val="21"/>
                <w:lang w:bidi="ar"/>
              </w:rPr>
              <w:t xml:space="preserve">所有评价要素得分≥该要素满分的 </w:t>
            </w:r>
            <w:r>
              <w:rPr>
                <w:rFonts w:hint="eastAsia" w:ascii="宋体" w:hAnsi="宋体" w:eastAsia="宋体" w:cs="宋体"/>
                <w:color w:val="000000"/>
                <w:kern w:val="0"/>
                <w:szCs w:val="21"/>
                <w:lang w:val="en-US" w:eastAsia="zh-CN" w:bidi="ar"/>
              </w:rPr>
              <w:t>8</w:t>
            </w:r>
            <w:r>
              <w:rPr>
                <w:rFonts w:hint="eastAsia" w:ascii="宋体" w:hAnsi="宋体" w:eastAsia="宋体" w:cs="宋体"/>
                <w:color w:val="000000"/>
                <w:kern w:val="0"/>
                <w:szCs w:val="21"/>
                <w:lang w:bidi="ar"/>
              </w:rPr>
              <w:t>0%</w:t>
            </w:r>
            <w:r>
              <w:rPr>
                <w:rFonts w:hint="eastAsia" w:ascii="宋体" w:hAnsi="宋体" w:eastAsia="宋体" w:cs="宋体"/>
                <w:color w:val="000000"/>
                <w:kern w:val="0"/>
                <w:szCs w:val="21"/>
                <w:lang w:val="en-US" w:eastAsia="zh-CN" w:bidi="ar"/>
              </w:rPr>
              <w:t xml:space="preserve"> (即</w:t>
            </w:r>
            <w:r>
              <w:rPr>
                <w:rFonts w:hint="eastAsia" w:ascii="宋体" w:hAnsi="宋体" w:eastAsia="宋体" w:cs="宋体"/>
                <w:color w:val="000000"/>
                <w:kern w:val="0"/>
                <w:szCs w:val="21"/>
                <w:lang w:bidi="ar"/>
              </w:rPr>
              <w:t>≥</w:t>
            </w:r>
            <w:r>
              <w:rPr>
                <w:rFonts w:hint="eastAsia" w:ascii="宋体" w:hAnsi="宋体" w:eastAsia="宋体" w:cs="宋体"/>
                <w:color w:val="000000"/>
                <w:kern w:val="0"/>
                <w:sz w:val="21"/>
                <w:szCs w:val="21"/>
                <w:lang w:val="en-US" w:eastAsia="zh-CN" w:bidi="ar"/>
              </w:rPr>
              <w:t>520分)</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5D37AA">
            <w:pPr>
              <w:widowControl/>
              <w:jc w:val="left"/>
              <w:textAlignment w:val="bottom"/>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 或 A+</w:t>
            </w:r>
          </w:p>
        </w:tc>
      </w:tr>
      <w:tr w14:paraId="73D162EC">
        <w:tblPrEx>
          <w:tblCellMar>
            <w:top w:w="0" w:type="dxa"/>
            <w:left w:w="108" w:type="dxa"/>
            <w:bottom w:w="0" w:type="dxa"/>
            <w:right w:w="108" w:type="dxa"/>
          </w:tblCellMar>
        </w:tblPrEx>
        <w:trPr>
          <w:trHeight w:val="397" w:hRule="atLeast"/>
        </w:trPr>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2475A5">
            <w:pPr>
              <w:widowControl/>
              <w:jc w:val="left"/>
              <w:textAlignment w:val="bottom"/>
              <w:rPr>
                <w:rFonts w:hint="eastAsia" w:ascii="宋体" w:hAnsi="宋体" w:eastAsia="宋体" w:cs="宋体"/>
                <w:color w:val="000000"/>
                <w:szCs w:val="21"/>
              </w:rPr>
            </w:pPr>
            <w:r>
              <w:rPr>
                <w:rFonts w:hint="eastAsia" w:ascii="宋体" w:hAnsi="宋体" w:eastAsia="宋体" w:cs="宋体"/>
                <w:color w:val="000000"/>
                <w:kern w:val="0"/>
                <w:szCs w:val="21"/>
                <w:lang w:bidi="ar"/>
              </w:rPr>
              <w:t>优质实验室</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C1FA56">
            <w:pPr>
              <w:widowControl/>
              <w:jc w:val="center"/>
              <w:textAlignment w:val="bottom"/>
              <w:rPr>
                <w:rFonts w:hint="eastAsia" w:ascii="宋体" w:hAnsi="宋体" w:eastAsia="宋体" w:cs="宋体"/>
                <w:color w:val="000000"/>
                <w:szCs w:val="21"/>
              </w:rPr>
            </w:pPr>
            <w:r>
              <w:rPr>
                <w:rFonts w:hint="eastAsia" w:ascii="宋体" w:hAnsi="宋体" w:eastAsia="宋体" w:cs="宋体"/>
                <w:color w:val="000000"/>
                <w:kern w:val="0"/>
                <w:szCs w:val="21"/>
                <w:lang w:bidi="ar"/>
              </w:rPr>
              <w:t>749–879 分</w:t>
            </w:r>
          </w:p>
        </w:tc>
        <w:tc>
          <w:tcPr>
            <w:tcW w:w="52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AD5BFC">
            <w:pPr>
              <w:widowControl/>
              <w:jc w:val="left"/>
              <w:textAlignment w:val="bottom"/>
              <w:rPr>
                <w:rFonts w:hint="eastAsia" w:ascii="宋体" w:hAnsi="宋体" w:eastAsia="宋体" w:cs="宋体"/>
                <w:color w:val="000000"/>
                <w:szCs w:val="21"/>
                <w:lang w:val="en-US" w:eastAsia="zh-CN"/>
              </w:rPr>
            </w:pPr>
            <w:r>
              <w:rPr>
                <w:rFonts w:hint="eastAsia" w:ascii="宋体" w:hAnsi="宋体" w:eastAsia="宋体" w:cs="宋体"/>
                <w:color w:val="000000"/>
                <w:kern w:val="0"/>
                <w:szCs w:val="21"/>
                <w:lang w:bidi="ar"/>
              </w:rPr>
              <w:t xml:space="preserve">所有评价要素得分 ≥ 该要素满分的 </w:t>
            </w:r>
            <w:r>
              <w:rPr>
                <w:rFonts w:hint="eastAsia" w:ascii="宋体" w:hAnsi="宋体" w:eastAsia="宋体" w:cs="宋体"/>
                <w:color w:val="000000"/>
                <w:kern w:val="0"/>
                <w:szCs w:val="21"/>
                <w:lang w:val="en-US" w:eastAsia="zh-CN" w:bidi="ar"/>
              </w:rPr>
              <w:t>7</w:t>
            </w:r>
            <w:r>
              <w:rPr>
                <w:rFonts w:hint="eastAsia" w:ascii="宋体" w:hAnsi="宋体" w:eastAsia="宋体" w:cs="宋体"/>
                <w:color w:val="000000"/>
                <w:kern w:val="0"/>
                <w:szCs w:val="21"/>
                <w:lang w:bidi="ar"/>
              </w:rPr>
              <w:t>0%</w:t>
            </w:r>
            <w:r>
              <w:rPr>
                <w:rFonts w:hint="eastAsia" w:ascii="宋体" w:hAnsi="宋体" w:eastAsia="宋体" w:cs="宋体"/>
                <w:color w:val="000000"/>
                <w:kern w:val="0"/>
                <w:szCs w:val="21"/>
                <w:lang w:val="en-US" w:eastAsia="zh-CN" w:bidi="ar"/>
              </w:rPr>
              <w:t xml:space="preserve">  (即</w:t>
            </w:r>
            <w:r>
              <w:rPr>
                <w:rFonts w:hint="eastAsia"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455</w:t>
            </w:r>
            <w:r>
              <w:rPr>
                <w:rFonts w:hint="eastAsia" w:ascii="宋体" w:hAnsi="宋体" w:eastAsia="宋体" w:cs="宋体"/>
                <w:color w:val="000000"/>
                <w:kern w:val="0"/>
                <w:sz w:val="21"/>
                <w:szCs w:val="21"/>
                <w:lang w:val="en-US" w:eastAsia="zh-CN" w:bidi="ar"/>
              </w:rPr>
              <w:t>分)</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AE8281">
            <w:pPr>
              <w:widowControl/>
              <w:jc w:val="left"/>
              <w:textAlignment w:val="bottom"/>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 或 A</w:t>
            </w:r>
          </w:p>
        </w:tc>
      </w:tr>
      <w:tr w14:paraId="2E772B00">
        <w:tblPrEx>
          <w:tblCellMar>
            <w:top w:w="0" w:type="dxa"/>
            <w:left w:w="108" w:type="dxa"/>
            <w:bottom w:w="0" w:type="dxa"/>
            <w:right w:w="108" w:type="dxa"/>
          </w:tblCellMar>
        </w:tblPrEx>
        <w:trPr>
          <w:trHeight w:val="397" w:hRule="atLeast"/>
        </w:trPr>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CCE102">
            <w:pPr>
              <w:widowControl/>
              <w:jc w:val="left"/>
              <w:textAlignment w:val="bottom"/>
              <w:rPr>
                <w:rFonts w:hint="eastAsia" w:ascii="宋体" w:hAnsi="宋体" w:eastAsia="宋体" w:cs="宋体"/>
                <w:color w:val="000000"/>
                <w:szCs w:val="21"/>
              </w:rPr>
            </w:pPr>
            <w:r>
              <w:rPr>
                <w:rFonts w:hint="eastAsia" w:ascii="宋体" w:hAnsi="宋体" w:eastAsia="宋体" w:cs="宋体"/>
                <w:color w:val="000000"/>
                <w:kern w:val="0"/>
                <w:szCs w:val="21"/>
                <w:lang w:bidi="ar"/>
              </w:rPr>
              <w:t>达标实验室</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E0EB82">
            <w:pPr>
              <w:widowControl/>
              <w:jc w:val="center"/>
              <w:textAlignment w:val="bottom"/>
              <w:rPr>
                <w:rFonts w:hint="eastAsia" w:ascii="宋体" w:hAnsi="宋体" w:eastAsia="宋体" w:cs="宋体"/>
                <w:color w:val="000000"/>
                <w:szCs w:val="21"/>
              </w:rPr>
            </w:pPr>
            <w:r>
              <w:rPr>
                <w:rFonts w:hint="eastAsia" w:ascii="宋体" w:hAnsi="宋体" w:eastAsia="宋体" w:cs="宋体"/>
                <w:color w:val="000000"/>
                <w:kern w:val="0"/>
                <w:szCs w:val="21"/>
                <w:lang w:bidi="ar"/>
              </w:rPr>
              <w:t>600–748 分</w:t>
            </w:r>
          </w:p>
        </w:tc>
        <w:tc>
          <w:tcPr>
            <w:tcW w:w="52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B7B5A3">
            <w:pPr>
              <w:widowControl/>
              <w:jc w:val="left"/>
              <w:textAlignment w:val="bottom"/>
              <w:rPr>
                <w:rFonts w:hint="eastAsia" w:ascii="宋体" w:hAnsi="宋体" w:eastAsia="宋体" w:cs="宋体"/>
                <w:color w:val="000000"/>
                <w:szCs w:val="21"/>
                <w:lang w:val="en-US" w:eastAsia="zh-CN"/>
              </w:rPr>
            </w:pPr>
            <w:r>
              <w:rPr>
                <w:rFonts w:hint="eastAsia" w:ascii="宋体" w:hAnsi="宋体" w:eastAsia="宋体" w:cs="宋体"/>
                <w:color w:val="000000"/>
                <w:kern w:val="0"/>
                <w:szCs w:val="21"/>
                <w:lang w:bidi="ar"/>
              </w:rPr>
              <w:t>所有评价要素得分 ≥ 该要素满分的 60%</w:t>
            </w:r>
            <w:r>
              <w:rPr>
                <w:rFonts w:hint="eastAsia" w:ascii="宋体" w:hAnsi="宋体" w:eastAsia="宋体" w:cs="宋体"/>
                <w:color w:val="000000"/>
                <w:kern w:val="0"/>
                <w:szCs w:val="21"/>
                <w:lang w:val="en-US" w:eastAsia="zh-CN" w:bidi="ar"/>
              </w:rPr>
              <w:t xml:space="preserve">  (即</w:t>
            </w:r>
            <w:r>
              <w:rPr>
                <w:rFonts w:hint="eastAsia"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390</w:t>
            </w:r>
            <w:r>
              <w:rPr>
                <w:rFonts w:hint="eastAsia" w:ascii="宋体" w:hAnsi="宋体" w:eastAsia="宋体" w:cs="宋体"/>
                <w:color w:val="000000"/>
                <w:kern w:val="0"/>
                <w:sz w:val="21"/>
                <w:szCs w:val="21"/>
                <w:lang w:val="en-US" w:eastAsia="zh-CN" w:bidi="ar"/>
              </w:rPr>
              <w:t>分)</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C01F21">
            <w:pPr>
              <w:widowControl/>
              <w:jc w:val="left"/>
              <w:textAlignment w:val="bottom"/>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 或 A-</w:t>
            </w:r>
          </w:p>
        </w:tc>
      </w:tr>
      <w:tr w14:paraId="0EC2A418">
        <w:tblPrEx>
          <w:tblCellMar>
            <w:top w:w="0" w:type="dxa"/>
            <w:left w:w="108" w:type="dxa"/>
            <w:bottom w:w="0" w:type="dxa"/>
            <w:right w:w="108" w:type="dxa"/>
          </w:tblCellMar>
        </w:tblPrEx>
        <w:trPr>
          <w:trHeight w:val="397" w:hRule="atLeast"/>
        </w:trPr>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B97C10">
            <w:pPr>
              <w:widowControl/>
              <w:jc w:val="left"/>
              <w:textAlignment w:val="bottom"/>
              <w:rPr>
                <w:rFonts w:hint="eastAsia" w:ascii="宋体" w:hAnsi="宋体" w:eastAsia="宋体" w:cs="宋体"/>
                <w:color w:val="000000"/>
                <w:szCs w:val="21"/>
              </w:rPr>
            </w:pPr>
            <w:r>
              <w:rPr>
                <w:rFonts w:hint="eastAsia" w:ascii="宋体" w:hAnsi="宋体" w:eastAsia="宋体" w:cs="宋体"/>
                <w:color w:val="000000"/>
                <w:kern w:val="0"/>
                <w:szCs w:val="21"/>
                <w:lang w:bidi="ar"/>
              </w:rPr>
              <w:t>不合格实验室</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2D93C37">
            <w:pPr>
              <w:widowControl/>
              <w:jc w:val="center"/>
              <w:textAlignment w:val="bottom"/>
              <w:rPr>
                <w:rFonts w:hint="eastAsia" w:ascii="宋体" w:hAnsi="宋体" w:eastAsia="宋体" w:cs="宋体"/>
                <w:color w:val="000000"/>
                <w:szCs w:val="21"/>
              </w:rPr>
            </w:pPr>
            <w:r>
              <w:rPr>
                <w:rFonts w:hint="eastAsia" w:ascii="宋体" w:hAnsi="宋体" w:eastAsia="宋体" w:cs="宋体"/>
                <w:color w:val="000000"/>
                <w:kern w:val="0"/>
                <w:szCs w:val="21"/>
                <w:lang w:bidi="ar"/>
              </w:rPr>
              <w:t>＜600 分</w:t>
            </w:r>
          </w:p>
        </w:tc>
        <w:tc>
          <w:tcPr>
            <w:tcW w:w="52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E7F1FB">
            <w:pPr>
              <w:rPr>
                <w:rFonts w:hint="eastAsia" w:ascii="宋体" w:hAnsi="宋体" w:eastAsia="宋体" w:cs="宋体"/>
                <w:color w:val="000000"/>
                <w:szCs w:val="21"/>
              </w:rPr>
            </w:pPr>
            <w:r>
              <w:rPr>
                <w:rFonts w:hint="eastAsia" w:ascii="宋体" w:hAnsi="宋体" w:eastAsia="宋体" w:cs="宋体"/>
                <w:color w:val="000000"/>
                <w:kern w:val="0"/>
                <w:szCs w:val="21"/>
                <w:lang w:bidi="ar"/>
              </w:rPr>
              <w:t>任一评价要素得分 ＜ 该要素满分的 60%</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3B0884">
            <w:pPr>
              <w:widowControl/>
              <w:jc w:val="left"/>
              <w:textAlignment w:val="bottom"/>
              <w:rPr>
                <w:rFonts w:hint="eastAsia" w:ascii="宋体" w:hAnsi="宋体" w:eastAsia="宋体" w:cs="宋体"/>
                <w:color w:val="000000"/>
                <w:kern w:val="0"/>
                <w:szCs w:val="21"/>
                <w:lang w:bidi="ar"/>
              </w:rPr>
            </w:pPr>
            <w:r>
              <w:rPr>
                <w:rFonts w:hint="eastAsia" w:ascii="宋体" w:hAnsi="宋体" w:eastAsia="宋体" w:cs="宋体"/>
                <w:color w:val="000000"/>
                <w:kern w:val="0"/>
                <w:sz w:val="24"/>
                <w:lang w:bidi="ar"/>
              </w:rPr>
              <w:t>—</w:t>
            </w:r>
          </w:p>
        </w:tc>
      </w:tr>
    </w:tbl>
    <w:p w14:paraId="044DCBE3">
      <w:pPr>
        <w:rPr>
          <w:rFonts w:hint="eastAsia" w:ascii="黑体" w:hAnsi="黑体" w:cs="黑体" w:eastAsiaTheme="minorEastAsia"/>
          <w:szCs w:val="28"/>
          <w:lang w:val="en-US" w:eastAsia="zh-CN"/>
        </w:rPr>
      </w:pPr>
      <w:r>
        <w:rPr>
          <w:rFonts w:hint="eastAsia" w:ascii="黑体" w:hAnsi="黑体" w:eastAsia="黑体" w:cs="黑体"/>
          <w:szCs w:val="28"/>
        </w:rPr>
        <w:t>注：</w:t>
      </w:r>
      <w:r>
        <w:rPr>
          <w:rFonts w:hint="eastAsia" w:ascii="宋体" w:hAnsi="宋体" w:eastAsia="宋体" w:cs="宋体"/>
        </w:rPr>
        <w:t>无加分项，</w:t>
      </w:r>
      <w:r>
        <w:rPr>
          <w:rFonts w:hint="eastAsia" w:ascii="宋体" w:hAnsi="宋体" w:eastAsia="宋体" w:cs="宋体"/>
          <w:lang w:val="en-US" w:eastAsia="zh-CN"/>
        </w:rPr>
        <w:t>高质量实验室</w:t>
      </w:r>
      <w:r>
        <w:rPr>
          <w:rFonts w:hint="eastAsia" w:ascii="宋体" w:hAnsi="宋体" w:eastAsia="宋体" w:cs="宋体"/>
        </w:rPr>
        <w:t>总分门槛可调整为850分</w:t>
      </w:r>
      <w:r>
        <w:rPr>
          <w:rFonts w:hint="eastAsia" w:ascii="宋体" w:hAnsi="宋体" w:eastAsia="宋体" w:cs="宋体"/>
          <w:lang w:eastAsia="zh-CN"/>
        </w:rPr>
        <w:t>、</w:t>
      </w:r>
      <w:r>
        <w:rPr>
          <w:rFonts w:hint="eastAsia" w:ascii="宋体" w:hAnsi="宋体" w:eastAsia="宋体" w:cs="宋体"/>
          <w:lang w:val="en-US" w:eastAsia="zh-CN"/>
        </w:rPr>
        <w:t>优质调整719-849、达标调整为600-718</w:t>
      </w:r>
      <w:r>
        <w:rPr>
          <w:rFonts w:hint="eastAsia" w:ascii="宋体" w:hAnsi="宋体" w:eastAsia="宋体" w:cs="宋体"/>
          <w:lang w:eastAsia="zh-CN"/>
        </w:rPr>
        <w:t>。</w:t>
      </w:r>
      <w:r>
        <w:rPr>
          <w:rFonts w:hint="eastAsia" w:ascii="宋体" w:hAnsi="宋体" w:eastAsia="宋体" w:cs="宋体"/>
        </w:rPr>
        <w:t>须同时满足“条件 1”和“条件 2”</w:t>
      </w:r>
      <w:r>
        <w:rPr>
          <w:rFonts w:hint="eastAsia" w:ascii="宋体" w:hAnsi="宋体" w:eastAsia="宋体" w:cs="宋体"/>
          <w:lang w:val="en-US" w:eastAsia="zh-CN"/>
        </w:rPr>
        <w:t>要求。</w:t>
      </w:r>
    </w:p>
    <w:p w14:paraId="52F6F1C8">
      <w:pPr>
        <w:rPr>
          <w:rFonts w:hint="eastAsia" w:asciiTheme="minorEastAsia" w:hAnsiTheme="minorEastAsia" w:cstheme="minorEastAsia"/>
          <w:szCs w:val="28"/>
          <w:lang w:eastAsia="zh-CN"/>
        </w:rPr>
      </w:pPr>
      <w:r>
        <w:rPr>
          <w:rFonts w:hint="eastAsia" w:ascii="黑体" w:hAnsi="黑体" w:eastAsia="黑体" w:cs="黑体"/>
          <w:szCs w:val="28"/>
          <w:lang w:eastAsia="zh-CN"/>
        </w:rPr>
        <w:t>7.1.4</w:t>
      </w:r>
      <w:r>
        <w:rPr>
          <w:rFonts w:hint="eastAsia" w:asciiTheme="minorEastAsia" w:hAnsiTheme="minorEastAsia" w:cstheme="minorEastAsia"/>
          <w:szCs w:val="28"/>
          <w:lang w:eastAsia="zh-CN"/>
        </w:rPr>
        <w:t xml:space="preserve"> 降级处理</w:t>
      </w:r>
    </w:p>
    <w:p w14:paraId="01A4373C">
      <w:pPr>
        <w:rPr>
          <w:rFonts w:hint="eastAsia" w:asciiTheme="minorEastAsia" w:hAnsiTheme="minorEastAsia" w:cstheme="minorEastAsia"/>
          <w:szCs w:val="28"/>
          <w:lang w:eastAsia="zh-CN"/>
        </w:rPr>
      </w:pPr>
      <w:r>
        <w:rPr>
          <w:rFonts w:hint="eastAsia" w:asciiTheme="minorEastAsia" w:hAnsiTheme="minorEastAsia" w:cstheme="minorEastAsia"/>
          <w:szCs w:val="28"/>
          <w:lang w:eastAsia="zh-CN"/>
        </w:rPr>
        <w:t>若实验室综合总分达到高等级要求（如 ≥880 分），但基础项得分仅满足低等级要求（如 70%~79%），则依据基础项得分所在的等级进行封顶判定（即判定为“优质实验室”），以确保高等级实验室基础能力的扎实性。</w:t>
      </w:r>
    </w:p>
    <w:p w14:paraId="76FE9B95">
      <w:pPr>
        <w:rPr>
          <w:rFonts w:hint="eastAsia" w:asciiTheme="minorEastAsia" w:hAnsiTheme="minorEastAsia" w:cstheme="minorEastAsia"/>
          <w:szCs w:val="28"/>
          <w:lang w:eastAsia="zh-CN"/>
        </w:rPr>
      </w:pPr>
    </w:p>
    <w:p w14:paraId="06427FD2">
      <w:pPr>
        <w:pStyle w:val="32"/>
        <w:spacing w:before="156" w:after="156"/>
        <w:rPr>
          <w:rFonts w:hAnsi="黑体" w:cs="黑体"/>
          <w:sz w:val="22"/>
          <w:szCs w:val="28"/>
        </w:rPr>
      </w:pPr>
      <w:r>
        <w:rPr>
          <w:rFonts w:hint="eastAsia" w:hAnsi="黑体" w:cs="黑体"/>
          <w:szCs w:val="28"/>
        </w:rPr>
        <w:t xml:space="preserve"> 整改与复评</w:t>
      </w:r>
    </w:p>
    <w:p w14:paraId="402E48FF">
      <w:pPr>
        <w:rPr>
          <w:rFonts w:asciiTheme="minorEastAsia" w:hAnsiTheme="minorEastAsia" w:cstheme="minorEastAsia"/>
          <w:sz w:val="22"/>
          <w:szCs w:val="28"/>
        </w:rPr>
      </w:pPr>
      <w:r>
        <w:rPr>
          <w:rFonts w:hint="eastAsia" w:ascii="黑体" w:hAnsi="黑体" w:eastAsia="黑体" w:cs="黑体"/>
          <w:szCs w:val="28"/>
        </w:rPr>
        <w:t>7.2.1</w:t>
      </w:r>
      <w:r>
        <w:rPr>
          <w:rFonts w:hint="eastAsia" w:ascii="宋体" w:hAnsi="宋体" w:eastAsia="宋体" w:cs="黑体"/>
          <w:szCs w:val="28"/>
        </w:rPr>
        <w:t xml:space="preserve"> </w:t>
      </w:r>
      <w:r>
        <w:rPr>
          <w:rFonts w:hint="eastAsia" w:asciiTheme="minorEastAsia" w:hAnsiTheme="minorEastAsia" w:cstheme="minorEastAsia"/>
          <w:szCs w:val="28"/>
        </w:rPr>
        <w:t>被判定为“不合格”的实验室，应在收到评</w:t>
      </w:r>
      <w:r>
        <w:rPr>
          <w:rFonts w:hint="eastAsia" w:ascii="宋体" w:hAnsi="宋体" w:eastAsia="宋体" w:cs="宋体"/>
          <w:szCs w:val="28"/>
        </w:rPr>
        <w:t>价报告后 3个月内完成整改，并向评价机构提</w:t>
      </w:r>
      <w:r>
        <w:rPr>
          <w:rFonts w:hint="eastAsia" w:asciiTheme="minorEastAsia" w:hAnsiTheme="minorEastAsia" w:cstheme="minorEastAsia"/>
          <w:szCs w:val="28"/>
        </w:rPr>
        <w:t>交整改报告及证明材料。</w:t>
      </w:r>
    </w:p>
    <w:p w14:paraId="4AB330D5">
      <w:pPr>
        <w:rPr>
          <w:rFonts w:asciiTheme="minorEastAsia" w:hAnsiTheme="minorEastAsia" w:cstheme="minorEastAsia"/>
          <w:sz w:val="22"/>
          <w:szCs w:val="28"/>
        </w:rPr>
      </w:pPr>
      <w:r>
        <w:rPr>
          <w:rFonts w:hint="eastAsia" w:ascii="黑体" w:hAnsi="黑体" w:eastAsia="黑体" w:cs="黑体"/>
          <w:szCs w:val="28"/>
        </w:rPr>
        <w:t xml:space="preserve">7.2.2 </w:t>
      </w:r>
      <w:r>
        <w:rPr>
          <w:rFonts w:hint="eastAsia" w:asciiTheme="minorEastAsia" w:hAnsiTheme="minorEastAsia" w:cstheme="minorEastAsia"/>
          <w:szCs w:val="28"/>
        </w:rPr>
        <w:t>评价机构组织</w:t>
      </w:r>
      <w:r>
        <w:rPr>
          <w:rFonts w:hint="eastAsia" w:asciiTheme="minorEastAsia" w:hAnsiTheme="minorEastAsia" w:cstheme="minorEastAsia"/>
          <w:szCs w:val="28"/>
          <w:lang w:val="en-US" w:eastAsia="zh-CN"/>
        </w:rPr>
        <w:t>1</w:t>
      </w:r>
      <w:r>
        <w:rPr>
          <w:rFonts w:hint="eastAsia" w:ascii="宋体" w:hAnsi="宋体" w:eastAsia="宋体" w:cs="宋体"/>
          <w:szCs w:val="28"/>
        </w:rPr>
        <w:t>次复评（仅针对不符合项），复评通过后可重新评定等级；复评仍不合格的，1年</w:t>
      </w:r>
      <w:r>
        <w:rPr>
          <w:rFonts w:hint="eastAsia" w:asciiTheme="minorEastAsia" w:hAnsiTheme="minorEastAsia" w:cstheme="minorEastAsia"/>
          <w:szCs w:val="28"/>
        </w:rPr>
        <w:t>内不得再次申请。</w:t>
      </w:r>
    </w:p>
    <w:p w14:paraId="57653F2F">
      <w:pPr>
        <w:rPr>
          <w:rFonts w:asciiTheme="minorEastAsia" w:hAnsiTheme="minorEastAsia" w:cstheme="minorEastAsia"/>
          <w:sz w:val="22"/>
          <w:szCs w:val="28"/>
        </w:rPr>
      </w:pPr>
      <w:r>
        <w:rPr>
          <w:rFonts w:hint="eastAsia" w:ascii="黑体" w:hAnsi="黑体" w:eastAsia="黑体" w:cs="黑体"/>
          <w:szCs w:val="28"/>
        </w:rPr>
        <w:t xml:space="preserve">7.2.3 </w:t>
      </w:r>
      <w:r>
        <w:rPr>
          <w:rFonts w:hint="eastAsia" w:asciiTheme="minorEastAsia" w:hAnsiTheme="minorEastAsia" w:cstheme="minorEastAsia"/>
          <w:szCs w:val="28"/>
        </w:rPr>
        <w:t>复评不改变原申请类型（如首次评价不合格，复评仍按首次评价流程执行）。</w:t>
      </w:r>
    </w:p>
    <w:p w14:paraId="14B531B8">
      <w:pPr>
        <w:pStyle w:val="32"/>
        <w:numPr>
          <w:ilvl w:val="2"/>
          <w:numId w:val="0"/>
        </w:numPr>
        <w:spacing w:before="156" w:after="156"/>
        <w:ind w:leftChars="0"/>
        <w:rPr>
          <w:rFonts w:hint="eastAsia" w:hAnsi="黑体" w:cs="黑体"/>
          <w:szCs w:val="28"/>
        </w:rPr>
      </w:pPr>
      <w:r>
        <w:rPr>
          <w:rFonts w:hint="eastAsia" w:hAnsi="黑体" w:cs="黑体"/>
          <w:szCs w:val="28"/>
          <w:lang w:val="en-US" w:eastAsia="zh-CN"/>
        </w:rPr>
        <w:t xml:space="preserve">7.3 </w:t>
      </w:r>
      <w:r>
        <w:rPr>
          <w:rFonts w:hint="eastAsia" w:hAnsi="黑体" w:cs="黑体"/>
          <w:szCs w:val="28"/>
        </w:rPr>
        <w:t>等级应用与权益管理</w:t>
      </w:r>
    </w:p>
    <w:p w14:paraId="788AC81D">
      <w:pPr>
        <w:pStyle w:val="30"/>
        <w:ind w:left="0" w:leftChars="0" w:firstLine="0" w:firstLineChars="0"/>
        <w:rPr>
          <w:rFonts w:hint="eastAsia"/>
        </w:rPr>
      </w:pPr>
      <w:r>
        <w:rPr>
          <w:rFonts w:hint="eastAsia" w:ascii="黑体" w:hAnsi="黑体" w:eastAsia="黑体" w:cs="黑体"/>
        </w:rPr>
        <w:t xml:space="preserve">7.3.1 </w:t>
      </w:r>
      <w:r>
        <w:rPr>
          <w:rFonts w:hint="eastAsia"/>
        </w:rPr>
        <w:t>初始权益（首次评价通过）：</w:t>
      </w:r>
    </w:p>
    <w:p w14:paraId="6663AD89">
      <w:pPr>
        <w:pStyle w:val="30"/>
        <w:ind w:left="0" w:leftChars="0" w:firstLine="0" w:firstLineChars="0"/>
        <w:rPr>
          <w:rFonts w:hint="eastAsia"/>
        </w:rPr>
      </w:pPr>
      <w:r>
        <w:rPr>
          <w:rFonts w:hint="eastAsia"/>
        </w:rPr>
        <w:t>a) 颁发《电器电子产品环保检测高质量实验室</w:t>
      </w:r>
      <w:r>
        <w:rPr>
          <w:rFonts w:hint="eastAsia"/>
          <w:lang w:val="en-US" w:eastAsia="zh-CN"/>
        </w:rPr>
        <w:t>等级</w:t>
      </w:r>
      <w:r>
        <w:rPr>
          <w:rFonts w:hint="eastAsia"/>
        </w:rPr>
        <w:t>证书》及牌匾；</w:t>
      </w:r>
    </w:p>
    <w:p w14:paraId="5E9BF0C9">
      <w:pPr>
        <w:pStyle w:val="30"/>
        <w:ind w:left="0" w:leftChars="0" w:firstLine="0" w:firstLineChars="0"/>
        <w:rPr>
          <w:rFonts w:hint="eastAsia"/>
        </w:rPr>
      </w:pPr>
      <w:r>
        <w:rPr>
          <w:rFonts w:hint="eastAsia"/>
        </w:rPr>
        <w:t>b) 开通“高质量实验室数据平台”初始账号，纳入行业数据互认体系；</w:t>
      </w:r>
    </w:p>
    <w:p w14:paraId="0D9E7694">
      <w:pPr>
        <w:pStyle w:val="30"/>
        <w:ind w:left="0" w:leftChars="0" w:firstLine="0" w:firstLineChars="0"/>
        <w:rPr>
          <w:rFonts w:hint="eastAsia"/>
        </w:rPr>
      </w:pPr>
      <w:r>
        <w:rPr>
          <w:rFonts w:hint="eastAsia"/>
        </w:rPr>
        <w:t>c) 获得《实验室质量提升诊断书》（如适用）。</w:t>
      </w:r>
    </w:p>
    <w:p w14:paraId="14B9C652">
      <w:pPr>
        <w:pStyle w:val="30"/>
        <w:ind w:left="0" w:leftChars="0" w:firstLine="0" w:firstLineChars="0"/>
        <w:rPr>
          <w:rFonts w:hint="eastAsia"/>
        </w:rPr>
      </w:pPr>
      <w:r>
        <w:rPr>
          <w:rFonts w:hint="eastAsia" w:ascii="黑体" w:hAnsi="黑体" w:eastAsia="黑体" w:cs="黑体"/>
        </w:rPr>
        <w:t xml:space="preserve">7.3.2 </w:t>
      </w:r>
      <w:r>
        <w:rPr>
          <w:rFonts w:hint="eastAsia"/>
        </w:rPr>
        <w:t>年度持续权益（监督评价通过）：</w:t>
      </w:r>
    </w:p>
    <w:p w14:paraId="2DABC43E">
      <w:pPr>
        <w:pStyle w:val="30"/>
        <w:ind w:left="0" w:leftChars="0" w:firstLine="0" w:firstLineChars="0"/>
        <w:rPr>
          <w:rFonts w:hint="eastAsia"/>
        </w:rPr>
      </w:pPr>
      <w:r>
        <w:rPr>
          <w:rFonts w:hint="eastAsia"/>
        </w:rPr>
        <w:t>a) 行业白名单展示：在协会官网、采购平台及合作的大型制造企业供应链系统中列入“优先推荐/白名单”；</w:t>
      </w:r>
    </w:p>
    <w:p w14:paraId="404EA194">
      <w:pPr>
        <w:pStyle w:val="30"/>
        <w:ind w:left="0" w:leftChars="0" w:firstLine="0" w:firstLineChars="0"/>
        <w:rPr>
          <w:rFonts w:hint="eastAsia"/>
        </w:rPr>
      </w:pPr>
      <w:r>
        <w:rPr>
          <w:rFonts w:hint="eastAsia"/>
        </w:rPr>
        <w:t>b) 数据服务：获得年度《行业检测质量与风险分析报告（脱敏版）》，包含行业整体通过率、高风险物料清单及常见失效模式分析；</w:t>
      </w:r>
    </w:p>
    <w:p w14:paraId="224AD506">
      <w:pPr>
        <w:pStyle w:val="30"/>
        <w:ind w:left="0" w:leftChars="0" w:firstLine="0" w:firstLineChars="0"/>
        <w:rPr>
          <w:rFonts w:hint="eastAsia"/>
        </w:rPr>
      </w:pPr>
      <w:r>
        <w:rPr>
          <w:rFonts w:hint="eastAsia"/>
        </w:rPr>
        <w:t>c) 平台权限延续：延续数据平台端口使用权，支持电子报告验证码的实时生成与核验。</w:t>
      </w:r>
    </w:p>
    <w:p w14:paraId="42AB959C">
      <w:pPr>
        <w:pStyle w:val="30"/>
        <w:ind w:left="0" w:leftChars="0" w:firstLine="0" w:firstLineChars="0"/>
        <w:rPr>
          <w:rFonts w:hint="eastAsia"/>
        </w:rPr>
      </w:pPr>
      <w:r>
        <w:rPr>
          <w:rFonts w:hint="eastAsia" w:ascii="黑体" w:hAnsi="黑体" w:eastAsia="黑体" w:cs="黑体"/>
        </w:rPr>
        <w:t xml:space="preserve">7.3.3 </w:t>
      </w:r>
      <w:r>
        <w:rPr>
          <w:rFonts w:hint="eastAsia"/>
        </w:rPr>
        <w:t>供应链采信建议：</w:t>
      </w:r>
    </w:p>
    <w:p w14:paraId="1AD555C1">
      <w:pPr>
        <w:pStyle w:val="30"/>
        <w:ind w:left="0" w:leftChars="0" w:firstLine="0" w:firstLineChars="0"/>
        <w:rPr>
          <w:rFonts w:hint="eastAsia"/>
        </w:rPr>
      </w:pPr>
      <w:r>
        <w:rPr>
          <w:rFonts w:hint="eastAsia"/>
        </w:rPr>
        <w:t>建议下游制造企业及采购方将“能否在数据平台实时验证”作为采信检测报告的重要依据。对于仅持有静态证书但无法在平台通过验证的报告，视为“脱离监管”状态，建议企业审慎采信。</w:t>
      </w:r>
    </w:p>
    <w:p w14:paraId="239A96FA">
      <w:pPr>
        <w:pStyle w:val="30"/>
        <w:ind w:left="0" w:leftChars="0" w:firstLine="0" w:firstLineChars="0"/>
        <w:rPr>
          <w:rFonts w:hint="eastAsia"/>
        </w:rPr>
      </w:pPr>
      <w:r>
        <w:rPr>
          <w:rFonts w:hint="eastAsia" w:ascii="黑体" w:hAnsi="黑体" w:eastAsia="黑体" w:cs="黑体"/>
        </w:rPr>
        <w:t>7.3.4</w:t>
      </w:r>
      <w:r>
        <w:rPr>
          <w:rFonts w:hint="eastAsia"/>
        </w:rPr>
        <w:t xml:space="preserve"> 免责声明：</w:t>
      </w:r>
    </w:p>
    <w:p w14:paraId="18FCDD4E">
      <w:pPr>
        <w:pStyle w:val="30"/>
        <w:ind w:left="0" w:leftChars="0" w:firstLine="0" w:firstLineChars="0"/>
        <w:rPr>
          <w:rFonts w:hint="eastAsia"/>
        </w:rPr>
      </w:pPr>
      <w:r>
        <w:rPr>
          <w:rFonts w:hint="eastAsia"/>
        </w:rPr>
        <w:t>“行业白名单”及评价证书仅证明实验室在评价周期内具备符合本规范要求的管理与技术能力。评价机构不对实验室出具的具体检测报告的真实性、准确性承担法律连带责任，亦不承担因实验室检测失误造成的商业损失赔偿。</w:t>
      </w:r>
    </w:p>
    <w:p w14:paraId="5EDC9B75">
      <w:pPr>
        <w:pStyle w:val="30"/>
        <w:ind w:left="0" w:leftChars="0" w:firstLine="0" w:firstLineChars="0"/>
        <w:rPr>
          <w:rFonts w:hint="eastAsia"/>
        </w:rPr>
      </w:pPr>
      <w:r>
        <w:rPr>
          <w:rFonts w:hint="eastAsia" w:ascii="黑体" w:hAnsi="黑体" w:eastAsia="黑体" w:cs="黑体"/>
        </w:rPr>
        <w:t xml:space="preserve">7.3.5 </w:t>
      </w:r>
      <w:r>
        <w:rPr>
          <w:rFonts w:hint="eastAsia"/>
        </w:rPr>
        <w:t>退出机制：</w:t>
      </w:r>
    </w:p>
    <w:p w14:paraId="650132DC">
      <w:pPr>
        <w:pStyle w:val="30"/>
        <w:ind w:left="0" w:leftChars="0" w:firstLine="0" w:firstLineChars="0"/>
      </w:pPr>
      <w:r>
        <w:rPr>
          <w:rFonts w:hint="eastAsia"/>
        </w:rPr>
        <w:t>实验室发生重大质量事故、被监管部门严重处罚、拒绝飞行检查或在数据平台造假的，将立即移出白名单，注销账号，并三年内不得再次申请。</w:t>
      </w:r>
    </w:p>
    <w:p w14:paraId="01A28E24">
      <w:pPr>
        <w:pStyle w:val="32"/>
        <w:numPr>
          <w:ilvl w:val="2"/>
          <w:numId w:val="0"/>
        </w:numPr>
        <w:spacing w:before="156" w:after="156"/>
        <w:ind w:leftChars="0"/>
        <w:rPr>
          <w:rFonts w:hAnsi="黑体" w:cs="黑体"/>
          <w:sz w:val="22"/>
          <w:szCs w:val="28"/>
        </w:rPr>
      </w:pPr>
      <w:r>
        <w:rPr>
          <w:rFonts w:hint="eastAsia" w:hAnsi="黑体" w:cs="黑体"/>
          <w:szCs w:val="28"/>
          <w:lang w:val="en-US" w:eastAsia="zh-CN"/>
        </w:rPr>
        <w:t xml:space="preserve">7.4  </w:t>
      </w:r>
      <w:r>
        <w:rPr>
          <w:rFonts w:hint="eastAsia" w:hAnsi="黑体" w:cs="黑体"/>
          <w:szCs w:val="28"/>
        </w:rPr>
        <w:t>公示与异议处理</w:t>
      </w:r>
    </w:p>
    <w:p w14:paraId="5433AEC7">
      <w:pPr>
        <w:rPr>
          <w:rFonts w:asciiTheme="minorEastAsia" w:hAnsiTheme="minorEastAsia" w:cstheme="minorEastAsia"/>
          <w:sz w:val="22"/>
          <w:szCs w:val="28"/>
        </w:rPr>
      </w:pPr>
      <w:r>
        <w:rPr>
          <w:rFonts w:hint="eastAsia" w:ascii="黑体" w:hAnsi="黑体" w:eastAsia="黑体" w:cs="黑体"/>
          <w:szCs w:val="28"/>
        </w:rPr>
        <w:t>7.4.1</w:t>
      </w:r>
      <w:r>
        <w:rPr>
          <w:rFonts w:hint="eastAsia" w:asciiTheme="minorEastAsia" w:hAnsiTheme="minorEastAsia" w:cstheme="minorEastAsia"/>
          <w:szCs w:val="28"/>
        </w:rPr>
        <w:t xml:space="preserve"> 评价结果经公示</w:t>
      </w:r>
      <w:r>
        <w:rPr>
          <w:rFonts w:hint="eastAsia" w:ascii="宋体" w:hAnsi="宋体" w:eastAsia="宋体" w:cs="宋体"/>
          <w:szCs w:val="28"/>
        </w:rPr>
        <w:t>（15个工作日）无异议后生效</w:t>
      </w:r>
      <w:r>
        <w:rPr>
          <w:rFonts w:hint="eastAsia" w:asciiTheme="minorEastAsia" w:hAnsiTheme="minorEastAsia" w:cstheme="minorEastAsia"/>
          <w:szCs w:val="28"/>
        </w:rPr>
        <w:t>。</w:t>
      </w:r>
    </w:p>
    <w:p w14:paraId="5DC4EEDF">
      <w:pPr>
        <w:rPr>
          <w:rFonts w:asciiTheme="minorEastAsia" w:hAnsiTheme="minorEastAsia" w:cstheme="minorEastAsia"/>
          <w:sz w:val="22"/>
          <w:szCs w:val="28"/>
        </w:rPr>
      </w:pPr>
      <w:r>
        <w:rPr>
          <w:rFonts w:hint="eastAsia" w:ascii="黑体" w:hAnsi="黑体" w:eastAsia="黑体" w:cs="黑体"/>
          <w:szCs w:val="28"/>
        </w:rPr>
        <w:t xml:space="preserve">7.4.2 </w:t>
      </w:r>
      <w:r>
        <w:rPr>
          <w:rFonts w:hint="eastAsia" w:asciiTheme="minorEastAsia" w:hAnsiTheme="minorEastAsia" w:cstheme="minorEastAsia"/>
          <w:szCs w:val="28"/>
        </w:rPr>
        <w:t>公示期间收到异议的，评价机构</w:t>
      </w:r>
      <w:r>
        <w:rPr>
          <w:rFonts w:hint="eastAsia" w:ascii="宋体" w:hAnsi="宋体" w:eastAsia="宋体" w:cs="宋体"/>
          <w:szCs w:val="28"/>
        </w:rPr>
        <w:t>应在 10个工</w:t>
      </w:r>
      <w:r>
        <w:rPr>
          <w:rFonts w:hint="eastAsia" w:asciiTheme="minorEastAsia" w:hAnsiTheme="minorEastAsia" w:cstheme="minorEastAsia"/>
          <w:szCs w:val="28"/>
        </w:rPr>
        <w:t>作日内 组织复核，并向异议方书面反馈处理结果。</w:t>
      </w:r>
    </w:p>
    <w:p w14:paraId="670CB980">
      <w:pPr>
        <w:rPr>
          <w:rFonts w:asciiTheme="minorEastAsia" w:hAnsiTheme="minorEastAsia" w:cstheme="minorEastAsia"/>
          <w:sz w:val="22"/>
          <w:szCs w:val="28"/>
        </w:rPr>
      </w:pPr>
      <w:r>
        <w:rPr>
          <w:rFonts w:hint="eastAsia" w:ascii="黑体" w:hAnsi="黑体" w:eastAsia="黑体" w:cs="黑体"/>
          <w:szCs w:val="28"/>
        </w:rPr>
        <w:t xml:space="preserve">7.4.3 </w:t>
      </w:r>
      <w:r>
        <w:rPr>
          <w:rFonts w:hint="eastAsia" w:asciiTheme="minorEastAsia" w:hAnsiTheme="minorEastAsia" w:cstheme="minorEastAsia"/>
          <w:szCs w:val="28"/>
        </w:rPr>
        <w:t>最终评定结果在评价机构官网、中国电子节能技术协会平台同步发布，并推送至相关监管部门与采购单位。</w:t>
      </w:r>
    </w:p>
    <w:p w14:paraId="6E355131">
      <w:pPr>
        <w:pStyle w:val="31"/>
        <w:bidi w:val="0"/>
      </w:pPr>
      <w:r>
        <w:rPr>
          <w:rFonts w:hint="eastAsia"/>
        </w:rPr>
        <w:t xml:space="preserve"> </w:t>
      </w:r>
      <w:bookmarkStart w:id="67" w:name="_Toc6421"/>
      <w:r>
        <w:rPr>
          <w:rFonts w:hint="eastAsia"/>
        </w:rPr>
        <w:t>实施与监督</w:t>
      </w:r>
      <w:bookmarkEnd w:id="67"/>
    </w:p>
    <w:p w14:paraId="0E78C202">
      <w:pPr>
        <w:pStyle w:val="32"/>
        <w:spacing w:before="156" w:after="156"/>
        <w:rPr>
          <w:rFonts w:hAnsi="黑体" w:cs="黑体"/>
          <w:szCs w:val="21"/>
        </w:rPr>
      </w:pPr>
      <w:r>
        <w:rPr>
          <w:rFonts w:hint="eastAsia" w:hAnsi="黑体" w:cs="黑体"/>
          <w:szCs w:val="21"/>
        </w:rPr>
        <w:t>实施要求与主体</w:t>
      </w:r>
    </w:p>
    <w:p w14:paraId="49B78E48">
      <w:pPr>
        <w:rPr>
          <w:rFonts w:asciiTheme="minorEastAsia" w:hAnsiTheme="minorEastAsia" w:cstheme="minorEastAsia"/>
          <w:sz w:val="22"/>
          <w:szCs w:val="28"/>
          <w:highlight w:val="none"/>
        </w:rPr>
      </w:pPr>
      <w:r>
        <w:rPr>
          <w:rFonts w:hint="eastAsia" w:ascii="黑体" w:hAnsi="黑体" w:eastAsia="黑体" w:cs="黑体"/>
          <w:sz w:val="22"/>
          <w:szCs w:val="28"/>
        </w:rPr>
        <w:t>8.1.1</w:t>
      </w:r>
      <w:r>
        <w:rPr>
          <w:rFonts w:hint="eastAsia" w:ascii="黑体" w:hAnsi="黑体" w:eastAsia="黑体" w:cs="黑体"/>
          <w:sz w:val="22"/>
          <w:szCs w:val="28"/>
          <w:highlight w:val="none"/>
        </w:rPr>
        <w:t xml:space="preserve"> </w:t>
      </w:r>
      <w:r>
        <w:rPr>
          <w:rFonts w:hint="eastAsia" w:asciiTheme="minorEastAsia" w:hAnsiTheme="minorEastAsia" w:cstheme="minorEastAsia"/>
          <w:sz w:val="22"/>
          <w:szCs w:val="28"/>
          <w:highlight w:val="none"/>
        </w:rPr>
        <w:t>实施要求：本文件发布后，相关实验室评价机构、认证检测机构、行业企业及技术服务单位应依据本文件的要求开展高质量实验室自评与第三方评价活动。</w:t>
      </w:r>
    </w:p>
    <w:p w14:paraId="21DA4BE8">
      <w:pPr>
        <w:rPr>
          <w:rFonts w:hint="eastAsia" w:asciiTheme="minorEastAsia" w:hAnsiTheme="minorEastAsia" w:eastAsiaTheme="minorEastAsia" w:cstheme="minorEastAsia"/>
          <w:sz w:val="22"/>
          <w:szCs w:val="28"/>
          <w:highlight w:val="none"/>
          <w:lang w:eastAsia="zh-CN"/>
        </w:rPr>
      </w:pPr>
      <w:r>
        <w:rPr>
          <w:rFonts w:hint="eastAsia" w:ascii="黑体" w:hAnsi="黑体" w:eastAsia="黑体" w:cs="黑体"/>
          <w:sz w:val="22"/>
          <w:szCs w:val="28"/>
          <w:highlight w:val="none"/>
        </w:rPr>
        <w:t xml:space="preserve">8.1.2 </w:t>
      </w:r>
      <w:r>
        <w:rPr>
          <w:rFonts w:hint="eastAsia" w:asciiTheme="minorEastAsia" w:hAnsiTheme="minorEastAsia" w:cstheme="minorEastAsia"/>
          <w:sz w:val="22"/>
          <w:szCs w:val="28"/>
          <w:highlight w:val="none"/>
        </w:rPr>
        <w:t>实施监督与推广：本文件由中国电子节能技术协会绿色制造专业委员会负责组织实施、监督检查、推广应用及修订协调。当《电器电子产品环保检测高质量实验室评价规范》与本配套管理制度在管理要求、程序规定或责任划分方面存在不一致时，以本配套管理制度及其专项细则为准</w:t>
      </w:r>
      <w:r>
        <w:rPr>
          <w:rFonts w:hint="eastAsia" w:asciiTheme="minorEastAsia" w:hAnsiTheme="minorEastAsia" w:cstheme="minorEastAsia"/>
          <w:sz w:val="22"/>
          <w:szCs w:val="28"/>
          <w:highlight w:val="none"/>
          <w:lang w:eastAsia="zh-CN"/>
        </w:rPr>
        <w:t>。</w:t>
      </w:r>
    </w:p>
    <w:p w14:paraId="11E437AC">
      <w:pPr>
        <w:rPr>
          <w:rFonts w:hint="eastAsia" w:asciiTheme="minorEastAsia" w:hAnsiTheme="minorEastAsia" w:cstheme="minorEastAsia"/>
          <w:sz w:val="22"/>
          <w:szCs w:val="28"/>
          <w:highlight w:val="none"/>
        </w:rPr>
      </w:pPr>
      <w:r>
        <w:rPr>
          <w:rFonts w:hint="eastAsia" w:ascii="黑体" w:hAnsi="黑体" w:eastAsia="黑体" w:cs="黑体"/>
          <w:sz w:val="22"/>
          <w:szCs w:val="28"/>
          <w:highlight w:val="none"/>
          <w:lang w:val="en-US" w:eastAsia="zh-CN"/>
        </w:rPr>
        <w:t>8.1.3</w:t>
      </w:r>
      <w:r>
        <w:rPr>
          <w:rFonts w:hint="eastAsia" w:asciiTheme="minorEastAsia" w:hAnsiTheme="minorEastAsia" w:cstheme="minorEastAsia"/>
          <w:sz w:val="22"/>
          <w:szCs w:val="28"/>
          <w:highlight w:val="none"/>
        </w:rPr>
        <w:t>鼓励将本规范与职业技能竞赛联动，对竞赛获奖选手所在实验室在“行业贡献”加分项中予以认可</w:t>
      </w:r>
    </w:p>
    <w:p w14:paraId="3AFB34F5">
      <w:pPr>
        <w:rPr>
          <w:rFonts w:ascii="黑体" w:hAnsi="黑体" w:eastAsia="黑体" w:cs="黑体"/>
          <w:sz w:val="22"/>
          <w:szCs w:val="28"/>
          <w:highlight w:val="none"/>
        </w:rPr>
      </w:pPr>
      <w:r>
        <w:rPr>
          <w:rFonts w:hint="eastAsia" w:ascii="黑体" w:hAnsi="黑体" w:eastAsia="黑体" w:cs="黑体"/>
          <w:sz w:val="22"/>
          <w:szCs w:val="28"/>
          <w:highlight w:val="none"/>
        </w:rPr>
        <w:t>8.1.</w:t>
      </w:r>
      <w:r>
        <w:rPr>
          <w:rFonts w:hint="eastAsia" w:ascii="黑体" w:hAnsi="黑体" w:eastAsia="黑体" w:cs="黑体"/>
          <w:sz w:val="22"/>
          <w:szCs w:val="28"/>
          <w:highlight w:val="none"/>
          <w:lang w:val="en-US" w:eastAsia="zh-CN"/>
        </w:rPr>
        <w:t>4</w:t>
      </w:r>
      <w:r>
        <w:rPr>
          <w:rFonts w:hint="eastAsia" w:ascii="黑体" w:hAnsi="黑体" w:eastAsia="黑体" w:cs="黑体"/>
          <w:sz w:val="22"/>
          <w:szCs w:val="28"/>
          <w:highlight w:val="none"/>
        </w:rPr>
        <w:t xml:space="preserve"> </w:t>
      </w:r>
      <w:r>
        <w:rPr>
          <w:rFonts w:hint="eastAsia" w:asciiTheme="minorEastAsia" w:hAnsiTheme="minorEastAsia" w:cstheme="minorEastAsia"/>
          <w:sz w:val="22"/>
          <w:szCs w:val="28"/>
          <w:highlight w:val="none"/>
        </w:rPr>
        <w:t>配套机制：鼓励相关行业主管部门、地方协会及联盟单位结合本文件建立配套的评价机制、结果备案制度及监督检查制度，确保本文件的统一理解与有效执行。</w:t>
      </w:r>
    </w:p>
    <w:p w14:paraId="522B760A">
      <w:pPr>
        <w:pStyle w:val="32"/>
        <w:spacing w:before="156" w:after="156"/>
        <w:rPr>
          <w:rFonts w:hAnsi="黑体" w:cs="黑体"/>
          <w:szCs w:val="21"/>
          <w:highlight w:val="none"/>
        </w:rPr>
      </w:pPr>
      <w:r>
        <w:rPr>
          <w:rFonts w:hint="eastAsia" w:hAnsi="黑体" w:cs="黑体"/>
          <w:szCs w:val="21"/>
          <w:highlight w:val="none"/>
        </w:rPr>
        <w:t>管理职责</w:t>
      </w:r>
    </w:p>
    <w:p w14:paraId="685C5212">
      <w:pPr>
        <w:rPr>
          <w:rFonts w:asciiTheme="minorEastAsia" w:hAnsiTheme="minorEastAsia" w:cstheme="minorEastAsia"/>
          <w:sz w:val="22"/>
          <w:szCs w:val="28"/>
          <w:highlight w:val="none"/>
        </w:rPr>
      </w:pPr>
      <w:r>
        <w:rPr>
          <w:rFonts w:hint="eastAsia" w:ascii="黑体" w:hAnsi="黑体" w:eastAsia="黑体" w:cs="黑体"/>
          <w:sz w:val="22"/>
          <w:szCs w:val="28"/>
          <w:highlight w:val="none"/>
        </w:rPr>
        <w:t xml:space="preserve">8.2.1 </w:t>
      </w:r>
      <w:r>
        <w:rPr>
          <w:rFonts w:hint="eastAsia" w:asciiTheme="minorEastAsia" w:hAnsiTheme="minorEastAsia" w:cstheme="minorEastAsia"/>
          <w:sz w:val="22"/>
          <w:szCs w:val="28"/>
          <w:highlight w:val="none"/>
        </w:rPr>
        <w:t>标准归口与秘书处：本文件由中国电子节能技术协会提出并归口。中国电子节能技术协会绿色制造专业委员会作为本文件的秘书处，负责本文件的日常维护、实施推广、修订协调与解释工作。</w:t>
      </w:r>
    </w:p>
    <w:p w14:paraId="38C560B8">
      <w:pPr>
        <w:rPr>
          <w:rFonts w:asciiTheme="minorEastAsia" w:hAnsiTheme="minorEastAsia" w:cstheme="minorEastAsia"/>
          <w:sz w:val="22"/>
          <w:szCs w:val="28"/>
        </w:rPr>
      </w:pPr>
      <w:r>
        <w:rPr>
          <w:rFonts w:hint="eastAsia" w:ascii="黑体" w:hAnsi="黑体" w:eastAsia="黑体" w:cs="黑体"/>
          <w:sz w:val="22"/>
          <w:szCs w:val="28"/>
          <w:highlight w:val="none"/>
        </w:rPr>
        <w:t xml:space="preserve">8.2.2 </w:t>
      </w:r>
      <w:r>
        <w:rPr>
          <w:rFonts w:hint="eastAsia" w:asciiTheme="minorEastAsia" w:hAnsiTheme="minorEastAsia" w:cstheme="minorEastAsia"/>
          <w:sz w:val="22"/>
          <w:szCs w:val="28"/>
          <w:highlight w:val="none"/>
        </w:rPr>
        <w:t>执行监督单位：授权的评价机构及地方行业协会负责本文件的落地实</w:t>
      </w:r>
      <w:r>
        <w:rPr>
          <w:rFonts w:hint="eastAsia" w:asciiTheme="minorEastAsia" w:hAnsiTheme="minorEastAsia" w:cstheme="minorEastAsia"/>
          <w:sz w:val="22"/>
          <w:szCs w:val="28"/>
        </w:rPr>
        <w:t>施、评审组织及数据汇总。</w:t>
      </w:r>
    </w:p>
    <w:p w14:paraId="071C4711">
      <w:pPr>
        <w:rPr>
          <w:rFonts w:asciiTheme="minorEastAsia" w:hAnsiTheme="minorEastAsia" w:cstheme="minorEastAsia"/>
          <w:sz w:val="22"/>
          <w:szCs w:val="28"/>
        </w:rPr>
      </w:pPr>
      <w:r>
        <w:rPr>
          <w:rFonts w:hint="eastAsia" w:ascii="黑体" w:hAnsi="黑体" w:eastAsia="黑体" w:cs="黑体"/>
          <w:sz w:val="22"/>
          <w:szCs w:val="28"/>
        </w:rPr>
        <w:t xml:space="preserve">8.2.3 </w:t>
      </w:r>
      <w:r>
        <w:rPr>
          <w:rFonts w:hint="eastAsia" w:asciiTheme="minorEastAsia" w:hAnsiTheme="minorEastAsia" w:cstheme="minorEastAsia"/>
          <w:sz w:val="22"/>
          <w:szCs w:val="28"/>
        </w:rPr>
        <w:t>专家技术委员会：由检测认证、材料分析、环境管理及标准化等领域专家组成，承担标准技术审查、修订建议评估及争议技术裁定。</w:t>
      </w:r>
    </w:p>
    <w:p w14:paraId="62DF10F2">
      <w:pPr>
        <w:rPr>
          <w:rFonts w:asciiTheme="minorEastAsia" w:hAnsiTheme="minorEastAsia" w:cstheme="minorEastAsia"/>
          <w:sz w:val="22"/>
          <w:szCs w:val="28"/>
        </w:rPr>
      </w:pPr>
      <w:r>
        <w:rPr>
          <w:rFonts w:hint="eastAsia" w:ascii="黑体" w:hAnsi="黑体" w:eastAsia="黑体" w:cs="黑体"/>
          <w:sz w:val="22"/>
          <w:szCs w:val="28"/>
        </w:rPr>
        <w:t xml:space="preserve">8.2.4 </w:t>
      </w:r>
      <w:r>
        <w:rPr>
          <w:rFonts w:hint="eastAsia" w:asciiTheme="minorEastAsia" w:hAnsiTheme="minorEastAsia" w:cstheme="minorEastAsia"/>
          <w:sz w:val="22"/>
          <w:szCs w:val="28"/>
        </w:rPr>
        <w:t>信息与反馈中心：秘书处设立“标准实施信息与反馈中心”，负责收集、整理和分析实施过程中出现的问题及改进意见，形成年度实施报告。</w:t>
      </w:r>
    </w:p>
    <w:p w14:paraId="2299EF7B">
      <w:pPr>
        <w:pStyle w:val="32"/>
        <w:spacing w:before="156" w:after="156"/>
        <w:rPr>
          <w:rFonts w:hAnsi="黑体" w:cs="黑体"/>
          <w:szCs w:val="21"/>
        </w:rPr>
      </w:pPr>
      <w:r>
        <w:rPr>
          <w:rFonts w:hint="eastAsia" w:hAnsi="黑体" w:cs="黑体"/>
          <w:szCs w:val="21"/>
        </w:rPr>
        <w:t>修订与复审</w:t>
      </w:r>
    </w:p>
    <w:p w14:paraId="0684F3D1">
      <w:pPr>
        <w:rPr>
          <w:rFonts w:asciiTheme="minorEastAsia" w:hAnsiTheme="minorEastAsia" w:cstheme="minorEastAsia"/>
          <w:sz w:val="22"/>
          <w:szCs w:val="28"/>
          <w:highlight w:val="none"/>
        </w:rPr>
      </w:pPr>
      <w:r>
        <w:rPr>
          <w:rFonts w:hint="eastAsia" w:ascii="黑体" w:hAnsi="黑体" w:eastAsia="黑体" w:cs="黑体"/>
          <w:sz w:val="22"/>
          <w:szCs w:val="28"/>
        </w:rPr>
        <w:t>8.3.1</w:t>
      </w:r>
      <w:r>
        <w:rPr>
          <w:rFonts w:hint="eastAsia" w:ascii="黑体" w:hAnsi="黑体" w:eastAsia="黑体" w:cs="黑体"/>
          <w:sz w:val="22"/>
          <w:szCs w:val="28"/>
          <w:highlight w:val="none"/>
        </w:rPr>
        <w:t xml:space="preserve"> </w:t>
      </w:r>
      <w:r>
        <w:rPr>
          <w:rFonts w:hint="eastAsia" w:asciiTheme="minorEastAsia" w:hAnsiTheme="minorEastAsia" w:cstheme="minorEastAsia"/>
          <w:sz w:val="22"/>
          <w:szCs w:val="28"/>
          <w:highlight w:val="none"/>
        </w:rPr>
        <w:t>动态修订机制本文件根据电器电子产品环保检测领域的发展、国家政策调整、国内外标准变化及实施反馈情况，实行动态修订机制。</w:t>
      </w:r>
    </w:p>
    <w:p w14:paraId="358A39E5">
      <w:pPr>
        <w:rPr>
          <w:rFonts w:ascii="黑体" w:hAnsi="黑体" w:eastAsia="黑体" w:cs="黑体"/>
          <w:sz w:val="22"/>
          <w:szCs w:val="28"/>
          <w:highlight w:val="none"/>
        </w:rPr>
      </w:pPr>
      <w:r>
        <w:rPr>
          <w:rFonts w:hint="eastAsia" w:ascii="黑体" w:hAnsi="黑体" w:eastAsia="黑体" w:cs="黑体"/>
          <w:sz w:val="22"/>
          <w:szCs w:val="28"/>
          <w:highlight w:val="none"/>
        </w:rPr>
        <w:t xml:space="preserve">8.3.2 </w:t>
      </w:r>
      <w:r>
        <w:rPr>
          <w:rFonts w:hint="eastAsia" w:asciiTheme="minorEastAsia" w:hAnsiTheme="minorEastAsia" w:cstheme="minorEastAsia"/>
          <w:sz w:val="22"/>
          <w:szCs w:val="28"/>
          <w:highlight w:val="none"/>
        </w:rPr>
        <w:t>复审周期：本文件原则上每三年进行一次评估（复审），根据行业发展需要可提前或延后修订。</w:t>
      </w:r>
    </w:p>
    <w:p w14:paraId="12DBDD09">
      <w:pPr>
        <w:rPr>
          <w:rFonts w:asciiTheme="minorEastAsia" w:hAnsiTheme="minorEastAsia" w:cstheme="minorEastAsia"/>
          <w:sz w:val="22"/>
          <w:szCs w:val="28"/>
          <w:highlight w:val="none"/>
        </w:rPr>
      </w:pPr>
      <w:r>
        <w:rPr>
          <w:rFonts w:hint="eastAsia" w:ascii="黑体" w:hAnsi="黑体" w:eastAsia="黑体" w:cs="黑体"/>
          <w:sz w:val="22"/>
          <w:szCs w:val="28"/>
          <w:highlight w:val="none"/>
        </w:rPr>
        <w:t xml:space="preserve">8.3.3 </w:t>
      </w:r>
      <w:r>
        <w:rPr>
          <w:rFonts w:hint="eastAsia" w:asciiTheme="minorEastAsia" w:hAnsiTheme="minorEastAsia" w:cstheme="minorEastAsia"/>
          <w:sz w:val="22"/>
          <w:szCs w:val="28"/>
          <w:highlight w:val="none"/>
        </w:rPr>
        <w:t>修订程序：评估与修订工作由标准归口管理单位牵头，组织专家技术委员会开展修订论证。在标准实施过程中，若发现条款与国家法律法规或最新强制性标准存在冲突，应及时启动修订程序并发布修订公告。</w:t>
      </w:r>
    </w:p>
    <w:p w14:paraId="17BB69C1">
      <w:pPr>
        <w:pStyle w:val="32"/>
        <w:spacing w:before="156" w:after="156"/>
        <w:rPr>
          <w:rFonts w:hAnsi="黑体" w:cs="黑体"/>
          <w:szCs w:val="21"/>
          <w:highlight w:val="none"/>
        </w:rPr>
      </w:pPr>
      <w:r>
        <w:rPr>
          <w:rFonts w:hint="eastAsia" w:hAnsi="黑体" w:cs="黑体"/>
          <w:szCs w:val="21"/>
          <w:highlight w:val="none"/>
        </w:rPr>
        <w:t>监督与评估机制</w:t>
      </w:r>
    </w:p>
    <w:p w14:paraId="0BD4CF88">
      <w:pPr>
        <w:rPr>
          <w:rFonts w:asciiTheme="minorEastAsia" w:hAnsiTheme="minorEastAsia" w:cstheme="minorEastAsia"/>
          <w:sz w:val="22"/>
          <w:szCs w:val="28"/>
          <w:highlight w:val="none"/>
        </w:rPr>
      </w:pPr>
      <w:r>
        <w:rPr>
          <w:rFonts w:hint="eastAsia" w:asciiTheme="minorEastAsia" w:hAnsiTheme="minorEastAsia" w:cstheme="minorEastAsia"/>
          <w:sz w:val="22"/>
          <w:szCs w:val="28"/>
          <w:highlight w:val="none"/>
        </w:rPr>
        <w:t>为确保本文件实施效果，建立以下监督机制：</w:t>
      </w:r>
    </w:p>
    <w:p w14:paraId="7E2A53A4">
      <w:pPr>
        <w:rPr>
          <w:rFonts w:asciiTheme="minorEastAsia" w:hAnsiTheme="minorEastAsia" w:cstheme="minorEastAsia"/>
          <w:sz w:val="22"/>
          <w:szCs w:val="28"/>
          <w:highlight w:val="none"/>
        </w:rPr>
      </w:pPr>
      <w:r>
        <w:rPr>
          <w:rFonts w:hint="eastAsia" w:ascii="黑体" w:hAnsi="黑体" w:eastAsia="黑体" w:cs="黑体"/>
          <w:sz w:val="22"/>
          <w:szCs w:val="28"/>
          <w:highlight w:val="none"/>
        </w:rPr>
        <w:t xml:space="preserve">8.4.1 </w:t>
      </w:r>
      <w:r>
        <w:rPr>
          <w:rFonts w:hint="eastAsia" w:asciiTheme="minorEastAsia" w:hAnsiTheme="minorEastAsia" w:cstheme="minorEastAsia"/>
          <w:sz w:val="22"/>
          <w:szCs w:val="28"/>
          <w:highlight w:val="none"/>
        </w:rPr>
        <w:t>年度实施评估：标准归口管理单位每年组织一次实施评估，内容包括标准适用范围、评价执行情况、机构能力变化及存在问题。</w:t>
      </w:r>
    </w:p>
    <w:p w14:paraId="38D7C678">
      <w:pPr>
        <w:rPr>
          <w:rFonts w:asciiTheme="minorEastAsia" w:hAnsiTheme="minorEastAsia" w:cstheme="minorEastAsia"/>
          <w:sz w:val="22"/>
          <w:szCs w:val="28"/>
          <w:highlight w:val="none"/>
        </w:rPr>
      </w:pPr>
      <w:r>
        <w:rPr>
          <w:rFonts w:hint="eastAsia" w:ascii="黑体" w:hAnsi="黑体" w:eastAsia="黑体" w:cs="黑体"/>
          <w:sz w:val="22"/>
          <w:szCs w:val="28"/>
          <w:highlight w:val="none"/>
        </w:rPr>
        <w:t xml:space="preserve">8.4.2 </w:t>
      </w:r>
      <w:r>
        <w:rPr>
          <w:rFonts w:hint="eastAsia" w:asciiTheme="minorEastAsia" w:hAnsiTheme="minorEastAsia" w:cstheme="minorEastAsia"/>
          <w:sz w:val="22"/>
          <w:szCs w:val="28"/>
          <w:highlight w:val="none"/>
        </w:rPr>
        <w:t>标准执行抽查：对已开展高质量实验室评价的机构实施抽查复核，抽查比例不低</w:t>
      </w:r>
      <w:r>
        <w:rPr>
          <w:rFonts w:hint="eastAsia" w:ascii="宋体" w:hAnsi="宋体" w:eastAsia="宋体" w:cs="宋体"/>
          <w:sz w:val="21"/>
          <w:szCs w:val="21"/>
          <w:highlight w:val="none"/>
        </w:rPr>
        <w:t xml:space="preserve">于 </w:t>
      </w:r>
      <w:r>
        <w:rPr>
          <w:rFonts w:hint="eastAsia" w:ascii="宋体" w:hAnsi="宋体" w:eastAsia="宋体" w:cs="宋体"/>
          <w:kern w:val="0"/>
          <w:sz w:val="21"/>
          <w:szCs w:val="21"/>
          <w:lang w:val="en-US" w:eastAsia="zh-CN" w:bidi="ar-SA"/>
        </w:rPr>
        <w:t>10%</w:t>
      </w:r>
      <w:r>
        <w:rPr>
          <w:rFonts w:hint="eastAsia" w:ascii="Arial" w:hAnsi="Arial" w:eastAsia="宋体" w:cs="Arial"/>
          <w:kern w:val="0"/>
          <w:sz w:val="21"/>
          <w:szCs w:val="20"/>
          <w:lang w:val="en-US" w:eastAsia="zh-CN" w:bidi="ar-SA"/>
        </w:rPr>
        <w:t>。</w:t>
      </w:r>
    </w:p>
    <w:p w14:paraId="48E5C83A">
      <w:pPr>
        <w:rPr>
          <w:rFonts w:ascii="黑体" w:hAnsi="黑体" w:eastAsia="黑体" w:cs="黑体"/>
          <w:sz w:val="22"/>
          <w:szCs w:val="28"/>
          <w:highlight w:val="none"/>
        </w:rPr>
      </w:pPr>
      <w:r>
        <w:rPr>
          <w:rFonts w:hint="eastAsia" w:ascii="黑体" w:hAnsi="黑体" w:eastAsia="黑体" w:cs="黑体"/>
          <w:sz w:val="22"/>
          <w:szCs w:val="28"/>
          <w:highlight w:val="none"/>
        </w:rPr>
        <w:t xml:space="preserve">8.4.3 </w:t>
      </w:r>
      <w:r>
        <w:rPr>
          <w:rFonts w:hint="eastAsia" w:asciiTheme="minorEastAsia" w:hAnsiTheme="minorEastAsia" w:cstheme="minorEastAsia"/>
          <w:sz w:val="22"/>
          <w:szCs w:val="28"/>
          <w:highlight w:val="none"/>
        </w:rPr>
        <w:t>问题整改要求：发现违反标准条款或评审程序的单位，应</w:t>
      </w:r>
      <w:r>
        <w:rPr>
          <w:rFonts w:hint="eastAsia" w:ascii="宋体" w:hAnsi="宋体" w:eastAsia="宋体" w:cs="宋体"/>
          <w:sz w:val="22"/>
          <w:szCs w:val="28"/>
          <w:highlight w:val="none"/>
        </w:rPr>
        <w:t>在</w:t>
      </w:r>
      <w:r>
        <w:rPr>
          <w:rFonts w:hint="eastAsia" w:ascii="宋体" w:hAnsi="宋体" w:eastAsia="宋体" w:cs="宋体"/>
          <w:kern w:val="0"/>
          <w:sz w:val="21"/>
          <w:szCs w:val="20"/>
          <w:lang w:val="en-US" w:eastAsia="zh-CN" w:bidi="ar-SA"/>
        </w:rPr>
        <w:t>30</w:t>
      </w:r>
      <w:r>
        <w:rPr>
          <w:rFonts w:hint="eastAsia" w:ascii="宋体" w:hAnsi="宋体" w:eastAsia="宋体" w:cs="宋体"/>
          <w:sz w:val="22"/>
          <w:szCs w:val="28"/>
          <w:highlight w:val="none"/>
        </w:rPr>
        <w:t>日内完成整改并提交报告。</w:t>
      </w:r>
    </w:p>
    <w:p w14:paraId="323F42B8">
      <w:pPr>
        <w:rPr>
          <w:rFonts w:asciiTheme="minorEastAsia" w:hAnsiTheme="minorEastAsia" w:cstheme="minorEastAsia"/>
          <w:sz w:val="22"/>
          <w:szCs w:val="28"/>
          <w:highlight w:val="none"/>
        </w:rPr>
      </w:pPr>
      <w:r>
        <w:rPr>
          <w:rFonts w:hint="eastAsia" w:ascii="黑体" w:hAnsi="黑体" w:eastAsia="黑体" w:cs="黑体"/>
          <w:sz w:val="22"/>
          <w:szCs w:val="28"/>
          <w:highlight w:val="none"/>
        </w:rPr>
        <w:t xml:space="preserve">8.4.4 </w:t>
      </w:r>
      <w:r>
        <w:rPr>
          <w:rFonts w:hint="eastAsia" w:asciiTheme="minorEastAsia" w:hAnsiTheme="minorEastAsia" w:cstheme="minorEastAsia"/>
          <w:sz w:val="22"/>
          <w:szCs w:val="28"/>
          <w:highlight w:val="none"/>
        </w:rPr>
        <w:t>专家复审机制：对评审争议和重大技术分歧，由专家技术委员会组织复审并出具意见。</w:t>
      </w:r>
    </w:p>
    <w:p w14:paraId="3FEF6B07">
      <w:pPr>
        <w:rPr>
          <w:rFonts w:asciiTheme="minorEastAsia" w:hAnsiTheme="minorEastAsia" w:cstheme="minorEastAsia"/>
          <w:sz w:val="22"/>
          <w:szCs w:val="28"/>
          <w:highlight w:val="none"/>
        </w:rPr>
      </w:pPr>
      <w:r>
        <w:rPr>
          <w:rFonts w:hint="eastAsia" w:ascii="黑体" w:hAnsi="黑体" w:eastAsia="黑体" w:cs="黑体"/>
          <w:sz w:val="22"/>
          <w:szCs w:val="28"/>
          <w:highlight w:val="none"/>
        </w:rPr>
        <w:t xml:space="preserve">8.4.5 </w:t>
      </w:r>
      <w:r>
        <w:rPr>
          <w:rFonts w:hint="eastAsia" w:asciiTheme="minorEastAsia" w:hAnsiTheme="minorEastAsia" w:cstheme="minorEastAsia"/>
          <w:sz w:val="22"/>
          <w:szCs w:val="28"/>
          <w:highlight w:val="none"/>
        </w:rPr>
        <w:t>数据统计与公开：协会定期发布标准实施统计数据与优秀案例，促进行业透明和持续改进。</w:t>
      </w:r>
    </w:p>
    <w:p w14:paraId="5EE9D1BE">
      <w:pPr>
        <w:pStyle w:val="32"/>
        <w:spacing w:before="156" w:after="156"/>
        <w:rPr>
          <w:rFonts w:hAnsi="黑体" w:cs="黑体"/>
          <w:szCs w:val="21"/>
          <w:highlight w:val="none"/>
        </w:rPr>
      </w:pPr>
      <w:r>
        <w:rPr>
          <w:rFonts w:hint="eastAsia" w:hAnsi="黑体" w:cs="黑体"/>
          <w:szCs w:val="21"/>
          <w:highlight w:val="none"/>
        </w:rPr>
        <w:t>意见反馈与修订渠道</w:t>
      </w:r>
    </w:p>
    <w:p w14:paraId="4B205CEF">
      <w:pPr>
        <w:rPr>
          <w:rFonts w:asciiTheme="minorEastAsia" w:hAnsiTheme="minorEastAsia" w:cstheme="minorEastAsia"/>
          <w:sz w:val="22"/>
          <w:szCs w:val="28"/>
          <w:highlight w:val="none"/>
        </w:rPr>
      </w:pPr>
      <w:r>
        <w:rPr>
          <w:rFonts w:hint="eastAsia" w:asciiTheme="minorEastAsia" w:hAnsiTheme="minorEastAsia" w:cstheme="minorEastAsia"/>
          <w:sz w:val="22"/>
          <w:szCs w:val="28"/>
          <w:highlight w:val="none"/>
        </w:rPr>
        <w:t>使用本文件的单位或个人，如在实施中发现问题或提出修订建议，可通过以下途径提交反馈：</w:t>
      </w:r>
    </w:p>
    <w:p w14:paraId="339A20C8">
      <w:pPr>
        <w:rPr>
          <w:rFonts w:asciiTheme="minorEastAsia" w:hAnsiTheme="minorEastAsia" w:cstheme="minorEastAsia"/>
          <w:sz w:val="22"/>
          <w:szCs w:val="28"/>
          <w:highlight w:val="none"/>
        </w:rPr>
      </w:pPr>
      <w:r>
        <w:rPr>
          <w:rFonts w:hint="eastAsia" w:ascii="黑体" w:hAnsi="黑体" w:eastAsia="黑体" w:cs="黑体"/>
          <w:sz w:val="22"/>
          <w:szCs w:val="28"/>
          <w:highlight w:val="none"/>
        </w:rPr>
        <w:t xml:space="preserve">8.5.1 </w:t>
      </w:r>
      <w:r>
        <w:rPr>
          <w:rFonts w:hint="eastAsia" w:asciiTheme="minorEastAsia" w:hAnsiTheme="minorEastAsia" w:cstheme="minorEastAsia"/>
          <w:sz w:val="22"/>
          <w:szCs w:val="28"/>
          <w:highlight w:val="none"/>
        </w:rPr>
        <w:t>书面提交：向中国电子节能技术协会绿色制造专业委员会秘书处提交书面意见。</w:t>
      </w:r>
    </w:p>
    <w:p w14:paraId="3AE857F9">
      <w:pPr>
        <w:rPr>
          <w:rFonts w:ascii="黑体" w:hAnsi="黑体" w:eastAsia="黑体" w:cs="黑体"/>
          <w:sz w:val="22"/>
          <w:szCs w:val="28"/>
          <w:highlight w:val="none"/>
        </w:rPr>
      </w:pPr>
      <w:r>
        <w:rPr>
          <w:rFonts w:hint="eastAsia" w:ascii="黑体" w:hAnsi="黑体" w:eastAsia="黑体" w:cs="黑体"/>
          <w:sz w:val="22"/>
          <w:szCs w:val="28"/>
          <w:highlight w:val="none"/>
        </w:rPr>
        <w:t xml:space="preserve">8.5.2 </w:t>
      </w:r>
      <w:r>
        <w:rPr>
          <w:rFonts w:hint="eastAsia" w:asciiTheme="minorEastAsia" w:hAnsiTheme="minorEastAsia" w:cstheme="minorEastAsia"/>
          <w:sz w:val="22"/>
          <w:szCs w:val="28"/>
          <w:highlight w:val="none"/>
        </w:rPr>
        <w:t>电子提交：</w:t>
      </w:r>
      <w:r>
        <w:rPr>
          <w:rFonts w:hint="eastAsia" w:ascii="宋体" w:hAnsi="宋体" w:eastAsia="宋体" w:cs="宋体"/>
          <w:sz w:val="22"/>
          <w:szCs w:val="28"/>
          <w:highlight w:val="none"/>
        </w:rPr>
        <w:t>通过协会官方网站（</w:t>
      </w:r>
      <w:r>
        <w:rPr>
          <w:rFonts w:hint="eastAsia" w:ascii="宋体" w:hAnsi="宋体" w:eastAsia="宋体" w:cs="宋体"/>
          <w:kern w:val="0"/>
          <w:sz w:val="21"/>
          <w:szCs w:val="20"/>
          <w:lang w:val="en-US" w:eastAsia="zh-CN" w:bidi="ar-SA"/>
        </w:rPr>
        <w:t>www.ceeta.org.cn</w:t>
      </w:r>
      <w:r>
        <w:rPr>
          <w:rFonts w:hint="eastAsia" w:ascii="宋体" w:hAnsi="宋体" w:eastAsia="宋体" w:cs="宋体"/>
          <w:sz w:val="22"/>
          <w:szCs w:val="28"/>
          <w:highlight w:val="none"/>
        </w:rPr>
        <w:t>）专栏提交电子意见表。</w:t>
      </w:r>
    </w:p>
    <w:p w14:paraId="7E83B196">
      <w:pPr>
        <w:rPr>
          <w:rFonts w:asciiTheme="minorEastAsia" w:hAnsiTheme="minorEastAsia" w:cstheme="minorEastAsia"/>
          <w:sz w:val="22"/>
          <w:szCs w:val="28"/>
          <w:highlight w:val="none"/>
        </w:rPr>
      </w:pPr>
      <w:r>
        <w:rPr>
          <w:rFonts w:hint="eastAsia" w:ascii="黑体" w:hAnsi="黑体" w:eastAsia="黑体" w:cs="黑体"/>
          <w:sz w:val="22"/>
          <w:szCs w:val="28"/>
          <w:highlight w:val="none"/>
        </w:rPr>
        <w:t xml:space="preserve">8.5.3 </w:t>
      </w:r>
      <w:r>
        <w:rPr>
          <w:rFonts w:hint="eastAsia" w:ascii="宋体" w:hAnsi="宋体" w:eastAsia="宋体" w:cs="宋体"/>
          <w:sz w:val="21"/>
          <w:szCs w:val="21"/>
          <w:highlight w:val="none"/>
        </w:rPr>
        <w:t>会议建议：在年度标准实施报告征求期内，向专家技术委员会书面提出修订或补充建议。秘书处应在收到反馈</w:t>
      </w:r>
      <w:r>
        <w:rPr>
          <w:rFonts w:hint="eastAsia" w:ascii="宋体" w:hAnsi="宋体" w:eastAsia="宋体" w:cs="宋体"/>
          <w:kern w:val="0"/>
          <w:sz w:val="21"/>
          <w:szCs w:val="21"/>
          <w:lang w:val="en-US" w:eastAsia="zh-CN" w:bidi="ar-SA"/>
        </w:rPr>
        <w:t>30</w:t>
      </w:r>
      <w:r>
        <w:rPr>
          <w:rFonts w:hint="eastAsia" w:ascii="宋体" w:hAnsi="宋体" w:eastAsia="宋体" w:cs="宋体"/>
          <w:sz w:val="21"/>
          <w:szCs w:val="21"/>
          <w:highlight w:val="none"/>
        </w:rPr>
        <w:t>个工作日内予以登记、汇总，并在年度标准评估会上通报。经专家技术委员会审议后，纳入标准修订计划。</w:t>
      </w:r>
    </w:p>
    <w:p w14:paraId="1D40C84C">
      <w:pPr>
        <w:pStyle w:val="32"/>
        <w:spacing w:before="156" w:after="156"/>
        <w:rPr>
          <w:rFonts w:hAnsi="黑体" w:cs="黑体"/>
          <w:szCs w:val="21"/>
          <w:highlight w:val="none"/>
        </w:rPr>
      </w:pPr>
      <w:r>
        <w:rPr>
          <w:rFonts w:hint="eastAsia" w:hAnsi="黑体" w:cs="黑体"/>
          <w:szCs w:val="21"/>
          <w:highlight w:val="none"/>
        </w:rPr>
        <w:t>标准解释</w:t>
      </w:r>
    </w:p>
    <w:p w14:paraId="5950C860">
      <w:pPr>
        <w:rPr>
          <w:sz w:val="21"/>
          <w:szCs w:val="21"/>
          <w:highlight w:val="none"/>
        </w:rPr>
      </w:pPr>
      <w:r>
        <w:rPr>
          <w:rFonts w:hint="eastAsia"/>
          <w:sz w:val="21"/>
          <w:szCs w:val="21"/>
          <w:highlight w:val="none"/>
        </w:rPr>
        <w:t>本</w:t>
      </w:r>
      <w:r>
        <w:rPr>
          <w:rFonts w:hint="eastAsia" w:asciiTheme="minorEastAsia" w:hAnsiTheme="minorEastAsia" w:cstheme="minorEastAsia"/>
          <w:sz w:val="21"/>
          <w:szCs w:val="21"/>
          <w:highlight w:val="none"/>
        </w:rPr>
        <w:t>文件</w:t>
      </w:r>
      <w:r>
        <w:rPr>
          <w:rFonts w:hint="eastAsia"/>
          <w:sz w:val="21"/>
          <w:szCs w:val="21"/>
          <w:highlight w:val="none"/>
        </w:rPr>
        <w:t>的最终解释权归中国电子节能技术协会，协会可授权归口单位或指定专家对具体条款进行技术解释。</w:t>
      </w:r>
    </w:p>
    <w:p w14:paraId="33FFF213">
      <w:pPr>
        <w:rPr>
          <w:rFonts w:asciiTheme="minorEastAsia" w:hAnsiTheme="minorEastAsia" w:cstheme="minorEastAsia"/>
          <w:sz w:val="22"/>
          <w:szCs w:val="28"/>
        </w:rPr>
      </w:pPr>
    </w:p>
    <w:p w14:paraId="7C198EAF">
      <w:pPr>
        <w:rPr>
          <w:rFonts w:asciiTheme="minorEastAsia" w:hAnsiTheme="minorEastAsia" w:cstheme="minorEastAsia"/>
          <w:sz w:val="22"/>
          <w:szCs w:val="28"/>
        </w:rPr>
      </w:pPr>
    </w:p>
    <w:p w14:paraId="1AA63AB2">
      <w:pPr>
        <w:rPr>
          <w:rFonts w:asciiTheme="minorEastAsia" w:hAnsiTheme="minorEastAsia" w:cstheme="minorEastAsia"/>
          <w:sz w:val="22"/>
          <w:szCs w:val="28"/>
        </w:rPr>
      </w:pPr>
    </w:p>
    <w:p w14:paraId="67124FA4">
      <w:pPr>
        <w:rPr>
          <w:rFonts w:asciiTheme="minorEastAsia" w:hAnsiTheme="minorEastAsia" w:cstheme="minorEastAsia"/>
          <w:sz w:val="22"/>
          <w:szCs w:val="28"/>
        </w:rPr>
      </w:pPr>
    </w:p>
    <w:p w14:paraId="58AE2D4D">
      <w:pPr>
        <w:rPr>
          <w:rFonts w:asciiTheme="minorEastAsia" w:hAnsiTheme="minorEastAsia" w:cstheme="minorEastAsia"/>
          <w:sz w:val="22"/>
          <w:szCs w:val="28"/>
        </w:rPr>
      </w:pPr>
    </w:p>
    <w:p w14:paraId="6CA5322B">
      <w:pPr>
        <w:rPr>
          <w:rFonts w:asciiTheme="minorEastAsia" w:hAnsiTheme="minorEastAsia" w:cstheme="minorEastAsia"/>
          <w:sz w:val="22"/>
          <w:szCs w:val="28"/>
        </w:rPr>
      </w:pPr>
    </w:p>
    <w:p w14:paraId="32972EE8">
      <w:pPr>
        <w:rPr>
          <w:rFonts w:asciiTheme="minorEastAsia" w:hAnsiTheme="minorEastAsia" w:cstheme="minorEastAsia"/>
          <w:sz w:val="22"/>
          <w:szCs w:val="28"/>
        </w:rPr>
      </w:pPr>
    </w:p>
    <w:p w14:paraId="34441459">
      <w:pPr>
        <w:rPr>
          <w:rFonts w:asciiTheme="minorEastAsia" w:hAnsiTheme="minorEastAsia" w:cstheme="minorEastAsia"/>
          <w:sz w:val="22"/>
          <w:szCs w:val="28"/>
        </w:rPr>
      </w:pPr>
    </w:p>
    <w:p w14:paraId="3C07F33F">
      <w:pPr>
        <w:rPr>
          <w:rFonts w:asciiTheme="minorEastAsia" w:hAnsiTheme="minorEastAsia" w:cstheme="minorEastAsia"/>
          <w:sz w:val="22"/>
          <w:szCs w:val="28"/>
        </w:rPr>
      </w:pPr>
    </w:p>
    <w:p w14:paraId="7ABFDC5F">
      <w:pPr>
        <w:rPr>
          <w:rFonts w:asciiTheme="minorEastAsia" w:hAnsiTheme="minorEastAsia" w:cstheme="minorEastAsia"/>
          <w:sz w:val="22"/>
          <w:szCs w:val="28"/>
        </w:rPr>
      </w:pPr>
    </w:p>
    <w:p w14:paraId="6AF368B6">
      <w:pPr>
        <w:rPr>
          <w:rFonts w:asciiTheme="minorEastAsia" w:hAnsiTheme="minorEastAsia" w:cstheme="minorEastAsia"/>
          <w:sz w:val="22"/>
          <w:szCs w:val="28"/>
        </w:rPr>
      </w:pPr>
    </w:p>
    <w:p w14:paraId="68E8EA3B">
      <w:pPr>
        <w:rPr>
          <w:rFonts w:asciiTheme="minorEastAsia" w:hAnsiTheme="minorEastAsia" w:cstheme="minorEastAsia"/>
          <w:sz w:val="22"/>
          <w:szCs w:val="28"/>
        </w:rPr>
      </w:pPr>
    </w:p>
    <w:p w14:paraId="31A801F1">
      <w:pPr>
        <w:rPr>
          <w:rFonts w:asciiTheme="minorEastAsia" w:hAnsiTheme="minorEastAsia" w:cstheme="minorEastAsia"/>
          <w:sz w:val="22"/>
          <w:szCs w:val="28"/>
        </w:rPr>
      </w:pPr>
    </w:p>
    <w:p w14:paraId="13F58CA4">
      <w:pPr>
        <w:rPr>
          <w:rFonts w:asciiTheme="minorEastAsia" w:hAnsiTheme="minorEastAsia" w:cstheme="minorEastAsia"/>
          <w:sz w:val="22"/>
          <w:szCs w:val="28"/>
        </w:rPr>
      </w:pPr>
    </w:p>
    <w:p w14:paraId="38B0F4E5">
      <w:pPr>
        <w:rPr>
          <w:rFonts w:asciiTheme="minorEastAsia" w:hAnsiTheme="minorEastAsia" w:cstheme="minorEastAsia"/>
          <w:sz w:val="22"/>
          <w:szCs w:val="28"/>
        </w:rPr>
      </w:pPr>
    </w:p>
    <w:p w14:paraId="7EDF191C">
      <w:pPr>
        <w:rPr>
          <w:rFonts w:asciiTheme="minorEastAsia" w:hAnsiTheme="minorEastAsia" w:cstheme="minorEastAsia"/>
          <w:sz w:val="22"/>
          <w:szCs w:val="28"/>
        </w:rPr>
      </w:pPr>
    </w:p>
    <w:p w14:paraId="171615EC">
      <w:pPr>
        <w:rPr>
          <w:rFonts w:asciiTheme="minorEastAsia" w:hAnsiTheme="minorEastAsia" w:cstheme="minorEastAsia"/>
          <w:sz w:val="22"/>
          <w:szCs w:val="28"/>
        </w:rPr>
      </w:pPr>
    </w:p>
    <w:p w14:paraId="6CCDDFFA">
      <w:pPr>
        <w:rPr>
          <w:rFonts w:asciiTheme="minorEastAsia" w:hAnsiTheme="minorEastAsia" w:cstheme="minorEastAsia"/>
          <w:sz w:val="22"/>
          <w:szCs w:val="28"/>
        </w:rPr>
      </w:pPr>
    </w:p>
    <w:p w14:paraId="47610076">
      <w:pPr>
        <w:rPr>
          <w:rFonts w:asciiTheme="minorEastAsia" w:hAnsiTheme="minorEastAsia" w:cstheme="minorEastAsia"/>
          <w:sz w:val="22"/>
          <w:szCs w:val="28"/>
        </w:rPr>
      </w:pPr>
    </w:p>
    <w:p w14:paraId="75AFABA5">
      <w:pPr>
        <w:rPr>
          <w:rFonts w:asciiTheme="minorEastAsia" w:hAnsiTheme="minorEastAsia" w:cstheme="minorEastAsia"/>
          <w:sz w:val="22"/>
          <w:szCs w:val="28"/>
        </w:rPr>
      </w:pPr>
    </w:p>
    <w:p w14:paraId="769E959C">
      <w:pPr>
        <w:rPr>
          <w:rFonts w:asciiTheme="minorEastAsia" w:hAnsiTheme="minorEastAsia" w:cstheme="minorEastAsia"/>
          <w:sz w:val="22"/>
          <w:szCs w:val="28"/>
        </w:rPr>
      </w:pPr>
    </w:p>
    <w:p w14:paraId="56D1A9A0">
      <w:pPr>
        <w:rPr>
          <w:rFonts w:asciiTheme="minorEastAsia" w:hAnsiTheme="minorEastAsia" w:cstheme="minorEastAsia"/>
          <w:sz w:val="22"/>
          <w:szCs w:val="28"/>
        </w:rPr>
      </w:pPr>
    </w:p>
    <w:p w14:paraId="51439FA6">
      <w:pPr>
        <w:rPr>
          <w:rFonts w:asciiTheme="minorEastAsia" w:hAnsiTheme="minorEastAsia" w:cstheme="minorEastAsia"/>
          <w:sz w:val="22"/>
          <w:szCs w:val="28"/>
        </w:rPr>
      </w:pPr>
    </w:p>
    <w:p w14:paraId="03AA81F3">
      <w:pPr>
        <w:rPr>
          <w:rFonts w:asciiTheme="minorEastAsia" w:hAnsiTheme="minorEastAsia" w:cstheme="minorEastAsia"/>
          <w:sz w:val="22"/>
          <w:szCs w:val="28"/>
        </w:rPr>
      </w:pPr>
    </w:p>
    <w:p w14:paraId="75041F5A">
      <w:pPr>
        <w:rPr>
          <w:rFonts w:asciiTheme="minorEastAsia" w:hAnsiTheme="minorEastAsia" w:cstheme="minorEastAsia"/>
          <w:sz w:val="22"/>
          <w:szCs w:val="28"/>
        </w:rPr>
      </w:pPr>
    </w:p>
    <w:p w14:paraId="485EFAED">
      <w:pPr>
        <w:rPr>
          <w:rFonts w:asciiTheme="minorEastAsia" w:hAnsiTheme="minorEastAsia" w:cstheme="minorEastAsia"/>
          <w:sz w:val="22"/>
          <w:szCs w:val="28"/>
        </w:rPr>
      </w:pPr>
    </w:p>
    <w:p w14:paraId="16FA68DB">
      <w:pPr>
        <w:rPr>
          <w:rFonts w:asciiTheme="minorEastAsia" w:hAnsiTheme="minorEastAsia" w:cstheme="minorEastAsia"/>
          <w:sz w:val="22"/>
          <w:szCs w:val="28"/>
        </w:rPr>
      </w:pPr>
    </w:p>
    <w:p w14:paraId="43FD306F">
      <w:pPr>
        <w:rPr>
          <w:rFonts w:asciiTheme="minorEastAsia" w:hAnsiTheme="minorEastAsia" w:cstheme="minorEastAsia"/>
          <w:sz w:val="22"/>
          <w:szCs w:val="28"/>
        </w:rPr>
      </w:pPr>
    </w:p>
    <w:p w14:paraId="294F508D">
      <w:pPr>
        <w:rPr>
          <w:rFonts w:asciiTheme="minorEastAsia" w:hAnsiTheme="minorEastAsia" w:cstheme="minorEastAsia"/>
          <w:sz w:val="22"/>
          <w:szCs w:val="28"/>
        </w:rPr>
      </w:pPr>
    </w:p>
    <w:p w14:paraId="746D97C5">
      <w:pPr>
        <w:rPr>
          <w:rFonts w:asciiTheme="minorEastAsia" w:hAnsiTheme="minorEastAsia" w:cstheme="minorEastAsia"/>
          <w:sz w:val="22"/>
          <w:szCs w:val="28"/>
        </w:rPr>
      </w:pPr>
    </w:p>
    <w:p w14:paraId="488357B5">
      <w:pPr>
        <w:rPr>
          <w:rFonts w:asciiTheme="minorEastAsia" w:hAnsiTheme="minorEastAsia" w:cstheme="minorEastAsia"/>
          <w:sz w:val="22"/>
          <w:szCs w:val="28"/>
        </w:rPr>
      </w:pPr>
    </w:p>
    <w:p w14:paraId="27454163">
      <w:pPr>
        <w:rPr>
          <w:rFonts w:asciiTheme="minorEastAsia" w:hAnsiTheme="minorEastAsia" w:cstheme="minorEastAsia"/>
          <w:sz w:val="22"/>
          <w:szCs w:val="28"/>
        </w:rPr>
      </w:pPr>
    </w:p>
    <w:p w14:paraId="46AB9377">
      <w:pPr>
        <w:rPr>
          <w:rFonts w:asciiTheme="minorEastAsia" w:hAnsiTheme="minorEastAsia" w:cstheme="minorEastAsia"/>
          <w:sz w:val="22"/>
          <w:szCs w:val="28"/>
        </w:rPr>
      </w:pPr>
    </w:p>
    <w:p w14:paraId="7302D733">
      <w:pPr>
        <w:rPr>
          <w:rFonts w:asciiTheme="minorEastAsia" w:hAnsiTheme="minorEastAsia" w:cstheme="minorEastAsia"/>
          <w:sz w:val="22"/>
          <w:szCs w:val="28"/>
        </w:rPr>
      </w:pPr>
    </w:p>
    <w:p w14:paraId="0B5B31C8">
      <w:pPr>
        <w:jc w:val="center"/>
        <w:outlineLvl w:val="0"/>
        <w:rPr>
          <w:rStyle w:val="23"/>
          <w:rFonts w:hint="eastAsia" w:ascii="黑体" w:hAnsi="黑体" w:eastAsia="黑体" w:cs="黑体"/>
          <w:sz w:val="21"/>
          <w:szCs w:val="21"/>
        </w:rPr>
      </w:pPr>
      <w:bookmarkStart w:id="68" w:name="_Toc14578"/>
      <w:r>
        <w:rPr>
          <w:rStyle w:val="23"/>
          <w:rFonts w:hint="eastAsia" w:ascii="黑体" w:hAnsi="黑体" w:eastAsia="黑体" w:cs="黑体"/>
          <w:sz w:val="21"/>
          <w:szCs w:val="21"/>
        </w:rPr>
        <w:t xml:space="preserve">附  录  </w:t>
      </w:r>
      <w:r>
        <w:rPr>
          <w:rFonts w:hint="eastAsia" w:ascii="黑体" w:hAnsi="黑体" w:eastAsia="黑体" w:cs="黑体"/>
          <w:kern w:val="0"/>
          <w:sz w:val="21"/>
          <w:szCs w:val="21"/>
          <w:lang w:val="en-US" w:eastAsia="zh-CN" w:bidi="ar-SA"/>
        </w:rPr>
        <w:t>A</w:t>
      </w:r>
      <w:bookmarkEnd w:id="68"/>
      <w:bookmarkStart w:id="69" w:name="_Toc7585"/>
    </w:p>
    <w:p w14:paraId="449177C9">
      <w:pPr>
        <w:jc w:val="center"/>
        <w:outlineLvl w:val="0"/>
        <w:rPr>
          <w:rStyle w:val="23"/>
          <w:rFonts w:hint="eastAsia" w:ascii="黑体" w:hAnsi="黑体" w:eastAsia="黑体" w:cs="黑体"/>
          <w:sz w:val="21"/>
          <w:szCs w:val="21"/>
        </w:rPr>
      </w:pPr>
      <w:bookmarkStart w:id="70" w:name="_Toc31457"/>
      <w:r>
        <w:rPr>
          <w:rStyle w:val="23"/>
          <w:rFonts w:hint="eastAsia" w:ascii="黑体" w:hAnsi="黑体" w:eastAsia="黑体" w:cs="黑体"/>
          <w:sz w:val="21"/>
          <w:szCs w:val="21"/>
        </w:rPr>
        <w:t>（</w:t>
      </w:r>
      <w:r>
        <w:rPr>
          <w:rStyle w:val="23"/>
          <w:rFonts w:hint="eastAsia" w:ascii="黑体" w:hAnsi="黑体" w:eastAsia="黑体" w:cs="黑体"/>
          <w:sz w:val="21"/>
          <w:szCs w:val="21"/>
          <w:lang w:val="en-US" w:eastAsia="zh-CN"/>
        </w:rPr>
        <w:t>资料</w:t>
      </w:r>
      <w:r>
        <w:rPr>
          <w:rStyle w:val="23"/>
          <w:rFonts w:hint="eastAsia" w:ascii="黑体" w:hAnsi="黑体" w:eastAsia="黑体" w:cs="黑体"/>
          <w:sz w:val="21"/>
          <w:szCs w:val="21"/>
        </w:rPr>
        <w:t>性）</w:t>
      </w:r>
      <w:bookmarkEnd w:id="69"/>
      <w:bookmarkEnd w:id="70"/>
      <w:bookmarkStart w:id="71" w:name="_Toc24697"/>
    </w:p>
    <w:bookmarkEnd w:id="71"/>
    <w:p w14:paraId="1BAD215B">
      <w:pPr>
        <w:jc w:val="center"/>
        <w:outlineLvl w:val="0"/>
        <w:rPr>
          <w:rStyle w:val="23"/>
          <w:rFonts w:hint="eastAsia" w:ascii="黑体" w:hAnsi="黑体" w:eastAsia="黑体" w:cs="黑体"/>
          <w:sz w:val="21"/>
          <w:szCs w:val="21"/>
        </w:rPr>
      </w:pPr>
      <w:bookmarkStart w:id="72" w:name="_Toc28082"/>
      <w:r>
        <w:rPr>
          <w:rStyle w:val="23"/>
          <w:rFonts w:hint="eastAsia" w:ascii="黑体" w:hAnsi="黑体" w:eastAsia="黑体" w:cs="黑体"/>
          <w:sz w:val="21"/>
          <w:szCs w:val="21"/>
        </w:rPr>
        <w:t>电器电子产品环保检测高质量实验室评价申请表</w:t>
      </w:r>
      <w:bookmarkEnd w:id="72"/>
    </w:p>
    <w:tbl>
      <w:tblPr>
        <w:tblStyle w:val="15"/>
        <w:tblpPr w:leftFromText="180" w:rightFromText="180" w:vertAnchor="text" w:horzAnchor="page" w:tblpX="762" w:tblpY="300"/>
        <w:tblOverlap w:val="never"/>
        <w:tblW w:w="10650" w:type="dxa"/>
        <w:tblInd w:w="0" w:type="dxa"/>
        <w:tblLayout w:type="fixed"/>
        <w:tblCellMar>
          <w:top w:w="0" w:type="dxa"/>
          <w:left w:w="108" w:type="dxa"/>
          <w:bottom w:w="0" w:type="dxa"/>
          <w:right w:w="108" w:type="dxa"/>
        </w:tblCellMar>
      </w:tblPr>
      <w:tblGrid>
        <w:gridCol w:w="2257"/>
        <w:gridCol w:w="8393"/>
      </w:tblGrid>
      <w:tr w14:paraId="10C5BCD1">
        <w:tblPrEx>
          <w:tblCellMar>
            <w:top w:w="0" w:type="dxa"/>
            <w:left w:w="108" w:type="dxa"/>
            <w:bottom w:w="0" w:type="dxa"/>
            <w:right w:w="108" w:type="dxa"/>
          </w:tblCellMar>
        </w:tblPrEx>
        <w:trPr>
          <w:trHeight w:val="454" w:hRule="atLeast"/>
        </w:trPr>
        <w:tc>
          <w:tcPr>
            <w:tcW w:w="22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55089">
            <w:pPr>
              <w:widowControl/>
              <w:jc w:val="center"/>
              <w:textAlignment w:val="bottom"/>
              <w:rPr>
                <w:rFonts w:asciiTheme="minorEastAsia" w:hAnsiTheme="minorEastAsia" w:cstheme="minorEastAsia"/>
                <w:b/>
                <w:bCs/>
                <w:color w:val="000000"/>
                <w:szCs w:val="21"/>
              </w:rPr>
            </w:pPr>
            <w:r>
              <w:rPr>
                <w:rFonts w:hint="eastAsia" w:asciiTheme="minorEastAsia" w:hAnsiTheme="minorEastAsia" w:cstheme="minorEastAsia"/>
                <w:b/>
                <w:bCs/>
                <w:color w:val="000000"/>
                <w:kern w:val="0"/>
                <w:szCs w:val="21"/>
                <w:lang w:bidi="ar"/>
              </w:rPr>
              <w:t>项目</w:t>
            </w:r>
          </w:p>
        </w:tc>
        <w:tc>
          <w:tcPr>
            <w:tcW w:w="8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F859E">
            <w:pPr>
              <w:widowControl/>
              <w:jc w:val="center"/>
              <w:textAlignment w:val="bottom"/>
              <w:rPr>
                <w:rFonts w:asciiTheme="minorEastAsia" w:hAnsiTheme="minorEastAsia" w:cstheme="minorEastAsia"/>
                <w:b/>
                <w:bCs/>
                <w:color w:val="000000"/>
                <w:szCs w:val="21"/>
              </w:rPr>
            </w:pPr>
            <w:r>
              <w:rPr>
                <w:rFonts w:hint="eastAsia" w:asciiTheme="minorEastAsia" w:hAnsiTheme="minorEastAsia" w:cstheme="minorEastAsia"/>
                <w:b/>
                <w:bCs/>
                <w:color w:val="000000"/>
                <w:kern w:val="0"/>
                <w:szCs w:val="21"/>
                <w:lang w:bidi="ar"/>
              </w:rPr>
              <w:t>内          容</w:t>
            </w:r>
          </w:p>
        </w:tc>
      </w:tr>
      <w:tr w14:paraId="1A267295">
        <w:tblPrEx>
          <w:tblCellMar>
            <w:top w:w="0" w:type="dxa"/>
            <w:left w:w="108" w:type="dxa"/>
            <w:bottom w:w="0" w:type="dxa"/>
            <w:right w:w="108" w:type="dxa"/>
          </w:tblCellMar>
        </w:tblPrEx>
        <w:trPr>
          <w:trHeight w:val="454" w:hRule="atLeast"/>
        </w:trPr>
        <w:tc>
          <w:tcPr>
            <w:tcW w:w="22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95D2B">
            <w:pPr>
              <w:widowControl/>
              <w:jc w:val="left"/>
              <w:textAlignment w:val="bottom"/>
              <w:rPr>
                <w:rFonts w:asciiTheme="minorEastAsia" w:hAnsiTheme="minorEastAsia" w:cstheme="minorEastAsia"/>
                <w:b/>
                <w:bCs/>
                <w:color w:val="000000"/>
                <w:szCs w:val="21"/>
              </w:rPr>
            </w:pPr>
            <w:r>
              <w:rPr>
                <w:rFonts w:hint="eastAsia" w:asciiTheme="minorEastAsia" w:hAnsiTheme="minorEastAsia" w:cstheme="minorEastAsia"/>
                <w:b/>
                <w:bCs/>
                <w:color w:val="000000"/>
                <w:kern w:val="0"/>
                <w:szCs w:val="21"/>
                <w:lang w:bidi="ar"/>
              </w:rPr>
              <w:t>实验室名称</w:t>
            </w:r>
          </w:p>
        </w:tc>
        <w:tc>
          <w:tcPr>
            <w:tcW w:w="8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7F9C8">
            <w:pPr>
              <w:jc w:val="left"/>
              <w:rPr>
                <w:rFonts w:asciiTheme="minorEastAsia" w:hAnsiTheme="minorEastAsia" w:cstheme="minorEastAsia"/>
                <w:color w:val="000000"/>
                <w:szCs w:val="21"/>
              </w:rPr>
            </w:pPr>
          </w:p>
        </w:tc>
      </w:tr>
      <w:tr w14:paraId="6769D173">
        <w:tblPrEx>
          <w:tblCellMar>
            <w:top w:w="0" w:type="dxa"/>
            <w:left w:w="108" w:type="dxa"/>
            <w:bottom w:w="0" w:type="dxa"/>
            <w:right w:w="108" w:type="dxa"/>
          </w:tblCellMar>
        </w:tblPrEx>
        <w:trPr>
          <w:trHeight w:val="454" w:hRule="atLeast"/>
        </w:trPr>
        <w:tc>
          <w:tcPr>
            <w:tcW w:w="22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67A98">
            <w:pPr>
              <w:widowControl/>
              <w:jc w:val="left"/>
              <w:textAlignment w:val="bottom"/>
              <w:rPr>
                <w:rFonts w:asciiTheme="minorEastAsia" w:hAnsiTheme="minorEastAsia" w:cstheme="minorEastAsia"/>
                <w:b/>
                <w:bCs/>
                <w:color w:val="000000"/>
                <w:szCs w:val="21"/>
              </w:rPr>
            </w:pPr>
            <w:r>
              <w:rPr>
                <w:rFonts w:hint="eastAsia" w:asciiTheme="minorEastAsia" w:hAnsiTheme="minorEastAsia" w:cstheme="minorEastAsia"/>
                <w:b/>
                <w:bCs/>
                <w:color w:val="000000"/>
                <w:kern w:val="0"/>
                <w:szCs w:val="21"/>
                <w:lang w:bidi="ar"/>
              </w:rPr>
              <w:t>实验室地址</w:t>
            </w:r>
          </w:p>
        </w:tc>
        <w:tc>
          <w:tcPr>
            <w:tcW w:w="8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A0977">
            <w:pPr>
              <w:jc w:val="left"/>
              <w:rPr>
                <w:rFonts w:asciiTheme="minorEastAsia" w:hAnsiTheme="minorEastAsia" w:cstheme="minorEastAsia"/>
                <w:color w:val="000000"/>
                <w:szCs w:val="21"/>
              </w:rPr>
            </w:pPr>
          </w:p>
        </w:tc>
      </w:tr>
      <w:tr w14:paraId="310A5246">
        <w:tblPrEx>
          <w:tblCellMar>
            <w:top w:w="0" w:type="dxa"/>
            <w:left w:w="108" w:type="dxa"/>
            <w:bottom w:w="0" w:type="dxa"/>
            <w:right w:w="108" w:type="dxa"/>
          </w:tblCellMar>
        </w:tblPrEx>
        <w:trPr>
          <w:trHeight w:val="454" w:hRule="atLeast"/>
        </w:trPr>
        <w:tc>
          <w:tcPr>
            <w:tcW w:w="22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523F5">
            <w:pPr>
              <w:widowControl/>
              <w:jc w:val="left"/>
              <w:textAlignment w:val="bottom"/>
              <w:rPr>
                <w:rFonts w:asciiTheme="minorEastAsia" w:hAnsiTheme="minorEastAsia" w:cstheme="minorEastAsia"/>
                <w:b/>
                <w:bCs/>
                <w:color w:val="000000"/>
                <w:kern w:val="0"/>
                <w:szCs w:val="21"/>
                <w:lang w:bidi="ar"/>
              </w:rPr>
            </w:pPr>
            <w:r>
              <w:rPr>
                <w:rFonts w:hint="eastAsia" w:asciiTheme="minorEastAsia" w:hAnsiTheme="minorEastAsia" w:cstheme="minorEastAsia"/>
                <w:b/>
                <w:bCs/>
                <w:color w:val="000000"/>
                <w:kern w:val="0"/>
                <w:szCs w:val="21"/>
                <w:lang w:bidi="ar"/>
              </w:rPr>
              <w:t>所属机构/母公司</w:t>
            </w:r>
          </w:p>
        </w:tc>
        <w:tc>
          <w:tcPr>
            <w:tcW w:w="8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15F85">
            <w:pPr>
              <w:jc w:val="left"/>
              <w:rPr>
                <w:rFonts w:asciiTheme="minorEastAsia" w:hAnsiTheme="minorEastAsia" w:cstheme="minorEastAsia"/>
                <w:color w:val="000000"/>
                <w:szCs w:val="21"/>
              </w:rPr>
            </w:pPr>
          </w:p>
        </w:tc>
      </w:tr>
      <w:tr w14:paraId="6161B6A4">
        <w:tblPrEx>
          <w:tblCellMar>
            <w:top w:w="0" w:type="dxa"/>
            <w:left w:w="108" w:type="dxa"/>
            <w:bottom w:w="0" w:type="dxa"/>
            <w:right w:w="108" w:type="dxa"/>
          </w:tblCellMar>
        </w:tblPrEx>
        <w:trPr>
          <w:trHeight w:val="454" w:hRule="atLeast"/>
        </w:trPr>
        <w:tc>
          <w:tcPr>
            <w:tcW w:w="22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322EA">
            <w:pPr>
              <w:widowControl/>
              <w:jc w:val="left"/>
              <w:textAlignment w:val="bottom"/>
              <w:rPr>
                <w:rFonts w:asciiTheme="minorEastAsia" w:hAnsiTheme="minorEastAsia" w:cstheme="minorEastAsia"/>
                <w:b/>
                <w:bCs/>
                <w:color w:val="000000"/>
                <w:kern w:val="0"/>
                <w:szCs w:val="21"/>
                <w:lang w:bidi="ar"/>
              </w:rPr>
            </w:pPr>
            <w:r>
              <w:rPr>
                <w:rFonts w:hint="eastAsia" w:asciiTheme="minorEastAsia" w:hAnsiTheme="minorEastAsia" w:cstheme="minorEastAsia"/>
                <w:b/>
                <w:bCs/>
                <w:color w:val="000000"/>
                <w:kern w:val="0"/>
                <w:szCs w:val="21"/>
                <w:lang w:bidi="ar"/>
              </w:rPr>
              <w:t xml:space="preserve">成立时间 </w:t>
            </w:r>
          </w:p>
        </w:tc>
        <w:tc>
          <w:tcPr>
            <w:tcW w:w="8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F62E5">
            <w:pPr>
              <w:jc w:val="left"/>
              <w:rPr>
                <w:rFonts w:asciiTheme="minorEastAsia" w:hAnsiTheme="minorEastAsia" w:cstheme="minorEastAsia"/>
                <w:color w:val="000000"/>
                <w:szCs w:val="21"/>
              </w:rPr>
            </w:pPr>
          </w:p>
        </w:tc>
      </w:tr>
      <w:tr w14:paraId="6B602DE6">
        <w:tblPrEx>
          <w:tblCellMar>
            <w:top w:w="0" w:type="dxa"/>
            <w:left w:w="108" w:type="dxa"/>
            <w:bottom w:w="0" w:type="dxa"/>
            <w:right w:w="108" w:type="dxa"/>
          </w:tblCellMar>
        </w:tblPrEx>
        <w:trPr>
          <w:trHeight w:val="454" w:hRule="atLeast"/>
        </w:trPr>
        <w:tc>
          <w:tcPr>
            <w:tcW w:w="22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8AE68">
            <w:pPr>
              <w:widowControl/>
              <w:jc w:val="left"/>
              <w:textAlignment w:val="bottom"/>
              <w:rPr>
                <w:rFonts w:asciiTheme="minorEastAsia" w:hAnsiTheme="minorEastAsia" w:cstheme="minorEastAsia"/>
                <w:b/>
                <w:bCs/>
                <w:color w:val="000000"/>
                <w:szCs w:val="21"/>
              </w:rPr>
            </w:pPr>
            <w:r>
              <w:rPr>
                <w:rFonts w:hint="eastAsia" w:asciiTheme="minorEastAsia" w:hAnsiTheme="minorEastAsia" w:cstheme="minorEastAsia"/>
                <w:b/>
                <w:bCs/>
                <w:color w:val="000000"/>
                <w:kern w:val="0"/>
                <w:szCs w:val="21"/>
                <w:lang w:bidi="ar"/>
              </w:rPr>
              <w:t>统一社会信用代码</w:t>
            </w:r>
          </w:p>
        </w:tc>
        <w:tc>
          <w:tcPr>
            <w:tcW w:w="8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7BD25">
            <w:pPr>
              <w:jc w:val="left"/>
              <w:rPr>
                <w:rFonts w:asciiTheme="minorEastAsia" w:hAnsiTheme="minorEastAsia" w:cstheme="minorEastAsia"/>
                <w:color w:val="000000"/>
                <w:szCs w:val="21"/>
              </w:rPr>
            </w:pPr>
          </w:p>
        </w:tc>
      </w:tr>
      <w:tr w14:paraId="7DA34255">
        <w:tblPrEx>
          <w:tblCellMar>
            <w:top w:w="0" w:type="dxa"/>
            <w:left w:w="108" w:type="dxa"/>
            <w:bottom w:w="0" w:type="dxa"/>
            <w:right w:w="108" w:type="dxa"/>
          </w:tblCellMar>
        </w:tblPrEx>
        <w:trPr>
          <w:trHeight w:val="454" w:hRule="atLeast"/>
        </w:trPr>
        <w:tc>
          <w:tcPr>
            <w:tcW w:w="22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DBB53">
            <w:pPr>
              <w:widowControl/>
              <w:jc w:val="left"/>
              <w:textAlignment w:val="bottom"/>
              <w:rPr>
                <w:rFonts w:asciiTheme="minorEastAsia" w:hAnsiTheme="minorEastAsia" w:cstheme="minorEastAsia"/>
                <w:b/>
                <w:bCs/>
                <w:color w:val="000000"/>
                <w:szCs w:val="21"/>
              </w:rPr>
            </w:pPr>
            <w:r>
              <w:rPr>
                <w:rFonts w:hint="eastAsia" w:asciiTheme="minorEastAsia" w:hAnsiTheme="minorEastAsia" w:cstheme="minorEastAsia"/>
                <w:b/>
                <w:bCs/>
                <w:color w:val="000000"/>
                <w:kern w:val="0"/>
                <w:szCs w:val="21"/>
                <w:lang w:bidi="ar"/>
              </w:rPr>
              <w:t>联系人</w:t>
            </w:r>
          </w:p>
        </w:tc>
        <w:tc>
          <w:tcPr>
            <w:tcW w:w="8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85935">
            <w:pPr>
              <w:widowControl/>
              <w:jc w:val="left"/>
              <w:textAlignment w:val="bottom"/>
              <w:rPr>
                <w:rFonts w:asciiTheme="minorEastAsia" w:hAnsiTheme="minorEastAsia" w:cstheme="minorEastAsia"/>
                <w:color w:val="000000"/>
                <w:szCs w:val="21"/>
              </w:rPr>
            </w:pPr>
            <w:r>
              <w:rPr>
                <w:rFonts w:hint="eastAsia" w:asciiTheme="minorEastAsia" w:hAnsiTheme="minorEastAsia" w:cstheme="minorEastAsia"/>
                <w:color w:val="000000"/>
                <w:kern w:val="0"/>
                <w:szCs w:val="21"/>
                <w:lang w:bidi="ar"/>
              </w:rPr>
              <w:t>姓名：　　　       电话：　　           　邮箱：</w:t>
            </w:r>
          </w:p>
        </w:tc>
      </w:tr>
      <w:tr w14:paraId="3275A8AE">
        <w:tblPrEx>
          <w:tblCellMar>
            <w:top w:w="0" w:type="dxa"/>
            <w:left w:w="108" w:type="dxa"/>
            <w:bottom w:w="0" w:type="dxa"/>
            <w:right w:w="108" w:type="dxa"/>
          </w:tblCellMar>
        </w:tblPrEx>
        <w:trPr>
          <w:trHeight w:val="454" w:hRule="atLeast"/>
        </w:trPr>
        <w:tc>
          <w:tcPr>
            <w:tcW w:w="22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4AF49">
            <w:pPr>
              <w:widowControl/>
              <w:jc w:val="left"/>
              <w:textAlignment w:val="bottom"/>
              <w:rPr>
                <w:rFonts w:asciiTheme="minorEastAsia" w:hAnsiTheme="minorEastAsia" w:cstheme="minorEastAsia"/>
                <w:b/>
                <w:bCs/>
                <w:color w:val="000000"/>
                <w:szCs w:val="21"/>
              </w:rPr>
            </w:pPr>
            <w:r>
              <w:rPr>
                <w:rFonts w:hint="eastAsia" w:asciiTheme="minorEastAsia" w:hAnsiTheme="minorEastAsia" w:cstheme="minorEastAsia"/>
                <w:b/>
                <w:bCs/>
                <w:color w:val="000000"/>
                <w:kern w:val="0"/>
                <w:szCs w:val="21"/>
                <w:lang w:bidi="ar"/>
              </w:rPr>
              <w:t>申请类型</w:t>
            </w:r>
          </w:p>
        </w:tc>
        <w:tc>
          <w:tcPr>
            <w:tcW w:w="8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57FD4">
            <w:pPr>
              <w:widowControl/>
              <w:jc w:val="left"/>
              <w:textAlignment w:val="bottom"/>
              <w:rPr>
                <w:rFonts w:asciiTheme="minorEastAsia" w:hAnsiTheme="minorEastAsia" w:cstheme="minorEastAsia"/>
                <w:color w:val="000000"/>
                <w:szCs w:val="21"/>
              </w:rPr>
            </w:pPr>
            <w:r>
              <w:rPr>
                <w:rFonts w:hint="eastAsia" w:asciiTheme="minorEastAsia" w:hAnsiTheme="minorEastAsia" w:cstheme="minorEastAsia"/>
                <w:color w:val="000000"/>
                <w:kern w:val="0"/>
                <w:szCs w:val="21"/>
                <w:lang w:bidi="ar"/>
              </w:rPr>
              <w:t>□首次评价　□复评　□升级评审</w:t>
            </w:r>
          </w:p>
        </w:tc>
      </w:tr>
      <w:tr w14:paraId="0944D8C0">
        <w:tblPrEx>
          <w:tblCellMar>
            <w:top w:w="0" w:type="dxa"/>
            <w:left w:w="108" w:type="dxa"/>
            <w:bottom w:w="0" w:type="dxa"/>
            <w:right w:w="108" w:type="dxa"/>
          </w:tblCellMar>
        </w:tblPrEx>
        <w:trPr>
          <w:trHeight w:val="454" w:hRule="atLeast"/>
        </w:trPr>
        <w:tc>
          <w:tcPr>
            <w:tcW w:w="22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4EBAF">
            <w:pPr>
              <w:widowControl/>
              <w:jc w:val="left"/>
              <w:textAlignment w:val="bottom"/>
              <w:rPr>
                <w:rFonts w:asciiTheme="minorEastAsia" w:hAnsiTheme="minorEastAsia" w:cstheme="minorEastAsia"/>
                <w:b/>
                <w:bCs/>
                <w:color w:val="000000"/>
                <w:szCs w:val="21"/>
              </w:rPr>
            </w:pPr>
            <w:r>
              <w:rPr>
                <w:rFonts w:hint="eastAsia" w:asciiTheme="minorEastAsia" w:hAnsiTheme="minorEastAsia" w:cstheme="minorEastAsia"/>
                <w:b/>
                <w:bCs/>
                <w:color w:val="000000"/>
                <w:kern w:val="0"/>
                <w:szCs w:val="21"/>
                <w:lang w:bidi="ar"/>
              </w:rPr>
              <w:t>拟申请等级</w:t>
            </w:r>
          </w:p>
        </w:tc>
        <w:tc>
          <w:tcPr>
            <w:tcW w:w="8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27590">
            <w:pPr>
              <w:widowControl/>
              <w:jc w:val="left"/>
              <w:textAlignment w:val="bottom"/>
              <w:rPr>
                <w:rFonts w:asciiTheme="minorEastAsia" w:hAnsiTheme="minorEastAsia" w:cstheme="minorEastAsia"/>
                <w:color w:val="000000"/>
                <w:szCs w:val="21"/>
              </w:rPr>
            </w:pPr>
            <w:r>
              <w:rPr>
                <w:rFonts w:hint="eastAsia" w:asciiTheme="minorEastAsia" w:hAnsiTheme="minorEastAsia" w:cstheme="minorEastAsia"/>
                <w:color w:val="000000"/>
                <w:kern w:val="0"/>
                <w:szCs w:val="21"/>
                <w:lang w:bidi="ar"/>
              </w:rPr>
              <w:t>□高质量（≥880）　□优质（749–879）　□达标（600–748）</w:t>
            </w:r>
          </w:p>
        </w:tc>
      </w:tr>
    </w:tbl>
    <w:p w14:paraId="084B5C88">
      <w:pPr>
        <w:rPr>
          <w:rFonts w:hint="eastAsia" w:asciiTheme="minorEastAsia" w:hAnsiTheme="minorEastAsia" w:cstheme="minorEastAsia"/>
          <w:szCs w:val="21"/>
        </w:rPr>
      </w:pPr>
    </w:p>
    <w:tbl>
      <w:tblPr>
        <w:tblStyle w:val="15"/>
        <w:tblW w:w="10650" w:type="dxa"/>
        <w:tblInd w:w="-36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0"/>
        <w:gridCol w:w="1270"/>
        <w:gridCol w:w="6150"/>
        <w:gridCol w:w="1330"/>
        <w:gridCol w:w="1190"/>
      </w:tblGrid>
      <w:tr w14:paraId="2B84D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106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38438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 基础项证明材料</w:t>
            </w:r>
          </w:p>
        </w:tc>
      </w:tr>
      <w:tr w14:paraId="3E92C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225F2">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69E41">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对应指标</w:t>
            </w:r>
          </w:p>
        </w:tc>
        <w:tc>
          <w:tcPr>
            <w:tcW w:w="6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350E7">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提交资料要求及说明</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87BAB">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提交情况</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59E5C">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附件编号</w:t>
            </w:r>
          </w:p>
        </w:tc>
      </w:tr>
      <w:tr w14:paraId="46E94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474C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A8705">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资质与合规</w:t>
            </w:r>
          </w:p>
        </w:tc>
        <w:tc>
          <w:tcPr>
            <w:tcW w:w="6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7AF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CMA证书及附表（需覆盖电器电子环保检测领域）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CNAS证书及附表（如有，需含最近一次评审报告）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 近3年无违法违规、无重大事故声明（加盖公章）及信用中国/市监局查询截图</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EAA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已提交</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2E3DD">
            <w:pPr>
              <w:rPr>
                <w:rFonts w:hint="eastAsia" w:ascii="宋体" w:hAnsi="宋体" w:eastAsia="宋体" w:cs="宋体"/>
                <w:i w:val="0"/>
                <w:iCs w:val="0"/>
                <w:color w:val="000000"/>
                <w:sz w:val="21"/>
                <w:szCs w:val="21"/>
                <w:u w:val="none"/>
              </w:rPr>
            </w:pPr>
          </w:p>
        </w:tc>
      </w:tr>
      <w:tr w14:paraId="45D49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1F26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85F74">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人员能力</w:t>
            </w:r>
          </w:p>
        </w:tc>
        <w:tc>
          <w:tcPr>
            <w:tcW w:w="6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D40CE">
            <w:pPr>
              <w:keepNext w:val="0"/>
              <w:keepLines w:val="0"/>
              <w:widowControl/>
              <w:numPr>
                <w:ilvl w:val="0"/>
                <w:numId w:val="8"/>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关键岗位人员（技术/质量负责人）简历、职称证书、任职文件（证明相关经验年限）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检测人员名单及上岗资质证书清单（需体现全员持证率）</w:t>
            </w:r>
          </w:p>
          <w:p w14:paraId="30E77D15">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 年度培训计划及实施记录（需体现≥40学时/人/年）</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524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已提交</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244D7">
            <w:pPr>
              <w:rPr>
                <w:rFonts w:hint="eastAsia" w:ascii="宋体" w:hAnsi="宋体" w:eastAsia="宋体" w:cs="宋体"/>
                <w:i w:val="0"/>
                <w:iCs w:val="0"/>
                <w:color w:val="000000"/>
                <w:sz w:val="21"/>
                <w:szCs w:val="21"/>
                <w:u w:val="none"/>
              </w:rPr>
            </w:pPr>
          </w:p>
        </w:tc>
      </w:tr>
      <w:tr w14:paraId="2D781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9526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B65ED">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检测设备</w:t>
            </w:r>
          </w:p>
        </w:tc>
        <w:tc>
          <w:tcPr>
            <w:tcW w:w="6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0DD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主要检测设备台账（需标注ICP-MS/GC-MS等关键定量设备，不少于2台套）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年度检定/校准计划及执行记录（证明执行率100%）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 设备“三色”标识管理照片及档案管理记录样本</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A1E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已提交</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F5815">
            <w:pPr>
              <w:rPr>
                <w:rFonts w:hint="eastAsia" w:ascii="宋体" w:hAnsi="宋体" w:eastAsia="宋体" w:cs="宋体"/>
                <w:i w:val="0"/>
                <w:iCs w:val="0"/>
                <w:color w:val="000000"/>
                <w:sz w:val="21"/>
                <w:szCs w:val="21"/>
                <w:u w:val="none"/>
              </w:rPr>
            </w:pPr>
          </w:p>
        </w:tc>
      </w:tr>
      <w:tr w14:paraId="79009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2B78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15300">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物料管理</w:t>
            </w:r>
          </w:p>
        </w:tc>
        <w:tc>
          <w:tcPr>
            <w:tcW w:w="6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905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样品管理程序及流转记录（体现唯一性标识、全流程可追溯）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剧毒/易制毒化学品“双人双锁”管理记录及现场照片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 试剂/耗材出入库台账及有效期核查记录</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110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已提交</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13F3D">
            <w:pPr>
              <w:rPr>
                <w:rFonts w:hint="eastAsia" w:ascii="宋体" w:hAnsi="宋体" w:eastAsia="宋体" w:cs="宋体"/>
                <w:i w:val="0"/>
                <w:iCs w:val="0"/>
                <w:color w:val="000000"/>
                <w:sz w:val="21"/>
                <w:szCs w:val="21"/>
                <w:u w:val="none"/>
              </w:rPr>
            </w:pPr>
          </w:p>
        </w:tc>
      </w:tr>
      <w:tr w14:paraId="7B228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D035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4D27C">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方法与文件</w:t>
            </w:r>
          </w:p>
        </w:tc>
        <w:tc>
          <w:tcPr>
            <w:tcW w:w="6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5AD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现行有效检测标准清单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非标方法或新引入标准的技术验证报告（含精密度、准确度等）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 文件控制清单及记录归档台账</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854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已提交</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83A6F">
            <w:pPr>
              <w:rPr>
                <w:rFonts w:hint="eastAsia" w:ascii="宋体" w:hAnsi="宋体" w:eastAsia="宋体" w:cs="宋体"/>
                <w:i w:val="0"/>
                <w:iCs w:val="0"/>
                <w:color w:val="000000"/>
                <w:sz w:val="21"/>
                <w:szCs w:val="21"/>
                <w:u w:val="none"/>
              </w:rPr>
            </w:pPr>
          </w:p>
        </w:tc>
      </w:tr>
      <w:tr w14:paraId="303CA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0504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2081D">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环境与设施</w:t>
            </w:r>
          </w:p>
        </w:tc>
        <w:tc>
          <w:tcPr>
            <w:tcW w:w="6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F04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实验室平面图（体现分区及隔离）</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温湿度环境监控记录（连续记录）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 “三废”处置合同及最近一次第三方排放检测报告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 安全设施（洗眼器、通风橱等）照片及检查记录</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2FD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已提交</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18582">
            <w:pPr>
              <w:rPr>
                <w:rFonts w:hint="eastAsia" w:ascii="宋体" w:hAnsi="宋体" w:eastAsia="宋体" w:cs="宋体"/>
                <w:i w:val="0"/>
                <w:iCs w:val="0"/>
                <w:color w:val="000000"/>
                <w:sz w:val="21"/>
                <w:szCs w:val="21"/>
                <w:u w:val="none"/>
              </w:rPr>
            </w:pPr>
          </w:p>
        </w:tc>
      </w:tr>
      <w:tr w14:paraId="499A8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E50A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A6A69">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检测过程控制</w:t>
            </w:r>
          </w:p>
        </w:tc>
        <w:tc>
          <w:tcPr>
            <w:tcW w:w="6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93A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典型检测报告及全套原始记录（3-5份，脱敏，需体现全链条追溯）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年度质控计划及实施记录（空白、平行、加标、质控图等）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 能力验证（PT）或测量审核结果证书/报告（结果为“满意”）</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E95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已提交</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36DDE">
            <w:pPr>
              <w:rPr>
                <w:rFonts w:hint="eastAsia" w:ascii="宋体" w:hAnsi="宋体" w:eastAsia="宋体" w:cs="宋体"/>
                <w:i w:val="0"/>
                <w:iCs w:val="0"/>
                <w:color w:val="000000"/>
                <w:sz w:val="21"/>
                <w:szCs w:val="21"/>
                <w:u w:val="none"/>
              </w:rPr>
            </w:pPr>
          </w:p>
        </w:tc>
      </w:tr>
      <w:tr w14:paraId="079FF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1BAF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8</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B2BE3">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风险与体系</w:t>
            </w:r>
          </w:p>
        </w:tc>
        <w:tc>
          <w:tcPr>
            <w:tcW w:w="6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30B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风险评估表及管控措施记录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最近一次内审和管理评审的全套资料（计划、报告、整改证据）。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 数据安全管理制度及备份记录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 HSPM（IECQ QC 080000或GB/T 31274-2024）体系文件或支持客户管控的程序文件</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E2C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已提交</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44FF2">
            <w:pPr>
              <w:rPr>
                <w:rFonts w:hint="eastAsia" w:ascii="宋体" w:hAnsi="宋体" w:eastAsia="宋体" w:cs="宋体"/>
                <w:i w:val="0"/>
                <w:iCs w:val="0"/>
                <w:color w:val="000000"/>
                <w:sz w:val="21"/>
                <w:szCs w:val="21"/>
                <w:u w:val="none"/>
              </w:rPr>
            </w:pPr>
          </w:p>
        </w:tc>
      </w:tr>
      <w:tr w14:paraId="2C709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106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CD772B6">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 xml:space="preserve">2. </w:t>
            </w:r>
            <w:r>
              <w:rPr>
                <w:rStyle w:val="44"/>
                <w:rFonts w:hint="eastAsia" w:ascii="宋体" w:hAnsi="宋体" w:eastAsia="宋体" w:cs="宋体"/>
                <w:sz w:val="21"/>
                <w:szCs w:val="21"/>
                <w:lang w:val="en-US" w:eastAsia="zh-CN" w:bidi="ar"/>
              </w:rPr>
              <w:t>创新项证明材料</w:t>
            </w:r>
          </w:p>
        </w:tc>
      </w:tr>
      <w:tr w14:paraId="562B2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CA491">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CB9A0">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对应指标</w:t>
            </w:r>
          </w:p>
        </w:tc>
        <w:tc>
          <w:tcPr>
            <w:tcW w:w="6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5E83D">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提交资料要求及说明</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E4F0F">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提交情况</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6FE50">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附件编号</w:t>
            </w:r>
          </w:p>
        </w:tc>
      </w:tr>
      <w:tr w14:paraId="3BD17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AF68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9</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4FE52">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技术创新</w:t>
            </w:r>
          </w:p>
        </w:tc>
        <w:tc>
          <w:tcPr>
            <w:tcW w:w="6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2FB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r>
              <w:rPr>
                <w:rStyle w:val="45"/>
                <w:rFonts w:hint="eastAsia" w:ascii="宋体" w:hAnsi="宋体" w:eastAsia="宋体" w:cs="宋体"/>
                <w:sz w:val="21"/>
                <w:szCs w:val="21"/>
                <w:lang w:val="en-US" w:eastAsia="zh-CN" w:bidi="ar"/>
              </w:rPr>
              <w:t>授权专利证书、软著证书、</w:t>
            </w:r>
            <w:r>
              <w:rPr>
                <w:rFonts w:hint="eastAsia" w:ascii="宋体" w:hAnsi="宋体" w:eastAsia="宋体" w:cs="宋体"/>
                <w:i w:val="0"/>
                <w:iCs w:val="0"/>
                <w:color w:val="000000"/>
                <w:kern w:val="0"/>
                <w:sz w:val="21"/>
                <w:szCs w:val="21"/>
                <w:u w:val="none"/>
                <w:lang w:val="en-US" w:eastAsia="zh-CN" w:bidi="ar"/>
              </w:rPr>
              <w:t>SCI/EI</w:t>
            </w:r>
            <w:r>
              <w:rPr>
                <w:rStyle w:val="45"/>
                <w:rFonts w:hint="eastAsia" w:ascii="宋体" w:hAnsi="宋体" w:eastAsia="宋体" w:cs="宋体"/>
                <w:sz w:val="21"/>
                <w:szCs w:val="21"/>
                <w:lang w:val="en-US" w:eastAsia="zh-CN" w:bidi="ar"/>
              </w:rPr>
              <w:t>论文（加盖公章）</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 </w:t>
            </w:r>
            <w:r>
              <w:rPr>
                <w:rStyle w:val="45"/>
                <w:rFonts w:hint="eastAsia" w:ascii="宋体" w:hAnsi="宋体" w:eastAsia="宋体" w:cs="宋体"/>
                <w:sz w:val="21"/>
                <w:szCs w:val="21"/>
                <w:lang w:val="en-US" w:eastAsia="zh-CN" w:bidi="ar"/>
              </w:rPr>
              <w:t>主导或参与国际</w:t>
            </w:r>
            <w:r>
              <w:rPr>
                <w:rFonts w:hint="eastAsia" w:ascii="宋体" w:hAnsi="宋体" w:eastAsia="宋体" w:cs="宋体"/>
                <w:i w:val="0"/>
                <w:iCs w:val="0"/>
                <w:color w:val="000000"/>
                <w:kern w:val="0"/>
                <w:sz w:val="21"/>
                <w:szCs w:val="21"/>
                <w:u w:val="none"/>
                <w:lang w:val="en-US" w:eastAsia="zh-CN" w:bidi="ar"/>
              </w:rPr>
              <w:t>/</w:t>
            </w:r>
            <w:r>
              <w:rPr>
                <w:rStyle w:val="45"/>
                <w:rFonts w:hint="eastAsia" w:ascii="宋体" w:hAnsi="宋体" w:eastAsia="宋体" w:cs="宋体"/>
                <w:sz w:val="21"/>
                <w:szCs w:val="21"/>
                <w:lang w:val="en-US" w:eastAsia="zh-CN" w:bidi="ar"/>
              </w:rPr>
              <w:t>国家</w:t>
            </w:r>
            <w:r>
              <w:rPr>
                <w:rFonts w:hint="eastAsia" w:ascii="宋体" w:hAnsi="宋体" w:eastAsia="宋体" w:cs="宋体"/>
                <w:i w:val="0"/>
                <w:iCs w:val="0"/>
                <w:color w:val="000000"/>
                <w:kern w:val="0"/>
                <w:sz w:val="21"/>
                <w:szCs w:val="21"/>
                <w:u w:val="none"/>
                <w:lang w:val="en-US" w:eastAsia="zh-CN" w:bidi="ar"/>
              </w:rPr>
              <w:t>/</w:t>
            </w:r>
            <w:r>
              <w:rPr>
                <w:rStyle w:val="45"/>
                <w:rFonts w:hint="eastAsia" w:ascii="宋体" w:hAnsi="宋体" w:eastAsia="宋体" w:cs="宋体"/>
                <w:sz w:val="21"/>
                <w:szCs w:val="21"/>
                <w:lang w:val="en-US" w:eastAsia="zh-CN" w:bidi="ar"/>
              </w:rPr>
              <w:t>行业</w:t>
            </w:r>
            <w:r>
              <w:rPr>
                <w:rFonts w:hint="eastAsia" w:ascii="宋体" w:hAnsi="宋体" w:eastAsia="宋体" w:cs="宋体"/>
                <w:i w:val="0"/>
                <w:iCs w:val="0"/>
                <w:color w:val="000000"/>
                <w:kern w:val="0"/>
                <w:sz w:val="21"/>
                <w:szCs w:val="21"/>
                <w:u w:val="none"/>
                <w:lang w:val="en-US" w:eastAsia="zh-CN" w:bidi="ar"/>
              </w:rPr>
              <w:t>/</w:t>
            </w:r>
            <w:r>
              <w:rPr>
                <w:rStyle w:val="45"/>
                <w:rFonts w:hint="eastAsia" w:ascii="宋体" w:hAnsi="宋体" w:eastAsia="宋体" w:cs="宋体"/>
                <w:sz w:val="21"/>
                <w:szCs w:val="21"/>
                <w:lang w:val="en-US" w:eastAsia="zh-CN" w:bidi="ar"/>
              </w:rPr>
              <w:t>团体标准制修订的证明文件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 </w:t>
            </w:r>
            <w:r>
              <w:rPr>
                <w:rStyle w:val="45"/>
                <w:rFonts w:hint="eastAsia" w:ascii="宋体" w:hAnsi="宋体" w:eastAsia="宋体" w:cs="宋体"/>
                <w:sz w:val="21"/>
                <w:szCs w:val="21"/>
                <w:lang w:val="en-US" w:eastAsia="zh-CN" w:bidi="ar"/>
              </w:rPr>
              <w:t>未知物鉴定与溯源分析的典型案例报告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 </w:t>
            </w:r>
            <w:r>
              <w:rPr>
                <w:rStyle w:val="45"/>
                <w:rFonts w:hint="eastAsia" w:ascii="宋体" w:hAnsi="宋体" w:eastAsia="宋体" w:cs="宋体"/>
                <w:sz w:val="21"/>
                <w:szCs w:val="21"/>
                <w:lang w:val="en-US" w:eastAsia="zh-CN" w:bidi="ar"/>
              </w:rPr>
              <w:t>新兴污染物（</w:t>
            </w:r>
            <w:r>
              <w:rPr>
                <w:rFonts w:hint="eastAsia" w:ascii="宋体" w:hAnsi="宋体" w:eastAsia="宋体" w:cs="宋体"/>
                <w:i w:val="0"/>
                <w:iCs w:val="0"/>
                <w:color w:val="000000"/>
                <w:kern w:val="0"/>
                <w:sz w:val="21"/>
                <w:szCs w:val="21"/>
                <w:u w:val="none"/>
                <w:lang w:val="en-US" w:eastAsia="zh-CN" w:bidi="ar"/>
              </w:rPr>
              <w:t>PFAS</w:t>
            </w:r>
            <w:r>
              <w:rPr>
                <w:rStyle w:val="45"/>
                <w:rFonts w:hint="eastAsia" w:ascii="宋体" w:hAnsi="宋体" w:eastAsia="宋体" w:cs="宋体"/>
                <w:sz w:val="21"/>
                <w:szCs w:val="21"/>
                <w:lang w:val="en-US" w:eastAsia="zh-CN" w:bidi="ar"/>
              </w:rPr>
              <w:t>、微塑料等）检测能力证明及方法验证报告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5. </w:t>
            </w:r>
            <w:r>
              <w:rPr>
                <w:rStyle w:val="45"/>
                <w:rFonts w:hint="eastAsia" w:ascii="宋体" w:hAnsi="宋体" w:eastAsia="宋体" w:cs="宋体"/>
                <w:sz w:val="21"/>
                <w:szCs w:val="21"/>
                <w:lang w:val="en-US" w:eastAsia="zh-CN" w:bidi="ar"/>
              </w:rPr>
              <w:t>新方法开发全流程记录（立项</w:t>
            </w:r>
            <w:r>
              <w:rPr>
                <w:rFonts w:hint="eastAsia" w:ascii="宋体" w:hAnsi="宋体" w:eastAsia="宋体" w:cs="宋体"/>
                <w:i w:val="0"/>
                <w:iCs w:val="0"/>
                <w:color w:val="000000"/>
                <w:kern w:val="0"/>
                <w:sz w:val="21"/>
                <w:szCs w:val="21"/>
                <w:u w:val="none"/>
                <w:lang w:val="en-US" w:eastAsia="zh-CN" w:bidi="ar"/>
              </w:rPr>
              <w:t>-</w:t>
            </w:r>
            <w:r>
              <w:rPr>
                <w:rStyle w:val="45"/>
                <w:rFonts w:hint="eastAsia" w:ascii="宋体" w:hAnsi="宋体" w:eastAsia="宋体" w:cs="宋体"/>
                <w:sz w:val="21"/>
                <w:szCs w:val="21"/>
                <w:lang w:val="en-US" w:eastAsia="zh-CN" w:bidi="ar"/>
              </w:rPr>
              <w:t>验证</w:t>
            </w:r>
            <w:r>
              <w:rPr>
                <w:rFonts w:hint="eastAsia" w:ascii="宋体" w:hAnsi="宋体" w:eastAsia="宋体" w:cs="宋体"/>
                <w:i w:val="0"/>
                <w:iCs w:val="0"/>
                <w:color w:val="000000"/>
                <w:kern w:val="0"/>
                <w:sz w:val="21"/>
                <w:szCs w:val="21"/>
                <w:u w:val="none"/>
                <w:lang w:val="en-US" w:eastAsia="zh-CN" w:bidi="ar"/>
              </w:rPr>
              <w:t>-</w:t>
            </w:r>
            <w:r>
              <w:rPr>
                <w:rStyle w:val="45"/>
                <w:rFonts w:hint="eastAsia" w:ascii="宋体" w:hAnsi="宋体" w:eastAsia="宋体" w:cs="宋体"/>
                <w:sz w:val="21"/>
                <w:szCs w:val="21"/>
                <w:lang w:val="en-US" w:eastAsia="zh-CN" w:bidi="ar"/>
              </w:rPr>
              <w:t>审批</w:t>
            </w:r>
            <w:r>
              <w:rPr>
                <w:rFonts w:hint="eastAsia" w:ascii="宋体" w:hAnsi="宋体" w:eastAsia="宋体" w:cs="宋体"/>
                <w:i w:val="0"/>
                <w:iCs w:val="0"/>
                <w:color w:val="000000"/>
                <w:kern w:val="0"/>
                <w:sz w:val="21"/>
                <w:szCs w:val="21"/>
                <w:u w:val="none"/>
                <w:lang w:val="en-US" w:eastAsia="zh-CN" w:bidi="ar"/>
              </w:rPr>
              <w:t>-</w:t>
            </w:r>
            <w:r>
              <w:rPr>
                <w:rStyle w:val="45"/>
                <w:rFonts w:hint="eastAsia" w:ascii="宋体" w:hAnsi="宋体" w:eastAsia="宋体" w:cs="宋体"/>
                <w:sz w:val="21"/>
                <w:szCs w:val="21"/>
                <w:lang w:val="en-US" w:eastAsia="zh-CN" w:bidi="ar"/>
              </w:rPr>
              <w:t>应用）</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8AB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5"/>
                <w:rFonts w:hint="eastAsia" w:ascii="宋体" w:hAnsi="宋体" w:eastAsia="宋体" w:cs="宋体"/>
                <w:sz w:val="21"/>
                <w:szCs w:val="21"/>
                <w:lang w:val="en-US" w:eastAsia="zh-CN" w:bidi="ar"/>
              </w:rPr>
              <w:t>已提交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w:t>
            </w:r>
            <w:r>
              <w:rPr>
                <w:rStyle w:val="45"/>
                <w:rFonts w:hint="eastAsia" w:ascii="宋体" w:hAnsi="宋体" w:eastAsia="宋体" w:cs="宋体"/>
                <w:sz w:val="21"/>
                <w:szCs w:val="21"/>
                <w:lang w:val="en-US" w:eastAsia="zh-CN" w:bidi="ar"/>
              </w:rPr>
              <w:t>不涉及</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C6272">
            <w:pPr>
              <w:rPr>
                <w:rFonts w:hint="eastAsia" w:ascii="宋体" w:hAnsi="宋体" w:eastAsia="宋体" w:cs="宋体"/>
                <w:i w:val="0"/>
                <w:iCs w:val="0"/>
                <w:color w:val="000000"/>
                <w:sz w:val="21"/>
                <w:szCs w:val="21"/>
                <w:u w:val="none"/>
              </w:rPr>
            </w:pPr>
          </w:p>
        </w:tc>
      </w:tr>
      <w:tr w14:paraId="59780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B16D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90C12">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服务创新</w:t>
            </w:r>
          </w:p>
        </w:tc>
        <w:tc>
          <w:tcPr>
            <w:tcW w:w="6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891DE">
            <w:pPr>
              <w:keepNext w:val="0"/>
              <w:keepLines w:val="0"/>
              <w:widowControl/>
              <w:numPr>
                <w:ilvl w:val="0"/>
                <w:numId w:val="9"/>
              </w:numPr>
              <w:suppressLineNumbers w:val="0"/>
              <w:jc w:val="left"/>
              <w:textAlignment w:val="center"/>
              <w:rPr>
                <w:rStyle w:val="45"/>
                <w:rFonts w:hint="eastAsia" w:ascii="宋体" w:hAnsi="宋体" w:eastAsia="宋体" w:cs="宋体"/>
                <w:sz w:val="21"/>
                <w:szCs w:val="21"/>
                <w:lang w:val="en-US" w:eastAsia="zh-CN" w:bidi="ar"/>
              </w:rPr>
            </w:pPr>
            <w:r>
              <w:rPr>
                <w:rStyle w:val="45"/>
                <w:rFonts w:hint="eastAsia" w:ascii="宋体" w:hAnsi="宋体" w:eastAsia="宋体" w:cs="宋体"/>
                <w:sz w:val="21"/>
                <w:szCs w:val="21"/>
                <w:lang w:val="en-US" w:eastAsia="zh-CN" w:bidi="ar"/>
              </w:rPr>
              <w:t>定制化解决方案、技术咨询服务合同或案例</w:t>
            </w:r>
          </w:p>
          <w:p w14:paraId="1FB459B6">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 </w:t>
            </w:r>
            <w:r>
              <w:rPr>
                <w:rStyle w:val="45"/>
                <w:rFonts w:hint="eastAsia" w:ascii="宋体" w:hAnsi="宋体" w:eastAsia="宋体" w:cs="宋体"/>
                <w:sz w:val="21"/>
                <w:szCs w:val="21"/>
                <w:lang w:val="en-US" w:eastAsia="zh-CN" w:bidi="ar"/>
              </w:rPr>
              <w:t>政府课题支撑证明或行业科普宣传（公众号</w:t>
            </w:r>
            <w:r>
              <w:rPr>
                <w:rFonts w:hint="eastAsia" w:ascii="宋体" w:hAnsi="宋体" w:eastAsia="宋体" w:cs="宋体"/>
                <w:i w:val="0"/>
                <w:iCs w:val="0"/>
                <w:color w:val="000000"/>
                <w:kern w:val="0"/>
                <w:sz w:val="21"/>
                <w:szCs w:val="21"/>
                <w:u w:val="none"/>
                <w:lang w:val="en-US" w:eastAsia="zh-CN" w:bidi="ar"/>
              </w:rPr>
              <w:t>/</w:t>
            </w:r>
            <w:r>
              <w:rPr>
                <w:rStyle w:val="45"/>
                <w:rFonts w:hint="eastAsia" w:ascii="宋体" w:hAnsi="宋体" w:eastAsia="宋体" w:cs="宋体"/>
                <w:sz w:val="21"/>
                <w:szCs w:val="21"/>
                <w:lang w:val="en-US" w:eastAsia="zh-CN" w:bidi="ar"/>
              </w:rPr>
              <w:t>视频）截图</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233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5"/>
                <w:rFonts w:hint="eastAsia" w:ascii="宋体" w:hAnsi="宋体" w:eastAsia="宋体" w:cs="宋体"/>
                <w:sz w:val="21"/>
                <w:szCs w:val="21"/>
                <w:lang w:val="en-US" w:eastAsia="zh-CN" w:bidi="ar"/>
              </w:rPr>
              <w:t>已提交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w:t>
            </w:r>
            <w:r>
              <w:rPr>
                <w:rStyle w:val="45"/>
                <w:rFonts w:hint="eastAsia" w:ascii="宋体" w:hAnsi="宋体" w:eastAsia="宋体" w:cs="宋体"/>
                <w:sz w:val="21"/>
                <w:szCs w:val="21"/>
                <w:lang w:val="en-US" w:eastAsia="zh-CN" w:bidi="ar"/>
              </w:rPr>
              <w:t>不涉及</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278D6">
            <w:pPr>
              <w:rPr>
                <w:rFonts w:hint="eastAsia" w:ascii="宋体" w:hAnsi="宋体" w:eastAsia="宋体" w:cs="宋体"/>
                <w:i w:val="0"/>
                <w:iCs w:val="0"/>
                <w:color w:val="000000"/>
                <w:sz w:val="21"/>
                <w:szCs w:val="21"/>
                <w:u w:val="none"/>
              </w:rPr>
            </w:pPr>
          </w:p>
        </w:tc>
      </w:tr>
      <w:tr w14:paraId="25FA4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12E0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11</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9F772">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数字化与智能</w:t>
            </w:r>
          </w:p>
        </w:tc>
        <w:tc>
          <w:tcPr>
            <w:tcW w:w="6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C66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LIMS</w:t>
            </w:r>
            <w:r>
              <w:rPr>
                <w:rStyle w:val="45"/>
                <w:rFonts w:hint="eastAsia" w:ascii="宋体" w:hAnsi="宋体" w:eastAsia="宋体" w:cs="宋体"/>
                <w:sz w:val="21"/>
                <w:szCs w:val="21"/>
                <w:lang w:val="en-US" w:eastAsia="zh-CN" w:bidi="ar"/>
              </w:rPr>
              <w:t>系统功能截图（覆盖人机料法环全流程）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 </w:t>
            </w:r>
            <w:r>
              <w:rPr>
                <w:rStyle w:val="45"/>
                <w:rFonts w:hint="eastAsia" w:ascii="宋体" w:hAnsi="宋体" w:eastAsia="宋体" w:cs="宋体"/>
                <w:sz w:val="21"/>
                <w:szCs w:val="21"/>
                <w:lang w:val="en-US" w:eastAsia="zh-CN" w:bidi="ar"/>
              </w:rPr>
              <w:t>关键设备自动采集接口证明（日志或现场演示视频）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 </w:t>
            </w:r>
            <w:r>
              <w:rPr>
                <w:rStyle w:val="45"/>
                <w:rFonts w:hint="eastAsia" w:ascii="宋体" w:hAnsi="宋体" w:eastAsia="宋体" w:cs="宋体"/>
                <w:sz w:val="21"/>
                <w:szCs w:val="21"/>
                <w:lang w:val="en-US" w:eastAsia="zh-CN" w:bidi="ar"/>
              </w:rPr>
              <w:t>电子记录审计追踪功能截图（需体现修改留痕，符合</w:t>
            </w:r>
            <w:r>
              <w:rPr>
                <w:rFonts w:hint="eastAsia" w:ascii="宋体" w:hAnsi="宋体" w:eastAsia="宋体" w:cs="宋体"/>
                <w:i w:val="0"/>
                <w:iCs w:val="0"/>
                <w:color w:val="000000"/>
                <w:kern w:val="0"/>
                <w:sz w:val="21"/>
                <w:szCs w:val="21"/>
                <w:u w:val="none"/>
                <w:lang w:val="en-US" w:eastAsia="zh-CN" w:bidi="ar"/>
              </w:rPr>
              <w:t>RB/T 240</w:t>
            </w:r>
            <w:r>
              <w:rPr>
                <w:rStyle w:val="45"/>
                <w:rFonts w:hint="eastAsia" w:ascii="宋体" w:hAnsi="宋体" w:eastAsia="宋体" w:cs="宋体"/>
                <w:sz w:val="21"/>
                <w:szCs w:val="21"/>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 </w:t>
            </w:r>
            <w:r>
              <w:rPr>
                <w:rStyle w:val="45"/>
                <w:rFonts w:hint="eastAsia" w:ascii="宋体" w:hAnsi="宋体" w:eastAsia="宋体" w:cs="宋体"/>
                <w:sz w:val="21"/>
                <w:szCs w:val="21"/>
                <w:lang w:val="en-US" w:eastAsia="zh-CN" w:bidi="ar"/>
              </w:rPr>
              <w:t>大数据分析</w:t>
            </w:r>
            <w:r>
              <w:rPr>
                <w:rFonts w:hint="eastAsia" w:ascii="宋体" w:hAnsi="宋体" w:eastAsia="宋体" w:cs="宋体"/>
                <w:i w:val="0"/>
                <w:iCs w:val="0"/>
                <w:color w:val="000000"/>
                <w:kern w:val="0"/>
                <w:sz w:val="21"/>
                <w:szCs w:val="21"/>
                <w:u w:val="none"/>
                <w:lang w:val="en-US" w:eastAsia="zh-CN" w:bidi="ar"/>
              </w:rPr>
              <w:t>/</w:t>
            </w:r>
            <w:r>
              <w:rPr>
                <w:rStyle w:val="45"/>
                <w:rFonts w:hint="eastAsia" w:ascii="宋体" w:hAnsi="宋体" w:eastAsia="宋体" w:cs="宋体"/>
                <w:sz w:val="21"/>
                <w:szCs w:val="21"/>
                <w:lang w:val="en-US" w:eastAsia="zh-CN" w:bidi="ar"/>
              </w:rPr>
              <w:t>画像服务报告样本</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D6B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5"/>
                <w:rFonts w:hint="eastAsia" w:ascii="宋体" w:hAnsi="宋体" w:eastAsia="宋体" w:cs="宋体"/>
                <w:sz w:val="21"/>
                <w:szCs w:val="21"/>
                <w:lang w:val="en-US" w:eastAsia="zh-CN" w:bidi="ar"/>
              </w:rPr>
              <w:t>已提交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w:t>
            </w:r>
            <w:r>
              <w:rPr>
                <w:rStyle w:val="45"/>
                <w:rFonts w:hint="eastAsia" w:ascii="宋体" w:hAnsi="宋体" w:eastAsia="宋体" w:cs="宋体"/>
                <w:sz w:val="21"/>
                <w:szCs w:val="21"/>
                <w:lang w:val="en-US" w:eastAsia="zh-CN" w:bidi="ar"/>
              </w:rPr>
              <w:t>不涉及</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C3A30">
            <w:pPr>
              <w:rPr>
                <w:rFonts w:hint="eastAsia" w:ascii="宋体" w:hAnsi="宋体" w:eastAsia="宋体" w:cs="宋体"/>
                <w:i w:val="0"/>
                <w:iCs w:val="0"/>
                <w:color w:val="000000"/>
                <w:sz w:val="21"/>
                <w:szCs w:val="21"/>
                <w:u w:val="none"/>
              </w:rPr>
            </w:pPr>
          </w:p>
        </w:tc>
      </w:tr>
      <w:tr w14:paraId="618E7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4681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12</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BB515">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绿色运营</w:t>
            </w:r>
          </w:p>
        </w:tc>
        <w:tc>
          <w:tcPr>
            <w:tcW w:w="6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EE8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r>
              <w:rPr>
                <w:rStyle w:val="45"/>
                <w:rFonts w:hint="eastAsia" w:ascii="宋体" w:hAnsi="宋体" w:eastAsia="宋体" w:cs="宋体"/>
                <w:sz w:val="21"/>
                <w:szCs w:val="21"/>
                <w:lang w:val="en-US" w:eastAsia="zh-CN" w:bidi="ar"/>
              </w:rPr>
              <w:t>能耗（水</w:t>
            </w:r>
            <w:r>
              <w:rPr>
                <w:rFonts w:hint="eastAsia" w:ascii="宋体" w:hAnsi="宋体" w:eastAsia="宋体" w:cs="宋体"/>
                <w:i w:val="0"/>
                <w:iCs w:val="0"/>
                <w:color w:val="000000"/>
                <w:kern w:val="0"/>
                <w:sz w:val="21"/>
                <w:szCs w:val="21"/>
                <w:u w:val="none"/>
                <w:lang w:val="en-US" w:eastAsia="zh-CN" w:bidi="ar"/>
              </w:rPr>
              <w:t>/</w:t>
            </w:r>
            <w:r>
              <w:rPr>
                <w:rStyle w:val="45"/>
                <w:rFonts w:hint="eastAsia" w:ascii="宋体" w:hAnsi="宋体" w:eastAsia="宋体" w:cs="宋体"/>
                <w:sz w:val="21"/>
                <w:szCs w:val="21"/>
                <w:lang w:val="en-US" w:eastAsia="zh-CN" w:bidi="ar"/>
              </w:rPr>
              <w:t>电</w:t>
            </w:r>
            <w:r>
              <w:rPr>
                <w:rFonts w:hint="eastAsia" w:ascii="宋体" w:hAnsi="宋体" w:eastAsia="宋体" w:cs="宋体"/>
                <w:i w:val="0"/>
                <w:iCs w:val="0"/>
                <w:color w:val="000000"/>
                <w:kern w:val="0"/>
                <w:sz w:val="21"/>
                <w:szCs w:val="21"/>
                <w:u w:val="none"/>
                <w:lang w:val="en-US" w:eastAsia="zh-CN" w:bidi="ar"/>
              </w:rPr>
              <w:t>/</w:t>
            </w:r>
            <w:r>
              <w:rPr>
                <w:rStyle w:val="45"/>
                <w:rFonts w:hint="eastAsia" w:ascii="宋体" w:hAnsi="宋体" w:eastAsia="宋体" w:cs="宋体"/>
                <w:sz w:val="21"/>
                <w:szCs w:val="21"/>
                <w:lang w:val="en-US" w:eastAsia="zh-CN" w:bidi="ar"/>
              </w:rPr>
              <w:t>气）监控记录与统计表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 </w:t>
            </w:r>
            <w:r>
              <w:rPr>
                <w:rStyle w:val="45"/>
                <w:rFonts w:hint="eastAsia" w:ascii="宋体" w:hAnsi="宋体" w:eastAsia="宋体" w:cs="宋体"/>
                <w:sz w:val="21"/>
                <w:szCs w:val="21"/>
                <w:lang w:val="en-US" w:eastAsia="zh-CN" w:bidi="ar"/>
              </w:rPr>
              <w:t>试剂减量化</w:t>
            </w:r>
            <w:r>
              <w:rPr>
                <w:rFonts w:hint="eastAsia" w:ascii="宋体" w:hAnsi="宋体" w:eastAsia="宋体" w:cs="宋体"/>
                <w:i w:val="0"/>
                <w:iCs w:val="0"/>
                <w:color w:val="000000"/>
                <w:kern w:val="0"/>
                <w:sz w:val="21"/>
                <w:szCs w:val="21"/>
                <w:u w:val="none"/>
                <w:lang w:val="en-US" w:eastAsia="zh-CN" w:bidi="ar"/>
              </w:rPr>
              <w:t>/</w:t>
            </w:r>
            <w:r>
              <w:rPr>
                <w:rStyle w:val="45"/>
                <w:rFonts w:hint="eastAsia" w:ascii="宋体" w:hAnsi="宋体" w:eastAsia="宋体" w:cs="宋体"/>
                <w:sz w:val="21"/>
                <w:szCs w:val="21"/>
                <w:lang w:val="en-US" w:eastAsia="zh-CN" w:bidi="ar"/>
              </w:rPr>
              <w:t>废液资源化实施证明或</w:t>
            </w:r>
            <w:r>
              <w:rPr>
                <w:rFonts w:hint="eastAsia" w:ascii="宋体" w:hAnsi="宋体" w:eastAsia="宋体" w:cs="宋体"/>
                <w:i w:val="0"/>
                <w:iCs w:val="0"/>
                <w:color w:val="000000"/>
                <w:kern w:val="0"/>
                <w:sz w:val="21"/>
                <w:szCs w:val="21"/>
                <w:u w:val="none"/>
                <w:lang w:val="en-US" w:eastAsia="zh-CN" w:bidi="ar"/>
              </w:rPr>
              <w:t>“</w:t>
            </w:r>
            <w:r>
              <w:rPr>
                <w:rStyle w:val="45"/>
                <w:rFonts w:hint="eastAsia" w:ascii="宋体" w:hAnsi="宋体" w:eastAsia="宋体" w:cs="宋体"/>
                <w:sz w:val="21"/>
                <w:szCs w:val="21"/>
                <w:lang w:val="en-US" w:eastAsia="zh-CN" w:bidi="ar"/>
              </w:rPr>
              <w:t>绿色实验室</w:t>
            </w:r>
            <w:r>
              <w:rPr>
                <w:rFonts w:hint="eastAsia" w:ascii="宋体" w:hAnsi="宋体" w:eastAsia="宋体" w:cs="宋体"/>
                <w:i w:val="0"/>
                <w:iCs w:val="0"/>
                <w:color w:val="000000"/>
                <w:kern w:val="0"/>
                <w:sz w:val="21"/>
                <w:szCs w:val="21"/>
                <w:u w:val="none"/>
                <w:lang w:val="en-US" w:eastAsia="zh-CN" w:bidi="ar"/>
              </w:rPr>
              <w:t>”</w:t>
            </w:r>
            <w:r>
              <w:rPr>
                <w:rStyle w:val="45"/>
                <w:rFonts w:hint="eastAsia" w:ascii="宋体" w:hAnsi="宋体" w:eastAsia="宋体" w:cs="宋体"/>
                <w:sz w:val="21"/>
                <w:szCs w:val="21"/>
                <w:lang w:val="en-US" w:eastAsia="zh-CN" w:bidi="ar"/>
              </w:rPr>
              <w:t>评价证书</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016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5"/>
                <w:rFonts w:hint="eastAsia" w:ascii="宋体" w:hAnsi="宋体" w:eastAsia="宋体" w:cs="宋体"/>
                <w:sz w:val="21"/>
                <w:szCs w:val="21"/>
                <w:lang w:val="en-US" w:eastAsia="zh-CN" w:bidi="ar"/>
              </w:rPr>
              <w:t>已提交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w:t>
            </w:r>
            <w:r>
              <w:rPr>
                <w:rStyle w:val="45"/>
                <w:rFonts w:hint="eastAsia" w:ascii="宋体" w:hAnsi="宋体" w:eastAsia="宋体" w:cs="宋体"/>
                <w:sz w:val="21"/>
                <w:szCs w:val="21"/>
                <w:lang w:val="en-US" w:eastAsia="zh-CN" w:bidi="ar"/>
              </w:rPr>
              <w:t>不涉及</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4C751">
            <w:pPr>
              <w:rPr>
                <w:rFonts w:hint="eastAsia" w:ascii="宋体" w:hAnsi="宋体" w:eastAsia="宋体" w:cs="宋体"/>
                <w:i w:val="0"/>
                <w:iCs w:val="0"/>
                <w:color w:val="000000"/>
                <w:sz w:val="21"/>
                <w:szCs w:val="21"/>
                <w:u w:val="none"/>
              </w:rPr>
            </w:pPr>
          </w:p>
        </w:tc>
      </w:tr>
      <w:tr w14:paraId="1E5F6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065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BD53D">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 服务项与加分项证明材料</w:t>
            </w:r>
          </w:p>
        </w:tc>
      </w:tr>
      <w:tr w14:paraId="7F6DE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35F8D">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A981D">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对应指标</w:t>
            </w:r>
          </w:p>
        </w:tc>
        <w:tc>
          <w:tcPr>
            <w:tcW w:w="6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CA170">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提交资料要求及说明</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12AE0">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提交情况</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AC68B">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附件编号</w:t>
            </w:r>
          </w:p>
        </w:tc>
      </w:tr>
      <w:tr w14:paraId="69FEC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2740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13</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82282">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客户服务</w:t>
            </w:r>
          </w:p>
        </w:tc>
        <w:tc>
          <w:tcPr>
            <w:tcW w:w="6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C2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r>
              <w:rPr>
                <w:rStyle w:val="46"/>
                <w:rFonts w:hint="eastAsia" w:ascii="宋体" w:hAnsi="宋体" w:eastAsia="宋体" w:cs="宋体"/>
                <w:sz w:val="21"/>
                <w:szCs w:val="21"/>
                <w:lang w:val="en-US" w:eastAsia="zh-CN" w:bidi="ar"/>
              </w:rPr>
              <w:t>年度客户满意度调查报告（需体现满意度</w:t>
            </w:r>
            <w:r>
              <w:rPr>
                <w:rStyle w:val="47"/>
                <w:rFonts w:hint="eastAsia" w:ascii="宋体" w:hAnsi="宋体" w:eastAsia="宋体" w:cs="宋体"/>
                <w:sz w:val="21"/>
                <w:szCs w:val="21"/>
                <w:lang w:val="en-US" w:eastAsia="zh-CN" w:bidi="ar"/>
              </w:rPr>
              <w:t>≥90%</w:t>
            </w:r>
            <w:r>
              <w:rPr>
                <w:rStyle w:val="46"/>
                <w:rFonts w:hint="eastAsia" w:ascii="宋体" w:hAnsi="宋体" w:eastAsia="宋体" w:cs="宋体"/>
                <w:sz w:val="21"/>
                <w:szCs w:val="21"/>
                <w:lang w:val="en-US" w:eastAsia="zh-CN" w:bidi="ar"/>
              </w:rPr>
              <w:t>）</w:t>
            </w:r>
            <w:r>
              <w:rPr>
                <w:rStyle w:val="47"/>
                <w:rFonts w:hint="eastAsia" w:ascii="宋体" w:hAnsi="宋体" w:eastAsia="宋体" w:cs="宋体"/>
                <w:sz w:val="21"/>
                <w:szCs w:val="21"/>
                <w:lang w:val="en-US" w:eastAsia="zh-CN" w:bidi="ar"/>
              </w:rPr>
              <w:br w:type="textWrapping"/>
            </w:r>
            <w:r>
              <w:rPr>
                <w:rStyle w:val="47"/>
                <w:rFonts w:hint="eastAsia" w:ascii="宋体" w:hAnsi="宋体" w:eastAsia="宋体" w:cs="宋体"/>
                <w:sz w:val="21"/>
                <w:szCs w:val="21"/>
                <w:lang w:val="en-US" w:eastAsia="zh-CN" w:bidi="ar"/>
              </w:rPr>
              <w:t xml:space="preserve">2. </w:t>
            </w:r>
            <w:r>
              <w:rPr>
                <w:rStyle w:val="46"/>
                <w:rFonts w:hint="eastAsia" w:ascii="宋体" w:hAnsi="宋体" w:eastAsia="宋体" w:cs="宋体"/>
                <w:sz w:val="21"/>
                <w:szCs w:val="21"/>
                <w:lang w:val="en-US" w:eastAsia="zh-CN" w:bidi="ar"/>
              </w:rPr>
              <w:t>客户投诉处理记录及闭环改进证据</w:t>
            </w:r>
            <w:r>
              <w:rPr>
                <w:rStyle w:val="47"/>
                <w:rFonts w:hint="eastAsia" w:ascii="宋体" w:hAnsi="宋体" w:eastAsia="宋体" w:cs="宋体"/>
                <w:sz w:val="21"/>
                <w:szCs w:val="21"/>
                <w:lang w:val="en-US" w:eastAsia="zh-CN" w:bidi="ar"/>
              </w:rPr>
              <w:br w:type="textWrapping"/>
            </w:r>
            <w:r>
              <w:rPr>
                <w:rStyle w:val="47"/>
                <w:rFonts w:hint="eastAsia" w:ascii="宋体" w:hAnsi="宋体" w:eastAsia="宋体" w:cs="宋体"/>
                <w:sz w:val="21"/>
                <w:szCs w:val="21"/>
                <w:lang w:val="en-US" w:eastAsia="zh-CN" w:bidi="ar"/>
              </w:rPr>
              <w:t xml:space="preserve">3. </w:t>
            </w:r>
            <w:r>
              <w:rPr>
                <w:rStyle w:val="46"/>
                <w:rFonts w:hint="eastAsia" w:ascii="宋体" w:hAnsi="宋体" w:eastAsia="宋体" w:cs="宋体"/>
                <w:sz w:val="21"/>
                <w:szCs w:val="21"/>
                <w:lang w:val="en-US" w:eastAsia="zh-CN" w:bidi="ar"/>
              </w:rPr>
              <w:t>增值服务证明（如双语报告样本、法规培训签到表等）</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4DD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6"/>
                <w:rFonts w:hint="eastAsia" w:ascii="宋体" w:hAnsi="宋体" w:eastAsia="宋体" w:cs="宋体"/>
                <w:sz w:val="21"/>
                <w:szCs w:val="21"/>
                <w:lang w:val="en-US" w:eastAsia="zh-CN" w:bidi="ar"/>
              </w:rPr>
              <w:t>已提交</w:t>
            </w:r>
            <w:r>
              <w:rPr>
                <w:rStyle w:val="47"/>
                <w:rFonts w:hint="eastAsia" w:ascii="宋体" w:hAnsi="宋体" w:eastAsia="宋体" w:cs="宋体"/>
                <w:sz w:val="21"/>
                <w:szCs w:val="21"/>
                <w:lang w:val="en-US" w:eastAsia="zh-CN" w:bidi="ar"/>
              </w:rPr>
              <w:br w:type="textWrapping"/>
            </w:r>
            <w:r>
              <w:rPr>
                <w:rStyle w:val="47"/>
                <w:rFonts w:hint="eastAsia" w:ascii="宋体" w:hAnsi="宋体" w:eastAsia="宋体" w:cs="宋体"/>
                <w:sz w:val="21"/>
                <w:szCs w:val="21"/>
                <w:lang w:val="en-US" w:eastAsia="zh-CN" w:bidi="ar"/>
              </w:rPr>
              <w:t xml:space="preserve">□ </w:t>
            </w:r>
            <w:r>
              <w:rPr>
                <w:rStyle w:val="46"/>
                <w:rFonts w:hint="eastAsia" w:ascii="宋体" w:hAnsi="宋体" w:eastAsia="宋体" w:cs="宋体"/>
                <w:sz w:val="21"/>
                <w:szCs w:val="21"/>
                <w:lang w:val="en-US" w:eastAsia="zh-CN" w:bidi="ar"/>
              </w:rPr>
              <w:t>不涉及</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6B98A">
            <w:pPr>
              <w:rPr>
                <w:rFonts w:hint="eastAsia" w:ascii="宋体" w:hAnsi="宋体" w:eastAsia="宋体" w:cs="宋体"/>
                <w:i w:val="0"/>
                <w:iCs w:val="0"/>
                <w:color w:val="000000"/>
                <w:sz w:val="21"/>
                <w:szCs w:val="21"/>
                <w:u w:val="none"/>
              </w:rPr>
            </w:pPr>
          </w:p>
        </w:tc>
      </w:tr>
      <w:tr w14:paraId="272B6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419F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14</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96B92">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行业贡献</w:t>
            </w:r>
          </w:p>
        </w:tc>
        <w:tc>
          <w:tcPr>
            <w:tcW w:w="6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CBF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r>
              <w:rPr>
                <w:rStyle w:val="46"/>
                <w:rFonts w:hint="eastAsia" w:ascii="宋体" w:hAnsi="宋体" w:eastAsia="宋体" w:cs="宋体"/>
                <w:sz w:val="21"/>
                <w:szCs w:val="21"/>
                <w:lang w:val="en-US" w:eastAsia="zh-CN" w:bidi="ar"/>
              </w:rPr>
              <w:t>省部级及以上荣誉证书（</w:t>
            </w:r>
            <w:r>
              <w:rPr>
                <w:rStyle w:val="47"/>
                <w:rFonts w:hint="eastAsia" w:ascii="宋体" w:hAnsi="宋体" w:eastAsia="宋体" w:cs="宋体"/>
                <w:sz w:val="21"/>
                <w:szCs w:val="21"/>
                <w:lang w:val="en-US" w:eastAsia="zh-CN" w:bidi="ar"/>
              </w:rPr>
              <w:t>“</w:t>
            </w:r>
            <w:r>
              <w:rPr>
                <w:rStyle w:val="46"/>
                <w:rFonts w:hint="eastAsia" w:ascii="宋体" w:hAnsi="宋体" w:eastAsia="宋体" w:cs="宋体"/>
                <w:sz w:val="21"/>
                <w:szCs w:val="21"/>
                <w:lang w:val="en-US" w:eastAsia="zh-CN" w:bidi="ar"/>
              </w:rPr>
              <w:t>优秀检测机构</w:t>
            </w:r>
            <w:r>
              <w:rPr>
                <w:rStyle w:val="47"/>
                <w:rFonts w:hint="eastAsia" w:ascii="宋体" w:hAnsi="宋体" w:eastAsia="宋体" w:cs="宋体"/>
                <w:sz w:val="21"/>
                <w:szCs w:val="21"/>
                <w:lang w:val="en-US" w:eastAsia="zh-CN" w:bidi="ar"/>
              </w:rPr>
              <w:t>”</w:t>
            </w:r>
            <w:r>
              <w:rPr>
                <w:rStyle w:val="46"/>
                <w:rFonts w:hint="eastAsia" w:ascii="宋体" w:hAnsi="宋体" w:eastAsia="宋体" w:cs="宋体"/>
                <w:sz w:val="21"/>
                <w:szCs w:val="21"/>
                <w:lang w:val="en-US" w:eastAsia="zh-CN" w:bidi="ar"/>
              </w:rPr>
              <w:t>、</w:t>
            </w:r>
            <w:r>
              <w:rPr>
                <w:rStyle w:val="47"/>
                <w:rFonts w:hint="eastAsia" w:ascii="宋体" w:hAnsi="宋体" w:eastAsia="宋体" w:cs="宋体"/>
                <w:sz w:val="21"/>
                <w:szCs w:val="21"/>
                <w:lang w:val="en-US" w:eastAsia="zh-CN" w:bidi="ar"/>
              </w:rPr>
              <w:t>“</w:t>
            </w:r>
            <w:r>
              <w:rPr>
                <w:rStyle w:val="46"/>
                <w:rFonts w:hint="eastAsia" w:ascii="宋体" w:hAnsi="宋体" w:eastAsia="宋体" w:cs="宋体"/>
                <w:sz w:val="21"/>
                <w:szCs w:val="21"/>
                <w:lang w:val="en-US" w:eastAsia="zh-CN" w:bidi="ar"/>
              </w:rPr>
              <w:t>专精特新</w:t>
            </w:r>
            <w:r>
              <w:rPr>
                <w:rStyle w:val="47"/>
                <w:rFonts w:hint="eastAsia" w:ascii="宋体" w:hAnsi="宋体" w:eastAsia="宋体" w:cs="宋体"/>
                <w:sz w:val="21"/>
                <w:szCs w:val="21"/>
                <w:lang w:val="en-US" w:eastAsia="zh-CN" w:bidi="ar"/>
              </w:rPr>
              <w:t>”</w:t>
            </w:r>
            <w:r>
              <w:rPr>
                <w:rStyle w:val="46"/>
                <w:rFonts w:hint="eastAsia" w:ascii="宋体" w:hAnsi="宋体" w:eastAsia="宋体" w:cs="宋体"/>
                <w:sz w:val="21"/>
                <w:szCs w:val="21"/>
                <w:lang w:val="en-US" w:eastAsia="zh-CN" w:bidi="ar"/>
              </w:rPr>
              <w:t>等）</w:t>
            </w:r>
            <w:r>
              <w:rPr>
                <w:rStyle w:val="47"/>
                <w:rFonts w:hint="eastAsia" w:ascii="宋体" w:hAnsi="宋体" w:eastAsia="宋体" w:cs="宋体"/>
                <w:sz w:val="21"/>
                <w:szCs w:val="21"/>
                <w:lang w:val="en-US" w:eastAsia="zh-CN" w:bidi="ar"/>
              </w:rPr>
              <w:br w:type="textWrapping"/>
            </w:r>
            <w:r>
              <w:rPr>
                <w:rStyle w:val="47"/>
                <w:rFonts w:hint="eastAsia" w:ascii="宋体" w:hAnsi="宋体" w:eastAsia="宋体" w:cs="宋体"/>
                <w:sz w:val="21"/>
                <w:szCs w:val="21"/>
                <w:lang w:val="en-US" w:eastAsia="zh-CN" w:bidi="ar"/>
              </w:rPr>
              <w:t xml:space="preserve">2. </w:t>
            </w:r>
            <w:r>
              <w:rPr>
                <w:rStyle w:val="46"/>
                <w:rFonts w:hint="eastAsia" w:ascii="宋体" w:hAnsi="宋体" w:eastAsia="宋体" w:cs="宋体"/>
                <w:sz w:val="21"/>
                <w:szCs w:val="21"/>
                <w:lang w:val="en-US" w:eastAsia="zh-CN" w:bidi="ar"/>
              </w:rPr>
              <w:t>技能竞赛获奖证书（国家</w:t>
            </w:r>
            <w:r>
              <w:rPr>
                <w:rStyle w:val="47"/>
                <w:rFonts w:hint="eastAsia" w:ascii="宋体" w:hAnsi="宋体" w:eastAsia="宋体" w:cs="宋体"/>
                <w:sz w:val="21"/>
                <w:szCs w:val="21"/>
                <w:lang w:val="en-US" w:eastAsia="zh-CN" w:bidi="ar"/>
              </w:rPr>
              <w:t>/</w:t>
            </w:r>
            <w:r>
              <w:rPr>
                <w:rStyle w:val="46"/>
                <w:rFonts w:hint="eastAsia" w:ascii="宋体" w:hAnsi="宋体" w:eastAsia="宋体" w:cs="宋体"/>
                <w:sz w:val="21"/>
                <w:szCs w:val="21"/>
                <w:lang w:val="en-US" w:eastAsia="zh-CN" w:bidi="ar"/>
              </w:rPr>
              <w:t>行业</w:t>
            </w:r>
            <w:r>
              <w:rPr>
                <w:rStyle w:val="47"/>
                <w:rFonts w:hint="eastAsia" w:ascii="宋体" w:hAnsi="宋体" w:eastAsia="宋体" w:cs="宋体"/>
                <w:sz w:val="21"/>
                <w:szCs w:val="21"/>
                <w:lang w:val="en-US" w:eastAsia="zh-CN" w:bidi="ar"/>
              </w:rPr>
              <w:t>/</w:t>
            </w:r>
            <w:r>
              <w:rPr>
                <w:rStyle w:val="46"/>
                <w:rFonts w:hint="eastAsia" w:ascii="宋体" w:hAnsi="宋体" w:eastAsia="宋体" w:cs="宋体"/>
                <w:sz w:val="21"/>
                <w:szCs w:val="21"/>
                <w:lang w:val="en-US" w:eastAsia="zh-CN" w:bidi="ar"/>
              </w:rPr>
              <w:t>省市级）</w:t>
            </w:r>
            <w:r>
              <w:rPr>
                <w:rStyle w:val="47"/>
                <w:rFonts w:hint="eastAsia" w:ascii="宋体" w:hAnsi="宋体" w:eastAsia="宋体" w:cs="宋体"/>
                <w:sz w:val="21"/>
                <w:szCs w:val="21"/>
                <w:lang w:val="en-US" w:eastAsia="zh-CN" w:bidi="ar"/>
              </w:rPr>
              <w:br w:type="textWrapping"/>
            </w:r>
            <w:r>
              <w:rPr>
                <w:rStyle w:val="47"/>
                <w:rFonts w:hint="eastAsia" w:ascii="宋体" w:hAnsi="宋体" w:eastAsia="宋体" w:cs="宋体"/>
                <w:sz w:val="21"/>
                <w:szCs w:val="21"/>
                <w:lang w:val="en-US" w:eastAsia="zh-CN" w:bidi="ar"/>
              </w:rPr>
              <w:t xml:space="preserve">3. </w:t>
            </w:r>
            <w:r>
              <w:rPr>
                <w:rStyle w:val="46"/>
                <w:rFonts w:hint="eastAsia" w:ascii="宋体" w:hAnsi="宋体" w:eastAsia="宋体" w:cs="宋体"/>
                <w:sz w:val="21"/>
                <w:szCs w:val="21"/>
                <w:lang w:val="en-US" w:eastAsia="zh-CN" w:bidi="ar"/>
              </w:rPr>
              <w:t>对接企业绿色管控系统或数字化转型的协议</w:t>
            </w:r>
            <w:r>
              <w:rPr>
                <w:rStyle w:val="47"/>
                <w:rFonts w:hint="eastAsia" w:ascii="宋体" w:hAnsi="宋体" w:eastAsia="宋体" w:cs="宋体"/>
                <w:sz w:val="21"/>
                <w:szCs w:val="21"/>
                <w:lang w:val="en-US" w:eastAsia="zh-CN" w:bidi="ar"/>
              </w:rPr>
              <w:t>/</w:t>
            </w:r>
            <w:r>
              <w:rPr>
                <w:rStyle w:val="46"/>
                <w:rFonts w:hint="eastAsia" w:ascii="宋体" w:hAnsi="宋体" w:eastAsia="宋体" w:cs="宋体"/>
                <w:sz w:val="21"/>
                <w:szCs w:val="21"/>
                <w:lang w:val="en-US" w:eastAsia="zh-CN" w:bidi="ar"/>
              </w:rPr>
              <w:t>证明</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B77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6"/>
                <w:rFonts w:hint="eastAsia" w:ascii="宋体" w:hAnsi="宋体" w:eastAsia="宋体" w:cs="宋体"/>
                <w:sz w:val="21"/>
                <w:szCs w:val="21"/>
                <w:lang w:val="en-US" w:eastAsia="zh-CN" w:bidi="ar"/>
              </w:rPr>
              <w:t>已提交</w:t>
            </w:r>
            <w:r>
              <w:rPr>
                <w:rStyle w:val="47"/>
                <w:rFonts w:hint="eastAsia" w:ascii="宋体" w:hAnsi="宋体" w:eastAsia="宋体" w:cs="宋体"/>
                <w:sz w:val="21"/>
                <w:szCs w:val="21"/>
                <w:lang w:val="en-US" w:eastAsia="zh-CN" w:bidi="ar"/>
              </w:rPr>
              <w:br w:type="textWrapping"/>
            </w:r>
            <w:r>
              <w:rPr>
                <w:rStyle w:val="47"/>
                <w:rFonts w:hint="eastAsia" w:ascii="宋体" w:hAnsi="宋体" w:eastAsia="宋体" w:cs="宋体"/>
                <w:sz w:val="21"/>
                <w:szCs w:val="21"/>
                <w:lang w:val="en-US" w:eastAsia="zh-CN" w:bidi="ar"/>
              </w:rPr>
              <w:t xml:space="preserve">□ </w:t>
            </w:r>
            <w:r>
              <w:rPr>
                <w:rStyle w:val="46"/>
                <w:rFonts w:hint="eastAsia" w:ascii="宋体" w:hAnsi="宋体" w:eastAsia="宋体" w:cs="宋体"/>
                <w:sz w:val="21"/>
                <w:szCs w:val="21"/>
                <w:lang w:val="en-US" w:eastAsia="zh-CN" w:bidi="ar"/>
              </w:rPr>
              <w:t>不涉及</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D0749">
            <w:pPr>
              <w:rPr>
                <w:rFonts w:hint="eastAsia" w:ascii="宋体" w:hAnsi="宋体" w:eastAsia="宋体" w:cs="宋体"/>
                <w:i w:val="0"/>
                <w:iCs w:val="0"/>
                <w:color w:val="000000"/>
                <w:sz w:val="21"/>
                <w:szCs w:val="21"/>
                <w:u w:val="none"/>
              </w:rPr>
            </w:pPr>
          </w:p>
        </w:tc>
      </w:tr>
    </w:tbl>
    <w:p w14:paraId="5DC4181C">
      <w:pPr>
        <w:rPr>
          <w:rFonts w:hint="eastAsia" w:asciiTheme="minorEastAsia" w:hAnsiTheme="minorEastAsia" w:cstheme="minorEastAsia"/>
          <w:b/>
          <w:bCs/>
          <w:szCs w:val="21"/>
        </w:rPr>
      </w:pPr>
    </w:p>
    <w:p w14:paraId="7A286757">
      <w:pPr>
        <w:rPr>
          <w:rFonts w:asciiTheme="minorEastAsia" w:hAnsiTheme="minorEastAsia" w:cstheme="minorEastAsia"/>
          <w:b/>
          <w:bCs/>
          <w:szCs w:val="21"/>
        </w:rPr>
      </w:pPr>
      <w:r>
        <w:rPr>
          <w:rFonts w:hint="eastAsia" w:asciiTheme="minorEastAsia" w:hAnsiTheme="minorEastAsia" w:cstheme="minorEastAsia"/>
          <w:b/>
          <w:bCs/>
          <w:szCs w:val="21"/>
        </w:rPr>
        <w:t>其他</w:t>
      </w:r>
      <w:r>
        <w:rPr>
          <w:rFonts w:hint="eastAsia" w:asciiTheme="minorEastAsia" w:hAnsiTheme="minorEastAsia" w:cstheme="minorEastAsia"/>
          <w:b/>
          <w:bCs/>
          <w:szCs w:val="21"/>
          <w:lang w:val="en-US" w:eastAsia="zh-CN"/>
        </w:rPr>
        <w:t>支撑性</w:t>
      </w:r>
      <w:r>
        <w:rPr>
          <w:rFonts w:hint="eastAsia" w:asciiTheme="minorEastAsia" w:hAnsiTheme="minorEastAsia" w:cstheme="minorEastAsia"/>
          <w:b/>
          <w:bCs/>
          <w:szCs w:val="21"/>
        </w:rPr>
        <w:t>资料：</w:t>
      </w:r>
    </w:p>
    <w:p w14:paraId="7B116D89">
      <w:pPr>
        <w:rPr>
          <w:rFonts w:asciiTheme="minorEastAsia" w:hAnsiTheme="minorEastAsia" w:cstheme="minorEastAsia"/>
          <w:b/>
          <w:bCs/>
          <w:szCs w:val="21"/>
        </w:rPr>
      </w:pPr>
      <w:r>
        <w:rPr>
          <w:rFonts w:hint="eastAsia" w:asciiTheme="minorEastAsia" w:hAnsiTheme="minorEastAsia" w:cstheme="minorEastAsia"/>
          <w:szCs w:val="21"/>
        </w:rPr>
        <w:t xml:space="preserve">□ </w:t>
      </w:r>
      <w:r>
        <w:rPr>
          <w:rFonts w:hint="eastAsia" w:asciiTheme="minorEastAsia" w:hAnsiTheme="minorEastAsia" w:cstheme="minorEastAsia"/>
          <w:szCs w:val="21"/>
          <w:u w:val="single"/>
        </w:rPr>
        <w:t xml:space="preserve">                  </w:t>
      </w:r>
    </w:p>
    <w:p w14:paraId="66A42790">
      <w:pPr>
        <w:rPr>
          <w:rFonts w:asciiTheme="minorEastAsia" w:hAnsiTheme="minorEastAsia" w:cstheme="minorEastAsia"/>
          <w:szCs w:val="21"/>
          <w:u w:val="dash"/>
        </w:rPr>
      </w:pPr>
      <w:r>
        <w:rPr>
          <w:rFonts w:hint="eastAsia" w:asciiTheme="minorEastAsia" w:hAnsiTheme="minorEastAsia" w:cstheme="minorEastAsia"/>
          <w:szCs w:val="21"/>
          <w:u w:val="dash"/>
        </w:rPr>
        <w:t xml:space="preserve">                                                                                            </w:t>
      </w:r>
    </w:p>
    <w:p w14:paraId="428EB6D3">
      <w:pPr>
        <w:jc w:val="center"/>
        <w:rPr>
          <w:rFonts w:asciiTheme="minorEastAsia" w:hAnsiTheme="minorEastAsia" w:cstheme="minorEastAsia"/>
          <w:b/>
          <w:bCs/>
          <w:szCs w:val="21"/>
        </w:rPr>
      </w:pPr>
      <w:r>
        <w:rPr>
          <w:rFonts w:hint="eastAsia" w:asciiTheme="minorEastAsia" w:hAnsiTheme="minorEastAsia" w:cstheme="minorEastAsia"/>
          <w:b/>
          <w:bCs/>
          <w:szCs w:val="21"/>
        </w:rPr>
        <w:t>承诺声明：</w:t>
      </w:r>
    </w:p>
    <w:p w14:paraId="67A0FA45">
      <w:pPr>
        <w:jc w:val="left"/>
        <w:rPr>
          <w:rFonts w:hint="eastAsia" w:asciiTheme="minorEastAsia" w:hAnsiTheme="minorEastAsia" w:cstheme="minorEastAsia"/>
          <w:szCs w:val="21"/>
        </w:rPr>
      </w:pPr>
      <w:r>
        <w:rPr>
          <w:rFonts w:hint="eastAsia" w:asciiTheme="minorEastAsia" w:hAnsiTheme="minorEastAsia" w:cstheme="minorEastAsia"/>
          <w:szCs w:val="21"/>
        </w:rPr>
        <w:t>本实验室（机构）郑重承诺：</w:t>
      </w:r>
    </w:p>
    <w:p w14:paraId="580FE14F">
      <w:pPr>
        <w:numPr>
          <w:ilvl w:val="0"/>
          <w:numId w:val="10"/>
        </w:numPr>
        <w:ind w:left="0" w:leftChars="0" w:firstLine="0" w:firstLineChars="0"/>
        <w:jc w:val="left"/>
        <w:rPr>
          <w:rFonts w:hint="eastAsia" w:asciiTheme="minorEastAsia" w:hAnsiTheme="minorEastAsia" w:cstheme="minorEastAsia"/>
          <w:szCs w:val="21"/>
        </w:rPr>
      </w:pPr>
      <w:r>
        <w:rPr>
          <w:rFonts w:hint="eastAsia" w:asciiTheme="minorEastAsia" w:hAnsiTheme="minorEastAsia" w:cstheme="minorEastAsia"/>
          <w:szCs w:val="21"/>
        </w:rPr>
        <w:t>本申请表及所附所有证明材料均真实、有效、完整，不存在虚假记载、误导性陈述或重大遗漏。</w:t>
      </w:r>
    </w:p>
    <w:p w14:paraId="23608AE8">
      <w:pPr>
        <w:numPr>
          <w:ilvl w:val="0"/>
          <w:numId w:val="10"/>
        </w:numPr>
        <w:ind w:left="0" w:leftChars="0" w:firstLine="0" w:firstLineChars="0"/>
        <w:jc w:val="left"/>
        <w:rPr>
          <w:rFonts w:hint="eastAsia" w:asciiTheme="minorEastAsia" w:hAnsiTheme="minorEastAsia" w:cstheme="minorEastAsia"/>
          <w:szCs w:val="21"/>
        </w:rPr>
      </w:pPr>
      <w:r>
        <w:rPr>
          <w:rFonts w:hint="eastAsia" w:asciiTheme="minorEastAsia" w:hAnsiTheme="minorEastAsia" w:cstheme="minorEastAsia"/>
          <w:szCs w:val="21"/>
        </w:rPr>
        <w:t>本实验室近三年内无严重违反国家法律法规行为，无重大检测质量安全事故。</w:t>
      </w:r>
    </w:p>
    <w:p w14:paraId="735F3A87">
      <w:pPr>
        <w:numPr>
          <w:ilvl w:val="0"/>
          <w:numId w:val="10"/>
        </w:numPr>
        <w:ind w:left="0" w:leftChars="0" w:firstLine="0" w:firstLineChars="0"/>
        <w:jc w:val="left"/>
        <w:rPr>
          <w:rFonts w:hint="eastAsia" w:asciiTheme="minorEastAsia" w:hAnsiTheme="minorEastAsia" w:cstheme="minorEastAsia"/>
          <w:szCs w:val="21"/>
        </w:rPr>
      </w:pPr>
      <w:r>
        <w:rPr>
          <w:rFonts w:hint="eastAsia" w:asciiTheme="minorEastAsia" w:hAnsiTheme="minorEastAsia" w:cstheme="minorEastAsia"/>
          <w:szCs w:val="21"/>
        </w:rPr>
        <w:t>本实验室同意遵守《电器电子产品环保检测高质量实验室评价规范》及相关管理办法，积极配合评价机构的资料审查、现场核查及后续监督管理工作。</w:t>
      </w:r>
    </w:p>
    <w:p w14:paraId="6C81D429">
      <w:pPr>
        <w:numPr>
          <w:ilvl w:val="0"/>
          <w:numId w:val="10"/>
        </w:numPr>
        <w:ind w:left="0" w:leftChars="0" w:firstLine="0" w:firstLineChars="0"/>
        <w:jc w:val="left"/>
        <w:rPr>
          <w:rFonts w:hint="eastAsia" w:asciiTheme="minorEastAsia" w:hAnsiTheme="minorEastAsia" w:cstheme="minorEastAsia"/>
          <w:szCs w:val="21"/>
        </w:rPr>
      </w:pPr>
      <w:r>
        <w:rPr>
          <w:rFonts w:hint="eastAsia" w:asciiTheme="minorEastAsia" w:hAnsiTheme="minorEastAsia" w:cstheme="minorEastAsia"/>
          <w:szCs w:val="21"/>
        </w:rPr>
        <w:t>如获得相关等级评价，将严格按照规范使用等级标识，不超范围使用，不误导公众。</w:t>
      </w:r>
    </w:p>
    <w:p w14:paraId="79106045">
      <w:pPr>
        <w:numPr>
          <w:ilvl w:val="0"/>
          <w:numId w:val="10"/>
        </w:numPr>
        <w:ind w:left="0" w:leftChars="0" w:firstLine="0" w:firstLineChars="0"/>
        <w:jc w:val="left"/>
        <w:rPr>
          <w:rFonts w:hint="eastAsia" w:asciiTheme="minorEastAsia" w:hAnsiTheme="minorEastAsia" w:cstheme="minorEastAsia"/>
          <w:szCs w:val="21"/>
        </w:rPr>
      </w:pPr>
      <w:r>
        <w:rPr>
          <w:rFonts w:hint="eastAsia" w:asciiTheme="minorEastAsia" w:hAnsiTheme="minorEastAsia" w:cstheme="minorEastAsia"/>
          <w:szCs w:val="21"/>
        </w:rPr>
        <w:t>本实验室承诺开通“高质量实验室数据平台”账号，配合评价机构的数据采集与脱敏分析工作。</w:t>
      </w:r>
    </w:p>
    <w:p w14:paraId="06A08F6C">
      <w:pPr>
        <w:numPr>
          <w:ilvl w:val="0"/>
          <w:numId w:val="10"/>
        </w:numPr>
        <w:ind w:left="0" w:leftChars="0" w:firstLine="0" w:firstLineChars="0"/>
        <w:jc w:val="left"/>
        <w:rPr>
          <w:rFonts w:hint="eastAsia" w:asciiTheme="minorEastAsia" w:hAnsiTheme="minorEastAsia" w:cstheme="minorEastAsia"/>
          <w:szCs w:val="21"/>
        </w:rPr>
      </w:pPr>
      <w:r>
        <w:rPr>
          <w:rFonts w:hint="eastAsia" w:asciiTheme="minorEastAsia" w:hAnsiTheme="minorEastAsia" w:cstheme="minorEastAsia"/>
          <w:szCs w:val="21"/>
        </w:rPr>
        <w:t>本实验室承诺接受不预先通知的飞行检查，并保证在检查组到达后 30分钟内 配合开展工作。</w:t>
      </w:r>
    </w:p>
    <w:p w14:paraId="113B902C">
      <w:pPr>
        <w:numPr>
          <w:ilvl w:val="0"/>
          <w:numId w:val="10"/>
        </w:numPr>
        <w:ind w:left="0" w:leftChars="0" w:firstLine="0" w:firstLineChars="0"/>
        <w:jc w:val="left"/>
        <w:rPr>
          <w:rFonts w:asciiTheme="minorEastAsia" w:hAnsiTheme="minorEastAsia" w:cstheme="minorEastAsia"/>
          <w:szCs w:val="21"/>
        </w:rPr>
      </w:pPr>
      <w:r>
        <w:rPr>
          <w:rFonts w:hint="eastAsia" w:asciiTheme="minorEastAsia" w:hAnsiTheme="minorEastAsia" w:cstheme="minorEastAsia"/>
          <w:szCs w:val="21"/>
        </w:rPr>
        <w:t>如有违反上述承诺，本实验室愿承担由此产生的法律责任，并接受评价机构撤销证书、公开通报等处理措施。</w:t>
      </w:r>
    </w:p>
    <w:p w14:paraId="3516AB0C">
      <w:pPr>
        <w:jc w:val="right"/>
        <w:rPr>
          <w:rFonts w:asciiTheme="minorEastAsia" w:hAnsiTheme="minorEastAsia" w:cstheme="minorEastAsia"/>
          <w:szCs w:val="21"/>
        </w:rPr>
      </w:pPr>
    </w:p>
    <w:tbl>
      <w:tblPr>
        <w:tblStyle w:val="15"/>
        <w:tblpPr w:leftFromText="180" w:rightFromText="180" w:vertAnchor="text" w:horzAnchor="page" w:tblpX="5337" w:tblpY="245"/>
        <w:tblOverlap w:val="never"/>
        <w:tblW w:w="5653" w:type="dxa"/>
        <w:tblInd w:w="0" w:type="dxa"/>
        <w:tblLayout w:type="fixed"/>
        <w:tblCellMar>
          <w:top w:w="0" w:type="dxa"/>
          <w:left w:w="108" w:type="dxa"/>
          <w:bottom w:w="0" w:type="dxa"/>
          <w:right w:w="108" w:type="dxa"/>
        </w:tblCellMar>
      </w:tblPr>
      <w:tblGrid>
        <w:gridCol w:w="2700"/>
        <w:gridCol w:w="2953"/>
      </w:tblGrid>
      <w:tr w14:paraId="3616937F">
        <w:tblPrEx>
          <w:tblCellMar>
            <w:top w:w="0" w:type="dxa"/>
            <w:left w:w="108" w:type="dxa"/>
            <w:bottom w:w="0" w:type="dxa"/>
            <w:right w:w="108" w:type="dxa"/>
          </w:tblCellMar>
        </w:tblPrEx>
        <w:trPr>
          <w:trHeight w:val="1031" w:hRule="atLeast"/>
        </w:trPr>
        <w:tc>
          <w:tcPr>
            <w:tcW w:w="2700" w:type="dxa"/>
            <w:tcBorders>
              <w:top w:val="nil"/>
              <w:left w:val="nil"/>
              <w:bottom w:val="nil"/>
              <w:right w:val="nil"/>
            </w:tcBorders>
            <w:shd w:val="clear" w:color="auto" w:fill="auto"/>
            <w:noWrap/>
            <w:vAlign w:val="center"/>
          </w:tcPr>
          <w:p w14:paraId="6E83358F">
            <w:pPr>
              <w:jc w:val="left"/>
              <w:rPr>
                <w:rFonts w:ascii="宋体" w:hAnsi="宋体" w:eastAsia="宋体" w:cs="宋体"/>
                <w:szCs w:val="21"/>
              </w:rPr>
            </w:pPr>
            <w:r>
              <w:rPr>
                <w:rFonts w:hint="eastAsia" w:ascii="宋体" w:hAnsi="宋体" w:eastAsia="宋体" w:cs="宋体"/>
                <w:szCs w:val="21"/>
              </w:rPr>
              <w:t>实验室负责人签字：</w:t>
            </w:r>
          </w:p>
        </w:tc>
        <w:tc>
          <w:tcPr>
            <w:tcW w:w="2953" w:type="dxa"/>
            <w:tcBorders>
              <w:top w:val="nil"/>
              <w:left w:val="nil"/>
              <w:bottom w:val="nil"/>
              <w:right w:val="nil"/>
            </w:tcBorders>
            <w:shd w:val="clear" w:color="auto" w:fill="auto"/>
            <w:noWrap/>
            <w:vAlign w:val="center"/>
          </w:tcPr>
          <w:p w14:paraId="60AA4C02">
            <w:pPr>
              <w:jc w:val="right"/>
              <w:rPr>
                <w:rFonts w:ascii="宋体" w:hAnsi="宋体" w:eastAsia="宋体" w:cs="宋体"/>
                <w:szCs w:val="21"/>
              </w:rPr>
            </w:pPr>
            <w:r>
              <w:rPr>
                <w:rFonts w:hint="eastAsia" w:ascii="宋体" w:hAnsi="宋体" w:eastAsia="宋体" w:cs="宋体"/>
                <w:szCs w:val="21"/>
              </w:rPr>
              <w:t>（加盖公章）</w:t>
            </w:r>
          </w:p>
        </w:tc>
      </w:tr>
      <w:tr w14:paraId="70E5C78C">
        <w:tblPrEx>
          <w:tblCellMar>
            <w:top w:w="0" w:type="dxa"/>
            <w:left w:w="108" w:type="dxa"/>
            <w:bottom w:w="0" w:type="dxa"/>
            <w:right w:w="108" w:type="dxa"/>
          </w:tblCellMar>
        </w:tblPrEx>
        <w:trPr>
          <w:trHeight w:val="428" w:hRule="atLeast"/>
        </w:trPr>
        <w:tc>
          <w:tcPr>
            <w:tcW w:w="2700" w:type="dxa"/>
            <w:tcBorders>
              <w:top w:val="nil"/>
              <w:left w:val="nil"/>
              <w:bottom w:val="nil"/>
              <w:right w:val="nil"/>
            </w:tcBorders>
            <w:shd w:val="clear" w:color="auto" w:fill="auto"/>
            <w:noWrap/>
            <w:vAlign w:val="center"/>
          </w:tcPr>
          <w:p w14:paraId="763664D6">
            <w:pPr>
              <w:jc w:val="left"/>
              <w:rPr>
                <w:rFonts w:ascii="宋体" w:hAnsi="宋体" w:eastAsia="宋体" w:cs="宋体"/>
                <w:szCs w:val="21"/>
              </w:rPr>
            </w:pPr>
            <w:r>
              <w:rPr>
                <w:rFonts w:hint="eastAsia" w:ascii="宋体" w:hAnsi="宋体" w:eastAsia="宋体" w:cs="宋体"/>
                <w:szCs w:val="21"/>
              </w:rPr>
              <w:t>日期：</w:t>
            </w:r>
          </w:p>
        </w:tc>
        <w:tc>
          <w:tcPr>
            <w:tcW w:w="2953" w:type="dxa"/>
            <w:tcBorders>
              <w:top w:val="nil"/>
              <w:left w:val="nil"/>
              <w:bottom w:val="nil"/>
              <w:right w:val="nil"/>
            </w:tcBorders>
            <w:shd w:val="clear" w:color="auto" w:fill="auto"/>
            <w:noWrap/>
            <w:vAlign w:val="center"/>
          </w:tcPr>
          <w:p w14:paraId="667B65FF">
            <w:pPr>
              <w:jc w:val="right"/>
              <w:rPr>
                <w:rFonts w:ascii="宋体" w:hAnsi="宋体" w:eastAsia="宋体" w:cs="宋体"/>
                <w:szCs w:val="21"/>
              </w:rPr>
            </w:pPr>
            <w:r>
              <w:rPr>
                <w:rFonts w:hint="eastAsia" w:ascii="宋体" w:hAnsi="宋体" w:eastAsia="宋体" w:cs="宋体"/>
                <w:szCs w:val="21"/>
              </w:rPr>
              <w:t>202  年　　月　　日</w:t>
            </w:r>
          </w:p>
        </w:tc>
      </w:tr>
    </w:tbl>
    <w:p w14:paraId="2C54C4AE">
      <w:pPr>
        <w:pStyle w:val="30"/>
        <w:ind w:firstLine="0" w:firstLineChars="0"/>
        <w:rPr>
          <w:szCs w:val="21"/>
        </w:rPr>
      </w:pPr>
    </w:p>
    <w:p w14:paraId="199AC3C8">
      <w:pPr>
        <w:jc w:val="left"/>
        <w:outlineLvl w:val="0"/>
        <w:rPr>
          <w:rStyle w:val="23"/>
          <w:rFonts w:ascii="宋体" w:hAnsi="宋体" w:eastAsia="宋体" w:cs="Times New Roman"/>
          <w:szCs w:val="21"/>
        </w:rPr>
      </w:pPr>
    </w:p>
    <w:p w14:paraId="61559F14">
      <w:pPr>
        <w:jc w:val="left"/>
        <w:outlineLvl w:val="0"/>
        <w:rPr>
          <w:rStyle w:val="23"/>
          <w:rFonts w:ascii="宋体" w:hAnsi="宋体" w:eastAsia="宋体" w:cs="Times New Roman"/>
          <w:szCs w:val="21"/>
        </w:rPr>
      </w:pPr>
    </w:p>
    <w:p w14:paraId="2CC4B0C9">
      <w:pPr>
        <w:jc w:val="left"/>
        <w:outlineLvl w:val="0"/>
        <w:rPr>
          <w:rStyle w:val="23"/>
          <w:rFonts w:ascii="黑体" w:hAnsi="黑体" w:eastAsia="黑体" w:cs="黑体"/>
          <w:szCs w:val="21"/>
        </w:rPr>
      </w:pPr>
    </w:p>
    <w:p w14:paraId="1F8721C5">
      <w:pPr>
        <w:jc w:val="both"/>
        <w:outlineLvl w:val="0"/>
        <w:rPr>
          <w:rStyle w:val="23"/>
          <w:rFonts w:ascii="黑体" w:hAnsi="黑体" w:eastAsia="黑体" w:cs="黑体"/>
          <w:szCs w:val="21"/>
        </w:rPr>
        <w:sectPr>
          <w:headerReference r:id="rId13" w:type="default"/>
          <w:footerReference r:id="rId15" w:type="default"/>
          <w:headerReference r:id="rId14" w:type="even"/>
          <w:footerReference r:id="rId16" w:type="even"/>
          <w:pgSz w:w="11906" w:h="16838"/>
          <w:pgMar w:top="1928" w:right="1134" w:bottom="1134" w:left="1134" w:header="1417" w:footer="1134" w:gutter="0"/>
          <w:pgNumType w:fmt="decimal" w:start="1"/>
          <w:cols w:space="425" w:num="1"/>
          <w:docGrid w:type="lines" w:linePitch="312" w:charSpace="0"/>
        </w:sectPr>
      </w:pPr>
    </w:p>
    <w:p w14:paraId="068236E6">
      <w:pPr>
        <w:jc w:val="center"/>
        <w:outlineLvl w:val="0"/>
        <w:rPr>
          <w:rStyle w:val="23"/>
          <w:rFonts w:ascii="黑体" w:hAnsi="黑体" w:eastAsia="黑体" w:cs="黑体"/>
          <w:b/>
          <w:bCs/>
          <w:sz w:val="21"/>
          <w:szCs w:val="21"/>
        </w:rPr>
      </w:pPr>
      <w:bookmarkStart w:id="73" w:name="_Toc21458"/>
      <w:r>
        <w:rPr>
          <w:rStyle w:val="23"/>
          <w:rFonts w:hint="eastAsia" w:ascii="黑体" w:hAnsi="黑体" w:eastAsia="黑体" w:cs="黑体"/>
          <w:b/>
          <w:bCs/>
          <w:sz w:val="21"/>
          <w:szCs w:val="21"/>
        </w:rPr>
        <w:t>附  录  B</w:t>
      </w:r>
      <w:bookmarkEnd w:id="73"/>
      <w:bookmarkStart w:id="74" w:name="_Toc18643"/>
    </w:p>
    <w:p w14:paraId="4C80D817">
      <w:pPr>
        <w:jc w:val="center"/>
        <w:outlineLvl w:val="0"/>
        <w:rPr>
          <w:rStyle w:val="23"/>
          <w:rFonts w:hint="eastAsia" w:ascii="黑体" w:hAnsi="黑体" w:eastAsia="黑体" w:cs="黑体"/>
          <w:sz w:val="21"/>
          <w:szCs w:val="21"/>
        </w:rPr>
      </w:pPr>
      <w:bookmarkStart w:id="75" w:name="_Toc27757"/>
      <w:r>
        <w:rPr>
          <w:rStyle w:val="23"/>
          <w:rFonts w:hint="eastAsia" w:ascii="黑体" w:hAnsi="黑体" w:eastAsia="黑体" w:cs="黑体"/>
          <w:sz w:val="21"/>
          <w:szCs w:val="21"/>
        </w:rPr>
        <w:t>（规范性）</w:t>
      </w:r>
      <w:bookmarkEnd w:id="74"/>
      <w:bookmarkEnd w:id="75"/>
      <w:bookmarkStart w:id="76" w:name="_Toc30702"/>
    </w:p>
    <w:p w14:paraId="5E4B0AB7">
      <w:pPr>
        <w:jc w:val="center"/>
        <w:outlineLvl w:val="0"/>
        <w:rPr>
          <w:rStyle w:val="23"/>
          <w:rFonts w:hint="eastAsia" w:ascii="黑体" w:hAnsi="黑体" w:eastAsia="黑体" w:cs="黑体"/>
          <w:b w:val="0"/>
          <w:bCs w:val="0"/>
          <w:sz w:val="21"/>
          <w:szCs w:val="21"/>
        </w:rPr>
      </w:pPr>
      <w:bookmarkStart w:id="77" w:name="_Toc28060"/>
      <w:r>
        <w:rPr>
          <w:rFonts w:hint="eastAsia" w:ascii="黑体" w:hAnsi="黑体" w:eastAsia="黑体" w:cs="黑体"/>
          <w:b w:val="0"/>
          <w:bCs w:val="0"/>
          <w:sz w:val="21"/>
          <w:szCs w:val="21"/>
          <w:highlight w:val="none"/>
        </w:rPr>
        <w:t>电器电子产品环保检测高质量实验室评价规范</w:t>
      </w:r>
      <w:r>
        <w:rPr>
          <w:rFonts w:hint="eastAsia" w:ascii="黑体" w:hAnsi="黑体" w:eastAsia="黑体" w:cs="黑体"/>
          <w:b w:val="0"/>
          <w:bCs w:val="0"/>
          <w:sz w:val="21"/>
          <w:szCs w:val="21"/>
          <w:highlight w:val="none"/>
          <w:lang w:eastAsia="zh-CN"/>
        </w:rPr>
        <w:t>－</w:t>
      </w:r>
      <w:r>
        <w:rPr>
          <w:rFonts w:hint="eastAsia" w:ascii="黑体" w:hAnsi="黑体" w:eastAsia="黑体" w:cs="黑体"/>
          <w:b w:val="0"/>
          <w:bCs w:val="0"/>
          <w:sz w:val="21"/>
          <w:szCs w:val="21"/>
          <w:highlight w:val="none"/>
        </w:rPr>
        <w:t>评分细则</w:t>
      </w:r>
      <w:bookmarkEnd w:id="77"/>
    </w:p>
    <w:bookmarkEnd w:id="76"/>
    <w:p w14:paraId="37967FAF">
      <w:pPr>
        <w:pStyle w:val="30"/>
        <w:ind w:firstLine="0" w:firstLineChars="0"/>
      </w:pPr>
    </w:p>
    <w:tbl>
      <w:tblPr>
        <w:tblStyle w:val="15"/>
        <w:tblW w:w="11110" w:type="dxa"/>
        <w:tblInd w:w="-62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7"/>
        <w:gridCol w:w="1600"/>
        <w:gridCol w:w="583"/>
        <w:gridCol w:w="1633"/>
        <w:gridCol w:w="517"/>
        <w:gridCol w:w="3550"/>
        <w:gridCol w:w="2650"/>
      </w:tblGrid>
      <w:tr w14:paraId="1FF4F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1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0440D03">
            <w:pPr>
              <w:keepNext w:val="0"/>
              <w:keepLines w:val="0"/>
              <w:widowControl/>
              <w:suppressLineNumbers w:val="0"/>
              <w:jc w:val="left"/>
              <w:textAlignment w:val="center"/>
              <w:rPr>
                <w:rFonts w:hint="eastAsia" w:ascii="黑体" w:hAnsi="黑体" w:eastAsia="黑体" w:cs="黑体"/>
                <w:b/>
                <w:bCs/>
                <w:i w:val="0"/>
                <w:iCs w:val="0"/>
                <w:color w:val="000000"/>
                <w:sz w:val="21"/>
                <w:szCs w:val="21"/>
                <w:u w:val="none"/>
              </w:rPr>
            </w:pPr>
            <w:r>
              <w:rPr>
                <w:rFonts w:hint="eastAsia" w:ascii="微软雅黑" w:hAnsi="微软雅黑" w:eastAsia="微软雅黑" w:cs="微软雅黑"/>
                <w:b/>
                <w:bCs/>
                <w:i w:val="0"/>
                <w:iCs w:val="0"/>
                <w:color w:val="000000"/>
                <w:kern w:val="0"/>
                <w:sz w:val="22"/>
                <w:szCs w:val="22"/>
                <w:u w:val="none"/>
                <w:lang w:val="en-US" w:eastAsia="zh-CN" w:bidi="ar"/>
              </w:rPr>
              <w:t xml:space="preserve">1. </w:t>
            </w:r>
            <w:r>
              <w:rPr>
                <w:rStyle w:val="37"/>
                <w:rFonts w:hint="eastAsia" w:ascii="微软雅黑" w:hAnsi="微软雅黑" w:eastAsia="微软雅黑" w:cs="微软雅黑"/>
                <w:b/>
                <w:bCs/>
                <w:sz w:val="22"/>
                <w:szCs w:val="22"/>
                <w:u w:val="none"/>
                <w:lang w:val="en-US" w:eastAsia="zh-CN" w:bidi="ar"/>
              </w:rPr>
              <w:t>基础项（共</w:t>
            </w:r>
            <w:r>
              <w:rPr>
                <w:rStyle w:val="38"/>
                <w:rFonts w:hint="eastAsia" w:ascii="微软雅黑" w:hAnsi="微软雅黑" w:eastAsia="微软雅黑" w:cs="微软雅黑"/>
                <w:b/>
                <w:bCs/>
                <w:sz w:val="22"/>
                <w:szCs w:val="22"/>
                <w:u w:val="none"/>
                <w:lang w:val="en-US" w:eastAsia="zh-CN" w:bidi="ar"/>
              </w:rPr>
              <w:t>650</w:t>
            </w:r>
            <w:r>
              <w:rPr>
                <w:rStyle w:val="37"/>
                <w:rFonts w:hint="eastAsia" w:ascii="微软雅黑" w:hAnsi="微软雅黑" w:eastAsia="微软雅黑" w:cs="微软雅黑"/>
                <w:b/>
                <w:bCs/>
                <w:sz w:val="22"/>
                <w:szCs w:val="22"/>
                <w:u w:val="none"/>
                <w:lang w:val="en-US" w:eastAsia="zh-CN" w:bidi="ar"/>
              </w:rPr>
              <w:t>分）</w:t>
            </w:r>
          </w:p>
        </w:tc>
      </w:tr>
      <w:tr w14:paraId="179A3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D575A">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48561">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一级指标</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FC66C">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分值</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BA460">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二级指标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10BF8">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分值</w:t>
            </w:r>
          </w:p>
        </w:tc>
        <w:tc>
          <w:tcPr>
            <w:tcW w:w="3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B3DEB">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评分标准及要求</w:t>
            </w:r>
          </w:p>
        </w:tc>
        <w:tc>
          <w:tcPr>
            <w:tcW w:w="2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61825">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关键支撑材料</w:t>
            </w:r>
          </w:p>
        </w:tc>
      </w:tr>
      <w:tr w14:paraId="49034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2BA45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9A844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资质与合规性</w:t>
            </w:r>
          </w:p>
        </w:tc>
        <w:tc>
          <w:tcPr>
            <w:tcW w:w="5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52313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8CE55">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资质认定</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F735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40</w:t>
            </w:r>
          </w:p>
        </w:tc>
        <w:tc>
          <w:tcPr>
            <w:tcW w:w="3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CF22C">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具备CMA资质得20分</w:t>
            </w:r>
          </w:p>
          <w:p w14:paraId="5597CFB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具备CNAS认可得20分</w:t>
            </w:r>
          </w:p>
        </w:tc>
        <w:tc>
          <w:tcPr>
            <w:tcW w:w="2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56442">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证书复印件、能力附表</w:t>
            </w:r>
          </w:p>
        </w:tc>
      </w:tr>
      <w:tr w14:paraId="16FD3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9B6A3">
            <w:pPr>
              <w:jc w:val="center"/>
              <w:rPr>
                <w:rFonts w:hint="eastAsia" w:ascii="宋体" w:hAnsi="宋体" w:eastAsia="宋体" w:cs="宋体"/>
                <w:b w:val="0"/>
                <w:bCs w:val="0"/>
                <w:i w:val="0"/>
                <w:iCs w:val="0"/>
                <w:color w:val="000000"/>
                <w:sz w:val="21"/>
                <w:szCs w:val="21"/>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EFF0E1">
            <w:pPr>
              <w:jc w:val="center"/>
              <w:rPr>
                <w:rFonts w:hint="eastAsia" w:ascii="宋体" w:hAnsi="宋体" w:eastAsia="宋体" w:cs="宋体"/>
                <w:b w:val="0"/>
                <w:bCs w:val="0"/>
                <w:i w:val="0"/>
                <w:iCs w:val="0"/>
                <w:color w:val="000000"/>
                <w:sz w:val="21"/>
                <w:szCs w:val="21"/>
                <w:u w:val="none"/>
              </w:rPr>
            </w:pPr>
          </w:p>
        </w:tc>
        <w:tc>
          <w:tcPr>
            <w:tcW w:w="5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3500E3">
            <w:pPr>
              <w:jc w:val="center"/>
              <w:rPr>
                <w:rFonts w:hint="eastAsia" w:ascii="宋体" w:hAnsi="宋体" w:eastAsia="宋体" w:cs="宋体"/>
                <w:b w:val="0"/>
                <w:bCs w:val="0"/>
                <w:i w:val="0"/>
                <w:iCs w:val="0"/>
                <w:color w:val="000000"/>
                <w:sz w:val="21"/>
                <w:szCs w:val="21"/>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57CEE">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法律法规遵守</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8409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30</w:t>
            </w:r>
          </w:p>
        </w:tc>
        <w:tc>
          <w:tcPr>
            <w:tcW w:w="3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CBF37">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近3年无违法违规记录得30分</w:t>
            </w:r>
          </w:p>
          <w:p w14:paraId="155BC00E">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有整改记录但无重大事故得15分</w:t>
            </w:r>
          </w:p>
        </w:tc>
        <w:tc>
          <w:tcPr>
            <w:tcW w:w="2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5224A">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无违规声明、信用报告</w:t>
            </w:r>
          </w:p>
        </w:tc>
      </w:tr>
      <w:tr w14:paraId="4642D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19FF9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C1B30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人员能力</w:t>
            </w:r>
          </w:p>
        </w:tc>
        <w:tc>
          <w:tcPr>
            <w:tcW w:w="5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866A0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0200A">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关键岗位能力</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7B18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20</w:t>
            </w:r>
          </w:p>
        </w:tc>
        <w:tc>
          <w:tcPr>
            <w:tcW w:w="3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9F04D">
            <w:pPr>
              <w:keepNext w:val="0"/>
              <w:keepLines w:val="0"/>
              <w:widowControl/>
              <w:numPr>
                <w:ilvl w:val="0"/>
                <w:numId w:val="11"/>
              </w:numPr>
              <w:suppressLineNumbers w:val="0"/>
              <w:jc w:val="left"/>
              <w:textAlignment w:val="center"/>
              <w:rPr>
                <w:rFonts w:hint="default" w:ascii="宋体" w:hAnsi="宋体" w:eastAsia="宋体" w:cs="宋体"/>
                <w:b w:val="0"/>
                <w:bCs w:val="0"/>
                <w:i w:val="0"/>
                <w:iCs w:val="0"/>
                <w:color w:val="000000"/>
                <w:kern w:val="0"/>
                <w:sz w:val="21"/>
                <w:szCs w:val="21"/>
                <w:u w:val="none"/>
                <w:lang w:val="en-US" w:eastAsia="zh-CN" w:bidi="ar"/>
              </w:rPr>
            </w:pPr>
            <w:r>
              <w:rPr>
                <w:rFonts w:hint="default" w:ascii="宋体" w:hAnsi="宋体" w:eastAsia="宋体" w:cs="宋体"/>
                <w:b w:val="0"/>
                <w:bCs w:val="0"/>
                <w:i w:val="0"/>
                <w:iCs w:val="0"/>
                <w:color w:val="000000"/>
                <w:kern w:val="0"/>
                <w:sz w:val="21"/>
                <w:szCs w:val="21"/>
                <w:u w:val="none"/>
                <w:lang w:val="en-US" w:eastAsia="zh-CN" w:bidi="ar"/>
              </w:rPr>
              <w:t>资历与职称10分</w:t>
            </w:r>
          </w:p>
          <w:p w14:paraId="313D693C">
            <w:pPr>
              <w:keepNext w:val="0"/>
              <w:keepLines w:val="0"/>
              <w:widowControl/>
              <w:numPr>
                <w:ilvl w:val="0"/>
                <w:numId w:val="11"/>
              </w:numPr>
              <w:suppressLineNumbers w:val="0"/>
              <w:jc w:val="left"/>
              <w:textAlignment w:val="center"/>
              <w:rPr>
                <w:rFonts w:hint="default" w:ascii="宋体" w:hAnsi="宋体" w:eastAsia="宋体" w:cs="宋体"/>
                <w:b w:val="0"/>
                <w:bCs w:val="0"/>
                <w:i w:val="0"/>
                <w:iCs w:val="0"/>
                <w:color w:val="000000"/>
                <w:kern w:val="0"/>
                <w:sz w:val="21"/>
                <w:szCs w:val="21"/>
                <w:u w:val="none"/>
                <w:lang w:val="en-US" w:eastAsia="zh-CN" w:bidi="ar"/>
              </w:rPr>
            </w:pPr>
            <w:r>
              <w:rPr>
                <w:rFonts w:hint="default" w:ascii="宋体" w:hAnsi="宋体" w:eastAsia="宋体" w:cs="宋体"/>
                <w:b w:val="0"/>
                <w:bCs w:val="0"/>
                <w:i w:val="0"/>
                <w:iCs w:val="0"/>
                <w:color w:val="000000"/>
                <w:kern w:val="0"/>
                <w:sz w:val="21"/>
                <w:szCs w:val="21"/>
                <w:u w:val="none"/>
                <w:lang w:val="en-US" w:eastAsia="zh-CN" w:bidi="ar"/>
              </w:rPr>
              <w:t>技术负责人/授权签字人具备相关专业高级职称或同等能力评价得5分</w:t>
            </w:r>
          </w:p>
          <w:p w14:paraId="106C2530">
            <w:pPr>
              <w:keepNext w:val="0"/>
              <w:keepLines w:val="0"/>
              <w:widowControl/>
              <w:numPr>
                <w:ilvl w:val="0"/>
                <w:numId w:val="11"/>
              </w:numPr>
              <w:suppressLineNumbers w:val="0"/>
              <w:jc w:val="left"/>
              <w:textAlignment w:val="center"/>
              <w:rPr>
                <w:rFonts w:hint="default" w:ascii="宋体" w:hAnsi="宋体" w:eastAsia="宋体" w:cs="宋体"/>
                <w:b w:val="0"/>
                <w:bCs w:val="0"/>
                <w:i w:val="0"/>
                <w:iCs w:val="0"/>
                <w:color w:val="000000"/>
                <w:kern w:val="0"/>
                <w:sz w:val="21"/>
                <w:szCs w:val="21"/>
                <w:u w:val="none"/>
                <w:lang w:val="en-US" w:eastAsia="zh-CN" w:bidi="ar"/>
              </w:rPr>
            </w:pPr>
            <w:r>
              <w:rPr>
                <w:rFonts w:hint="default" w:ascii="宋体" w:hAnsi="宋体" w:eastAsia="宋体" w:cs="宋体"/>
                <w:b w:val="0"/>
                <w:bCs w:val="0"/>
                <w:i w:val="0"/>
                <w:iCs w:val="0"/>
                <w:color w:val="000000"/>
                <w:kern w:val="0"/>
                <w:sz w:val="21"/>
                <w:szCs w:val="21"/>
                <w:u w:val="none"/>
                <w:lang w:val="en-US" w:eastAsia="zh-CN" w:bidi="ar"/>
              </w:rPr>
              <w:t>持有高级技师或“污染管控师”等高级证书得5分</w:t>
            </w:r>
          </w:p>
          <w:p w14:paraId="0ADE464C">
            <w:pPr>
              <w:keepNext w:val="0"/>
              <w:keepLines w:val="0"/>
              <w:widowControl/>
              <w:numPr>
                <w:ilvl w:val="0"/>
                <w:numId w:val="11"/>
              </w:numPr>
              <w:suppressLineNumbers w:val="0"/>
              <w:jc w:val="left"/>
              <w:textAlignment w:val="center"/>
              <w:rPr>
                <w:rFonts w:hint="eastAsia" w:ascii="宋体" w:hAnsi="宋体" w:eastAsia="宋体" w:cs="宋体"/>
                <w:b w:val="0"/>
                <w:bCs w:val="0"/>
                <w:i w:val="0"/>
                <w:iCs w:val="0"/>
                <w:color w:val="000000"/>
                <w:sz w:val="21"/>
                <w:szCs w:val="21"/>
                <w:u w:val="none"/>
              </w:rPr>
            </w:pPr>
            <w:r>
              <w:rPr>
                <w:rFonts w:hint="default" w:ascii="宋体" w:hAnsi="宋体" w:eastAsia="宋体" w:cs="宋体"/>
                <w:b w:val="0"/>
                <w:bCs w:val="0"/>
                <w:i w:val="0"/>
                <w:iCs w:val="0"/>
                <w:color w:val="000000"/>
                <w:kern w:val="0"/>
                <w:sz w:val="21"/>
                <w:szCs w:val="21"/>
                <w:u w:val="none"/>
                <w:lang w:val="en-US" w:eastAsia="zh-CN" w:bidi="ar"/>
              </w:rPr>
              <w:t>法规与技术深度</w:t>
            </w:r>
            <w:r>
              <w:rPr>
                <w:rFonts w:hint="eastAsia" w:ascii="宋体" w:hAnsi="宋体" w:eastAsia="宋体" w:cs="宋体"/>
                <w:b w:val="0"/>
                <w:bCs w:val="0"/>
                <w:i w:val="0"/>
                <w:iCs w:val="0"/>
                <w:color w:val="000000"/>
                <w:kern w:val="0"/>
                <w:sz w:val="21"/>
                <w:szCs w:val="21"/>
                <w:u w:val="none"/>
                <w:lang w:val="en-US" w:eastAsia="zh-CN" w:bidi="ar"/>
              </w:rPr>
              <w:t>，</w:t>
            </w:r>
            <w:r>
              <w:rPr>
                <w:rFonts w:hint="default" w:ascii="宋体" w:hAnsi="宋体" w:eastAsia="宋体" w:cs="宋体"/>
                <w:b w:val="0"/>
                <w:bCs w:val="0"/>
                <w:i w:val="0"/>
                <w:iCs w:val="0"/>
                <w:color w:val="000000"/>
                <w:kern w:val="0"/>
                <w:sz w:val="21"/>
                <w:szCs w:val="21"/>
                <w:u w:val="none"/>
                <w:lang w:val="en-US" w:eastAsia="zh-CN" w:bidi="ar"/>
              </w:rPr>
              <w:t>现场提问或查阅档案，具备全球法规解读及预警能力，能指导非标方法开发10分</w:t>
            </w:r>
          </w:p>
          <w:p w14:paraId="514AECC1">
            <w:pPr>
              <w:keepNext w:val="0"/>
              <w:keepLines w:val="0"/>
              <w:widowControl/>
              <w:numPr>
                <w:ilvl w:val="0"/>
                <w:numId w:val="11"/>
              </w:numPr>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有害物质管控</w:t>
            </w:r>
            <w:r>
              <w:rPr>
                <w:rFonts w:hint="default" w:ascii="宋体" w:hAnsi="宋体" w:eastAsia="宋体" w:cs="宋体"/>
                <w:b w:val="0"/>
                <w:bCs w:val="0"/>
                <w:i w:val="0"/>
                <w:iCs w:val="0"/>
                <w:color w:val="000000"/>
                <w:kern w:val="0"/>
                <w:sz w:val="21"/>
                <w:szCs w:val="21"/>
                <w:u w:val="none"/>
                <w:lang w:val="en-US" w:eastAsia="zh-CN" w:bidi="ar"/>
              </w:rPr>
              <w:t>体系并能审核供应链数据合规性10分</w:t>
            </w:r>
          </w:p>
        </w:tc>
        <w:tc>
          <w:tcPr>
            <w:tcW w:w="2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A0851">
            <w:pPr>
              <w:keepNext w:val="0"/>
              <w:keepLines w:val="0"/>
              <w:widowControl/>
              <w:suppressLineNumbers w:val="0"/>
              <w:jc w:val="left"/>
              <w:textAlignment w:val="center"/>
              <w:rPr>
                <w:rFonts w:hint="default" w:ascii="宋体" w:hAnsi="宋体" w:eastAsia="宋体" w:cs="宋体"/>
                <w:b w:val="0"/>
                <w:bCs w:val="0"/>
                <w:i w:val="0"/>
                <w:iCs w:val="0"/>
                <w:color w:val="000000"/>
                <w:kern w:val="0"/>
                <w:sz w:val="21"/>
                <w:szCs w:val="21"/>
                <w:u w:val="none"/>
                <w:lang w:val="en-US" w:eastAsia="zh-CN" w:bidi="ar"/>
              </w:rPr>
            </w:pPr>
            <w:r>
              <w:rPr>
                <w:rFonts w:hint="default" w:ascii="宋体" w:hAnsi="宋体" w:eastAsia="宋体" w:cs="宋体"/>
                <w:b w:val="0"/>
                <w:bCs w:val="0"/>
                <w:i w:val="0"/>
                <w:iCs w:val="0"/>
                <w:color w:val="000000"/>
                <w:kern w:val="0"/>
                <w:sz w:val="21"/>
                <w:szCs w:val="21"/>
                <w:u w:val="none"/>
                <w:lang w:val="en-US" w:eastAsia="zh-CN" w:bidi="ar"/>
              </w:rPr>
              <w:t>职称证</w:t>
            </w:r>
          </w:p>
          <w:p w14:paraId="01F8002A">
            <w:pPr>
              <w:keepNext w:val="0"/>
              <w:keepLines w:val="0"/>
              <w:widowControl/>
              <w:suppressLineNumbers w:val="0"/>
              <w:jc w:val="left"/>
              <w:textAlignment w:val="center"/>
              <w:rPr>
                <w:rFonts w:hint="default" w:ascii="宋体" w:hAnsi="宋体" w:eastAsia="宋体" w:cs="宋体"/>
                <w:b w:val="0"/>
                <w:bCs w:val="0"/>
                <w:i w:val="0"/>
                <w:iCs w:val="0"/>
                <w:color w:val="000000"/>
                <w:kern w:val="0"/>
                <w:sz w:val="21"/>
                <w:szCs w:val="21"/>
                <w:u w:val="none"/>
                <w:lang w:val="en-US" w:eastAsia="zh-CN" w:bidi="ar"/>
              </w:rPr>
            </w:pPr>
            <w:r>
              <w:rPr>
                <w:rFonts w:hint="default" w:ascii="宋体" w:hAnsi="宋体" w:eastAsia="宋体" w:cs="宋体"/>
                <w:b w:val="0"/>
                <w:bCs w:val="0"/>
                <w:i w:val="0"/>
                <w:iCs w:val="0"/>
                <w:color w:val="000000"/>
                <w:kern w:val="0"/>
                <w:sz w:val="21"/>
                <w:szCs w:val="21"/>
                <w:u w:val="none"/>
                <w:lang w:val="en-US" w:eastAsia="zh-CN" w:bidi="ar"/>
              </w:rPr>
              <w:t>高级技能证书</w:t>
            </w:r>
          </w:p>
          <w:p w14:paraId="3D92B028">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default" w:ascii="宋体" w:hAnsi="宋体" w:eastAsia="宋体" w:cs="宋体"/>
                <w:b w:val="0"/>
                <w:bCs w:val="0"/>
                <w:i w:val="0"/>
                <w:iCs w:val="0"/>
                <w:color w:val="000000"/>
                <w:kern w:val="0"/>
                <w:sz w:val="21"/>
                <w:szCs w:val="21"/>
                <w:u w:val="none"/>
                <w:lang w:val="en-US" w:eastAsia="zh-CN" w:bidi="ar"/>
              </w:rPr>
              <w:t>法规培训课件/咨询案例</w:t>
            </w:r>
          </w:p>
        </w:tc>
      </w:tr>
      <w:tr w14:paraId="28B93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242C5">
            <w:pPr>
              <w:jc w:val="center"/>
              <w:rPr>
                <w:rFonts w:hint="eastAsia" w:ascii="宋体" w:hAnsi="宋体" w:eastAsia="宋体" w:cs="宋体"/>
                <w:b w:val="0"/>
                <w:bCs w:val="0"/>
                <w:i w:val="0"/>
                <w:iCs w:val="0"/>
                <w:color w:val="000000"/>
                <w:sz w:val="21"/>
                <w:szCs w:val="21"/>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31660">
            <w:pPr>
              <w:jc w:val="center"/>
              <w:rPr>
                <w:rFonts w:hint="eastAsia" w:ascii="宋体" w:hAnsi="宋体" w:eastAsia="宋体" w:cs="宋体"/>
                <w:b w:val="0"/>
                <w:bCs w:val="0"/>
                <w:i w:val="0"/>
                <w:iCs w:val="0"/>
                <w:color w:val="000000"/>
                <w:sz w:val="21"/>
                <w:szCs w:val="21"/>
                <w:u w:val="none"/>
              </w:rPr>
            </w:pPr>
          </w:p>
        </w:tc>
        <w:tc>
          <w:tcPr>
            <w:tcW w:w="5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5E1BF">
            <w:pPr>
              <w:jc w:val="center"/>
              <w:rPr>
                <w:rFonts w:hint="eastAsia" w:ascii="宋体" w:hAnsi="宋体" w:eastAsia="宋体" w:cs="宋体"/>
                <w:b w:val="0"/>
                <w:bCs w:val="0"/>
                <w:i w:val="0"/>
                <w:iCs w:val="0"/>
                <w:color w:val="000000"/>
                <w:sz w:val="21"/>
                <w:szCs w:val="21"/>
                <w:u w:val="none"/>
              </w:rPr>
            </w:pPr>
          </w:p>
        </w:tc>
        <w:tc>
          <w:tcPr>
            <w:tcW w:w="1633" w:type="dxa"/>
            <w:tcBorders>
              <w:top w:val="single" w:color="000000" w:sz="4" w:space="0"/>
              <w:left w:val="single" w:color="000000" w:sz="4" w:space="0"/>
              <w:bottom w:val="single" w:color="auto" w:sz="4" w:space="0"/>
              <w:right w:val="single" w:color="000000" w:sz="4" w:space="0"/>
            </w:tcBorders>
            <w:shd w:val="clear" w:color="auto" w:fill="auto"/>
            <w:vAlign w:val="center"/>
          </w:tcPr>
          <w:p w14:paraId="71BD8D10">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lang w:val="en-US" w:eastAsia="zh-CN"/>
              </w:rPr>
            </w:pPr>
            <w:r>
              <w:rPr>
                <w:rFonts w:hint="eastAsia" w:ascii="宋体" w:hAnsi="宋体" w:eastAsia="宋体" w:cs="宋体"/>
                <w:b w:val="0"/>
                <w:bCs w:val="0"/>
                <w:i w:val="0"/>
                <w:iCs w:val="0"/>
                <w:color w:val="000000"/>
                <w:sz w:val="21"/>
                <w:szCs w:val="21"/>
                <w:u w:val="none"/>
                <w:lang w:val="en-US" w:eastAsia="zh-CN"/>
              </w:rPr>
              <w:t>检测人员</w:t>
            </w:r>
          </w:p>
        </w:tc>
        <w:tc>
          <w:tcPr>
            <w:tcW w:w="517" w:type="dxa"/>
            <w:tcBorders>
              <w:top w:val="single" w:color="000000" w:sz="4" w:space="0"/>
              <w:left w:val="single" w:color="000000" w:sz="4" w:space="0"/>
              <w:bottom w:val="single" w:color="auto" w:sz="4" w:space="0"/>
              <w:right w:val="single" w:color="000000" w:sz="4" w:space="0"/>
            </w:tcBorders>
            <w:shd w:val="clear" w:color="auto" w:fill="auto"/>
            <w:vAlign w:val="center"/>
          </w:tcPr>
          <w:p w14:paraId="2062DD0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30</w:t>
            </w:r>
          </w:p>
        </w:tc>
        <w:tc>
          <w:tcPr>
            <w:tcW w:w="3550" w:type="dxa"/>
            <w:tcBorders>
              <w:top w:val="single" w:color="000000" w:sz="4" w:space="0"/>
              <w:left w:val="single" w:color="000000" w:sz="4" w:space="0"/>
              <w:bottom w:val="single" w:color="auto" w:sz="4" w:space="0"/>
              <w:right w:val="single" w:color="000000" w:sz="4" w:space="0"/>
            </w:tcBorders>
            <w:shd w:val="clear" w:color="auto" w:fill="auto"/>
            <w:vAlign w:val="center"/>
          </w:tcPr>
          <w:p w14:paraId="330D0ECA">
            <w:pPr>
              <w:keepNext w:val="0"/>
              <w:keepLines w:val="0"/>
              <w:widowControl/>
              <w:numPr>
                <w:ilvl w:val="0"/>
                <w:numId w:val="12"/>
              </w:numPr>
              <w:suppressLineNumbers w:val="0"/>
              <w:jc w:val="left"/>
              <w:textAlignment w:val="center"/>
              <w:rPr>
                <w:rFonts w:hint="eastAsia" w:ascii="宋体" w:hAnsi="宋体" w:eastAsia="宋体" w:cs="宋体"/>
                <w:b w:val="0"/>
                <w:bCs w:val="0"/>
                <w:i w:val="0"/>
                <w:iCs w:val="0"/>
                <w:color w:val="000000"/>
                <w:sz w:val="21"/>
                <w:szCs w:val="21"/>
                <w:u w:val="none"/>
              </w:rPr>
            </w:pPr>
            <w:r>
              <w:rPr>
                <w:rFonts w:hint="default" w:ascii="宋体" w:hAnsi="宋体" w:eastAsia="宋体" w:cs="宋体"/>
                <w:b w:val="0"/>
                <w:bCs w:val="0"/>
                <w:i w:val="0"/>
                <w:iCs w:val="0"/>
                <w:color w:val="000000"/>
                <w:kern w:val="0"/>
                <w:sz w:val="21"/>
                <w:szCs w:val="21"/>
                <w:u w:val="none"/>
                <w:lang w:val="en-US" w:eastAsia="zh-CN" w:bidi="ar"/>
              </w:rPr>
              <w:t>仪器操作人员持有</w:t>
            </w:r>
            <w:r>
              <w:rPr>
                <w:rFonts w:hint="eastAsia" w:ascii="宋体" w:hAnsi="宋体" w:eastAsia="宋体" w:cs="宋体"/>
                <w:b w:val="0"/>
                <w:bCs w:val="0"/>
                <w:i w:val="0"/>
                <w:iCs w:val="0"/>
                <w:color w:val="000000"/>
                <w:kern w:val="0"/>
                <w:sz w:val="21"/>
                <w:szCs w:val="21"/>
                <w:u w:val="none"/>
                <w:lang w:val="en-US" w:eastAsia="zh-CN" w:bidi="ar"/>
              </w:rPr>
              <w:t>职业技能等级</w:t>
            </w:r>
            <w:r>
              <w:rPr>
                <w:rFonts w:hint="default" w:ascii="宋体" w:hAnsi="宋体" w:eastAsia="宋体" w:cs="宋体"/>
                <w:b w:val="0"/>
                <w:bCs w:val="0"/>
                <w:i w:val="0"/>
                <w:iCs w:val="0"/>
                <w:color w:val="000000"/>
                <w:kern w:val="0"/>
                <w:sz w:val="21"/>
                <w:szCs w:val="21"/>
                <w:u w:val="none"/>
                <w:lang w:val="en-US" w:eastAsia="zh-CN" w:bidi="ar"/>
              </w:rPr>
              <w:t>证书，且具备设备一级维护能力，得15分</w:t>
            </w:r>
          </w:p>
          <w:p w14:paraId="438ECF7A">
            <w:pPr>
              <w:keepNext w:val="0"/>
              <w:keepLines w:val="0"/>
              <w:widowControl/>
              <w:numPr>
                <w:ilvl w:val="0"/>
                <w:numId w:val="12"/>
              </w:numPr>
              <w:suppressLineNumbers w:val="0"/>
              <w:jc w:val="left"/>
              <w:textAlignment w:val="center"/>
              <w:rPr>
                <w:rFonts w:hint="eastAsia" w:ascii="宋体" w:hAnsi="宋体" w:eastAsia="宋体" w:cs="宋体"/>
                <w:b w:val="0"/>
                <w:bCs w:val="0"/>
                <w:i w:val="0"/>
                <w:iCs w:val="0"/>
                <w:color w:val="000000"/>
                <w:sz w:val="21"/>
                <w:szCs w:val="21"/>
                <w:u w:val="none"/>
              </w:rPr>
            </w:pPr>
            <w:r>
              <w:rPr>
                <w:rFonts w:hint="default" w:ascii="宋体" w:hAnsi="宋体" w:eastAsia="宋体" w:cs="宋体"/>
                <w:b w:val="0"/>
                <w:bCs w:val="0"/>
                <w:i w:val="0"/>
                <w:iCs w:val="0"/>
                <w:color w:val="000000"/>
                <w:kern w:val="0"/>
                <w:sz w:val="21"/>
                <w:szCs w:val="21"/>
                <w:u w:val="none"/>
                <w:lang w:val="en-US" w:eastAsia="zh-CN" w:bidi="ar"/>
              </w:rPr>
              <w:t>前处理与辅助人员样品拆解人员持有且</w:t>
            </w:r>
            <w:r>
              <w:rPr>
                <w:rFonts w:hint="eastAsia" w:ascii="宋体" w:hAnsi="宋体" w:eastAsia="宋体" w:cs="宋体"/>
                <w:b w:val="0"/>
                <w:bCs w:val="0"/>
                <w:i w:val="0"/>
                <w:iCs w:val="0"/>
                <w:color w:val="000000"/>
                <w:kern w:val="0"/>
                <w:sz w:val="21"/>
                <w:szCs w:val="21"/>
                <w:u w:val="none"/>
                <w:lang w:val="en-US" w:eastAsia="zh-CN" w:bidi="ar"/>
              </w:rPr>
              <w:t>职业技能等级</w:t>
            </w:r>
            <w:r>
              <w:rPr>
                <w:rFonts w:hint="default" w:ascii="宋体" w:hAnsi="宋体" w:eastAsia="宋体" w:cs="宋体"/>
                <w:b w:val="0"/>
                <w:bCs w:val="0"/>
                <w:i w:val="0"/>
                <w:iCs w:val="0"/>
                <w:color w:val="000000"/>
                <w:kern w:val="0"/>
                <w:sz w:val="21"/>
                <w:szCs w:val="21"/>
                <w:u w:val="none"/>
                <w:lang w:val="en-US" w:eastAsia="zh-CN" w:bidi="ar"/>
              </w:rPr>
              <w:t>证书精通GB/T 39560拆解标准，现场考核无交叉污染风险，得15分</w:t>
            </w:r>
          </w:p>
        </w:tc>
        <w:tc>
          <w:tcPr>
            <w:tcW w:w="2650" w:type="dxa"/>
            <w:tcBorders>
              <w:top w:val="single" w:color="000000" w:sz="4" w:space="0"/>
              <w:left w:val="single" w:color="000000" w:sz="4" w:space="0"/>
              <w:bottom w:val="single" w:color="auto" w:sz="4" w:space="0"/>
              <w:right w:val="single" w:color="000000" w:sz="4" w:space="0"/>
            </w:tcBorders>
            <w:shd w:val="clear" w:color="auto" w:fill="auto"/>
            <w:vAlign w:val="center"/>
          </w:tcPr>
          <w:p w14:paraId="0A2C5C08">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上岗证</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简历</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证书复印件</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培训计划与记录</w:t>
            </w:r>
          </w:p>
        </w:tc>
      </w:tr>
      <w:tr w14:paraId="725C0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7" w:type="dxa"/>
            <w:vMerge w:val="continue"/>
            <w:tcBorders>
              <w:left w:val="single" w:color="000000" w:sz="4" w:space="0"/>
              <w:bottom w:val="single" w:color="000000" w:sz="4" w:space="0"/>
              <w:right w:val="single" w:color="000000" w:sz="4" w:space="0"/>
            </w:tcBorders>
            <w:shd w:val="clear" w:color="auto" w:fill="auto"/>
            <w:vAlign w:val="center"/>
          </w:tcPr>
          <w:p w14:paraId="1513C351">
            <w:pPr>
              <w:jc w:val="center"/>
              <w:rPr>
                <w:rFonts w:hint="eastAsia" w:ascii="宋体" w:hAnsi="宋体" w:eastAsia="宋体" w:cs="宋体"/>
                <w:b w:val="0"/>
                <w:bCs w:val="0"/>
                <w:i w:val="0"/>
                <w:iCs w:val="0"/>
                <w:color w:val="000000"/>
                <w:sz w:val="21"/>
                <w:szCs w:val="21"/>
                <w:u w:val="none"/>
              </w:rPr>
            </w:pPr>
          </w:p>
        </w:tc>
        <w:tc>
          <w:tcPr>
            <w:tcW w:w="1600" w:type="dxa"/>
            <w:vMerge w:val="continue"/>
            <w:tcBorders>
              <w:left w:val="single" w:color="000000" w:sz="4" w:space="0"/>
              <w:bottom w:val="single" w:color="000000" w:sz="4" w:space="0"/>
              <w:right w:val="single" w:color="000000" w:sz="4" w:space="0"/>
            </w:tcBorders>
            <w:shd w:val="clear" w:color="auto" w:fill="auto"/>
            <w:vAlign w:val="center"/>
          </w:tcPr>
          <w:p w14:paraId="37C73A59">
            <w:pPr>
              <w:jc w:val="center"/>
              <w:rPr>
                <w:rFonts w:hint="eastAsia" w:ascii="宋体" w:hAnsi="宋体" w:eastAsia="宋体" w:cs="宋体"/>
                <w:b w:val="0"/>
                <w:bCs w:val="0"/>
                <w:i w:val="0"/>
                <w:iCs w:val="0"/>
                <w:color w:val="000000"/>
                <w:sz w:val="21"/>
                <w:szCs w:val="21"/>
                <w:u w:val="none"/>
              </w:rPr>
            </w:pPr>
          </w:p>
        </w:tc>
        <w:tc>
          <w:tcPr>
            <w:tcW w:w="583" w:type="dxa"/>
            <w:vMerge w:val="continue"/>
            <w:tcBorders>
              <w:left w:val="single" w:color="000000" w:sz="4" w:space="0"/>
              <w:bottom w:val="single" w:color="000000" w:sz="4" w:space="0"/>
              <w:right w:val="single" w:color="000000" w:sz="4" w:space="0"/>
            </w:tcBorders>
            <w:shd w:val="clear" w:color="auto" w:fill="auto"/>
            <w:vAlign w:val="center"/>
          </w:tcPr>
          <w:p w14:paraId="6F96DAE0">
            <w:pPr>
              <w:jc w:val="center"/>
              <w:rPr>
                <w:rFonts w:hint="eastAsia" w:ascii="宋体" w:hAnsi="宋体" w:eastAsia="宋体" w:cs="宋体"/>
                <w:b w:val="0"/>
                <w:bCs w:val="0"/>
                <w:i w:val="0"/>
                <w:iCs w:val="0"/>
                <w:color w:val="000000"/>
                <w:sz w:val="21"/>
                <w:szCs w:val="21"/>
                <w:u w:val="none"/>
              </w:rPr>
            </w:pPr>
          </w:p>
        </w:tc>
        <w:tc>
          <w:tcPr>
            <w:tcW w:w="1633" w:type="dxa"/>
            <w:tcBorders>
              <w:top w:val="single" w:color="auto" w:sz="4" w:space="0"/>
              <w:left w:val="single" w:color="000000" w:sz="4" w:space="0"/>
              <w:bottom w:val="single" w:color="000000" w:sz="4" w:space="0"/>
              <w:right w:val="single" w:color="000000" w:sz="4" w:space="0"/>
            </w:tcBorders>
            <w:shd w:val="clear" w:color="auto" w:fill="auto"/>
            <w:vAlign w:val="center"/>
          </w:tcPr>
          <w:p w14:paraId="497D83A5">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培训与考核</w:t>
            </w:r>
          </w:p>
        </w:tc>
        <w:tc>
          <w:tcPr>
            <w:tcW w:w="517" w:type="dxa"/>
            <w:tcBorders>
              <w:top w:val="single" w:color="auto" w:sz="4" w:space="0"/>
              <w:left w:val="single" w:color="000000" w:sz="4" w:space="0"/>
              <w:bottom w:val="single" w:color="000000" w:sz="4" w:space="0"/>
              <w:right w:val="single" w:color="000000" w:sz="4" w:space="0"/>
            </w:tcBorders>
            <w:shd w:val="clear" w:color="auto" w:fill="auto"/>
            <w:vAlign w:val="center"/>
          </w:tcPr>
          <w:p w14:paraId="19796FD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30</w:t>
            </w:r>
          </w:p>
        </w:tc>
        <w:tc>
          <w:tcPr>
            <w:tcW w:w="3550" w:type="dxa"/>
            <w:tcBorders>
              <w:top w:val="single" w:color="auto" w:sz="4" w:space="0"/>
              <w:left w:val="single" w:color="000000" w:sz="4" w:space="0"/>
              <w:bottom w:val="single" w:color="000000" w:sz="4" w:space="0"/>
              <w:right w:val="single" w:color="000000" w:sz="4" w:space="0"/>
            </w:tcBorders>
            <w:shd w:val="clear" w:color="auto" w:fill="auto"/>
            <w:vAlign w:val="center"/>
          </w:tcPr>
          <w:p w14:paraId="790D4A4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default" w:ascii="宋体" w:hAnsi="宋体" w:eastAsia="宋体" w:cs="宋体"/>
                <w:b w:val="0"/>
                <w:bCs w:val="0"/>
                <w:i w:val="0"/>
                <w:iCs w:val="0"/>
                <w:color w:val="000000"/>
                <w:kern w:val="0"/>
                <w:sz w:val="21"/>
                <w:szCs w:val="21"/>
                <w:u w:val="none"/>
                <w:lang w:val="en-US" w:eastAsia="zh-CN" w:bidi="ar"/>
              </w:rPr>
              <w:t>培训计划年度培训计划≥40学时/人，且内容包含最新法规更新及新污染物技术</w:t>
            </w:r>
            <w:r>
              <w:rPr>
                <w:rFonts w:hint="eastAsia" w:ascii="宋体" w:hAnsi="宋体" w:eastAsia="宋体" w:cs="宋体"/>
                <w:b w:val="0"/>
                <w:bCs w:val="0"/>
                <w:i w:val="0"/>
                <w:iCs w:val="0"/>
                <w:color w:val="000000"/>
                <w:kern w:val="0"/>
                <w:sz w:val="21"/>
                <w:szCs w:val="21"/>
                <w:u w:val="none"/>
                <w:lang w:val="en-US" w:eastAsia="zh-CN" w:bidi="ar"/>
              </w:rPr>
              <w:t xml:space="preserve"> </w:t>
            </w:r>
            <w:r>
              <w:rPr>
                <w:rFonts w:hint="default" w:ascii="宋体" w:hAnsi="宋体" w:eastAsia="宋体" w:cs="宋体"/>
                <w:b w:val="0"/>
                <w:bCs w:val="0"/>
                <w:i w:val="0"/>
                <w:iCs w:val="0"/>
                <w:color w:val="000000"/>
                <w:kern w:val="0"/>
                <w:sz w:val="21"/>
                <w:szCs w:val="21"/>
                <w:u w:val="none"/>
                <w:lang w:val="en-US" w:eastAsia="zh-CN" w:bidi="ar"/>
              </w:rPr>
              <w:t>10分</w:t>
            </w:r>
          </w:p>
          <w:p w14:paraId="73DE3681">
            <w:pPr>
              <w:keepNext w:val="0"/>
              <w:keepLines w:val="0"/>
              <w:widowControl/>
              <w:suppressLineNumbers w:val="0"/>
              <w:jc w:val="left"/>
              <w:textAlignment w:val="center"/>
              <w:rPr>
                <w:rStyle w:val="40"/>
                <w:rFonts w:hint="eastAsia" w:ascii="宋体" w:hAnsi="宋体" w:eastAsia="宋体" w:cs="宋体"/>
                <w:b w:val="0"/>
                <w:bCs w:val="0"/>
                <w:sz w:val="21"/>
                <w:szCs w:val="21"/>
                <w:lang w:val="en-US" w:eastAsia="zh-CN" w:bidi="ar"/>
              </w:rPr>
            </w:pPr>
            <w:r>
              <w:rPr>
                <w:rStyle w:val="40"/>
                <w:rFonts w:hint="eastAsia" w:ascii="宋体" w:hAnsi="宋体" w:eastAsia="宋体" w:cs="宋体"/>
                <w:b w:val="0"/>
                <w:bCs w:val="0"/>
                <w:sz w:val="21"/>
                <w:szCs w:val="21"/>
                <w:lang w:val="en-US" w:eastAsia="zh-CN" w:bidi="ar"/>
              </w:rPr>
              <w:t>全员持证上岗率</w:t>
            </w:r>
            <w:r>
              <w:rPr>
                <w:rStyle w:val="39"/>
                <w:rFonts w:hint="eastAsia" w:ascii="宋体" w:hAnsi="宋体" w:eastAsia="宋体" w:cs="宋体"/>
                <w:b w:val="0"/>
                <w:bCs w:val="0"/>
                <w:sz w:val="21"/>
                <w:szCs w:val="21"/>
                <w:lang w:val="en-US" w:eastAsia="zh-CN" w:bidi="ar"/>
              </w:rPr>
              <w:t xml:space="preserve">100% </w:t>
            </w:r>
            <w:r>
              <w:rPr>
                <w:rStyle w:val="40"/>
                <w:rFonts w:hint="eastAsia" w:ascii="宋体" w:hAnsi="宋体" w:eastAsia="宋体" w:cs="宋体"/>
                <w:b w:val="0"/>
                <w:bCs w:val="0"/>
                <w:sz w:val="21"/>
                <w:szCs w:val="21"/>
                <w:lang w:val="en-US" w:eastAsia="zh-CN" w:bidi="ar"/>
              </w:rPr>
              <w:t>1</w:t>
            </w:r>
            <w:r>
              <w:rPr>
                <w:rStyle w:val="39"/>
                <w:rFonts w:hint="eastAsia" w:ascii="宋体" w:hAnsi="宋体" w:eastAsia="宋体" w:cs="宋体"/>
                <w:b w:val="0"/>
                <w:bCs w:val="0"/>
                <w:sz w:val="21"/>
                <w:szCs w:val="21"/>
                <w:lang w:val="en-US" w:eastAsia="zh-CN" w:bidi="ar"/>
              </w:rPr>
              <w:t>0</w:t>
            </w:r>
            <w:r>
              <w:rPr>
                <w:rStyle w:val="40"/>
                <w:rFonts w:hint="eastAsia" w:ascii="宋体" w:hAnsi="宋体" w:eastAsia="宋体" w:cs="宋体"/>
                <w:b w:val="0"/>
                <w:bCs w:val="0"/>
                <w:sz w:val="21"/>
                <w:szCs w:val="21"/>
                <w:lang w:val="en-US" w:eastAsia="zh-CN" w:bidi="ar"/>
              </w:rPr>
              <w:t>分</w:t>
            </w:r>
          </w:p>
          <w:p w14:paraId="0CBDBEFA">
            <w:pPr>
              <w:keepNext w:val="0"/>
              <w:keepLines w:val="0"/>
              <w:widowControl/>
              <w:suppressLineNumbers w:val="0"/>
              <w:jc w:val="left"/>
              <w:textAlignment w:val="center"/>
              <w:rPr>
                <w:rStyle w:val="40"/>
                <w:rFonts w:hint="default" w:ascii="宋体" w:hAnsi="宋体" w:eastAsia="宋体" w:cs="宋体"/>
                <w:b w:val="0"/>
                <w:bCs w:val="0"/>
                <w:sz w:val="21"/>
                <w:szCs w:val="21"/>
                <w:lang w:val="en-US" w:eastAsia="zh-CN" w:bidi="ar"/>
              </w:rPr>
            </w:pPr>
            <w:r>
              <w:rPr>
                <w:rStyle w:val="40"/>
                <w:rFonts w:hint="eastAsia" w:ascii="宋体" w:hAnsi="宋体" w:eastAsia="宋体" w:cs="宋体"/>
                <w:b w:val="0"/>
                <w:bCs w:val="0"/>
                <w:sz w:val="21"/>
                <w:szCs w:val="21"/>
                <w:lang w:val="en-US" w:eastAsia="zh-CN" w:bidi="ar"/>
              </w:rPr>
              <w:t>核心人员稳定保证3年延续 10分</w:t>
            </w:r>
          </w:p>
        </w:tc>
        <w:tc>
          <w:tcPr>
            <w:tcW w:w="2650" w:type="dxa"/>
            <w:tcBorders>
              <w:top w:val="single" w:color="auto" w:sz="4" w:space="0"/>
              <w:left w:val="single" w:color="000000" w:sz="4" w:space="0"/>
              <w:bottom w:val="single" w:color="000000" w:sz="4" w:space="0"/>
              <w:right w:val="single" w:color="000000" w:sz="4" w:space="0"/>
            </w:tcBorders>
            <w:shd w:val="clear" w:color="auto" w:fill="auto"/>
            <w:vAlign w:val="center"/>
          </w:tcPr>
          <w:p w14:paraId="388DF843">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上岗证</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简历</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证书复印件</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培训计划与记录</w:t>
            </w:r>
          </w:p>
        </w:tc>
      </w:tr>
      <w:tr w14:paraId="374FC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561D0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w:t>
            </w: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BF58F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检测设备</w:t>
            </w:r>
          </w:p>
        </w:tc>
        <w:tc>
          <w:tcPr>
            <w:tcW w:w="5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CF3C2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A0A2F">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设备配置</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9E61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40</w:t>
            </w:r>
          </w:p>
        </w:tc>
        <w:tc>
          <w:tcPr>
            <w:tcW w:w="3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5FEB0">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拥有满足标准要求的</w:t>
            </w:r>
            <w:r>
              <w:rPr>
                <w:rStyle w:val="40"/>
                <w:rFonts w:hint="eastAsia" w:ascii="宋体" w:hAnsi="宋体" w:eastAsia="宋体" w:cs="宋体"/>
                <w:b w:val="0"/>
                <w:bCs w:val="0"/>
                <w:sz w:val="21"/>
                <w:szCs w:val="21"/>
                <w:lang w:val="en-US" w:eastAsia="zh-CN" w:bidi="ar"/>
              </w:rPr>
              <w:t xml:space="preserve">定量设备 </w:t>
            </w:r>
            <w:r>
              <w:rPr>
                <w:rStyle w:val="39"/>
                <w:rFonts w:hint="eastAsia" w:ascii="宋体" w:hAnsi="宋体" w:eastAsia="宋体" w:cs="宋体"/>
                <w:b w:val="0"/>
                <w:bCs w:val="0"/>
                <w:sz w:val="21"/>
                <w:szCs w:val="21"/>
                <w:lang w:val="en-US" w:eastAsia="zh-CN" w:bidi="ar"/>
              </w:rPr>
              <w:t>20</w:t>
            </w:r>
            <w:r>
              <w:rPr>
                <w:rStyle w:val="40"/>
                <w:rFonts w:hint="eastAsia" w:ascii="宋体" w:hAnsi="宋体" w:eastAsia="宋体" w:cs="宋体"/>
                <w:b w:val="0"/>
                <w:bCs w:val="0"/>
                <w:sz w:val="21"/>
                <w:szCs w:val="21"/>
                <w:lang w:val="en-US" w:eastAsia="zh-CN" w:bidi="ar"/>
              </w:rPr>
              <w:t>分</w:t>
            </w:r>
            <w:r>
              <w:rPr>
                <w:rStyle w:val="39"/>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关键设备（</w:t>
            </w:r>
            <w:r>
              <w:rPr>
                <w:rStyle w:val="39"/>
                <w:rFonts w:hint="eastAsia" w:ascii="宋体" w:hAnsi="宋体" w:eastAsia="宋体" w:cs="宋体"/>
                <w:b w:val="0"/>
                <w:bCs w:val="0"/>
                <w:sz w:val="21"/>
                <w:szCs w:val="21"/>
                <w:lang w:val="en-US" w:eastAsia="zh-CN" w:bidi="ar"/>
              </w:rPr>
              <w:t>ICP/GC-MS</w:t>
            </w:r>
            <w:r>
              <w:rPr>
                <w:rStyle w:val="40"/>
                <w:rFonts w:hint="eastAsia" w:ascii="宋体" w:hAnsi="宋体" w:eastAsia="宋体" w:cs="宋体"/>
                <w:b w:val="0"/>
                <w:bCs w:val="0"/>
                <w:sz w:val="21"/>
                <w:szCs w:val="21"/>
                <w:lang w:val="en-US" w:eastAsia="zh-CN" w:bidi="ar"/>
              </w:rPr>
              <w:t>等）不少于</w:t>
            </w:r>
            <w:r>
              <w:rPr>
                <w:rStyle w:val="39"/>
                <w:rFonts w:hint="eastAsia" w:ascii="宋体" w:hAnsi="宋体" w:eastAsia="宋体" w:cs="宋体"/>
                <w:b w:val="0"/>
                <w:bCs w:val="0"/>
                <w:sz w:val="21"/>
                <w:szCs w:val="21"/>
                <w:lang w:val="en-US" w:eastAsia="zh-CN" w:bidi="ar"/>
              </w:rPr>
              <w:t>2</w:t>
            </w:r>
            <w:r>
              <w:rPr>
                <w:rStyle w:val="40"/>
                <w:rFonts w:hint="eastAsia" w:ascii="宋体" w:hAnsi="宋体" w:eastAsia="宋体" w:cs="宋体"/>
                <w:b w:val="0"/>
                <w:bCs w:val="0"/>
                <w:sz w:val="21"/>
                <w:szCs w:val="21"/>
                <w:lang w:val="en-US" w:eastAsia="zh-CN" w:bidi="ar"/>
              </w:rPr>
              <w:t>台套</w:t>
            </w:r>
            <w:r>
              <w:rPr>
                <w:rStyle w:val="39"/>
                <w:rFonts w:hint="eastAsia" w:ascii="宋体" w:hAnsi="宋体" w:eastAsia="宋体" w:cs="宋体"/>
                <w:b w:val="0"/>
                <w:bCs w:val="0"/>
                <w:sz w:val="21"/>
                <w:szCs w:val="21"/>
                <w:lang w:val="en-US" w:eastAsia="zh-CN" w:bidi="ar"/>
              </w:rPr>
              <w:t>20</w:t>
            </w:r>
            <w:r>
              <w:rPr>
                <w:rStyle w:val="40"/>
                <w:rFonts w:hint="eastAsia" w:ascii="宋体" w:hAnsi="宋体" w:eastAsia="宋体" w:cs="宋体"/>
                <w:b w:val="0"/>
                <w:bCs w:val="0"/>
                <w:sz w:val="21"/>
                <w:szCs w:val="21"/>
                <w:lang w:val="en-US" w:eastAsia="zh-CN" w:bidi="ar"/>
              </w:rPr>
              <w:t>分</w:t>
            </w:r>
          </w:p>
        </w:tc>
        <w:tc>
          <w:tcPr>
            <w:tcW w:w="2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9528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设备台账、采购合同</w:t>
            </w:r>
          </w:p>
        </w:tc>
      </w:tr>
      <w:tr w14:paraId="19EF4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CF0C9">
            <w:pPr>
              <w:jc w:val="center"/>
              <w:rPr>
                <w:rFonts w:hint="eastAsia" w:ascii="宋体" w:hAnsi="宋体" w:eastAsia="宋体" w:cs="宋体"/>
                <w:b w:val="0"/>
                <w:bCs w:val="0"/>
                <w:i w:val="0"/>
                <w:iCs w:val="0"/>
                <w:color w:val="000000"/>
                <w:sz w:val="21"/>
                <w:szCs w:val="21"/>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4AE22">
            <w:pPr>
              <w:jc w:val="center"/>
              <w:rPr>
                <w:rFonts w:hint="eastAsia" w:ascii="宋体" w:hAnsi="宋体" w:eastAsia="宋体" w:cs="宋体"/>
                <w:b w:val="0"/>
                <w:bCs w:val="0"/>
                <w:i w:val="0"/>
                <w:iCs w:val="0"/>
                <w:color w:val="000000"/>
                <w:sz w:val="21"/>
                <w:szCs w:val="21"/>
                <w:u w:val="none"/>
              </w:rPr>
            </w:pPr>
          </w:p>
        </w:tc>
        <w:tc>
          <w:tcPr>
            <w:tcW w:w="5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F2BB99">
            <w:pPr>
              <w:jc w:val="center"/>
              <w:rPr>
                <w:rFonts w:hint="eastAsia" w:ascii="宋体" w:hAnsi="宋体" w:eastAsia="宋体" w:cs="宋体"/>
                <w:b w:val="0"/>
                <w:bCs w:val="0"/>
                <w:i w:val="0"/>
                <w:iCs w:val="0"/>
                <w:color w:val="000000"/>
                <w:sz w:val="21"/>
                <w:szCs w:val="21"/>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5FA89">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管理与维护</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64A1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40</w:t>
            </w:r>
          </w:p>
        </w:tc>
        <w:tc>
          <w:tcPr>
            <w:tcW w:w="3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50A3A">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校准计划执行率</w:t>
            </w:r>
            <w:r>
              <w:rPr>
                <w:rStyle w:val="39"/>
                <w:rFonts w:hint="eastAsia" w:ascii="宋体" w:hAnsi="宋体" w:eastAsia="宋体" w:cs="宋体"/>
                <w:b w:val="0"/>
                <w:bCs w:val="0"/>
                <w:sz w:val="21"/>
                <w:szCs w:val="21"/>
                <w:lang w:val="en-US" w:eastAsia="zh-CN" w:bidi="ar"/>
              </w:rPr>
              <w:t>100% 20</w:t>
            </w:r>
            <w:r>
              <w:rPr>
                <w:rStyle w:val="40"/>
                <w:rFonts w:hint="eastAsia" w:ascii="宋体" w:hAnsi="宋体" w:eastAsia="宋体" w:cs="宋体"/>
                <w:b w:val="0"/>
                <w:bCs w:val="0"/>
                <w:sz w:val="21"/>
                <w:szCs w:val="21"/>
                <w:lang w:val="en-US" w:eastAsia="zh-CN" w:bidi="ar"/>
              </w:rPr>
              <w:t>分</w:t>
            </w:r>
            <w:r>
              <w:rPr>
                <w:rStyle w:val="39"/>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状态标识与档案管理规范</w:t>
            </w:r>
            <w:r>
              <w:rPr>
                <w:rStyle w:val="39"/>
                <w:rFonts w:hint="eastAsia" w:ascii="宋体" w:hAnsi="宋体" w:eastAsia="宋体" w:cs="宋体"/>
                <w:b w:val="0"/>
                <w:bCs w:val="0"/>
                <w:sz w:val="21"/>
                <w:szCs w:val="21"/>
                <w:lang w:val="en-US" w:eastAsia="zh-CN" w:bidi="ar"/>
              </w:rPr>
              <w:t>20</w:t>
            </w:r>
            <w:r>
              <w:rPr>
                <w:rStyle w:val="40"/>
                <w:rFonts w:hint="eastAsia" w:ascii="宋体" w:hAnsi="宋体" w:eastAsia="宋体" w:cs="宋体"/>
                <w:b w:val="0"/>
                <w:bCs w:val="0"/>
                <w:sz w:val="21"/>
                <w:szCs w:val="21"/>
                <w:lang w:val="en-US" w:eastAsia="zh-CN" w:bidi="ar"/>
              </w:rPr>
              <w:t>分</w:t>
            </w:r>
          </w:p>
        </w:tc>
        <w:tc>
          <w:tcPr>
            <w:tcW w:w="2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1E3D9">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校准证书、维护记录</w:t>
            </w:r>
          </w:p>
        </w:tc>
      </w:tr>
      <w:tr w14:paraId="310AD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D9C58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w:t>
            </w: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6A0A9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物料管理</w:t>
            </w:r>
          </w:p>
        </w:tc>
        <w:tc>
          <w:tcPr>
            <w:tcW w:w="5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62CCB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A4B24">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样品管理</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33D2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30</w:t>
            </w:r>
          </w:p>
        </w:tc>
        <w:tc>
          <w:tcPr>
            <w:tcW w:w="3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2819A">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唯一性标识管理，流转全过程可追溯，无混淆风险。</w:t>
            </w:r>
          </w:p>
        </w:tc>
        <w:tc>
          <w:tcPr>
            <w:tcW w:w="2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D27ED">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样品管理程序文件</w:t>
            </w:r>
          </w:p>
          <w:p w14:paraId="7FFD944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样品唯一标识规则</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流转单</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系统截图</w:t>
            </w:r>
          </w:p>
        </w:tc>
      </w:tr>
      <w:tr w14:paraId="0466F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FEF40">
            <w:pPr>
              <w:jc w:val="center"/>
              <w:rPr>
                <w:rFonts w:hint="eastAsia" w:ascii="宋体" w:hAnsi="宋体" w:eastAsia="宋体" w:cs="宋体"/>
                <w:b w:val="0"/>
                <w:bCs w:val="0"/>
                <w:i w:val="0"/>
                <w:iCs w:val="0"/>
                <w:color w:val="000000"/>
                <w:sz w:val="21"/>
                <w:szCs w:val="21"/>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6EAC86">
            <w:pPr>
              <w:jc w:val="center"/>
              <w:rPr>
                <w:rFonts w:hint="eastAsia" w:ascii="宋体" w:hAnsi="宋体" w:eastAsia="宋体" w:cs="宋体"/>
                <w:b w:val="0"/>
                <w:bCs w:val="0"/>
                <w:i w:val="0"/>
                <w:iCs w:val="0"/>
                <w:color w:val="000000"/>
                <w:sz w:val="21"/>
                <w:szCs w:val="21"/>
                <w:u w:val="none"/>
              </w:rPr>
            </w:pPr>
          </w:p>
        </w:tc>
        <w:tc>
          <w:tcPr>
            <w:tcW w:w="5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5E9F37">
            <w:pPr>
              <w:jc w:val="center"/>
              <w:rPr>
                <w:rFonts w:hint="eastAsia" w:ascii="宋体" w:hAnsi="宋体" w:eastAsia="宋体" w:cs="宋体"/>
                <w:b w:val="0"/>
                <w:bCs w:val="0"/>
                <w:i w:val="0"/>
                <w:iCs w:val="0"/>
                <w:color w:val="000000"/>
                <w:sz w:val="21"/>
                <w:szCs w:val="21"/>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749AC">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试剂与耗材</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F9E1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40</w:t>
            </w:r>
          </w:p>
        </w:tc>
        <w:tc>
          <w:tcPr>
            <w:tcW w:w="3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A24B4">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剧毒</w:t>
            </w:r>
            <w:r>
              <w:rPr>
                <w:rStyle w:val="39"/>
                <w:rFonts w:hint="eastAsia" w:ascii="宋体" w:hAnsi="宋体" w:eastAsia="宋体" w:cs="宋体"/>
                <w:b w:val="0"/>
                <w:bCs w:val="0"/>
                <w:sz w:val="21"/>
                <w:szCs w:val="21"/>
                <w:lang w:val="en-US" w:eastAsia="zh-CN" w:bidi="ar"/>
              </w:rPr>
              <w:t>/</w:t>
            </w:r>
            <w:r>
              <w:rPr>
                <w:rStyle w:val="40"/>
                <w:rFonts w:hint="eastAsia" w:ascii="宋体" w:hAnsi="宋体" w:eastAsia="宋体" w:cs="宋体"/>
                <w:b w:val="0"/>
                <w:bCs w:val="0"/>
                <w:sz w:val="21"/>
                <w:szCs w:val="21"/>
                <w:lang w:val="en-US" w:eastAsia="zh-CN" w:bidi="ar"/>
              </w:rPr>
              <w:t>易制毒化学品</w:t>
            </w:r>
            <w:r>
              <w:rPr>
                <w:rStyle w:val="39"/>
                <w:rFonts w:hint="eastAsia" w:ascii="宋体" w:hAnsi="宋体" w:eastAsia="宋体" w:cs="宋体"/>
                <w:b w:val="0"/>
                <w:bCs w:val="0"/>
                <w:sz w:val="21"/>
                <w:szCs w:val="21"/>
                <w:lang w:val="en-US" w:eastAsia="zh-CN" w:bidi="ar"/>
              </w:rPr>
              <w:t>“</w:t>
            </w:r>
            <w:r>
              <w:rPr>
                <w:rStyle w:val="40"/>
                <w:rFonts w:hint="eastAsia" w:ascii="宋体" w:hAnsi="宋体" w:eastAsia="宋体" w:cs="宋体"/>
                <w:b w:val="0"/>
                <w:bCs w:val="0"/>
                <w:sz w:val="21"/>
                <w:szCs w:val="21"/>
                <w:lang w:val="en-US" w:eastAsia="zh-CN" w:bidi="ar"/>
              </w:rPr>
              <w:t>双人双锁</w:t>
            </w:r>
            <w:r>
              <w:rPr>
                <w:rStyle w:val="39"/>
                <w:rFonts w:hint="eastAsia" w:ascii="宋体" w:hAnsi="宋体" w:eastAsia="宋体" w:cs="宋体"/>
                <w:b w:val="0"/>
                <w:bCs w:val="0"/>
                <w:sz w:val="21"/>
                <w:szCs w:val="21"/>
                <w:lang w:val="en-US" w:eastAsia="zh-CN" w:bidi="ar"/>
              </w:rPr>
              <w:t>”</w:t>
            </w:r>
            <w:r>
              <w:rPr>
                <w:rStyle w:val="40"/>
                <w:rFonts w:hint="eastAsia" w:ascii="宋体" w:hAnsi="宋体" w:eastAsia="宋体" w:cs="宋体"/>
                <w:b w:val="0"/>
                <w:bCs w:val="0"/>
                <w:sz w:val="21"/>
                <w:szCs w:val="21"/>
                <w:lang w:val="en-US" w:eastAsia="zh-CN" w:bidi="ar"/>
              </w:rPr>
              <w:t xml:space="preserve">管理 </w:t>
            </w:r>
            <w:r>
              <w:rPr>
                <w:rStyle w:val="39"/>
                <w:rFonts w:hint="eastAsia" w:ascii="宋体" w:hAnsi="宋体" w:eastAsia="宋体" w:cs="宋体"/>
                <w:b w:val="0"/>
                <w:bCs w:val="0"/>
                <w:sz w:val="21"/>
                <w:szCs w:val="21"/>
                <w:lang w:val="en-US" w:eastAsia="zh-CN" w:bidi="ar"/>
              </w:rPr>
              <w:t>20</w:t>
            </w:r>
            <w:r>
              <w:rPr>
                <w:rStyle w:val="40"/>
                <w:rFonts w:hint="eastAsia" w:ascii="宋体" w:hAnsi="宋体" w:eastAsia="宋体" w:cs="宋体"/>
                <w:b w:val="0"/>
                <w:bCs w:val="0"/>
                <w:sz w:val="21"/>
                <w:szCs w:val="21"/>
                <w:lang w:val="en-US" w:eastAsia="zh-CN" w:bidi="ar"/>
              </w:rPr>
              <w:t>分</w:t>
            </w:r>
            <w:r>
              <w:rPr>
                <w:rStyle w:val="39"/>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试剂耗材有效期管理规范（</w:t>
            </w:r>
            <w:r>
              <w:rPr>
                <w:rStyle w:val="39"/>
                <w:rFonts w:hint="eastAsia" w:ascii="宋体" w:hAnsi="宋体" w:eastAsia="宋体" w:cs="宋体"/>
                <w:b w:val="0"/>
                <w:bCs w:val="0"/>
                <w:sz w:val="21"/>
                <w:szCs w:val="21"/>
                <w:lang w:val="en-US" w:eastAsia="zh-CN" w:bidi="ar"/>
              </w:rPr>
              <w:t>0</w:t>
            </w:r>
            <w:r>
              <w:rPr>
                <w:rStyle w:val="40"/>
                <w:rFonts w:hint="eastAsia" w:ascii="宋体" w:hAnsi="宋体" w:eastAsia="宋体" w:cs="宋体"/>
                <w:b w:val="0"/>
                <w:bCs w:val="0"/>
                <w:sz w:val="21"/>
                <w:szCs w:val="21"/>
                <w:lang w:val="en-US" w:eastAsia="zh-CN" w:bidi="ar"/>
              </w:rPr>
              <w:t>分</w:t>
            </w:r>
          </w:p>
        </w:tc>
        <w:tc>
          <w:tcPr>
            <w:tcW w:w="2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9B1A6">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MSDS文件汇编</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危险品存储区照片（上锁、标识）</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危险品台账</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领用记录</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耗材库存盘点记录</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过期耗材处理记录 </w:t>
            </w:r>
          </w:p>
        </w:tc>
      </w:tr>
      <w:tr w14:paraId="147FF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 w:hRule="atLeast"/>
        </w:trPr>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215EF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w:t>
            </w: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EADB7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方法与文件</w:t>
            </w:r>
          </w:p>
        </w:tc>
        <w:tc>
          <w:tcPr>
            <w:tcW w:w="5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02949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01A96">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方法验证</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4D37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40</w:t>
            </w:r>
          </w:p>
        </w:tc>
        <w:tc>
          <w:tcPr>
            <w:tcW w:w="3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77A60">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标准方法查询及时 </w:t>
            </w:r>
            <w:r>
              <w:rPr>
                <w:rStyle w:val="39"/>
                <w:rFonts w:hint="eastAsia" w:ascii="宋体" w:hAnsi="宋体" w:eastAsia="宋体" w:cs="宋体"/>
                <w:b w:val="0"/>
                <w:bCs w:val="0"/>
                <w:sz w:val="21"/>
                <w:szCs w:val="21"/>
                <w:lang w:val="en-US" w:eastAsia="zh-CN" w:bidi="ar"/>
              </w:rPr>
              <w:t>20</w:t>
            </w:r>
            <w:r>
              <w:rPr>
                <w:rStyle w:val="40"/>
                <w:rFonts w:hint="eastAsia" w:ascii="宋体" w:hAnsi="宋体" w:eastAsia="宋体" w:cs="宋体"/>
                <w:b w:val="0"/>
                <w:bCs w:val="0"/>
                <w:sz w:val="21"/>
                <w:szCs w:val="21"/>
                <w:lang w:val="en-US" w:eastAsia="zh-CN" w:bidi="ar"/>
              </w:rPr>
              <w:t>分</w:t>
            </w:r>
            <w:r>
              <w:rPr>
                <w:rStyle w:val="39"/>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非标方法</w:t>
            </w:r>
            <w:r>
              <w:rPr>
                <w:rStyle w:val="39"/>
                <w:rFonts w:hint="eastAsia" w:ascii="宋体" w:hAnsi="宋体" w:eastAsia="宋体" w:cs="宋体"/>
                <w:b w:val="0"/>
                <w:bCs w:val="0"/>
                <w:sz w:val="21"/>
                <w:szCs w:val="21"/>
                <w:lang w:val="en-US" w:eastAsia="zh-CN" w:bidi="ar"/>
              </w:rPr>
              <w:t>/</w:t>
            </w:r>
            <w:r>
              <w:rPr>
                <w:rStyle w:val="40"/>
                <w:rFonts w:hint="eastAsia" w:ascii="宋体" w:hAnsi="宋体" w:eastAsia="宋体" w:cs="宋体"/>
                <w:b w:val="0"/>
                <w:bCs w:val="0"/>
                <w:sz w:val="21"/>
                <w:szCs w:val="21"/>
                <w:lang w:val="en-US" w:eastAsia="zh-CN" w:bidi="ar"/>
              </w:rPr>
              <w:t>变更方法有完整验证报告</w:t>
            </w:r>
            <w:r>
              <w:rPr>
                <w:rStyle w:val="39"/>
                <w:rFonts w:hint="eastAsia" w:ascii="宋体" w:hAnsi="宋体" w:eastAsia="宋体" w:cs="宋体"/>
                <w:b w:val="0"/>
                <w:bCs w:val="0"/>
                <w:sz w:val="21"/>
                <w:szCs w:val="21"/>
                <w:lang w:val="en-US" w:eastAsia="zh-CN" w:bidi="ar"/>
              </w:rPr>
              <w:t>20</w:t>
            </w:r>
            <w:r>
              <w:rPr>
                <w:rStyle w:val="40"/>
                <w:rFonts w:hint="eastAsia" w:ascii="宋体" w:hAnsi="宋体" w:eastAsia="宋体" w:cs="宋体"/>
                <w:b w:val="0"/>
                <w:bCs w:val="0"/>
                <w:sz w:val="21"/>
                <w:szCs w:val="21"/>
                <w:lang w:val="en-US" w:eastAsia="zh-CN" w:bidi="ar"/>
              </w:rPr>
              <w:t>分</w:t>
            </w:r>
          </w:p>
        </w:tc>
        <w:tc>
          <w:tcPr>
            <w:tcW w:w="2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FE539">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检测方法清单（注明标准号、版本）</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查询记录</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验证报告（含数据、不确定度评估）</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正式发布的作业指导书（编号、版本、生效日期） </w:t>
            </w:r>
          </w:p>
        </w:tc>
      </w:tr>
      <w:tr w14:paraId="65160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0" w:hRule="atLeast"/>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6B27D">
            <w:pPr>
              <w:jc w:val="center"/>
              <w:rPr>
                <w:rFonts w:hint="eastAsia" w:ascii="宋体" w:hAnsi="宋体" w:eastAsia="宋体" w:cs="宋体"/>
                <w:b w:val="0"/>
                <w:bCs w:val="0"/>
                <w:i w:val="0"/>
                <w:iCs w:val="0"/>
                <w:color w:val="000000"/>
                <w:sz w:val="21"/>
                <w:szCs w:val="21"/>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530AE">
            <w:pPr>
              <w:jc w:val="center"/>
              <w:rPr>
                <w:rFonts w:hint="eastAsia" w:ascii="宋体" w:hAnsi="宋体" w:eastAsia="宋体" w:cs="宋体"/>
                <w:b w:val="0"/>
                <w:bCs w:val="0"/>
                <w:i w:val="0"/>
                <w:iCs w:val="0"/>
                <w:color w:val="000000"/>
                <w:sz w:val="21"/>
                <w:szCs w:val="21"/>
                <w:u w:val="none"/>
              </w:rPr>
            </w:pPr>
          </w:p>
        </w:tc>
        <w:tc>
          <w:tcPr>
            <w:tcW w:w="5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66DB2">
            <w:pPr>
              <w:jc w:val="center"/>
              <w:rPr>
                <w:rFonts w:hint="eastAsia" w:ascii="宋体" w:hAnsi="宋体" w:eastAsia="宋体" w:cs="宋体"/>
                <w:b w:val="0"/>
                <w:bCs w:val="0"/>
                <w:i w:val="0"/>
                <w:iCs w:val="0"/>
                <w:color w:val="000000"/>
                <w:sz w:val="21"/>
                <w:szCs w:val="21"/>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4369C">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文件与记录</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4BF7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30</w:t>
            </w:r>
          </w:p>
        </w:tc>
        <w:tc>
          <w:tcPr>
            <w:tcW w:w="3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41355">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体系文件受控，原始记录信息完整（含环境、设备、人员、计算）。</w:t>
            </w:r>
          </w:p>
        </w:tc>
        <w:tc>
          <w:tcPr>
            <w:tcW w:w="2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8E575">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文件控制程序</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记录档案（含版本号、生效日期）</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受控清单</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文件发放/回收记录</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文件修订审批记录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记录归档台账（含归档日期、存放位置）</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电子记录审计追踪日志（如LIMS系统）</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记录保存制度文件 </w:t>
            </w:r>
          </w:p>
        </w:tc>
      </w:tr>
      <w:tr w14:paraId="45794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6BE5B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w:t>
            </w: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7B351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环境与设施</w:t>
            </w:r>
          </w:p>
        </w:tc>
        <w:tc>
          <w:tcPr>
            <w:tcW w:w="5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8779E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BE7C2">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环境监控</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B2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40</w:t>
            </w:r>
          </w:p>
        </w:tc>
        <w:tc>
          <w:tcPr>
            <w:tcW w:w="3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0DE78">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温湿度监控记录完整 </w:t>
            </w:r>
            <w:r>
              <w:rPr>
                <w:rStyle w:val="39"/>
                <w:rFonts w:hint="eastAsia" w:ascii="宋体" w:hAnsi="宋体" w:eastAsia="宋体" w:cs="宋体"/>
                <w:b w:val="0"/>
                <w:bCs w:val="0"/>
                <w:sz w:val="21"/>
                <w:szCs w:val="21"/>
                <w:lang w:val="en-US" w:eastAsia="zh-CN" w:bidi="ar"/>
              </w:rPr>
              <w:t>20</w:t>
            </w:r>
            <w:r>
              <w:rPr>
                <w:rStyle w:val="40"/>
                <w:rFonts w:hint="eastAsia" w:ascii="宋体" w:hAnsi="宋体" w:eastAsia="宋体" w:cs="宋体"/>
                <w:b w:val="0"/>
                <w:bCs w:val="0"/>
                <w:sz w:val="21"/>
                <w:szCs w:val="21"/>
                <w:lang w:val="en-US" w:eastAsia="zh-CN" w:bidi="ar"/>
              </w:rPr>
              <w:t>分</w:t>
            </w:r>
            <w:r>
              <w:rPr>
                <w:rStyle w:val="39"/>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 xml:space="preserve">分区合理，互不干扰 </w:t>
            </w:r>
            <w:r>
              <w:rPr>
                <w:rStyle w:val="39"/>
                <w:rFonts w:hint="eastAsia" w:ascii="宋体" w:hAnsi="宋体" w:eastAsia="宋体" w:cs="宋体"/>
                <w:b w:val="0"/>
                <w:bCs w:val="0"/>
                <w:sz w:val="21"/>
                <w:szCs w:val="21"/>
                <w:lang w:val="en-US" w:eastAsia="zh-CN" w:bidi="ar"/>
              </w:rPr>
              <w:t>20</w:t>
            </w:r>
            <w:r>
              <w:rPr>
                <w:rStyle w:val="40"/>
                <w:rFonts w:hint="eastAsia" w:ascii="宋体" w:hAnsi="宋体" w:eastAsia="宋体" w:cs="宋体"/>
                <w:b w:val="0"/>
                <w:bCs w:val="0"/>
                <w:sz w:val="21"/>
                <w:szCs w:val="21"/>
                <w:lang w:val="en-US" w:eastAsia="zh-CN" w:bidi="ar"/>
              </w:rPr>
              <w:t>分</w:t>
            </w:r>
          </w:p>
        </w:tc>
        <w:tc>
          <w:tcPr>
            <w:tcW w:w="2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6878A">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温湿度记录</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平面图</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区域隔离照片（如门禁、隔断）</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各区域环境条件控制记录 </w:t>
            </w:r>
            <w:r>
              <w:rPr>
                <w:rStyle w:val="39"/>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环境监控设备校准证书</w:t>
            </w:r>
            <w:r>
              <w:rPr>
                <w:rStyle w:val="39"/>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环境条件不符合时的处理记录</w:t>
            </w:r>
            <w:r>
              <w:rPr>
                <w:rStyle w:val="39"/>
                <w:rFonts w:hint="eastAsia" w:ascii="宋体" w:hAnsi="宋体" w:eastAsia="宋体" w:cs="宋体"/>
                <w:b w:val="0"/>
                <w:bCs w:val="0"/>
                <w:sz w:val="21"/>
                <w:szCs w:val="21"/>
                <w:lang w:val="en-US" w:eastAsia="zh-CN" w:bidi="ar"/>
              </w:rPr>
              <w:t xml:space="preserve"> </w:t>
            </w:r>
          </w:p>
        </w:tc>
      </w:tr>
      <w:tr w14:paraId="69B9B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9AD546">
            <w:pPr>
              <w:jc w:val="center"/>
              <w:rPr>
                <w:rFonts w:hint="eastAsia" w:ascii="宋体" w:hAnsi="宋体" w:eastAsia="宋体" w:cs="宋体"/>
                <w:b w:val="0"/>
                <w:bCs w:val="0"/>
                <w:i w:val="0"/>
                <w:iCs w:val="0"/>
                <w:color w:val="000000"/>
                <w:sz w:val="21"/>
                <w:szCs w:val="21"/>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8268A">
            <w:pPr>
              <w:jc w:val="center"/>
              <w:rPr>
                <w:rFonts w:hint="eastAsia" w:ascii="宋体" w:hAnsi="宋体" w:eastAsia="宋体" w:cs="宋体"/>
                <w:b w:val="0"/>
                <w:bCs w:val="0"/>
                <w:i w:val="0"/>
                <w:iCs w:val="0"/>
                <w:color w:val="000000"/>
                <w:sz w:val="21"/>
                <w:szCs w:val="21"/>
                <w:u w:val="none"/>
              </w:rPr>
            </w:pPr>
          </w:p>
        </w:tc>
        <w:tc>
          <w:tcPr>
            <w:tcW w:w="5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F9D40">
            <w:pPr>
              <w:jc w:val="center"/>
              <w:rPr>
                <w:rFonts w:hint="eastAsia" w:ascii="宋体" w:hAnsi="宋体" w:eastAsia="宋体" w:cs="宋体"/>
                <w:b w:val="0"/>
                <w:bCs w:val="0"/>
                <w:i w:val="0"/>
                <w:iCs w:val="0"/>
                <w:color w:val="000000"/>
                <w:sz w:val="21"/>
                <w:szCs w:val="21"/>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CA82F">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环保与安全</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451D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30</w:t>
            </w:r>
          </w:p>
        </w:tc>
        <w:tc>
          <w:tcPr>
            <w:tcW w:w="3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77D06">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三废处置合规 </w:t>
            </w:r>
            <w:r>
              <w:rPr>
                <w:rStyle w:val="39"/>
                <w:rFonts w:hint="eastAsia" w:ascii="宋体" w:hAnsi="宋体" w:eastAsia="宋体" w:cs="宋体"/>
                <w:b w:val="0"/>
                <w:bCs w:val="0"/>
                <w:sz w:val="21"/>
                <w:szCs w:val="21"/>
                <w:lang w:val="en-US" w:eastAsia="zh-CN" w:bidi="ar"/>
              </w:rPr>
              <w:t>15</w:t>
            </w:r>
            <w:r>
              <w:rPr>
                <w:rStyle w:val="40"/>
                <w:rFonts w:hint="eastAsia" w:ascii="宋体" w:hAnsi="宋体" w:eastAsia="宋体" w:cs="宋体"/>
                <w:b w:val="0"/>
                <w:bCs w:val="0"/>
                <w:sz w:val="21"/>
                <w:szCs w:val="21"/>
                <w:lang w:val="en-US" w:eastAsia="zh-CN" w:bidi="ar"/>
              </w:rPr>
              <w:t>分</w:t>
            </w:r>
            <w:r>
              <w:rPr>
                <w:rStyle w:val="39"/>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 xml:space="preserve">配备洗眼器、通风橱等安全设施 </w:t>
            </w:r>
            <w:r>
              <w:rPr>
                <w:rStyle w:val="39"/>
                <w:rFonts w:hint="eastAsia" w:ascii="宋体" w:hAnsi="宋体" w:eastAsia="宋体" w:cs="宋体"/>
                <w:b w:val="0"/>
                <w:bCs w:val="0"/>
                <w:sz w:val="21"/>
                <w:szCs w:val="21"/>
                <w:lang w:val="en-US" w:eastAsia="zh-CN" w:bidi="ar"/>
              </w:rPr>
              <w:t>15</w:t>
            </w:r>
            <w:r>
              <w:rPr>
                <w:rStyle w:val="40"/>
                <w:rFonts w:hint="eastAsia" w:ascii="宋体" w:hAnsi="宋体" w:eastAsia="宋体" w:cs="宋体"/>
                <w:b w:val="0"/>
                <w:bCs w:val="0"/>
                <w:sz w:val="21"/>
                <w:szCs w:val="21"/>
                <w:lang w:val="en-US" w:eastAsia="zh-CN" w:bidi="ar"/>
              </w:rPr>
              <w:t>分</w:t>
            </w:r>
          </w:p>
        </w:tc>
        <w:tc>
          <w:tcPr>
            <w:tcW w:w="2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89754">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三废合同</w:t>
            </w:r>
            <w:r>
              <w:rPr>
                <w:rStyle w:val="39"/>
                <w:rFonts w:hint="eastAsia" w:ascii="宋体" w:hAnsi="宋体" w:eastAsia="宋体" w:cs="宋体"/>
                <w:b w:val="0"/>
                <w:bCs w:val="0"/>
                <w:sz w:val="21"/>
                <w:szCs w:val="21"/>
                <w:lang w:val="en-US" w:eastAsia="zh-CN" w:bidi="ar"/>
              </w:rPr>
              <w:t>/</w:t>
            </w:r>
            <w:r>
              <w:rPr>
                <w:rStyle w:val="40"/>
                <w:rFonts w:hint="eastAsia" w:ascii="宋体" w:hAnsi="宋体" w:eastAsia="宋体" w:cs="宋体"/>
                <w:b w:val="0"/>
                <w:bCs w:val="0"/>
                <w:sz w:val="21"/>
                <w:szCs w:val="21"/>
                <w:lang w:val="en-US" w:eastAsia="zh-CN" w:bidi="ar"/>
              </w:rPr>
              <w:t>报告</w:t>
            </w:r>
            <w:r>
              <w:rPr>
                <w:rStyle w:val="39"/>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现场照片</w:t>
            </w:r>
            <w:r>
              <w:rPr>
                <w:rStyle w:val="39"/>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安全设施检查记录</w:t>
            </w:r>
            <w:r>
              <w:rPr>
                <w:rStyle w:val="39"/>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应急演练计划与记录</w:t>
            </w:r>
          </w:p>
        </w:tc>
      </w:tr>
      <w:tr w14:paraId="3F30C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0315F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w:t>
            </w: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3732F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检测过程控制</w:t>
            </w:r>
          </w:p>
        </w:tc>
        <w:tc>
          <w:tcPr>
            <w:tcW w:w="5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2FF20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110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6FF75">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质量控制</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DE0C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60</w:t>
            </w:r>
          </w:p>
        </w:tc>
        <w:tc>
          <w:tcPr>
            <w:tcW w:w="3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E03E8">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定期开展空白、平行、加标 </w:t>
            </w:r>
            <w:r>
              <w:rPr>
                <w:rStyle w:val="39"/>
                <w:rFonts w:hint="eastAsia" w:ascii="宋体" w:hAnsi="宋体" w:eastAsia="宋体" w:cs="宋体"/>
                <w:b w:val="0"/>
                <w:bCs w:val="0"/>
                <w:sz w:val="21"/>
                <w:szCs w:val="21"/>
                <w:lang w:val="en-US" w:eastAsia="zh-CN" w:bidi="ar"/>
              </w:rPr>
              <w:t>30</w:t>
            </w:r>
            <w:r>
              <w:rPr>
                <w:rStyle w:val="40"/>
                <w:rFonts w:hint="eastAsia" w:ascii="宋体" w:hAnsi="宋体" w:eastAsia="宋体" w:cs="宋体"/>
                <w:b w:val="0"/>
                <w:bCs w:val="0"/>
                <w:sz w:val="21"/>
                <w:szCs w:val="21"/>
                <w:lang w:val="en-US" w:eastAsia="zh-CN" w:bidi="ar"/>
              </w:rPr>
              <w:t>分</w:t>
            </w:r>
            <w:r>
              <w:rPr>
                <w:rStyle w:val="39"/>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 xml:space="preserve">每年参加能力验证且结果满意 </w:t>
            </w:r>
            <w:r>
              <w:rPr>
                <w:rStyle w:val="39"/>
                <w:rFonts w:hint="eastAsia" w:ascii="宋体" w:hAnsi="宋体" w:eastAsia="宋体" w:cs="宋体"/>
                <w:b w:val="0"/>
                <w:bCs w:val="0"/>
                <w:sz w:val="21"/>
                <w:szCs w:val="21"/>
                <w:lang w:val="en-US" w:eastAsia="zh-CN" w:bidi="ar"/>
              </w:rPr>
              <w:t>30</w:t>
            </w:r>
            <w:r>
              <w:rPr>
                <w:rStyle w:val="40"/>
                <w:rFonts w:hint="eastAsia" w:ascii="宋体" w:hAnsi="宋体" w:eastAsia="宋体" w:cs="宋体"/>
                <w:b w:val="0"/>
                <w:bCs w:val="0"/>
                <w:sz w:val="21"/>
                <w:szCs w:val="21"/>
                <w:lang w:val="en-US" w:eastAsia="zh-CN" w:bidi="ar"/>
              </w:rPr>
              <w:t>分</w:t>
            </w:r>
          </w:p>
        </w:tc>
        <w:tc>
          <w:tcPr>
            <w:tcW w:w="2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BC423">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质控图</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异常数据调查与处理记录 </w:t>
            </w:r>
            <w:r>
              <w:rPr>
                <w:rStyle w:val="39"/>
                <w:rFonts w:hint="eastAsia" w:ascii="宋体" w:hAnsi="宋体" w:eastAsia="宋体" w:cs="宋体"/>
                <w:b w:val="0"/>
                <w:bCs w:val="0"/>
                <w:sz w:val="21"/>
                <w:szCs w:val="21"/>
                <w:lang w:val="en-US" w:eastAsia="zh-CN" w:bidi="ar"/>
              </w:rPr>
              <w:br w:type="textWrapping"/>
            </w:r>
            <w:r>
              <w:rPr>
                <w:rStyle w:val="39"/>
                <w:rFonts w:hint="eastAsia" w:ascii="宋体" w:hAnsi="宋体" w:eastAsia="宋体" w:cs="宋体"/>
                <w:b w:val="0"/>
                <w:bCs w:val="0"/>
                <w:sz w:val="21"/>
                <w:szCs w:val="21"/>
                <w:lang w:val="en-US" w:eastAsia="zh-CN" w:bidi="ar"/>
              </w:rPr>
              <w:t>PT</w:t>
            </w:r>
            <w:r>
              <w:rPr>
                <w:rStyle w:val="40"/>
                <w:rFonts w:hint="eastAsia" w:ascii="宋体" w:hAnsi="宋体" w:eastAsia="宋体" w:cs="宋体"/>
                <w:b w:val="0"/>
                <w:bCs w:val="0"/>
                <w:sz w:val="21"/>
                <w:szCs w:val="21"/>
                <w:lang w:val="en-US" w:eastAsia="zh-CN" w:bidi="ar"/>
              </w:rPr>
              <w:t>报告</w:t>
            </w:r>
            <w:r>
              <w:rPr>
                <w:rStyle w:val="40"/>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 xml:space="preserve">未参加能力验证项目的实验室间比对记录 </w:t>
            </w:r>
            <w:r>
              <w:rPr>
                <w:rStyle w:val="40"/>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年度质控计划表</w:t>
            </w:r>
            <w:r>
              <w:rPr>
                <w:rStyle w:val="40"/>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质控实施记录（时间、项目、负责人、结果）</w:t>
            </w:r>
            <w:r>
              <w:rPr>
                <w:rStyle w:val="40"/>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 xml:space="preserve">质控计划执行情况总结报告 </w:t>
            </w:r>
          </w:p>
        </w:tc>
      </w:tr>
      <w:tr w14:paraId="7A000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ACB33">
            <w:pPr>
              <w:jc w:val="center"/>
              <w:rPr>
                <w:rFonts w:hint="eastAsia" w:ascii="宋体" w:hAnsi="宋体" w:eastAsia="宋体" w:cs="宋体"/>
                <w:b w:val="0"/>
                <w:bCs w:val="0"/>
                <w:i w:val="0"/>
                <w:iCs w:val="0"/>
                <w:color w:val="000000"/>
                <w:sz w:val="21"/>
                <w:szCs w:val="21"/>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C6A0E">
            <w:pPr>
              <w:jc w:val="center"/>
              <w:rPr>
                <w:rFonts w:hint="eastAsia" w:ascii="宋体" w:hAnsi="宋体" w:eastAsia="宋体" w:cs="宋体"/>
                <w:b w:val="0"/>
                <w:bCs w:val="0"/>
                <w:i w:val="0"/>
                <w:iCs w:val="0"/>
                <w:color w:val="000000"/>
                <w:sz w:val="21"/>
                <w:szCs w:val="21"/>
                <w:u w:val="none"/>
              </w:rPr>
            </w:pPr>
          </w:p>
        </w:tc>
        <w:tc>
          <w:tcPr>
            <w:tcW w:w="5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3F215">
            <w:pPr>
              <w:jc w:val="center"/>
              <w:rPr>
                <w:rFonts w:hint="eastAsia" w:ascii="宋体" w:hAnsi="宋体" w:eastAsia="宋体" w:cs="宋体"/>
                <w:b w:val="0"/>
                <w:bCs w:val="0"/>
                <w:i w:val="0"/>
                <w:iCs w:val="0"/>
                <w:color w:val="000000"/>
                <w:sz w:val="21"/>
                <w:szCs w:val="21"/>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AA8A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报告质量</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0A02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50</w:t>
            </w:r>
          </w:p>
        </w:tc>
        <w:tc>
          <w:tcPr>
            <w:tcW w:w="3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969AA">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报告信息齐全、结论准确 2</w:t>
            </w:r>
            <w:r>
              <w:rPr>
                <w:rStyle w:val="39"/>
                <w:rFonts w:hint="eastAsia" w:ascii="宋体" w:hAnsi="宋体" w:eastAsia="宋体" w:cs="宋体"/>
                <w:b w:val="0"/>
                <w:bCs w:val="0"/>
                <w:sz w:val="21"/>
                <w:szCs w:val="21"/>
                <w:lang w:val="en-US" w:eastAsia="zh-CN" w:bidi="ar"/>
              </w:rPr>
              <w:t>0</w:t>
            </w:r>
            <w:r>
              <w:rPr>
                <w:rStyle w:val="40"/>
                <w:rFonts w:hint="eastAsia" w:ascii="宋体" w:hAnsi="宋体" w:eastAsia="宋体" w:cs="宋体"/>
                <w:b w:val="0"/>
                <w:bCs w:val="0"/>
                <w:sz w:val="21"/>
                <w:szCs w:val="21"/>
                <w:lang w:val="en-US" w:eastAsia="zh-CN" w:bidi="ar"/>
              </w:rPr>
              <w:t>分</w:t>
            </w:r>
            <w:r>
              <w:rPr>
                <w:rStyle w:val="39"/>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报告与原始记录可追溯 3</w:t>
            </w:r>
            <w:r>
              <w:rPr>
                <w:rStyle w:val="39"/>
                <w:rFonts w:hint="eastAsia" w:ascii="宋体" w:hAnsi="宋体" w:eastAsia="宋体" w:cs="宋体"/>
                <w:b w:val="0"/>
                <w:bCs w:val="0"/>
                <w:sz w:val="21"/>
                <w:szCs w:val="21"/>
                <w:lang w:val="en-US" w:eastAsia="zh-CN" w:bidi="ar"/>
              </w:rPr>
              <w:t>0</w:t>
            </w:r>
            <w:r>
              <w:rPr>
                <w:rStyle w:val="40"/>
                <w:rFonts w:hint="eastAsia" w:ascii="宋体" w:hAnsi="宋体" w:eastAsia="宋体" w:cs="宋体"/>
                <w:b w:val="0"/>
                <w:bCs w:val="0"/>
                <w:sz w:val="21"/>
                <w:szCs w:val="21"/>
                <w:lang w:val="en-US" w:eastAsia="zh-CN" w:bidi="ar"/>
              </w:rPr>
              <w:t>分</w:t>
            </w:r>
          </w:p>
        </w:tc>
        <w:tc>
          <w:tcPr>
            <w:tcW w:w="2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6D330">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典型原始记录样本（脱敏）</w:t>
            </w:r>
            <w:r>
              <w:rPr>
                <w:rStyle w:val="39"/>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审计追踪</w:t>
            </w:r>
            <w:r>
              <w:rPr>
                <w:rStyle w:val="40"/>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记录保存台账（含归档日期、存放位置）</w:t>
            </w:r>
            <w:r>
              <w:rPr>
                <w:rStyle w:val="40"/>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电子记录审计追踪日志</w:t>
            </w:r>
            <w:r>
              <w:rPr>
                <w:rStyle w:val="40"/>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报告模板（含要素清单）</w:t>
            </w:r>
            <w:r>
              <w:rPr>
                <w:rStyle w:val="40"/>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报告修改审批记录（如有涂改）</w:t>
            </w:r>
            <w:r>
              <w:rPr>
                <w:rStyle w:val="40"/>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 xml:space="preserve">无签名/无日期记录抽查样本 </w:t>
            </w:r>
          </w:p>
        </w:tc>
      </w:tr>
      <w:tr w14:paraId="4D0AD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0" w:hRule="atLeast"/>
        </w:trPr>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4E210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w:t>
            </w: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1D18B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风险与体系</w:t>
            </w:r>
          </w:p>
        </w:tc>
        <w:tc>
          <w:tcPr>
            <w:tcW w:w="5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6597F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4D6C7">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体系运行</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2E4C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40</w:t>
            </w:r>
          </w:p>
        </w:tc>
        <w:tc>
          <w:tcPr>
            <w:tcW w:w="3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1EF99">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内审与管理评审按计划实施，不符合项闭环。</w:t>
            </w:r>
          </w:p>
        </w:tc>
        <w:tc>
          <w:tcPr>
            <w:tcW w:w="2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2F2C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内审</w:t>
            </w:r>
            <w:r>
              <w:rPr>
                <w:rStyle w:val="39"/>
                <w:rFonts w:hint="eastAsia" w:ascii="宋体" w:hAnsi="宋体" w:eastAsia="宋体" w:cs="宋体"/>
                <w:b w:val="0"/>
                <w:bCs w:val="0"/>
                <w:sz w:val="21"/>
                <w:szCs w:val="21"/>
                <w:lang w:val="en-US" w:eastAsia="zh-CN" w:bidi="ar"/>
              </w:rPr>
              <w:t>/</w:t>
            </w:r>
            <w:r>
              <w:rPr>
                <w:rStyle w:val="40"/>
                <w:rFonts w:hint="eastAsia" w:ascii="宋体" w:hAnsi="宋体" w:eastAsia="宋体" w:cs="宋体"/>
                <w:b w:val="0"/>
                <w:bCs w:val="0"/>
                <w:sz w:val="21"/>
                <w:szCs w:val="21"/>
                <w:lang w:val="en-US" w:eastAsia="zh-CN" w:bidi="ar"/>
              </w:rPr>
              <w:t>管评全套资料</w:t>
            </w:r>
            <w:r>
              <w:rPr>
                <w:rStyle w:val="39"/>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每年至少开展</w:t>
            </w:r>
            <w:r>
              <w:rPr>
                <w:rStyle w:val="39"/>
                <w:rFonts w:hint="eastAsia" w:ascii="宋体" w:hAnsi="宋体" w:eastAsia="宋体" w:cs="宋体"/>
                <w:b w:val="0"/>
                <w:bCs w:val="0"/>
                <w:sz w:val="21"/>
                <w:szCs w:val="21"/>
                <w:lang w:val="en-US" w:eastAsia="zh-CN" w:bidi="ar"/>
              </w:rPr>
              <w:t>1</w:t>
            </w:r>
            <w:r>
              <w:rPr>
                <w:rStyle w:val="40"/>
                <w:rFonts w:hint="eastAsia" w:ascii="宋体" w:hAnsi="宋体" w:eastAsia="宋体" w:cs="宋体"/>
                <w:b w:val="0"/>
                <w:bCs w:val="0"/>
                <w:sz w:val="21"/>
                <w:szCs w:val="21"/>
                <w:lang w:val="en-US" w:eastAsia="zh-CN" w:bidi="ar"/>
              </w:rPr>
              <w:t>次覆盖所有检测环节的内审</w:t>
            </w:r>
            <w:r>
              <w:rPr>
                <w:rStyle w:val="39"/>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内审计划、检查表、不符合项报告</w:t>
            </w:r>
            <w:r>
              <w:rPr>
                <w:rStyle w:val="39"/>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整改闭环记录是否齐全，内审检查表，内审报告（含不符合项及整改证据）；管理评审会议记录</w:t>
            </w:r>
            <w:r>
              <w:rPr>
                <w:rStyle w:val="39"/>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管理评审报告（含改进计划与责任人）</w:t>
            </w:r>
            <w:r>
              <w:rPr>
                <w:rStyle w:val="39"/>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改进计划落实跟踪表</w:t>
            </w:r>
          </w:p>
        </w:tc>
      </w:tr>
      <w:tr w14:paraId="7E2F6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670490">
            <w:pPr>
              <w:jc w:val="center"/>
              <w:rPr>
                <w:rFonts w:hint="eastAsia" w:ascii="宋体" w:hAnsi="宋体" w:eastAsia="宋体" w:cs="宋体"/>
                <w:b w:val="0"/>
                <w:bCs w:val="0"/>
                <w:i w:val="0"/>
                <w:iCs w:val="0"/>
                <w:color w:val="000000"/>
                <w:sz w:val="21"/>
                <w:szCs w:val="21"/>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CB0395">
            <w:pPr>
              <w:jc w:val="center"/>
              <w:rPr>
                <w:rFonts w:hint="eastAsia" w:ascii="宋体" w:hAnsi="宋体" w:eastAsia="宋体" w:cs="宋体"/>
                <w:b w:val="0"/>
                <w:bCs w:val="0"/>
                <w:i w:val="0"/>
                <w:iCs w:val="0"/>
                <w:color w:val="000000"/>
                <w:sz w:val="21"/>
                <w:szCs w:val="21"/>
                <w:u w:val="none"/>
              </w:rPr>
            </w:pPr>
          </w:p>
        </w:tc>
        <w:tc>
          <w:tcPr>
            <w:tcW w:w="5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7F44D">
            <w:pPr>
              <w:jc w:val="center"/>
              <w:rPr>
                <w:rFonts w:hint="eastAsia" w:ascii="宋体" w:hAnsi="宋体" w:eastAsia="宋体" w:cs="宋体"/>
                <w:b w:val="0"/>
                <w:bCs w:val="0"/>
                <w:i w:val="0"/>
                <w:iCs w:val="0"/>
                <w:color w:val="000000"/>
                <w:sz w:val="21"/>
                <w:szCs w:val="21"/>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172D2">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风险管控</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6E4F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30</w:t>
            </w:r>
          </w:p>
        </w:tc>
        <w:tc>
          <w:tcPr>
            <w:tcW w:w="3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42909">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识别公正性、安全及质量风险，有应对措施。</w:t>
            </w:r>
          </w:p>
        </w:tc>
        <w:tc>
          <w:tcPr>
            <w:tcW w:w="2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88619">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风险评估表</w:t>
            </w:r>
            <w:r>
              <w:rPr>
                <w:rStyle w:val="39"/>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管控流程图</w:t>
            </w:r>
            <w:r>
              <w:rPr>
                <w:rStyle w:val="39"/>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关键岗位职责描述</w:t>
            </w:r>
            <w:r>
              <w:rPr>
                <w:rStyle w:val="39"/>
                <w:rFonts w:hint="eastAsia" w:ascii="宋体" w:hAnsi="宋体" w:eastAsia="宋体" w:cs="宋体"/>
                <w:b w:val="0"/>
                <w:bCs w:val="0"/>
                <w:sz w:val="21"/>
                <w:szCs w:val="21"/>
                <w:lang w:val="en-US" w:eastAsia="zh-CN" w:bidi="ar"/>
              </w:rPr>
              <w:t xml:space="preserve"> </w:t>
            </w:r>
          </w:p>
        </w:tc>
      </w:tr>
      <w:tr w14:paraId="23BE0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84600">
            <w:pPr>
              <w:jc w:val="center"/>
              <w:rPr>
                <w:rFonts w:hint="eastAsia" w:ascii="宋体" w:hAnsi="宋体" w:eastAsia="宋体" w:cs="宋体"/>
                <w:b w:val="0"/>
                <w:bCs w:val="0"/>
                <w:i w:val="0"/>
                <w:iCs w:val="0"/>
                <w:color w:val="000000"/>
                <w:sz w:val="21"/>
                <w:szCs w:val="21"/>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5AFCF">
            <w:pPr>
              <w:jc w:val="center"/>
              <w:rPr>
                <w:rFonts w:hint="eastAsia" w:ascii="宋体" w:hAnsi="宋体" w:eastAsia="宋体" w:cs="宋体"/>
                <w:b w:val="0"/>
                <w:bCs w:val="0"/>
                <w:i w:val="0"/>
                <w:iCs w:val="0"/>
                <w:color w:val="000000"/>
                <w:sz w:val="21"/>
                <w:szCs w:val="21"/>
                <w:u w:val="none"/>
              </w:rPr>
            </w:pPr>
          </w:p>
        </w:tc>
        <w:tc>
          <w:tcPr>
            <w:tcW w:w="5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FCA948">
            <w:pPr>
              <w:jc w:val="center"/>
              <w:rPr>
                <w:rFonts w:hint="eastAsia" w:ascii="宋体" w:hAnsi="宋体" w:eastAsia="宋体" w:cs="宋体"/>
                <w:b w:val="0"/>
                <w:bCs w:val="0"/>
                <w:i w:val="0"/>
                <w:iCs w:val="0"/>
                <w:color w:val="000000"/>
                <w:sz w:val="21"/>
                <w:szCs w:val="21"/>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BF99F">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数据安全</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273E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30</w:t>
            </w:r>
          </w:p>
        </w:tc>
        <w:tc>
          <w:tcPr>
            <w:tcW w:w="3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15F10">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建立信息安全制度，数据备份与权限管理规范。</w:t>
            </w:r>
          </w:p>
        </w:tc>
        <w:tc>
          <w:tcPr>
            <w:tcW w:w="2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9E762">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数据备份记录</w:t>
            </w:r>
            <w:r>
              <w:rPr>
                <w:rStyle w:val="39"/>
                <w:rFonts w:hint="eastAsia" w:ascii="宋体" w:hAnsi="宋体" w:eastAsia="宋体" w:cs="宋体"/>
                <w:b w:val="0"/>
                <w:bCs w:val="0"/>
                <w:sz w:val="21"/>
                <w:szCs w:val="21"/>
                <w:lang w:val="en-US" w:eastAsia="zh-CN" w:bidi="ar"/>
              </w:rPr>
              <w:br w:type="textWrapping"/>
            </w:r>
            <w:r>
              <w:rPr>
                <w:rStyle w:val="40"/>
                <w:rFonts w:hint="eastAsia" w:ascii="宋体" w:hAnsi="宋体" w:eastAsia="宋体" w:cs="宋体"/>
                <w:b w:val="0"/>
                <w:bCs w:val="0"/>
                <w:sz w:val="21"/>
                <w:szCs w:val="21"/>
                <w:lang w:val="en-US" w:eastAsia="zh-CN" w:bidi="ar"/>
              </w:rPr>
              <w:t>《</w:t>
            </w:r>
            <w:r>
              <w:rPr>
                <w:rStyle w:val="39"/>
                <w:rFonts w:hint="eastAsia" w:ascii="宋体" w:hAnsi="宋体" w:eastAsia="宋体" w:cs="宋体"/>
                <w:b w:val="0"/>
                <w:bCs w:val="0"/>
                <w:sz w:val="21"/>
                <w:szCs w:val="21"/>
                <w:lang w:val="en-US" w:eastAsia="zh-CN" w:bidi="ar"/>
              </w:rPr>
              <w:t xml:space="preserve">RB/T 240-2023 </w:t>
            </w:r>
            <w:r>
              <w:rPr>
                <w:rStyle w:val="40"/>
                <w:rFonts w:hint="eastAsia" w:ascii="宋体" w:hAnsi="宋体" w:eastAsia="宋体" w:cs="宋体"/>
                <w:b w:val="0"/>
                <w:bCs w:val="0"/>
                <w:sz w:val="21"/>
                <w:szCs w:val="21"/>
                <w:lang w:val="en-US" w:eastAsia="zh-CN" w:bidi="ar"/>
              </w:rPr>
              <w:t>检验检测机构信息化管理要求》</w:t>
            </w:r>
          </w:p>
        </w:tc>
      </w:tr>
    </w:tbl>
    <w:p w14:paraId="05AED9F7">
      <w:pPr>
        <w:jc w:val="left"/>
        <w:rPr>
          <w:rFonts w:ascii="宋体" w:hAnsi="宋体" w:eastAsia="宋体" w:cs="宋体"/>
          <w:sz w:val="32"/>
          <w:szCs w:val="40"/>
        </w:rPr>
      </w:pPr>
    </w:p>
    <w:tbl>
      <w:tblPr>
        <w:tblStyle w:val="15"/>
        <w:tblW w:w="11118" w:type="dxa"/>
        <w:tblInd w:w="-65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5"/>
        <w:gridCol w:w="1617"/>
        <w:gridCol w:w="575"/>
        <w:gridCol w:w="1641"/>
        <w:gridCol w:w="509"/>
        <w:gridCol w:w="3558"/>
        <w:gridCol w:w="2633"/>
      </w:tblGrid>
      <w:tr w14:paraId="74B49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9" w:hRule="atLeast"/>
        </w:trPr>
        <w:tc>
          <w:tcPr>
            <w:tcW w:w="11118" w:type="dxa"/>
            <w:gridSpan w:val="7"/>
            <w:tcBorders>
              <w:top w:val="nil"/>
              <w:left w:val="nil"/>
              <w:bottom w:val="single" w:color="000000" w:sz="4" w:space="0"/>
              <w:right w:val="nil"/>
            </w:tcBorders>
            <w:shd w:val="clear" w:color="auto" w:fill="auto"/>
            <w:vAlign w:val="center"/>
          </w:tcPr>
          <w:p w14:paraId="7C2F42B5">
            <w:pPr>
              <w:keepNext w:val="0"/>
              <w:keepLines w:val="0"/>
              <w:widowControl/>
              <w:suppressLineNumbers w:val="0"/>
              <w:jc w:val="left"/>
              <w:textAlignment w:val="center"/>
              <w:rPr>
                <w:rFonts w:ascii="Arial" w:hAnsi="Arial" w:eastAsia="宋体" w:cs="Arial"/>
                <w:b/>
                <w:bCs/>
                <w:i w:val="0"/>
                <w:iCs w:val="0"/>
                <w:color w:val="000000"/>
                <w:sz w:val="21"/>
                <w:szCs w:val="21"/>
                <w:u w:val="none"/>
              </w:rPr>
            </w:pPr>
            <w:r>
              <w:rPr>
                <w:rFonts w:hint="eastAsia" w:ascii="微软雅黑" w:hAnsi="微软雅黑" w:eastAsia="微软雅黑" w:cs="微软雅黑"/>
                <w:b/>
                <w:bCs/>
                <w:i w:val="0"/>
                <w:iCs w:val="0"/>
                <w:color w:val="000000"/>
                <w:kern w:val="0"/>
                <w:sz w:val="22"/>
                <w:szCs w:val="22"/>
                <w:u w:val="none"/>
                <w:lang w:val="en-US" w:eastAsia="zh-CN" w:bidi="ar"/>
              </w:rPr>
              <w:t xml:space="preserve">2. </w:t>
            </w:r>
            <w:r>
              <w:rPr>
                <w:rStyle w:val="41"/>
                <w:rFonts w:hint="eastAsia" w:ascii="微软雅黑" w:hAnsi="微软雅黑" w:eastAsia="微软雅黑" w:cs="微软雅黑"/>
                <w:sz w:val="22"/>
                <w:szCs w:val="22"/>
                <w:lang w:val="en-US" w:eastAsia="zh-CN" w:bidi="ar"/>
              </w:rPr>
              <w:t>创新项（共</w:t>
            </w:r>
            <w:r>
              <w:rPr>
                <w:rFonts w:hint="eastAsia" w:ascii="微软雅黑" w:hAnsi="微软雅黑" w:eastAsia="微软雅黑" w:cs="微软雅黑"/>
                <w:b/>
                <w:bCs/>
                <w:i w:val="0"/>
                <w:iCs w:val="0"/>
                <w:color w:val="000000"/>
                <w:kern w:val="0"/>
                <w:sz w:val="22"/>
                <w:szCs w:val="22"/>
                <w:u w:val="none"/>
                <w:lang w:val="en-US" w:eastAsia="zh-CN" w:bidi="ar"/>
              </w:rPr>
              <w:t>250</w:t>
            </w:r>
            <w:r>
              <w:rPr>
                <w:rStyle w:val="41"/>
                <w:rFonts w:hint="eastAsia" w:ascii="微软雅黑" w:hAnsi="微软雅黑" w:eastAsia="微软雅黑" w:cs="微软雅黑"/>
                <w:sz w:val="22"/>
                <w:szCs w:val="22"/>
                <w:lang w:val="en-US" w:eastAsia="zh-CN" w:bidi="ar"/>
              </w:rPr>
              <w:t>分）</w:t>
            </w:r>
          </w:p>
        </w:tc>
      </w:tr>
      <w:tr w14:paraId="04E0C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17851">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8D43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一级指标</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9EE4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分值</w:t>
            </w: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27EF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二级指标</w:t>
            </w:r>
          </w:p>
        </w:tc>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4C6B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分值</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3388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评分标准及要求</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7561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关键支撑材料</w:t>
            </w:r>
          </w:p>
        </w:tc>
      </w:tr>
      <w:tr w14:paraId="18AAD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B989F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9</w:t>
            </w:r>
          </w:p>
        </w:tc>
        <w:tc>
          <w:tcPr>
            <w:tcW w:w="16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7E01E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技术创新能力</w:t>
            </w:r>
          </w:p>
        </w:tc>
        <w:tc>
          <w:tcPr>
            <w:tcW w:w="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19A50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100</w:t>
            </w: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48182">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自主研发</w:t>
            </w:r>
          </w:p>
          <w:p w14:paraId="010D62C7">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知识产权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论文</w:t>
            </w:r>
          </w:p>
        </w:tc>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6D6C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30</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07F8F">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拥有与检测技术相关的授权专利（发明/实用新型）或软件著作权，每项5分</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具备自主研发检测工装、改良设备部件的能力并实际应用，得5分</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SCI/EI 5分/项</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省部级以上期刊 5分/项</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62E89">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专利证书、软著证书、设备改良技术报告</w:t>
            </w:r>
          </w:p>
        </w:tc>
      </w:tr>
      <w:tr w14:paraId="3C98B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0" w:hRule="atLeast"/>
        </w:trPr>
        <w:tc>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16E76">
            <w:pPr>
              <w:jc w:val="center"/>
              <w:rPr>
                <w:rFonts w:hint="eastAsia" w:ascii="宋体" w:hAnsi="宋体" w:eastAsia="宋体" w:cs="宋体"/>
                <w:b w:val="0"/>
                <w:bCs w:val="0"/>
                <w:i w:val="0"/>
                <w:iCs w:val="0"/>
                <w:color w:val="000000"/>
                <w:sz w:val="21"/>
                <w:szCs w:val="21"/>
                <w:u w:val="none"/>
              </w:rPr>
            </w:pPr>
          </w:p>
        </w:tc>
        <w:tc>
          <w:tcPr>
            <w:tcW w:w="16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9044D">
            <w:pPr>
              <w:jc w:val="center"/>
              <w:rPr>
                <w:rFonts w:hint="eastAsia" w:ascii="宋体" w:hAnsi="宋体" w:eastAsia="宋体" w:cs="宋体"/>
                <w:b w:val="0"/>
                <w:bCs w:val="0"/>
                <w:i w:val="0"/>
                <w:iCs w:val="0"/>
                <w:color w:val="000000"/>
                <w:sz w:val="21"/>
                <w:szCs w:val="21"/>
                <w:u w:val="none"/>
              </w:rPr>
            </w:pPr>
          </w:p>
        </w:tc>
        <w:tc>
          <w:tcPr>
            <w:tcW w:w="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CD365">
            <w:pPr>
              <w:jc w:val="center"/>
              <w:rPr>
                <w:rFonts w:hint="eastAsia" w:ascii="宋体" w:hAnsi="宋体" w:eastAsia="宋体" w:cs="宋体"/>
                <w:b w:val="0"/>
                <w:bCs w:val="0"/>
                <w:i w:val="0"/>
                <w:iCs w:val="0"/>
                <w:color w:val="000000"/>
                <w:sz w:val="21"/>
                <w:szCs w:val="21"/>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B2436">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标准制定能力</w:t>
            </w:r>
          </w:p>
        </w:tc>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96B0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20</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F8F65">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主导国际标准 6分/项</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参与国际标准/主导国家标准 5分/项</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主导行业标准/团体标准 4分/项</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参与国家标准/行业标准/团体标准 3分/项</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AA632">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提供主导或参编证明文件</w:t>
            </w:r>
          </w:p>
        </w:tc>
      </w:tr>
      <w:tr w14:paraId="78F55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B49D8">
            <w:pPr>
              <w:jc w:val="center"/>
              <w:rPr>
                <w:rFonts w:hint="eastAsia" w:ascii="宋体" w:hAnsi="宋体" w:eastAsia="宋体" w:cs="宋体"/>
                <w:b w:val="0"/>
                <w:bCs w:val="0"/>
                <w:i w:val="0"/>
                <w:iCs w:val="0"/>
                <w:color w:val="000000"/>
                <w:sz w:val="21"/>
                <w:szCs w:val="21"/>
                <w:u w:val="none"/>
              </w:rPr>
            </w:pPr>
          </w:p>
        </w:tc>
        <w:tc>
          <w:tcPr>
            <w:tcW w:w="16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BDFC81">
            <w:pPr>
              <w:jc w:val="center"/>
              <w:rPr>
                <w:rFonts w:hint="eastAsia" w:ascii="宋体" w:hAnsi="宋体" w:eastAsia="宋体" w:cs="宋体"/>
                <w:b w:val="0"/>
                <w:bCs w:val="0"/>
                <w:i w:val="0"/>
                <w:iCs w:val="0"/>
                <w:color w:val="000000"/>
                <w:sz w:val="21"/>
                <w:szCs w:val="21"/>
                <w:u w:val="none"/>
              </w:rPr>
            </w:pPr>
          </w:p>
        </w:tc>
        <w:tc>
          <w:tcPr>
            <w:tcW w:w="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A8960">
            <w:pPr>
              <w:jc w:val="center"/>
              <w:rPr>
                <w:rFonts w:hint="eastAsia" w:ascii="宋体" w:hAnsi="宋体" w:eastAsia="宋体" w:cs="宋体"/>
                <w:b w:val="0"/>
                <w:bCs w:val="0"/>
                <w:i w:val="0"/>
                <w:iCs w:val="0"/>
                <w:color w:val="000000"/>
                <w:sz w:val="21"/>
                <w:szCs w:val="21"/>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633CA">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未知物鉴定与溯源能力</w:t>
            </w:r>
          </w:p>
        </w:tc>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1A53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15</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C3C32">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非法规要求测试的复杂样品中的未知物、非目标物进行鉴定、分析和来源解析5分/项</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95A7E">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提供检测报告或其他证明文件</w:t>
            </w:r>
          </w:p>
        </w:tc>
      </w:tr>
      <w:tr w14:paraId="79682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0" w:hRule="atLeast"/>
        </w:trPr>
        <w:tc>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97F77">
            <w:pPr>
              <w:jc w:val="center"/>
              <w:rPr>
                <w:rFonts w:hint="eastAsia" w:ascii="宋体" w:hAnsi="宋体" w:eastAsia="宋体" w:cs="宋体"/>
                <w:b w:val="0"/>
                <w:bCs w:val="0"/>
                <w:i w:val="0"/>
                <w:iCs w:val="0"/>
                <w:color w:val="000000"/>
                <w:sz w:val="21"/>
                <w:szCs w:val="21"/>
                <w:u w:val="none"/>
              </w:rPr>
            </w:pPr>
          </w:p>
        </w:tc>
        <w:tc>
          <w:tcPr>
            <w:tcW w:w="16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F3991">
            <w:pPr>
              <w:jc w:val="center"/>
              <w:rPr>
                <w:rFonts w:hint="eastAsia" w:ascii="宋体" w:hAnsi="宋体" w:eastAsia="宋体" w:cs="宋体"/>
                <w:b w:val="0"/>
                <w:bCs w:val="0"/>
                <w:i w:val="0"/>
                <w:iCs w:val="0"/>
                <w:color w:val="000000"/>
                <w:sz w:val="21"/>
                <w:szCs w:val="21"/>
                <w:u w:val="none"/>
              </w:rPr>
            </w:pPr>
          </w:p>
        </w:tc>
        <w:tc>
          <w:tcPr>
            <w:tcW w:w="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B8D28F">
            <w:pPr>
              <w:jc w:val="center"/>
              <w:rPr>
                <w:rFonts w:hint="eastAsia" w:ascii="宋体" w:hAnsi="宋体" w:eastAsia="宋体" w:cs="宋体"/>
                <w:b w:val="0"/>
                <w:bCs w:val="0"/>
                <w:i w:val="0"/>
                <w:iCs w:val="0"/>
                <w:color w:val="000000"/>
                <w:sz w:val="21"/>
                <w:szCs w:val="21"/>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87A05">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新兴污染物测试及应用</w:t>
            </w:r>
          </w:p>
        </w:tc>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5CDE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15</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2B55E">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建立针对全/多氟烷基物质、微塑料、抗生素、内分泌干扰物等新兴污染物的检测能力，体现技术前瞻性5分/项</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3BDE0">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提供检测报告或其他证明文件</w:t>
            </w:r>
          </w:p>
        </w:tc>
      </w:tr>
      <w:tr w14:paraId="4D0A0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585"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7295917D">
            <w:pPr>
              <w:jc w:val="center"/>
              <w:rPr>
                <w:rFonts w:hint="eastAsia" w:ascii="宋体" w:hAnsi="宋体" w:eastAsia="宋体" w:cs="宋体"/>
                <w:b w:val="0"/>
                <w:bCs w:val="0"/>
                <w:i w:val="0"/>
                <w:iCs w:val="0"/>
                <w:color w:val="000000"/>
                <w:sz w:val="21"/>
                <w:szCs w:val="21"/>
                <w:u w:val="none"/>
              </w:rPr>
            </w:pPr>
          </w:p>
        </w:tc>
        <w:tc>
          <w:tcPr>
            <w:tcW w:w="16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42CE2">
            <w:pPr>
              <w:jc w:val="center"/>
              <w:rPr>
                <w:rFonts w:hint="eastAsia" w:ascii="宋体" w:hAnsi="宋体" w:eastAsia="宋体" w:cs="宋体"/>
                <w:b w:val="0"/>
                <w:bCs w:val="0"/>
                <w:i w:val="0"/>
                <w:iCs w:val="0"/>
                <w:color w:val="000000"/>
                <w:sz w:val="21"/>
                <w:szCs w:val="21"/>
                <w:u w:val="none"/>
              </w:rPr>
            </w:pPr>
          </w:p>
        </w:tc>
        <w:tc>
          <w:tcPr>
            <w:tcW w:w="575"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0056917E">
            <w:pPr>
              <w:jc w:val="center"/>
              <w:rPr>
                <w:rFonts w:hint="eastAsia" w:ascii="宋体" w:hAnsi="宋体" w:eastAsia="宋体" w:cs="宋体"/>
                <w:b w:val="0"/>
                <w:bCs w:val="0"/>
                <w:i w:val="0"/>
                <w:iCs w:val="0"/>
                <w:color w:val="000000"/>
                <w:sz w:val="21"/>
                <w:szCs w:val="21"/>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AB6DA">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新方法开发</w:t>
            </w:r>
          </w:p>
        </w:tc>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8963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20</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268CA">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 具备完整的新方法开发流程（立项－验证－审批），得10分</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 近三年完成至少1项新方法/非标方法开发并实际应用于客户服务，得10分</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FD8A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提供新方法开发技术文件和对应的检测报告</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应用案例</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客户委托单</w:t>
            </w:r>
          </w:p>
        </w:tc>
      </w:tr>
      <w:tr w14:paraId="2217C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585" w:type="dxa"/>
            <w:tcBorders>
              <w:top w:val="single" w:color="auto" w:sz="4" w:space="0"/>
              <w:left w:val="single" w:color="000000" w:sz="4" w:space="0"/>
              <w:bottom w:val="single" w:color="000000" w:sz="4" w:space="0"/>
              <w:right w:val="single" w:color="000000" w:sz="4" w:space="0"/>
            </w:tcBorders>
            <w:shd w:val="clear" w:color="auto" w:fill="auto"/>
            <w:vAlign w:val="center"/>
          </w:tcPr>
          <w:p w14:paraId="5619F25A">
            <w:pPr>
              <w:jc w:val="center"/>
              <w:rPr>
                <w:rFonts w:hint="default" w:ascii="宋体" w:hAnsi="宋体" w:eastAsia="宋体" w:cs="宋体"/>
                <w:b w:val="0"/>
                <w:bCs w:val="0"/>
                <w:i w:val="0"/>
                <w:iCs w:val="0"/>
                <w:color w:val="000000"/>
                <w:sz w:val="21"/>
                <w:szCs w:val="21"/>
                <w:u w:val="none"/>
                <w:lang w:val="en-US" w:eastAsia="zh-CN"/>
              </w:rPr>
            </w:pPr>
            <w:r>
              <w:rPr>
                <w:rFonts w:hint="eastAsia" w:ascii="宋体" w:hAnsi="宋体" w:eastAsia="宋体" w:cs="宋体"/>
                <w:b w:val="0"/>
                <w:bCs w:val="0"/>
                <w:i w:val="0"/>
                <w:iCs w:val="0"/>
                <w:color w:val="000000"/>
                <w:sz w:val="21"/>
                <w:szCs w:val="21"/>
                <w:u w:val="none"/>
                <w:lang w:val="en-US" w:eastAsia="zh-CN"/>
              </w:rPr>
              <w:t>10</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0E67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高质量服务</w:t>
            </w:r>
          </w:p>
          <w:p w14:paraId="0F1AFB0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创新能力</w:t>
            </w:r>
          </w:p>
        </w:tc>
        <w:tc>
          <w:tcPr>
            <w:tcW w:w="575" w:type="dxa"/>
            <w:tcBorders>
              <w:top w:val="single" w:color="auto" w:sz="4" w:space="0"/>
              <w:left w:val="single" w:color="000000" w:sz="4" w:space="0"/>
              <w:bottom w:val="single" w:color="000000" w:sz="4" w:space="0"/>
              <w:right w:val="single" w:color="000000" w:sz="4" w:space="0"/>
            </w:tcBorders>
            <w:shd w:val="clear" w:color="auto" w:fill="auto"/>
            <w:vAlign w:val="center"/>
          </w:tcPr>
          <w:p w14:paraId="687C1B9C">
            <w:pPr>
              <w:jc w:val="center"/>
              <w:rPr>
                <w:rFonts w:hint="default" w:ascii="宋体" w:hAnsi="宋体" w:eastAsia="宋体" w:cs="宋体"/>
                <w:b w:val="0"/>
                <w:bCs w:val="0"/>
                <w:i w:val="0"/>
                <w:iCs w:val="0"/>
                <w:color w:val="000000"/>
                <w:sz w:val="21"/>
                <w:szCs w:val="21"/>
                <w:u w:val="none"/>
                <w:lang w:val="en-US" w:eastAsia="zh-CN"/>
              </w:rPr>
            </w:pPr>
            <w:r>
              <w:rPr>
                <w:rFonts w:hint="eastAsia" w:ascii="宋体" w:hAnsi="宋体" w:eastAsia="宋体" w:cs="宋体"/>
                <w:b w:val="0"/>
                <w:bCs w:val="0"/>
                <w:i w:val="0"/>
                <w:iCs w:val="0"/>
                <w:color w:val="000000"/>
                <w:sz w:val="21"/>
                <w:szCs w:val="21"/>
                <w:u w:val="none"/>
                <w:lang w:val="en-US" w:eastAsia="zh-CN"/>
              </w:rPr>
              <w:t>20</w:t>
            </w: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E4713">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解决方案</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技术咨询与培训</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政府支撑</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行业宣传</w:t>
            </w:r>
          </w:p>
        </w:tc>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A9D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20</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2B7C2">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 xml:space="preserve">提供定制化解决方案及服务 5分/项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技术咨询与培训咨询或培训服务 5分/项</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支撑政府开展相关领域政策或技术研究 5分/项</w:t>
            </w:r>
          </w:p>
          <w:p w14:paraId="36066AFA">
            <w:pPr>
              <w:keepNext w:val="0"/>
              <w:keepLines w:val="0"/>
              <w:widowControl/>
              <w:suppressLineNumbers w:val="0"/>
              <w:jc w:val="left"/>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行业公众号 5分/项</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68112">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提供报告或者其他证明文件提供合同或其他证明文件</w:t>
            </w:r>
          </w:p>
        </w:tc>
      </w:tr>
      <w:tr w14:paraId="5F330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2" w:hRule="atLeast"/>
        </w:trPr>
        <w:tc>
          <w:tcPr>
            <w:tcW w:w="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62CF3F">
            <w:pPr>
              <w:keepNext w:val="0"/>
              <w:keepLines w:val="0"/>
              <w:widowControl/>
              <w:suppressLineNumbers w:val="0"/>
              <w:jc w:val="center"/>
              <w:textAlignment w:val="center"/>
              <w:rPr>
                <w:rFonts w:hint="default"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11</w:t>
            </w:r>
          </w:p>
        </w:tc>
        <w:tc>
          <w:tcPr>
            <w:tcW w:w="16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FABCF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数字化与智能化</w:t>
            </w:r>
          </w:p>
        </w:tc>
        <w:tc>
          <w:tcPr>
            <w:tcW w:w="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3F50A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100</w:t>
            </w: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0CD09">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深度数字化（LIMS）</w:t>
            </w:r>
          </w:p>
        </w:tc>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E5D8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40</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5F795">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部署LIMS系统，覆盖人机料法环全流程，得20分</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关键设备（</w:t>
            </w:r>
            <w:r>
              <w:rPr>
                <w:rStyle w:val="43"/>
                <w:rFonts w:hint="eastAsia" w:ascii="宋体" w:hAnsi="宋体" w:eastAsia="宋体" w:cs="宋体"/>
                <w:b w:val="0"/>
                <w:bCs w:val="0"/>
                <w:sz w:val="21"/>
                <w:szCs w:val="21"/>
                <w:lang w:val="en-US" w:eastAsia="zh-CN" w:bidi="ar"/>
              </w:rPr>
              <w:t>ICP/GC-MS</w:t>
            </w:r>
            <w:r>
              <w:rPr>
                <w:rFonts w:hint="eastAsia" w:ascii="宋体" w:hAnsi="宋体" w:eastAsia="宋体" w:cs="宋体"/>
                <w:b w:val="0"/>
                <w:bCs w:val="0"/>
                <w:i w:val="0"/>
                <w:iCs w:val="0"/>
                <w:color w:val="000000"/>
                <w:kern w:val="0"/>
                <w:sz w:val="21"/>
                <w:szCs w:val="21"/>
                <w:u w:val="none"/>
                <w:lang w:val="en-US" w:eastAsia="zh-CN" w:bidi="ar"/>
              </w:rPr>
              <w:t>等）实现数据自动采集，无人工转录，得30分</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E96E4">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LIMS截图</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自动采集接口日志</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操作演示</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提供设备照片</w:t>
            </w:r>
          </w:p>
        </w:tc>
      </w:tr>
      <w:tr w14:paraId="07100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670C3">
            <w:pPr>
              <w:jc w:val="center"/>
              <w:rPr>
                <w:rFonts w:hint="eastAsia" w:ascii="宋体" w:hAnsi="宋体" w:eastAsia="宋体" w:cs="宋体"/>
                <w:b w:val="0"/>
                <w:bCs w:val="0"/>
                <w:i w:val="0"/>
                <w:iCs w:val="0"/>
                <w:color w:val="000000"/>
                <w:sz w:val="21"/>
                <w:szCs w:val="21"/>
                <w:u w:val="none"/>
              </w:rPr>
            </w:pPr>
          </w:p>
        </w:tc>
        <w:tc>
          <w:tcPr>
            <w:tcW w:w="16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3EED2">
            <w:pPr>
              <w:jc w:val="center"/>
              <w:rPr>
                <w:rFonts w:hint="eastAsia" w:ascii="宋体" w:hAnsi="宋体" w:eastAsia="宋体" w:cs="宋体"/>
                <w:b w:val="0"/>
                <w:bCs w:val="0"/>
                <w:i w:val="0"/>
                <w:iCs w:val="0"/>
                <w:color w:val="000000"/>
                <w:sz w:val="21"/>
                <w:szCs w:val="21"/>
                <w:u w:val="none"/>
              </w:rPr>
            </w:pPr>
          </w:p>
        </w:tc>
        <w:tc>
          <w:tcPr>
            <w:tcW w:w="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A8793F">
            <w:pPr>
              <w:jc w:val="center"/>
              <w:rPr>
                <w:rFonts w:hint="eastAsia" w:ascii="宋体" w:hAnsi="宋体" w:eastAsia="宋体" w:cs="宋体"/>
                <w:b w:val="0"/>
                <w:bCs w:val="0"/>
                <w:i w:val="0"/>
                <w:iCs w:val="0"/>
                <w:color w:val="000000"/>
                <w:sz w:val="21"/>
                <w:szCs w:val="21"/>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52CA9">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电子记录与合规</w:t>
            </w:r>
          </w:p>
        </w:tc>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9C91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30</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672AF">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电子记录具备</w:t>
            </w:r>
            <w:r>
              <w:rPr>
                <w:rStyle w:val="43"/>
                <w:rFonts w:hint="eastAsia" w:ascii="宋体" w:hAnsi="宋体" w:eastAsia="宋体" w:cs="宋体"/>
                <w:b w:val="0"/>
                <w:bCs w:val="0"/>
                <w:sz w:val="21"/>
                <w:szCs w:val="21"/>
                <w:lang w:val="en-US" w:eastAsia="zh-CN" w:bidi="ar"/>
              </w:rPr>
              <w:t>审计追踪</w:t>
            </w:r>
            <w:r>
              <w:rPr>
                <w:rFonts w:hint="eastAsia" w:ascii="宋体" w:hAnsi="宋体" w:eastAsia="宋体" w:cs="宋体"/>
                <w:b w:val="0"/>
                <w:bCs w:val="0"/>
                <w:i w:val="0"/>
                <w:iCs w:val="0"/>
                <w:color w:val="000000"/>
                <w:kern w:val="0"/>
                <w:sz w:val="21"/>
                <w:szCs w:val="21"/>
                <w:u w:val="none"/>
                <w:lang w:val="en-US" w:eastAsia="zh-CN" w:bidi="ar"/>
              </w:rPr>
              <w:t>功能，符合RB/T 240要求，修改留痕。</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FFE8A">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审计追踪日志导出</w:t>
            </w:r>
          </w:p>
        </w:tc>
      </w:tr>
      <w:tr w14:paraId="4045F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6F2AC1">
            <w:pPr>
              <w:jc w:val="center"/>
              <w:rPr>
                <w:rFonts w:hint="eastAsia" w:ascii="宋体" w:hAnsi="宋体" w:eastAsia="宋体" w:cs="宋体"/>
                <w:b w:val="0"/>
                <w:bCs w:val="0"/>
                <w:i w:val="0"/>
                <w:iCs w:val="0"/>
                <w:color w:val="000000"/>
                <w:sz w:val="21"/>
                <w:szCs w:val="21"/>
                <w:u w:val="none"/>
              </w:rPr>
            </w:pPr>
          </w:p>
        </w:tc>
        <w:tc>
          <w:tcPr>
            <w:tcW w:w="16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D4C30">
            <w:pPr>
              <w:jc w:val="center"/>
              <w:rPr>
                <w:rFonts w:hint="eastAsia" w:ascii="宋体" w:hAnsi="宋体" w:eastAsia="宋体" w:cs="宋体"/>
                <w:b w:val="0"/>
                <w:bCs w:val="0"/>
                <w:i w:val="0"/>
                <w:iCs w:val="0"/>
                <w:color w:val="000000"/>
                <w:sz w:val="21"/>
                <w:szCs w:val="21"/>
                <w:u w:val="none"/>
              </w:rPr>
            </w:pPr>
          </w:p>
        </w:tc>
        <w:tc>
          <w:tcPr>
            <w:tcW w:w="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CA4A0">
            <w:pPr>
              <w:jc w:val="center"/>
              <w:rPr>
                <w:rFonts w:hint="eastAsia" w:ascii="宋体" w:hAnsi="宋体" w:eastAsia="宋体" w:cs="宋体"/>
                <w:b w:val="0"/>
                <w:bCs w:val="0"/>
                <w:i w:val="0"/>
                <w:iCs w:val="0"/>
                <w:color w:val="000000"/>
                <w:sz w:val="21"/>
                <w:szCs w:val="21"/>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A278A">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智能数据应用 </w:t>
            </w:r>
          </w:p>
        </w:tc>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9058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30</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EE078">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利用历史数据进行趋势分析、风险预警或为客户提供数据画像服务</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39FA5">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数据分析报告</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客户服务案例</w:t>
            </w:r>
          </w:p>
        </w:tc>
      </w:tr>
      <w:tr w14:paraId="33A13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BEA42">
            <w:pPr>
              <w:keepNext w:val="0"/>
              <w:keepLines w:val="0"/>
              <w:widowControl/>
              <w:suppressLineNumbers w:val="0"/>
              <w:jc w:val="center"/>
              <w:textAlignment w:val="center"/>
              <w:rPr>
                <w:rFonts w:hint="default"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12</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4FD86">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绿色运营能力</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EEBB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30</w:t>
            </w: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34CF6">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绿色实验室建设 </w:t>
            </w:r>
          </w:p>
        </w:tc>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B053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30</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DA0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实验室建立节能降耗管理制度，有水/电/气能耗监控记录，得15分</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实施试剂减量化、废液资源化或获得“绿色实验室”相关评价，得15分</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48158">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能耗账单、</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绿色管理制度</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废液减量证明</w:t>
            </w:r>
          </w:p>
        </w:tc>
      </w:tr>
    </w:tbl>
    <w:p w14:paraId="460D7DB1">
      <w:pPr>
        <w:jc w:val="left"/>
        <w:rPr>
          <w:rFonts w:hint="eastAsia" w:ascii="黑体" w:hAnsi="黑体" w:eastAsia="黑体" w:cs="黑体"/>
          <w:b w:val="0"/>
          <w:bCs w:val="0"/>
          <w:sz w:val="21"/>
          <w:szCs w:val="21"/>
        </w:rPr>
      </w:pPr>
    </w:p>
    <w:p w14:paraId="1D883B10">
      <w:pPr>
        <w:jc w:val="left"/>
        <w:rPr>
          <w:rFonts w:hint="eastAsia" w:ascii="黑体" w:hAnsi="黑体" w:eastAsia="黑体" w:cs="黑体"/>
          <w:b w:val="0"/>
          <w:bCs w:val="0"/>
          <w:sz w:val="21"/>
          <w:szCs w:val="21"/>
        </w:rPr>
      </w:pPr>
    </w:p>
    <w:tbl>
      <w:tblPr>
        <w:tblStyle w:val="15"/>
        <w:tblW w:w="11150" w:type="dxa"/>
        <w:tblInd w:w="-66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8"/>
        <w:gridCol w:w="1625"/>
        <w:gridCol w:w="559"/>
        <w:gridCol w:w="1658"/>
        <w:gridCol w:w="500"/>
        <w:gridCol w:w="3581"/>
        <w:gridCol w:w="2619"/>
      </w:tblGrid>
      <w:tr w14:paraId="66506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115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5720E9C">
            <w:pPr>
              <w:keepNext w:val="0"/>
              <w:keepLines w:val="0"/>
              <w:widowControl/>
              <w:suppressLineNumbers w:val="0"/>
              <w:jc w:val="left"/>
              <w:textAlignment w:val="center"/>
              <w:rPr>
                <w:rFonts w:ascii="Arial" w:hAnsi="Arial" w:eastAsia="宋体" w:cs="Arial"/>
                <w:b/>
                <w:bCs/>
                <w:i w:val="0"/>
                <w:iCs w:val="0"/>
                <w:color w:val="000000"/>
                <w:sz w:val="21"/>
                <w:szCs w:val="21"/>
                <w:u w:val="none"/>
              </w:rPr>
            </w:pPr>
            <w:r>
              <w:rPr>
                <w:rFonts w:hint="eastAsia" w:ascii="微软雅黑" w:hAnsi="微软雅黑" w:eastAsia="微软雅黑" w:cs="微软雅黑"/>
                <w:b/>
                <w:bCs/>
                <w:i w:val="0"/>
                <w:iCs w:val="0"/>
                <w:color w:val="000000"/>
                <w:kern w:val="0"/>
                <w:sz w:val="22"/>
                <w:szCs w:val="22"/>
                <w:u w:val="none"/>
                <w:lang w:val="en-US" w:eastAsia="zh-CN" w:bidi="ar"/>
              </w:rPr>
              <w:t>3. 服务项（共50分）</w:t>
            </w:r>
          </w:p>
        </w:tc>
      </w:tr>
      <w:tr w14:paraId="5282D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2F6B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580D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一级指标</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C066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分值</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FD8B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二级指标</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668B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分值</w:t>
            </w:r>
          </w:p>
        </w:tc>
        <w:tc>
          <w:tcPr>
            <w:tcW w:w="3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FFFC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评分标准及要求</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AE81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关键支撑材料</w:t>
            </w:r>
          </w:p>
        </w:tc>
      </w:tr>
      <w:tr w14:paraId="47130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F00740">
            <w:pPr>
              <w:keepNext w:val="0"/>
              <w:keepLines w:val="0"/>
              <w:widowControl/>
              <w:suppressLineNumbers w:val="0"/>
              <w:jc w:val="center"/>
              <w:textAlignment w:val="center"/>
              <w:rPr>
                <w:rFonts w:hint="default"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13</w:t>
            </w:r>
          </w:p>
        </w:tc>
        <w:tc>
          <w:tcPr>
            <w:tcW w:w="16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B208E9">
            <w:pPr>
              <w:keepNext w:val="0"/>
              <w:keepLines w:val="0"/>
              <w:widowControl/>
              <w:suppressLineNumbers w:val="0"/>
              <w:jc w:val="center"/>
              <w:textAlignment w:val="center"/>
              <w:rPr>
                <w:rFonts w:hint="default" w:ascii="宋体" w:hAnsi="宋体" w:eastAsia="宋体" w:cs="宋体"/>
                <w:b w:val="0"/>
                <w:bCs w:val="0"/>
                <w:i w:val="0"/>
                <w:iCs w:val="0"/>
                <w:color w:val="000000"/>
                <w:sz w:val="21"/>
                <w:szCs w:val="21"/>
                <w:u w:val="none"/>
                <w:lang w:val="en-US" w:eastAsia="zh-CN"/>
              </w:rPr>
            </w:pPr>
            <w:r>
              <w:rPr>
                <w:rFonts w:hint="eastAsia" w:ascii="宋体" w:hAnsi="宋体" w:eastAsia="宋体" w:cs="宋体"/>
                <w:b w:val="0"/>
                <w:bCs w:val="0"/>
                <w:i w:val="0"/>
                <w:iCs w:val="0"/>
                <w:color w:val="000000"/>
                <w:sz w:val="21"/>
                <w:szCs w:val="21"/>
                <w:u w:val="none"/>
                <w:lang w:val="en-US" w:eastAsia="zh-CN"/>
              </w:rPr>
              <w:t>客户满意度投诉处理</w:t>
            </w:r>
          </w:p>
        </w:tc>
        <w:tc>
          <w:tcPr>
            <w:tcW w:w="5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D84F8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50</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62439">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满意度与投诉</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C972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30</w:t>
            </w:r>
          </w:p>
        </w:tc>
        <w:tc>
          <w:tcPr>
            <w:tcW w:w="3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D9133">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客户满意度≥90% 15分</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有完善的投诉闭环处理机制  15分</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F700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调查问卷</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投诉记录</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改进措施计划与实施证明文件</w:t>
            </w:r>
          </w:p>
        </w:tc>
      </w:tr>
      <w:tr w14:paraId="3AC0D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DA62D">
            <w:pPr>
              <w:jc w:val="center"/>
              <w:rPr>
                <w:rFonts w:hint="eastAsia" w:ascii="宋体" w:hAnsi="宋体" w:eastAsia="宋体" w:cs="宋体"/>
                <w:b w:val="0"/>
                <w:bCs w:val="0"/>
                <w:i w:val="0"/>
                <w:iCs w:val="0"/>
                <w:color w:val="000000"/>
                <w:sz w:val="21"/>
                <w:szCs w:val="21"/>
                <w:u w:val="none"/>
              </w:rPr>
            </w:pPr>
          </w:p>
        </w:tc>
        <w:tc>
          <w:tcPr>
            <w:tcW w:w="16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E0482">
            <w:pPr>
              <w:jc w:val="center"/>
              <w:rPr>
                <w:rFonts w:hint="eastAsia" w:ascii="宋体" w:hAnsi="宋体" w:eastAsia="宋体" w:cs="宋体"/>
                <w:b w:val="0"/>
                <w:bCs w:val="0"/>
                <w:i w:val="0"/>
                <w:iCs w:val="0"/>
                <w:color w:val="000000"/>
                <w:sz w:val="21"/>
                <w:szCs w:val="21"/>
                <w:u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1CA51">
            <w:pPr>
              <w:jc w:val="center"/>
              <w:rPr>
                <w:rFonts w:hint="eastAsia" w:ascii="宋体" w:hAnsi="宋体" w:eastAsia="宋体" w:cs="宋体"/>
                <w:b w:val="0"/>
                <w:bCs w:val="0"/>
                <w:i w:val="0"/>
                <w:iCs w:val="0"/>
                <w:color w:val="000000"/>
                <w:sz w:val="21"/>
                <w:szCs w:val="21"/>
                <w:u w:val="none"/>
              </w:rPr>
            </w:pP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E4CC1">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增值服务</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E235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20</w:t>
            </w:r>
          </w:p>
        </w:tc>
        <w:tc>
          <w:tcPr>
            <w:tcW w:w="3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B55E8">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提供法规培训、双语报告或技术咨询等延伸服务</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A9A87">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服务合同</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培训签到表</w:t>
            </w:r>
          </w:p>
        </w:tc>
      </w:tr>
    </w:tbl>
    <w:p w14:paraId="06E839A1">
      <w:pPr>
        <w:jc w:val="left"/>
        <w:rPr>
          <w:rFonts w:hint="eastAsia" w:ascii="微软雅黑" w:hAnsi="微软雅黑" w:eastAsia="微软雅黑" w:cs="微软雅黑"/>
          <w:sz w:val="22"/>
          <w:szCs w:val="22"/>
        </w:rPr>
      </w:pPr>
    </w:p>
    <w:tbl>
      <w:tblPr>
        <w:tblStyle w:val="15"/>
        <w:tblW w:w="11158" w:type="dxa"/>
        <w:tblInd w:w="-67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8"/>
        <w:gridCol w:w="1633"/>
        <w:gridCol w:w="559"/>
        <w:gridCol w:w="1650"/>
        <w:gridCol w:w="516"/>
        <w:gridCol w:w="3565"/>
        <w:gridCol w:w="2627"/>
      </w:tblGrid>
      <w:tr w14:paraId="49DF1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1158"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D1AE524">
            <w:pPr>
              <w:keepNext w:val="0"/>
              <w:keepLines w:val="0"/>
              <w:widowControl/>
              <w:suppressLineNumbers w:val="0"/>
              <w:jc w:val="left"/>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4. 加分项（共50分）</w:t>
            </w:r>
          </w:p>
        </w:tc>
      </w:tr>
      <w:tr w14:paraId="30DAE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4EE5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C5DF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一级指标</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14FE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分值</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0108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二级指标</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FC9A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分值</w:t>
            </w:r>
          </w:p>
        </w:tc>
        <w:tc>
          <w:tcPr>
            <w:tcW w:w="3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AAD6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评分标准及要求</w:t>
            </w:r>
          </w:p>
        </w:tc>
        <w:tc>
          <w:tcPr>
            <w:tcW w:w="2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FC2F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关键支撑材料</w:t>
            </w:r>
          </w:p>
        </w:tc>
      </w:tr>
      <w:tr w14:paraId="6F1D1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65FC11">
            <w:pPr>
              <w:keepNext w:val="0"/>
              <w:keepLines w:val="0"/>
              <w:widowControl/>
              <w:suppressLineNumbers w:val="0"/>
              <w:jc w:val="center"/>
              <w:textAlignment w:val="center"/>
              <w:rPr>
                <w:rFonts w:hint="default"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14</w:t>
            </w:r>
          </w:p>
        </w:tc>
        <w:tc>
          <w:tcPr>
            <w:tcW w:w="16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109C0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行业贡献</w:t>
            </w:r>
          </w:p>
        </w:tc>
        <w:tc>
          <w:tcPr>
            <w:tcW w:w="5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555D9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7513E">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荣誉奖项</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611B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20</w:t>
            </w:r>
          </w:p>
        </w:tc>
        <w:tc>
          <w:tcPr>
            <w:tcW w:w="3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0D974">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省级及以上“优秀检测机构” 10分/项</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省级及以上“质量标杆” 10分/项</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其他省部级及以上荣誉 10分/项</w:t>
            </w:r>
          </w:p>
        </w:tc>
        <w:tc>
          <w:tcPr>
            <w:tcW w:w="2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7973C">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提供荣誉证书</w:t>
            </w:r>
          </w:p>
        </w:tc>
      </w:tr>
      <w:tr w14:paraId="7DA9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3459B">
            <w:pPr>
              <w:jc w:val="center"/>
              <w:rPr>
                <w:rFonts w:hint="eastAsia" w:ascii="宋体" w:hAnsi="宋体" w:eastAsia="宋体" w:cs="宋体"/>
                <w:b w:val="0"/>
                <w:bCs w:val="0"/>
                <w:i w:val="0"/>
                <w:iCs w:val="0"/>
                <w:color w:val="000000"/>
                <w:sz w:val="21"/>
                <w:szCs w:val="21"/>
                <w:u w:val="none"/>
              </w:rPr>
            </w:pPr>
          </w:p>
        </w:tc>
        <w:tc>
          <w:tcPr>
            <w:tcW w:w="1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BDE3E">
            <w:pPr>
              <w:jc w:val="center"/>
              <w:rPr>
                <w:rFonts w:hint="eastAsia" w:ascii="宋体" w:hAnsi="宋体" w:eastAsia="宋体" w:cs="宋体"/>
                <w:b w:val="0"/>
                <w:bCs w:val="0"/>
                <w:i w:val="0"/>
                <w:iCs w:val="0"/>
                <w:color w:val="000000"/>
                <w:sz w:val="21"/>
                <w:szCs w:val="21"/>
                <w:u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D28268">
            <w:pPr>
              <w:jc w:val="center"/>
              <w:rPr>
                <w:rFonts w:hint="eastAsia" w:ascii="宋体" w:hAnsi="宋体" w:eastAsia="宋体" w:cs="宋体"/>
                <w:b w:val="0"/>
                <w:bCs w:val="0"/>
                <w:i w:val="0"/>
                <w:iCs w:val="0"/>
                <w:color w:val="000000"/>
                <w:sz w:val="21"/>
                <w:szCs w:val="21"/>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1B53A">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竞赛参与</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604A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20</w:t>
            </w:r>
          </w:p>
        </w:tc>
        <w:tc>
          <w:tcPr>
            <w:tcW w:w="3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5956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全国赛 10 分/项</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其他等级奖项 5分/项</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省级或市级比赛 5 分/项</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其他等级奖项 5分/项</w:t>
            </w:r>
          </w:p>
        </w:tc>
        <w:tc>
          <w:tcPr>
            <w:tcW w:w="2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B3871">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获奖证书</w:t>
            </w:r>
          </w:p>
        </w:tc>
      </w:tr>
      <w:tr w14:paraId="3C1E9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044F8A">
            <w:pPr>
              <w:jc w:val="center"/>
              <w:rPr>
                <w:rFonts w:hint="eastAsia" w:ascii="宋体" w:hAnsi="宋体" w:eastAsia="宋体" w:cs="宋体"/>
                <w:b w:val="0"/>
                <w:bCs w:val="0"/>
                <w:i w:val="0"/>
                <w:iCs w:val="0"/>
                <w:color w:val="000000"/>
                <w:sz w:val="21"/>
                <w:szCs w:val="21"/>
                <w:u w:val="none"/>
              </w:rPr>
            </w:pPr>
          </w:p>
        </w:tc>
        <w:tc>
          <w:tcPr>
            <w:tcW w:w="1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B5936">
            <w:pPr>
              <w:jc w:val="center"/>
              <w:rPr>
                <w:rFonts w:hint="eastAsia" w:ascii="宋体" w:hAnsi="宋体" w:eastAsia="宋体" w:cs="宋体"/>
                <w:b w:val="0"/>
                <w:bCs w:val="0"/>
                <w:i w:val="0"/>
                <w:iCs w:val="0"/>
                <w:color w:val="000000"/>
                <w:sz w:val="21"/>
                <w:szCs w:val="21"/>
                <w:u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7A0FD">
            <w:pPr>
              <w:jc w:val="center"/>
              <w:rPr>
                <w:rFonts w:hint="eastAsia" w:ascii="宋体" w:hAnsi="宋体" w:eastAsia="宋体" w:cs="宋体"/>
                <w:b w:val="0"/>
                <w:bCs w:val="0"/>
                <w:i w:val="0"/>
                <w:iCs w:val="0"/>
                <w:color w:val="000000"/>
                <w:sz w:val="21"/>
                <w:szCs w:val="21"/>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F2508">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对接企业服务</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C378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w:t>
            </w:r>
          </w:p>
        </w:tc>
        <w:tc>
          <w:tcPr>
            <w:tcW w:w="3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CDA79">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实验室对接企业电气电子产品绿色管控系统 5分/项</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实验室对接服务企业数字化转型 5分/项</w:t>
            </w:r>
          </w:p>
        </w:tc>
        <w:tc>
          <w:tcPr>
            <w:tcW w:w="2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7EC7C">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提供对接企业服务实际应用及相关的证明材料</w:t>
            </w:r>
          </w:p>
        </w:tc>
      </w:tr>
    </w:tbl>
    <w:p w14:paraId="2E76C756">
      <w:pPr>
        <w:jc w:val="left"/>
        <w:rPr>
          <w:rFonts w:ascii="宋体" w:hAnsi="宋体" w:eastAsia="宋体" w:cs="宋体"/>
          <w:sz w:val="32"/>
          <w:szCs w:val="40"/>
        </w:rPr>
      </w:pPr>
    </w:p>
    <w:p w14:paraId="7DB7BCAA">
      <w:pPr>
        <w:jc w:val="both"/>
        <w:outlineLvl w:val="0"/>
        <w:rPr>
          <w:rStyle w:val="23"/>
          <w:rFonts w:hint="eastAsia" w:ascii="黑体" w:hAnsi="黑体" w:eastAsia="黑体" w:cs="黑体"/>
          <w:sz w:val="21"/>
          <w:szCs w:val="21"/>
        </w:rPr>
      </w:pPr>
      <w:bookmarkStart w:id="78" w:name="_Toc17722"/>
    </w:p>
    <w:p w14:paraId="28DBA87A">
      <w:pPr>
        <w:jc w:val="center"/>
        <w:outlineLvl w:val="0"/>
        <w:rPr>
          <w:rStyle w:val="23"/>
          <w:rFonts w:hint="eastAsia" w:ascii="黑体" w:hAnsi="黑体" w:eastAsia="黑体" w:cs="黑体"/>
          <w:sz w:val="21"/>
          <w:szCs w:val="21"/>
        </w:rPr>
      </w:pPr>
    </w:p>
    <w:p w14:paraId="7B599AC0">
      <w:pPr>
        <w:jc w:val="center"/>
        <w:outlineLvl w:val="0"/>
        <w:rPr>
          <w:rStyle w:val="23"/>
          <w:rFonts w:hint="eastAsia" w:ascii="黑体" w:hAnsi="黑体" w:eastAsia="黑体" w:cs="黑体"/>
          <w:sz w:val="21"/>
          <w:szCs w:val="21"/>
        </w:rPr>
      </w:pPr>
    </w:p>
    <w:p w14:paraId="14776B31">
      <w:pPr>
        <w:jc w:val="center"/>
        <w:outlineLvl w:val="0"/>
        <w:rPr>
          <w:rStyle w:val="23"/>
          <w:rFonts w:hint="eastAsia" w:ascii="黑体" w:hAnsi="黑体" w:eastAsia="黑体" w:cs="黑体"/>
          <w:sz w:val="21"/>
          <w:szCs w:val="21"/>
        </w:rPr>
      </w:pPr>
    </w:p>
    <w:p w14:paraId="33D9CD88">
      <w:pPr>
        <w:jc w:val="center"/>
        <w:outlineLvl w:val="0"/>
        <w:rPr>
          <w:rStyle w:val="23"/>
          <w:rFonts w:hint="eastAsia" w:ascii="黑体" w:hAnsi="黑体" w:eastAsia="黑体" w:cs="黑体"/>
          <w:sz w:val="21"/>
          <w:szCs w:val="21"/>
        </w:rPr>
      </w:pPr>
    </w:p>
    <w:p w14:paraId="2A9C75EC">
      <w:pPr>
        <w:jc w:val="center"/>
        <w:outlineLvl w:val="0"/>
        <w:rPr>
          <w:rStyle w:val="23"/>
          <w:rFonts w:hint="eastAsia" w:ascii="黑体" w:hAnsi="黑体" w:eastAsia="黑体" w:cs="黑体"/>
          <w:sz w:val="21"/>
          <w:szCs w:val="21"/>
        </w:rPr>
      </w:pPr>
    </w:p>
    <w:p w14:paraId="5548892E">
      <w:pPr>
        <w:jc w:val="center"/>
        <w:outlineLvl w:val="0"/>
        <w:rPr>
          <w:rStyle w:val="23"/>
          <w:rFonts w:hint="eastAsia" w:ascii="黑体" w:hAnsi="黑体" w:eastAsia="黑体" w:cs="黑体"/>
          <w:sz w:val="21"/>
          <w:szCs w:val="21"/>
        </w:rPr>
      </w:pPr>
    </w:p>
    <w:p w14:paraId="7CFC9256">
      <w:pPr>
        <w:jc w:val="center"/>
        <w:outlineLvl w:val="0"/>
        <w:rPr>
          <w:rStyle w:val="23"/>
          <w:rFonts w:hint="eastAsia" w:ascii="黑体" w:hAnsi="黑体" w:eastAsia="黑体" w:cs="黑体"/>
          <w:sz w:val="21"/>
          <w:szCs w:val="21"/>
        </w:rPr>
      </w:pPr>
    </w:p>
    <w:p w14:paraId="72EDA54A">
      <w:pPr>
        <w:jc w:val="center"/>
        <w:outlineLvl w:val="0"/>
        <w:rPr>
          <w:rStyle w:val="23"/>
          <w:rFonts w:hint="eastAsia" w:ascii="黑体" w:hAnsi="黑体" w:eastAsia="黑体" w:cs="黑体"/>
          <w:sz w:val="21"/>
          <w:szCs w:val="21"/>
        </w:rPr>
      </w:pPr>
    </w:p>
    <w:p w14:paraId="0F99611D">
      <w:pPr>
        <w:jc w:val="center"/>
        <w:outlineLvl w:val="0"/>
        <w:rPr>
          <w:rStyle w:val="23"/>
          <w:rFonts w:hint="eastAsia" w:ascii="黑体" w:hAnsi="黑体" w:eastAsia="黑体" w:cs="黑体"/>
          <w:sz w:val="21"/>
          <w:szCs w:val="21"/>
        </w:rPr>
      </w:pPr>
    </w:p>
    <w:p w14:paraId="09A14A98">
      <w:pPr>
        <w:jc w:val="center"/>
        <w:outlineLvl w:val="0"/>
        <w:rPr>
          <w:rStyle w:val="23"/>
          <w:rFonts w:hint="eastAsia" w:ascii="黑体" w:hAnsi="黑体" w:eastAsia="黑体" w:cs="黑体"/>
          <w:sz w:val="21"/>
          <w:szCs w:val="21"/>
        </w:rPr>
      </w:pPr>
    </w:p>
    <w:p w14:paraId="5C64C411">
      <w:pPr>
        <w:jc w:val="center"/>
        <w:outlineLvl w:val="0"/>
        <w:rPr>
          <w:rStyle w:val="23"/>
          <w:rFonts w:hint="eastAsia" w:ascii="黑体" w:hAnsi="黑体" w:eastAsia="黑体" w:cs="黑体"/>
          <w:sz w:val="21"/>
          <w:szCs w:val="21"/>
        </w:rPr>
      </w:pPr>
    </w:p>
    <w:p w14:paraId="4697EAF7">
      <w:pPr>
        <w:jc w:val="center"/>
        <w:outlineLvl w:val="0"/>
        <w:rPr>
          <w:rStyle w:val="23"/>
          <w:rFonts w:hint="eastAsia" w:ascii="黑体" w:hAnsi="黑体" w:eastAsia="黑体" w:cs="黑体"/>
          <w:sz w:val="21"/>
          <w:szCs w:val="21"/>
        </w:rPr>
      </w:pPr>
    </w:p>
    <w:p w14:paraId="0794E62C">
      <w:pPr>
        <w:jc w:val="center"/>
        <w:outlineLvl w:val="0"/>
        <w:rPr>
          <w:rStyle w:val="23"/>
          <w:rFonts w:hint="eastAsia" w:ascii="黑体" w:hAnsi="黑体" w:eastAsia="黑体" w:cs="黑体"/>
          <w:sz w:val="21"/>
          <w:szCs w:val="21"/>
        </w:rPr>
      </w:pPr>
    </w:p>
    <w:p w14:paraId="6C46D90D">
      <w:pPr>
        <w:jc w:val="center"/>
        <w:outlineLvl w:val="0"/>
        <w:rPr>
          <w:rStyle w:val="23"/>
          <w:rFonts w:hint="eastAsia" w:ascii="黑体" w:hAnsi="黑体" w:eastAsia="黑体" w:cs="黑体"/>
          <w:sz w:val="21"/>
          <w:szCs w:val="21"/>
        </w:rPr>
      </w:pPr>
    </w:p>
    <w:p w14:paraId="03E290FC">
      <w:pPr>
        <w:jc w:val="center"/>
        <w:outlineLvl w:val="0"/>
        <w:rPr>
          <w:rStyle w:val="23"/>
          <w:rFonts w:hint="eastAsia" w:ascii="黑体" w:hAnsi="黑体" w:eastAsia="黑体" w:cs="黑体"/>
          <w:sz w:val="21"/>
          <w:szCs w:val="21"/>
        </w:rPr>
      </w:pPr>
    </w:p>
    <w:p w14:paraId="2DE8772C">
      <w:pPr>
        <w:jc w:val="center"/>
        <w:outlineLvl w:val="0"/>
        <w:rPr>
          <w:rStyle w:val="23"/>
          <w:rFonts w:hint="eastAsia" w:ascii="黑体" w:hAnsi="黑体" w:eastAsia="黑体" w:cs="黑体"/>
          <w:sz w:val="21"/>
          <w:szCs w:val="21"/>
        </w:rPr>
      </w:pPr>
    </w:p>
    <w:p w14:paraId="3E89C994">
      <w:pPr>
        <w:jc w:val="center"/>
        <w:outlineLvl w:val="0"/>
        <w:rPr>
          <w:rStyle w:val="23"/>
          <w:rFonts w:hint="eastAsia" w:ascii="黑体" w:hAnsi="黑体" w:eastAsia="黑体" w:cs="黑体"/>
          <w:sz w:val="21"/>
          <w:szCs w:val="21"/>
        </w:rPr>
      </w:pPr>
    </w:p>
    <w:p w14:paraId="22AC7233">
      <w:pPr>
        <w:jc w:val="center"/>
        <w:outlineLvl w:val="0"/>
        <w:rPr>
          <w:rStyle w:val="23"/>
          <w:rFonts w:hint="eastAsia" w:ascii="黑体" w:hAnsi="黑体" w:eastAsia="黑体" w:cs="黑体"/>
          <w:sz w:val="21"/>
          <w:szCs w:val="21"/>
        </w:rPr>
      </w:pPr>
    </w:p>
    <w:p w14:paraId="0904EF3A">
      <w:pPr>
        <w:jc w:val="center"/>
        <w:outlineLvl w:val="0"/>
        <w:rPr>
          <w:rStyle w:val="23"/>
          <w:rFonts w:hint="eastAsia" w:ascii="黑体" w:hAnsi="黑体" w:eastAsia="黑体" w:cs="黑体"/>
          <w:sz w:val="21"/>
          <w:szCs w:val="21"/>
        </w:rPr>
      </w:pPr>
    </w:p>
    <w:p w14:paraId="19A03CCD">
      <w:pPr>
        <w:jc w:val="center"/>
        <w:outlineLvl w:val="0"/>
        <w:rPr>
          <w:rStyle w:val="23"/>
          <w:rFonts w:hint="eastAsia" w:ascii="黑体" w:hAnsi="黑体" w:eastAsia="黑体" w:cs="黑体"/>
          <w:sz w:val="21"/>
          <w:szCs w:val="21"/>
        </w:rPr>
      </w:pPr>
    </w:p>
    <w:p w14:paraId="2B0257DB">
      <w:pPr>
        <w:jc w:val="center"/>
        <w:outlineLvl w:val="0"/>
        <w:rPr>
          <w:rStyle w:val="23"/>
          <w:rFonts w:hint="eastAsia" w:ascii="黑体" w:hAnsi="黑体" w:eastAsia="黑体" w:cs="黑体"/>
          <w:sz w:val="21"/>
          <w:szCs w:val="21"/>
        </w:rPr>
      </w:pPr>
    </w:p>
    <w:p w14:paraId="3FF36A7C">
      <w:pPr>
        <w:jc w:val="center"/>
        <w:outlineLvl w:val="0"/>
        <w:rPr>
          <w:rStyle w:val="23"/>
          <w:rFonts w:hint="eastAsia" w:ascii="黑体" w:hAnsi="黑体" w:eastAsia="黑体" w:cs="黑体"/>
          <w:sz w:val="21"/>
          <w:szCs w:val="21"/>
        </w:rPr>
      </w:pPr>
    </w:p>
    <w:p w14:paraId="56222CEC">
      <w:pPr>
        <w:jc w:val="center"/>
        <w:outlineLvl w:val="0"/>
        <w:rPr>
          <w:rStyle w:val="23"/>
          <w:rFonts w:hint="eastAsia" w:ascii="黑体" w:hAnsi="黑体" w:eastAsia="黑体" w:cs="黑体"/>
          <w:sz w:val="21"/>
          <w:szCs w:val="21"/>
        </w:rPr>
      </w:pPr>
    </w:p>
    <w:p w14:paraId="5A398588">
      <w:pPr>
        <w:jc w:val="center"/>
        <w:outlineLvl w:val="0"/>
        <w:rPr>
          <w:rStyle w:val="23"/>
          <w:rFonts w:hint="eastAsia" w:ascii="黑体" w:hAnsi="黑体" w:eastAsia="黑体" w:cs="黑体"/>
          <w:sz w:val="21"/>
          <w:szCs w:val="21"/>
        </w:rPr>
      </w:pPr>
    </w:p>
    <w:p w14:paraId="68F284F9">
      <w:pPr>
        <w:jc w:val="center"/>
        <w:outlineLvl w:val="0"/>
        <w:rPr>
          <w:rStyle w:val="23"/>
          <w:rFonts w:hint="eastAsia" w:ascii="黑体" w:hAnsi="黑体" w:eastAsia="黑体" w:cs="黑体"/>
          <w:sz w:val="21"/>
          <w:szCs w:val="21"/>
        </w:rPr>
      </w:pPr>
    </w:p>
    <w:p w14:paraId="1E42148C">
      <w:pPr>
        <w:jc w:val="center"/>
        <w:outlineLvl w:val="0"/>
        <w:rPr>
          <w:rStyle w:val="23"/>
          <w:rFonts w:hint="eastAsia" w:ascii="黑体" w:hAnsi="黑体" w:eastAsia="黑体" w:cs="黑体"/>
          <w:sz w:val="21"/>
          <w:szCs w:val="21"/>
        </w:rPr>
      </w:pPr>
    </w:p>
    <w:p w14:paraId="17F39326">
      <w:pPr>
        <w:jc w:val="center"/>
        <w:outlineLvl w:val="0"/>
        <w:rPr>
          <w:rStyle w:val="23"/>
          <w:rFonts w:hint="eastAsia" w:ascii="黑体" w:hAnsi="黑体" w:eastAsia="黑体" w:cs="黑体"/>
          <w:sz w:val="21"/>
          <w:szCs w:val="21"/>
        </w:rPr>
      </w:pPr>
    </w:p>
    <w:p w14:paraId="77788942">
      <w:pPr>
        <w:jc w:val="center"/>
        <w:outlineLvl w:val="0"/>
        <w:rPr>
          <w:rStyle w:val="23"/>
          <w:rFonts w:hint="eastAsia" w:ascii="黑体" w:hAnsi="黑体" w:eastAsia="黑体" w:cs="黑体"/>
          <w:sz w:val="21"/>
          <w:szCs w:val="21"/>
        </w:rPr>
      </w:pPr>
    </w:p>
    <w:p w14:paraId="340A1BE5">
      <w:pPr>
        <w:jc w:val="center"/>
        <w:outlineLvl w:val="0"/>
        <w:rPr>
          <w:rStyle w:val="23"/>
          <w:rFonts w:hint="eastAsia" w:ascii="黑体" w:hAnsi="黑体" w:eastAsia="黑体" w:cs="黑体"/>
          <w:sz w:val="21"/>
          <w:szCs w:val="21"/>
        </w:rPr>
      </w:pPr>
    </w:p>
    <w:p w14:paraId="0E95C5DB">
      <w:pPr>
        <w:jc w:val="center"/>
        <w:outlineLvl w:val="0"/>
        <w:rPr>
          <w:rStyle w:val="23"/>
          <w:rFonts w:hint="eastAsia" w:ascii="黑体" w:hAnsi="黑体" w:eastAsia="黑体" w:cs="黑体"/>
          <w:sz w:val="21"/>
          <w:szCs w:val="21"/>
        </w:rPr>
      </w:pPr>
    </w:p>
    <w:p w14:paraId="5ACA92AB">
      <w:pPr>
        <w:jc w:val="center"/>
        <w:outlineLvl w:val="0"/>
        <w:rPr>
          <w:rStyle w:val="23"/>
          <w:rFonts w:hint="eastAsia" w:ascii="黑体" w:hAnsi="黑体" w:eastAsia="黑体" w:cs="黑体"/>
          <w:sz w:val="21"/>
          <w:szCs w:val="21"/>
        </w:rPr>
      </w:pPr>
    </w:p>
    <w:p w14:paraId="69EACB7C">
      <w:pPr>
        <w:jc w:val="center"/>
        <w:outlineLvl w:val="0"/>
        <w:rPr>
          <w:rStyle w:val="23"/>
          <w:rFonts w:hint="eastAsia" w:ascii="黑体" w:hAnsi="黑体" w:eastAsia="黑体" w:cs="黑体"/>
          <w:sz w:val="21"/>
          <w:szCs w:val="21"/>
        </w:rPr>
      </w:pPr>
    </w:p>
    <w:p w14:paraId="31C2A5EA">
      <w:pPr>
        <w:jc w:val="center"/>
        <w:outlineLvl w:val="0"/>
        <w:rPr>
          <w:rStyle w:val="23"/>
          <w:rFonts w:hint="eastAsia" w:ascii="黑体" w:hAnsi="黑体" w:eastAsia="黑体" w:cs="黑体"/>
          <w:sz w:val="21"/>
          <w:szCs w:val="21"/>
        </w:rPr>
      </w:pPr>
    </w:p>
    <w:p w14:paraId="6A25D980">
      <w:pPr>
        <w:jc w:val="center"/>
        <w:outlineLvl w:val="0"/>
        <w:rPr>
          <w:rStyle w:val="23"/>
          <w:rFonts w:hint="eastAsia" w:ascii="黑体" w:hAnsi="黑体" w:eastAsia="黑体" w:cs="黑体"/>
          <w:sz w:val="21"/>
          <w:szCs w:val="21"/>
        </w:rPr>
      </w:pPr>
    </w:p>
    <w:p w14:paraId="54BBE140">
      <w:pPr>
        <w:jc w:val="center"/>
        <w:outlineLvl w:val="0"/>
        <w:rPr>
          <w:rStyle w:val="23"/>
          <w:rFonts w:hint="eastAsia" w:ascii="黑体" w:hAnsi="黑体" w:eastAsia="黑体" w:cs="黑体"/>
          <w:sz w:val="21"/>
          <w:szCs w:val="21"/>
        </w:rPr>
      </w:pPr>
    </w:p>
    <w:p w14:paraId="7B0BF391">
      <w:pPr>
        <w:jc w:val="center"/>
        <w:outlineLvl w:val="0"/>
        <w:rPr>
          <w:rStyle w:val="23"/>
          <w:rFonts w:hint="eastAsia" w:ascii="黑体" w:hAnsi="黑体" w:eastAsia="黑体" w:cs="黑体"/>
          <w:sz w:val="21"/>
          <w:szCs w:val="21"/>
        </w:rPr>
      </w:pPr>
    </w:p>
    <w:p w14:paraId="0480A630">
      <w:pPr>
        <w:jc w:val="center"/>
        <w:outlineLvl w:val="0"/>
        <w:rPr>
          <w:rStyle w:val="23"/>
          <w:rFonts w:ascii="黑体" w:hAnsi="黑体" w:eastAsia="黑体" w:cs="黑体"/>
          <w:sz w:val="21"/>
          <w:szCs w:val="21"/>
        </w:rPr>
      </w:pPr>
      <w:r>
        <w:rPr>
          <w:rStyle w:val="23"/>
          <w:rFonts w:hint="eastAsia" w:ascii="黑体" w:hAnsi="黑体" w:eastAsia="黑体" w:cs="黑体"/>
          <w:sz w:val="21"/>
          <w:szCs w:val="21"/>
        </w:rPr>
        <w:t>附  录  C</w:t>
      </w:r>
      <w:bookmarkEnd w:id="78"/>
    </w:p>
    <w:p w14:paraId="5674316A">
      <w:pPr>
        <w:jc w:val="center"/>
        <w:outlineLvl w:val="0"/>
        <w:rPr>
          <w:rStyle w:val="23"/>
          <w:rFonts w:ascii="黑体" w:hAnsi="黑体" w:eastAsia="黑体" w:cs="黑体"/>
          <w:sz w:val="21"/>
          <w:szCs w:val="21"/>
        </w:rPr>
      </w:pPr>
      <w:bookmarkStart w:id="79" w:name="_Toc14411"/>
      <w:r>
        <w:rPr>
          <w:rStyle w:val="23"/>
          <w:rFonts w:hint="eastAsia" w:ascii="黑体" w:hAnsi="黑体" w:eastAsia="黑体" w:cs="黑体"/>
          <w:sz w:val="21"/>
          <w:szCs w:val="21"/>
        </w:rPr>
        <w:t>（规范性）</w:t>
      </w:r>
      <w:bookmarkEnd w:id="79"/>
    </w:p>
    <w:p w14:paraId="42988F44">
      <w:pPr>
        <w:jc w:val="center"/>
        <w:outlineLvl w:val="0"/>
        <w:rPr>
          <w:rStyle w:val="23"/>
          <w:rFonts w:ascii="黑体" w:hAnsi="黑体" w:eastAsia="黑体" w:cs="黑体"/>
          <w:sz w:val="21"/>
          <w:szCs w:val="21"/>
        </w:rPr>
      </w:pPr>
      <w:bookmarkStart w:id="80" w:name="_Toc3846"/>
      <w:r>
        <w:rPr>
          <w:rStyle w:val="23"/>
          <w:rFonts w:hint="eastAsia" w:ascii="黑体" w:hAnsi="黑体" w:eastAsia="黑体" w:cs="黑体"/>
          <w:sz w:val="21"/>
          <w:szCs w:val="21"/>
        </w:rPr>
        <w:t>电器电子产品环保检测高质量实验室现场评价核查表</w:t>
      </w:r>
      <w:bookmarkEnd w:id="80"/>
    </w:p>
    <w:p w14:paraId="3A11C341">
      <w:pPr>
        <w:jc w:val="left"/>
        <w:rPr>
          <w:rFonts w:hint="eastAsia" w:ascii="黑体" w:hAnsi="黑体" w:eastAsia="黑体" w:cs="黑体"/>
          <w:b w:val="0"/>
          <w:bCs w:val="0"/>
          <w:sz w:val="21"/>
          <w:szCs w:val="21"/>
        </w:rPr>
      </w:pPr>
      <w:r>
        <w:rPr>
          <w:rFonts w:hint="eastAsia" w:ascii="黑体" w:hAnsi="黑体" w:eastAsia="黑体" w:cs="黑体"/>
          <w:b w:val="0"/>
          <w:bCs w:val="0"/>
          <w:sz w:val="21"/>
          <w:szCs w:val="21"/>
        </w:rPr>
        <w:t>实验室名称：</w:t>
      </w:r>
      <w:r>
        <w:rPr>
          <w:rFonts w:hint="eastAsia" w:ascii="黑体" w:hAnsi="黑体" w:eastAsia="黑体" w:cs="黑体"/>
          <w:b w:val="0"/>
          <w:bCs w:val="0"/>
          <w:sz w:val="21"/>
          <w:szCs w:val="21"/>
          <w:u w:val="single"/>
          <w:lang w:val="en-US" w:eastAsia="zh-CN"/>
        </w:rPr>
        <w:t xml:space="preserve">                         </w:t>
      </w:r>
      <w:r>
        <w:rPr>
          <w:rFonts w:hint="eastAsia" w:ascii="黑体" w:hAnsi="黑体" w:eastAsia="黑体" w:cs="黑体"/>
          <w:b w:val="0"/>
          <w:bCs w:val="0"/>
          <w:sz w:val="21"/>
          <w:szCs w:val="21"/>
          <w:lang w:val="en-US" w:eastAsia="zh-CN"/>
        </w:rPr>
        <w:t xml:space="preserve">                   </w:t>
      </w:r>
      <w:r>
        <w:rPr>
          <w:rFonts w:hint="eastAsia" w:ascii="黑体" w:hAnsi="黑体" w:eastAsia="黑体" w:cs="黑体"/>
          <w:b w:val="0"/>
          <w:bCs w:val="0"/>
          <w:sz w:val="21"/>
          <w:szCs w:val="21"/>
        </w:rPr>
        <w:t>评价日期： _____年___月___日</w:t>
      </w:r>
    </w:p>
    <w:tbl>
      <w:tblPr>
        <w:tblStyle w:val="15"/>
        <w:tblW w:w="11238" w:type="dxa"/>
        <w:tblInd w:w="-69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8"/>
        <w:gridCol w:w="1562"/>
        <w:gridCol w:w="850"/>
        <w:gridCol w:w="550"/>
        <w:gridCol w:w="3381"/>
        <w:gridCol w:w="1788"/>
        <w:gridCol w:w="962"/>
        <w:gridCol w:w="757"/>
        <w:gridCol w:w="700"/>
      </w:tblGrid>
      <w:tr w14:paraId="32D9B41E">
        <w:tblPrEx>
          <w:tblCellMar>
            <w:top w:w="0" w:type="dxa"/>
            <w:left w:w="108" w:type="dxa"/>
            <w:bottom w:w="0" w:type="dxa"/>
            <w:right w:w="108" w:type="dxa"/>
          </w:tblCellMar>
        </w:tblPrEx>
        <w:trPr>
          <w:trHeight w:val="620" w:hRule="atLeast"/>
        </w:trPr>
        <w:tc>
          <w:tcPr>
            <w:tcW w:w="11238" w:type="dxa"/>
            <w:gridSpan w:val="9"/>
            <w:tcBorders>
              <w:top w:val="nil"/>
              <w:left w:val="nil"/>
              <w:bottom w:val="nil"/>
              <w:right w:val="nil"/>
            </w:tcBorders>
            <w:shd w:val="clear" w:color="auto" w:fill="auto"/>
            <w:noWrap/>
            <w:vAlign w:val="center"/>
          </w:tcPr>
          <w:p w14:paraId="2C665BDA">
            <w:pPr>
              <w:keepNext w:val="0"/>
              <w:keepLines w:val="0"/>
              <w:widowControl/>
              <w:suppressLineNumbers w:val="0"/>
              <w:jc w:val="left"/>
              <w:textAlignment w:val="center"/>
              <w:rPr>
                <w:rFonts w:ascii="微软雅黑" w:hAnsi="微软雅黑" w:eastAsia="微软雅黑" w:cs="微软雅黑"/>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C.1 基础项核查（满分650分）（基于附录B）</w:t>
            </w:r>
          </w:p>
        </w:tc>
      </w:tr>
      <w:tr w14:paraId="398ED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FFDC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4F5D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评价指标</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2FCC3">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对应</w:t>
            </w:r>
          </w:p>
          <w:p w14:paraId="48422F8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条款</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31A8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标准分值</w:t>
            </w:r>
          </w:p>
        </w:tc>
        <w:tc>
          <w:tcPr>
            <w:tcW w:w="3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7DAE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核查要点及评分依据</w:t>
            </w:r>
          </w:p>
        </w:tc>
        <w:tc>
          <w:tcPr>
            <w:tcW w:w="1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FEAD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核查方式</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ACF12">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判定</w:t>
            </w:r>
          </w:p>
          <w:p w14:paraId="7D5D0DB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结果</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2A0A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得分</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7FA8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w:t>
            </w:r>
          </w:p>
        </w:tc>
      </w:tr>
      <w:tr w14:paraId="734BC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0C9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5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431C6CD">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资质与合规性 (70分）</w:t>
            </w:r>
          </w:p>
        </w:tc>
      </w:tr>
      <w:tr w14:paraId="10DFD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B3B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980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资质认定</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3C2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4.1.2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5A8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3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993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具备CMA资质（得20分）；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同时具备CNAS认可（得20分）注：证书需在有效期内且覆盖电器电子环保检测范围。</w:t>
            </w:r>
          </w:p>
        </w:tc>
        <w:tc>
          <w:tcPr>
            <w:tcW w:w="1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83E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查阅证书正本及附表</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F7F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□不符</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AB550">
            <w:pPr>
              <w:rPr>
                <w:rFonts w:hint="eastAsia" w:ascii="宋体" w:hAnsi="宋体" w:eastAsia="宋体" w:cs="宋体"/>
                <w:i w:val="0"/>
                <w:iCs w:val="0"/>
                <w:color w:val="000000"/>
                <w:sz w:val="21"/>
                <w:szCs w:val="21"/>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028B5">
            <w:pPr>
              <w:rPr>
                <w:rFonts w:hint="eastAsia" w:ascii="宋体" w:hAnsi="宋体" w:eastAsia="宋体" w:cs="宋体"/>
                <w:i w:val="0"/>
                <w:iCs w:val="0"/>
                <w:color w:val="000000"/>
                <w:sz w:val="21"/>
                <w:szCs w:val="21"/>
                <w:u w:val="none"/>
              </w:rPr>
            </w:pPr>
          </w:p>
        </w:tc>
      </w:tr>
      <w:tr w14:paraId="67C3A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147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8B3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法律法规遵守</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790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90A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3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941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近3年无违法违规记录（得30分）；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有整改记录但无重大事故（得15分）。</w:t>
            </w:r>
          </w:p>
        </w:tc>
        <w:tc>
          <w:tcPr>
            <w:tcW w:w="1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E12F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查询信用中国</w:t>
            </w:r>
          </w:p>
          <w:p w14:paraId="7402496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市监局网站</w:t>
            </w:r>
          </w:p>
          <w:p w14:paraId="5938D1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查阅声明</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879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□不符</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153C2">
            <w:pPr>
              <w:rPr>
                <w:rFonts w:hint="eastAsia" w:ascii="宋体" w:hAnsi="宋体" w:eastAsia="宋体" w:cs="宋体"/>
                <w:i w:val="0"/>
                <w:iCs w:val="0"/>
                <w:color w:val="000000"/>
                <w:sz w:val="21"/>
                <w:szCs w:val="21"/>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DFBA6">
            <w:pPr>
              <w:rPr>
                <w:rFonts w:hint="eastAsia" w:ascii="宋体" w:hAnsi="宋体" w:eastAsia="宋体" w:cs="宋体"/>
                <w:i w:val="0"/>
                <w:iCs w:val="0"/>
                <w:color w:val="000000"/>
                <w:sz w:val="21"/>
                <w:szCs w:val="21"/>
                <w:u w:val="none"/>
              </w:rPr>
            </w:pPr>
          </w:p>
        </w:tc>
      </w:tr>
      <w:tr w14:paraId="40490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4" w:hRule="atLeast"/>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976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05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CC2B151">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人员能力 (80分）</w:t>
            </w:r>
          </w:p>
        </w:tc>
      </w:tr>
      <w:tr w14:paraId="29338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70A0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FD5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关键岗位能力</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9E170">
            <w:pPr>
              <w:keepNext w:val="0"/>
              <w:keepLines w:val="0"/>
              <w:widowControl/>
              <w:suppressLineNumbers w:val="0"/>
              <w:jc w:val="left"/>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4.2.4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B53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3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0456F">
            <w:pPr>
              <w:keepNext w:val="0"/>
              <w:keepLines w:val="0"/>
              <w:widowControl/>
              <w:numPr>
                <w:ilvl w:val="0"/>
                <w:numId w:val="13"/>
              </w:numPr>
              <w:suppressLineNumbers w:val="0"/>
              <w:ind w:leftChars="0"/>
              <w:jc w:val="left"/>
              <w:textAlignment w:val="center"/>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职称/证书：核查高级职称或高级技师/污染管控师证书。</w:t>
            </w:r>
          </w:p>
          <w:p w14:paraId="27FDADE1">
            <w:pPr>
              <w:keepNext w:val="0"/>
              <w:keepLines w:val="0"/>
              <w:widowControl/>
              <w:numPr>
                <w:ilvl w:val="0"/>
                <w:numId w:val="13"/>
              </w:numPr>
              <w:suppressLineNumbers w:val="0"/>
              <w:ind w:left="0" w:leftChars="0" w:firstLine="0" w:firstLineChars="0"/>
              <w:jc w:val="left"/>
              <w:textAlignment w:val="center"/>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法规能力：是否掌握最新豁免条款及新污染物（如PFAS）动态。</w:t>
            </w:r>
          </w:p>
          <w:p w14:paraId="57563C01">
            <w:pPr>
              <w:keepNext w:val="0"/>
              <w:keepLines w:val="0"/>
              <w:widowControl/>
              <w:numPr>
                <w:ilvl w:val="0"/>
                <w:numId w:val="13"/>
              </w:numPr>
              <w:suppressLineNumbers w:val="0"/>
              <w:ind w:left="0" w:leftChars="0" w:firstLine="0" w:firstLineChars="0"/>
              <w:jc w:val="left"/>
              <w:textAlignment w:val="center"/>
              <w:rPr>
                <w:rFonts w:hint="eastAsia" w:ascii="宋体" w:hAnsi="宋体" w:eastAsia="宋体" w:cs="宋体"/>
                <w:i w:val="0"/>
                <w:iCs w:val="0"/>
                <w:color w:val="auto"/>
                <w:sz w:val="21"/>
                <w:szCs w:val="21"/>
                <w:u w:val="none"/>
                <w:lang w:val="en-US"/>
              </w:rPr>
            </w:pPr>
            <w:r>
              <w:rPr>
                <w:rFonts w:hint="eastAsia" w:ascii="宋体" w:hAnsi="宋体" w:eastAsia="宋体" w:cs="宋体"/>
                <w:i w:val="0"/>
                <w:iCs w:val="0"/>
                <w:caps w:val="0"/>
                <w:color w:val="auto"/>
                <w:spacing w:val="0"/>
                <w:sz w:val="21"/>
                <w:szCs w:val="21"/>
                <w:shd w:val="clear"/>
              </w:rPr>
              <w:t>解决问题：是否具备非标方法开发或疑难杂症处理经验。</w:t>
            </w:r>
          </w:p>
        </w:tc>
        <w:tc>
          <w:tcPr>
            <w:tcW w:w="1788" w:type="dxa"/>
            <w:tcBorders>
              <w:top w:val="single" w:color="000000" w:sz="4" w:space="0"/>
              <w:left w:val="single" w:color="000000" w:sz="4" w:space="0"/>
              <w:bottom w:val="single" w:color="auto" w:sz="4" w:space="0"/>
              <w:right w:val="single" w:color="000000" w:sz="4" w:space="0"/>
            </w:tcBorders>
            <w:shd w:val="clear" w:color="auto" w:fill="auto"/>
            <w:vAlign w:val="center"/>
          </w:tcPr>
          <w:p w14:paraId="48CBEA9A">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查阅简历、职称证、培训证</w:t>
            </w:r>
          </w:p>
          <w:p w14:paraId="6B513F06">
            <w:pPr>
              <w:keepNext w:val="0"/>
              <w:keepLines w:val="0"/>
              <w:widowControl/>
              <w:suppressLineNumbers w:val="0"/>
              <w:jc w:val="left"/>
              <w:textAlignment w:val="center"/>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查阅证书原件及岗位说明书</w:t>
            </w:r>
          </w:p>
          <w:p w14:paraId="2C7538D9">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096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□不符</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CD365">
            <w:pPr>
              <w:rPr>
                <w:rFonts w:hint="eastAsia" w:ascii="宋体" w:hAnsi="宋体" w:eastAsia="宋体" w:cs="宋体"/>
                <w:i w:val="0"/>
                <w:iCs w:val="0"/>
                <w:color w:val="000000"/>
                <w:sz w:val="21"/>
                <w:szCs w:val="21"/>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A0FD7">
            <w:pPr>
              <w:rPr>
                <w:rFonts w:hint="eastAsia" w:ascii="宋体" w:hAnsi="宋体" w:eastAsia="宋体" w:cs="宋体"/>
                <w:i w:val="0"/>
                <w:iCs w:val="0"/>
                <w:color w:val="000000"/>
                <w:sz w:val="21"/>
                <w:szCs w:val="21"/>
                <w:u w:val="none"/>
              </w:rPr>
            </w:pPr>
          </w:p>
        </w:tc>
      </w:tr>
      <w:tr w14:paraId="6678D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2" w:hRule="atLeast"/>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59FAA">
            <w:pPr>
              <w:keepNext w:val="0"/>
              <w:keepLines w:val="0"/>
              <w:widowControl/>
              <w:suppressLineNumbers w:val="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68530">
            <w:pPr>
              <w:keepNext w:val="0"/>
              <w:keepLines w:val="0"/>
              <w:widowControl/>
              <w:suppressLineNumbers w:val="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核心检测人员能力</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72EC3">
            <w:pPr>
              <w:keepNext w:val="0"/>
              <w:keepLines w:val="0"/>
              <w:widowControl/>
              <w:suppressLineNumbers w:val="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4E2E3">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w:t>
            </w:r>
          </w:p>
        </w:tc>
        <w:tc>
          <w:tcPr>
            <w:tcW w:w="3381" w:type="dxa"/>
            <w:tcBorders>
              <w:top w:val="single" w:color="000000" w:sz="4" w:space="0"/>
              <w:left w:val="single" w:color="000000" w:sz="4" w:space="0"/>
              <w:bottom w:val="single" w:color="000000" w:sz="4" w:space="0"/>
              <w:right w:val="single" w:color="auto" w:sz="4" w:space="0"/>
            </w:tcBorders>
            <w:shd w:val="clear" w:color="auto" w:fill="auto"/>
            <w:vAlign w:val="center"/>
          </w:tcPr>
          <w:p w14:paraId="2738E6ED">
            <w:pPr>
              <w:keepNext w:val="0"/>
              <w:keepLines w:val="0"/>
              <w:widowControl/>
              <w:numPr>
                <w:ilvl w:val="0"/>
                <w:numId w:val="14"/>
              </w:numPr>
              <w:suppressLineNumbers w:val="0"/>
              <w:ind w:leftChars="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aps w:val="0"/>
                <w:color w:val="auto"/>
                <w:spacing w:val="0"/>
                <w:sz w:val="21"/>
                <w:szCs w:val="21"/>
                <w:shd w:val="clear"/>
              </w:rPr>
              <w:t>资质：持有L-3级（高级工）证书。</w:t>
            </w:r>
          </w:p>
          <w:p w14:paraId="594635AA">
            <w:pPr>
              <w:keepNext w:val="0"/>
              <w:keepLines w:val="0"/>
              <w:widowControl/>
              <w:numPr>
                <w:ilvl w:val="0"/>
                <w:numId w:val="14"/>
              </w:numPr>
              <w:suppressLineNumbers w:val="0"/>
              <w:ind w:left="0" w:leftChars="0" w:firstLine="0" w:firstLineChars="0"/>
              <w:jc w:val="left"/>
              <w:textAlignment w:val="center"/>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技能：熟练操作GC-MS/ICP-MS，具备维护能力。</w:t>
            </w:r>
          </w:p>
          <w:p w14:paraId="09A081F9">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aps w:val="0"/>
                <w:color w:val="auto"/>
                <w:spacing w:val="0"/>
                <w:sz w:val="21"/>
                <w:szCs w:val="21"/>
                <w:shd w:val="clear"/>
              </w:rPr>
              <w:t>3. 数据：能独立解析谱图，识别假阳性；熟练使用LIMS。</w:t>
            </w:r>
          </w:p>
        </w:tc>
        <w:tc>
          <w:tcPr>
            <w:tcW w:w="1788" w:type="dxa"/>
            <w:tcBorders>
              <w:top w:val="single" w:color="auto" w:sz="4" w:space="0"/>
              <w:left w:val="single" w:color="auto" w:sz="4" w:space="0"/>
              <w:bottom w:val="single" w:color="000000" w:sz="4" w:space="0"/>
              <w:right w:val="single" w:color="auto" w:sz="4" w:space="0"/>
            </w:tcBorders>
            <w:shd w:val="clear" w:color="auto" w:fill="auto"/>
            <w:vAlign w:val="center"/>
          </w:tcPr>
          <w:p w14:paraId="39FFD563">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查阅简历</w:t>
            </w:r>
          </w:p>
          <w:p w14:paraId="28F7FB1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职称证</w:t>
            </w:r>
          </w:p>
          <w:p w14:paraId="2634A199">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培训证</w:t>
            </w:r>
          </w:p>
          <w:p w14:paraId="1F5CDCD0">
            <w:pPr>
              <w:keepNext w:val="0"/>
              <w:keepLines w:val="0"/>
              <w:widowControl/>
              <w:suppressLineNumbers w:val="0"/>
              <w:jc w:val="left"/>
              <w:textAlignment w:val="center"/>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技能证书</w:t>
            </w:r>
          </w:p>
          <w:p w14:paraId="32725396">
            <w:pPr>
              <w:keepNext w:val="0"/>
              <w:keepLines w:val="0"/>
              <w:widowControl/>
              <w:suppressLineNumbers w:val="0"/>
              <w:jc w:val="left"/>
              <w:textAlignment w:val="center"/>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仪器使用记录</w:t>
            </w:r>
          </w:p>
          <w:p w14:paraId="4E0BE772">
            <w:pPr>
              <w:keepNext w:val="0"/>
              <w:keepLines w:val="0"/>
              <w:widowControl/>
              <w:suppressLineNumbers w:val="0"/>
              <w:jc w:val="left"/>
              <w:textAlignment w:val="center"/>
              <w:rPr>
                <w:rFonts w:hint="eastAsia" w:ascii="宋体" w:hAnsi="宋体" w:eastAsia="宋体" w:cs="宋体"/>
                <w:i w:val="0"/>
                <w:iCs w:val="0"/>
                <w:caps w:val="0"/>
                <w:color w:val="auto"/>
                <w:spacing w:val="0"/>
                <w:sz w:val="21"/>
                <w:szCs w:val="21"/>
                <w:shd w:val="clear"/>
                <w:lang w:val="en-US" w:eastAsia="zh-CN"/>
              </w:rPr>
            </w:pPr>
            <w:r>
              <w:rPr>
                <w:rFonts w:hint="eastAsia" w:ascii="宋体" w:hAnsi="宋体" w:eastAsia="宋体" w:cs="宋体"/>
                <w:i w:val="0"/>
                <w:iCs w:val="0"/>
                <w:caps w:val="0"/>
                <w:color w:val="auto"/>
                <w:spacing w:val="0"/>
                <w:sz w:val="21"/>
                <w:szCs w:val="21"/>
                <w:shd w:val="clear"/>
              </w:rPr>
              <w:t>现场</w:t>
            </w:r>
            <w:r>
              <w:rPr>
                <w:rFonts w:hint="eastAsia" w:ascii="宋体" w:hAnsi="宋体" w:eastAsia="宋体" w:cs="宋体"/>
                <w:i w:val="0"/>
                <w:iCs w:val="0"/>
                <w:caps w:val="0"/>
                <w:color w:val="auto"/>
                <w:spacing w:val="0"/>
                <w:sz w:val="21"/>
                <w:szCs w:val="21"/>
                <w:shd w:val="clear"/>
                <w:lang w:val="en-US" w:eastAsia="zh-CN"/>
              </w:rPr>
              <w:t>操作</w:t>
            </w:r>
          </w:p>
          <w:p w14:paraId="70FD0B33">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aps w:val="0"/>
                <w:color w:val="auto"/>
                <w:spacing w:val="0"/>
                <w:sz w:val="21"/>
                <w:szCs w:val="21"/>
                <w:shd w:val="clear"/>
              </w:rPr>
              <w:t>LIMS系统中演示异常数据的标识与处理流程</w:t>
            </w:r>
          </w:p>
        </w:tc>
        <w:tc>
          <w:tcPr>
            <w:tcW w:w="962" w:type="dxa"/>
            <w:tcBorders>
              <w:top w:val="single" w:color="000000" w:sz="4" w:space="0"/>
              <w:left w:val="single" w:color="auto" w:sz="4" w:space="0"/>
              <w:bottom w:val="single" w:color="000000" w:sz="4" w:space="0"/>
              <w:right w:val="single" w:color="000000" w:sz="4" w:space="0"/>
            </w:tcBorders>
            <w:shd w:val="clear" w:color="auto" w:fill="auto"/>
            <w:vAlign w:val="center"/>
          </w:tcPr>
          <w:p w14:paraId="75C7333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□符合 □不符</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C5AFC">
            <w:pPr>
              <w:rPr>
                <w:rFonts w:hint="eastAsia" w:ascii="宋体" w:hAnsi="宋体" w:eastAsia="宋体" w:cs="宋体"/>
                <w:i w:val="0"/>
                <w:iCs w:val="0"/>
                <w:color w:val="000000"/>
                <w:sz w:val="21"/>
                <w:szCs w:val="21"/>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8A537">
            <w:pPr>
              <w:rPr>
                <w:rFonts w:hint="eastAsia" w:ascii="宋体" w:hAnsi="宋体" w:eastAsia="宋体" w:cs="宋体"/>
                <w:i w:val="0"/>
                <w:iCs w:val="0"/>
                <w:color w:val="000000"/>
                <w:sz w:val="21"/>
                <w:szCs w:val="21"/>
                <w:u w:val="none"/>
              </w:rPr>
            </w:pPr>
          </w:p>
        </w:tc>
      </w:tr>
      <w:tr w14:paraId="1DFDD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2" w:hRule="atLeast"/>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64CD9">
            <w:pPr>
              <w:keepNext w:val="0"/>
              <w:keepLines w:val="0"/>
              <w:widowControl/>
              <w:suppressLineNumbers w:val="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D3EDD">
            <w:pPr>
              <w:keepNext w:val="0"/>
              <w:keepLines w:val="0"/>
              <w:widowControl/>
              <w:suppressLineNumbers w:val="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前处理人员能力</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209C0">
            <w:pPr>
              <w:keepNext w:val="0"/>
              <w:keepLines w:val="0"/>
              <w:widowControl/>
              <w:suppressLineNumbers w:val="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2D9BD">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w:t>
            </w:r>
          </w:p>
        </w:tc>
        <w:tc>
          <w:tcPr>
            <w:tcW w:w="3381" w:type="dxa"/>
            <w:tcBorders>
              <w:top w:val="single" w:color="000000" w:sz="4" w:space="0"/>
              <w:left w:val="single" w:color="000000" w:sz="4" w:space="0"/>
              <w:bottom w:val="single" w:color="000000" w:sz="4" w:space="0"/>
              <w:right w:val="single" w:color="auto" w:sz="4" w:space="0"/>
            </w:tcBorders>
            <w:shd w:val="clear" w:color="auto" w:fill="auto"/>
            <w:vAlign w:val="center"/>
          </w:tcPr>
          <w:p w14:paraId="5E549F05">
            <w:pPr>
              <w:keepNext w:val="0"/>
              <w:keepLines w:val="0"/>
              <w:widowControl/>
              <w:numPr>
                <w:ilvl w:val="0"/>
                <w:numId w:val="15"/>
              </w:numPr>
              <w:suppressLineNumbers w:val="0"/>
              <w:ind w:leftChars="0"/>
              <w:jc w:val="left"/>
              <w:textAlignment w:val="center"/>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资质：持有L-2级（中级工）证书。</w:t>
            </w:r>
          </w:p>
          <w:p w14:paraId="54DAFC30">
            <w:pPr>
              <w:keepNext w:val="0"/>
              <w:keepLines w:val="0"/>
              <w:widowControl/>
              <w:numPr>
                <w:ilvl w:val="0"/>
                <w:numId w:val="15"/>
              </w:numPr>
              <w:suppressLineNumbers w:val="0"/>
              <w:ind w:left="0" w:leftChars="0" w:firstLine="0" w:firstLineChars="0"/>
              <w:jc w:val="left"/>
              <w:textAlignment w:val="center"/>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技能：精通GB/T 39560，能准确识别材质，拆解过程无污染。</w:t>
            </w:r>
          </w:p>
          <w:p w14:paraId="52CBECE6">
            <w:pPr>
              <w:keepNext w:val="0"/>
              <w:keepLines w:val="0"/>
              <w:widowControl/>
              <w:numPr>
                <w:ilvl w:val="0"/>
                <w:numId w:val="0"/>
              </w:numPr>
              <w:suppressLineNumbers w:val="0"/>
              <w:ind w:left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aps w:val="0"/>
                <w:color w:val="auto"/>
                <w:spacing w:val="0"/>
                <w:sz w:val="21"/>
                <w:szCs w:val="21"/>
                <w:shd w:val="clear"/>
              </w:rPr>
              <w:t>3. 了解防交叉污染措施。</w:t>
            </w:r>
          </w:p>
        </w:tc>
        <w:tc>
          <w:tcPr>
            <w:tcW w:w="1788" w:type="dxa"/>
            <w:tcBorders>
              <w:top w:val="single" w:color="000000" w:sz="4" w:space="0"/>
              <w:left w:val="single" w:color="auto" w:sz="4" w:space="0"/>
              <w:bottom w:val="single" w:color="000000" w:sz="4" w:space="0"/>
              <w:right w:val="single" w:color="auto" w:sz="4" w:space="0"/>
            </w:tcBorders>
            <w:shd w:val="clear" w:color="auto" w:fill="auto"/>
            <w:vAlign w:val="center"/>
          </w:tcPr>
          <w:p w14:paraId="2BEC8901">
            <w:pPr>
              <w:keepNext w:val="0"/>
              <w:keepLines w:val="0"/>
              <w:widowControl/>
              <w:suppressLineNumbers w:val="0"/>
              <w:jc w:val="left"/>
              <w:textAlignment w:val="center"/>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查阅技能证书</w:t>
            </w:r>
          </w:p>
          <w:p w14:paraId="13F53F80">
            <w:pPr>
              <w:keepNext w:val="0"/>
              <w:keepLines w:val="0"/>
              <w:widowControl/>
              <w:suppressLineNumbers w:val="0"/>
              <w:jc w:val="left"/>
              <w:textAlignment w:val="center"/>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现场操</w:t>
            </w:r>
            <w:r>
              <w:rPr>
                <w:rFonts w:hint="eastAsia" w:ascii="宋体" w:hAnsi="宋体" w:eastAsia="宋体" w:cs="宋体"/>
                <w:i w:val="0"/>
                <w:iCs w:val="0"/>
                <w:caps w:val="0"/>
                <w:color w:val="auto"/>
                <w:spacing w:val="0"/>
                <w:sz w:val="21"/>
                <w:szCs w:val="21"/>
                <w:shd w:val="clear"/>
                <w:lang w:val="en-US" w:eastAsia="zh-CN"/>
              </w:rPr>
              <w:t>作</w:t>
            </w:r>
            <w:r>
              <w:rPr>
                <w:rFonts w:hint="eastAsia" w:ascii="宋体" w:hAnsi="宋体" w:eastAsia="宋体" w:cs="宋体"/>
                <w:i w:val="0"/>
                <w:iCs w:val="0"/>
                <w:caps w:val="0"/>
                <w:color w:val="auto"/>
                <w:spacing w:val="0"/>
                <w:sz w:val="21"/>
                <w:szCs w:val="21"/>
                <w:shd w:val="clear"/>
              </w:rPr>
              <w:t> </w:t>
            </w:r>
          </w:p>
          <w:p w14:paraId="7FB05A8E">
            <w:pPr>
              <w:keepNext w:val="0"/>
              <w:keepLines w:val="0"/>
              <w:widowControl/>
              <w:suppressLineNumbers w:val="0"/>
              <w:jc w:val="left"/>
              <w:textAlignment w:val="center"/>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提供复杂样品现场演示拆解与分类</w:t>
            </w:r>
          </w:p>
          <w:p w14:paraId="5F1C187F">
            <w:pPr>
              <w:keepNext w:val="0"/>
              <w:keepLines w:val="0"/>
              <w:widowControl/>
              <w:suppressLineNumbers w:val="0"/>
              <w:jc w:val="left"/>
              <w:textAlignment w:val="center"/>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工具清洁</w:t>
            </w:r>
          </w:p>
          <w:p w14:paraId="54764AD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aps w:val="0"/>
                <w:color w:val="auto"/>
                <w:spacing w:val="0"/>
                <w:sz w:val="21"/>
                <w:szCs w:val="21"/>
                <w:shd w:val="clear"/>
              </w:rPr>
              <w:t>均质化处理（研磨）的操作规范性</w:t>
            </w:r>
          </w:p>
        </w:tc>
        <w:tc>
          <w:tcPr>
            <w:tcW w:w="962" w:type="dxa"/>
            <w:tcBorders>
              <w:top w:val="single" w:color="000000" w:sz="4" w:space="0"/>
              <w:left w:val="single" w:color="auto" w:sz="4" w:space="0"/>
              <w:bottom w:val="single" w:color="000000" w:sz="4" w:space="0"/>
              <w:right w:val="single" w:color="000000" w:sz="4" w:space="0"/>
            </w:tcBorders>
            <w:shd w:val="clear" w:color="auto" w:fill="auto"/>
            <w:vAlign w:val="center"/>
          </w:tcPr>
          <w:p w14:paraId="16D58F5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E2BC0">
            <w:pPr>
              <w:rPr>
                <w:rFonts w:hint="eastAsia" w:ascii="宋体" w:hAnsi="宋体" w:eastAsia="宋体" w:cs="宋体"/>
                <w:i w:val="0"/>
                <w:iCs w:val="0"/>
                <w:color w:val="000000"/>
                <w:sz w:val="21"/>
                <w:szCs w:val="21"/>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FE2F9">
            <w:pPr>
              <w:rPr>
                <w:rFonts w:hint="eastAsia" w:ascii="宋体" w:hAnsi="宋体" w:eastAsia="宋体" w:cs="宋体"/>
                <w:i w:val="0"/>
                <w:iCs w:val="0"/>
                <w:color w:val="000000"/>
                <w:sz w:val="21"/>
                <w:szCs w:val="21"/>
                <w:u w:val="none"/>
              </w:rPr>
            </w:pPr>
          </w:p>
        </w:tc>
      </w:tr>
      <w:tr w14:paraId="48B24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1A09E">
            <w:pPr>
              <w:keepNext w:val="0"/>
              <w:keepLines w:val="0"/>
              <w:widowControl/>
              <w:suppressLineNumbers w:val="0"/>
              <w:jc w:val="left"/>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2.4</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ABF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培训与考核</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2E220">
            <w:pPr>
              <w:keepNext w:val="0"/>
              <w:keepLines w:val="0"/>
              <w:widowControl/>
              <w:suppressLineNumbers w:val="0"/>
              <w:jc w:val="left"/>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4.2.5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913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3381" w:type="dxa"/>
            <w:tcBorders>
              <w:top w:val="single" w:color="000000" w:sz="4" w:space="0"/>
              <w:left w:val="single" w:color="000000" w:sz="4" w:space="0"/>
              <w:bottom w:val="single" w:color="000000" w:sz="4" w:space="0"/>
              <w:right w:val="single" w:color="auto" w:sz="4" w:space="0"/>
            </w:tcBorders>
            <w:shd w:val="clear" w:color="auto" w:fill="auto"/>
            <w:vAlign w:val="center"/>
          </w:tcPr>
          <w:p w14:paraId="795DC767">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lang w:val="en-US" w:eastAsia="zh-CN" w:bidi="ar"/>
              </w:rPr>
              <w:t>1.</w:t>
            </w:r>
            <w:r>
              <w:rPr>
                <w:rFonts w:hint="eastAsia" w:ascii="宋体" w:hAnsi="宋体" w:eastAsia="宋体" w:cs="宋体"/>
                <w:i w:val="0"/>
                <w:iCs w:val="0"/>
                <w:caps w:val="0"/>
                <w:color w:val="auto"/>
                <w:spacing w:val="0"/>
                <w:sz w:val="21"/>
                <w:szCs w:val="21"/>
                <w:shd w:val="clear"/>
              </w:rPr>
              <w:t>学时：≥40学时/人/年，包含法规更新内容。</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 全员持证上岗率100%（10分）</w:t>
            </w:r>
          </w:p>
          <w:p w14:paraId="69DCD4B4">
            <w:pPr>
              <w:keepNext w:val="0"/>
              <w:keepLines w:val="0"/>
              <w:widowControl/>
              <w:numPr>
                <w:ilvl w:val="0"/>
                <w:numId w:val="0"/>
              </w:numPr>
              <w:suppressLineNumbers w:val="0"/>
              <w:ind w:leftChars="0"/>
              <w:jc w:val="left"/>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 核心技术人员在岗3年 10分</w:t>
            </w:r>
          </w:p>
        </w:tc>
        <w:tc>
          <w:tcPr>
            <w:tcW w:w="1788" w:type="dxa"/>
            <w:tcBorders>
              <w:top w:val="single" w:color="000000" w:sz="4" w:space="0"/>
              <w:left w:val="single" w:color="auto" w:sz="4" w:space="0"/>
              <w:bottom w:val="single" w:color="auto" w:sz="4" w:space="0"/>
              <w:right w:val="single" w:color="auto" w:sz="4" w:space="0"/>
            </w:tcBorders>
            <w:shd w:val="clear" w:color="auto" w:fill="auto"/>
            <w:vAlign w:val="center"/>
          </w:tcPr>
          <w:p w14:paraId="520002E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查阅培训计划记录</w:t>
            </w:r>
          </w:p>
          <w:p w14:paraId="34785401">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现场抽查上岗证</w:t>
            </w:r>
          </w:p>
        </w:tc>
        <w:tc>
          <w:tcPr>
            <w:tcW w:w="962" w:type="dxa"/>
            <w:tcBorders>
              <w:top w:val="single" w:color="000000" w:sz="4" w:space="0"/>
              <w:left w:val="single" w:color="auto" w:sz="4" w:space="0"/>
              <w:bottom w:val="single" w:color="000000" w:sz="4" w:space="0"/>
              <w:right w:val="single" w:color="000000" w:sz="4" w:space="0"/>
            </w:tcBorders>
            <w:shd w:val="clear" w:color="auto" w:fill="auto"/>
            <w:vAlign w:val="center"/>
          </w:tcPr>
          <w:p w14:paraId="4B99A8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□不符</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A55E3">
            <w:pPr>
              <w:rPr>
                <w:rFonts w:hint="eastAsia" w:ascii="宋体" w:hAnsi="宋体" w:eastAsia="宋体" w:cs="宋体"/>
                <w:i w:val="0"/>
                <w:iCs w:val="0"/>
                <w:color w:val="000000"/>
                <w:sz w:val="21"/>
                <w:szCs w:val="21"/>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A9ED6">
            <w:pPr>
              <w:rPr>
                <w:rFonts w:hint="eastAsia" w:ascii="宋体" w:hAnsi="宋体" w:eastAsia="宋体" w:cs="宋体"/>
                <w:i w:val="0"/>
                <w:iCs w:val="0"/>
                <w:color w:val="000000"/>
                <w:sz w:val="21"/>
                <w:szCs w:val="21"/>
                <w:u w:val="none"/>
              </w:rPr>
            </w:pPr>
          </w:p>
        </w:tc>
      </w:tr>
      <w:tr w14:paraId="620B9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A24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5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2B6D9F5">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检测设备 (80分）</w:t>
            </w:r>
          </w:p>
        </w:tc>
      </w:tr>
      <w:tr w14:paraId="00078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0" w:hRule="atLeast"/>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D80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C0E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设备配置</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246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244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3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E7E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拥有满足标准定量设备（20分）；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关键设备（ICP/GC-MS等）不少于2台套（20分）。</w:t>
            </w:r>
          </w:p>
        </w:tc>
        <w:tc>
          <w:tcPr>
            <w:tcW w:w="1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5F7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查阅台账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采购合同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现场核实</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1D8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□不符</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1DCDD">
            <w:pPr>
              <w:rPr>
                <w:rFonts w:hint="eastAsia" w:ascii="宋体" w:hAnsi="宋体" w:eastAsia="宋体" w:cs="宋体"/>
                <w:i w:val="0"/>
                <w:iCs w:val="0"/>
                <w:color w:val="000000"/>
                <w:sz w:val="21"/>
                <w:szCs w:val="21"/>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C6243">
            <w:pPr>
              <w:rPr>
                <w:rFonts w:hint="eastAsia" w:ascii="宋体" w:hAnsi="宋体" w:eastAsia="宋体" w:cs="宋体"/>
                <w:i w:val="0"/>
                <w:iCs w:val="0"/>
                <w:color w:val="000000"/>
                <w:sz w:val="21"/>
                <w:szCs w:val="21"/>
                <w:u w:val="none"/>
              </w:rPr>
            </w:pPr>
          </w:p>
        </w:tc>
      </w:tr>
      <w:tr w14:paraId="6B2B8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126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C5F3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管理与维护</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8BB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4.3.3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5D1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3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005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校准计划执行率100%，证书有效（20分）；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状态标识清晰（三色标），“一机一档”管理规范（20分）。</w:t>
            </w:r>
          </w:p>
        </w:tc>
        <w:tc>
          <w:tcPr>
            <w:tcW w:w="1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D8A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查阅校准证书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维护记录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现场查看标识</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E14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□不符</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E4735">
            <w:pPr>
              <w:rPr>
                <w:rFonts w:hint="eastAsia" w:ascii="宋体" w:hAnsi="宋体" w:eastAsia="宋体" w:cs="宋体"/>
                <w:i w:val="0"/>
                <w:iCs w:val="0"/>
                <w:color w:val="000000"/>
                <w:sz w:val="21"/>
                <w:szCs w:val="21"/>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5E74F">
            <w:pPr>
              <w:rPr>
                <w:rFonts w:hint="eastAsia" w:ascii="宋体" w:hAnsi="宋体" w:eastAsia="宋体" w:cs="宋体"/>
                <w:i w:val="0"/>
                <w:iCs w:val="0"/>
                <w:color w:val="000000"/>
                <w:sz w:val="21"/>
                <w:szCs w:val="21"/>
                <w:u w:val="none"/>
              </w:rPr>
            </w:pPr>
          </w:p>
        </w:tc>
      </w:tr>
      <w:tr w14:paraId="24336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1B2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05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63A5EA3">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物料管理 (70分）</w:t>
            </w:r>
          </w:p>
        </w:tc>
      </w:tr>
      <w:tr w14:paraId="139D7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575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D90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样品管理</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F19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371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3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06F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建立唯一性标识制度，流转全过程（接收－流转－留样－处置）可追溯，无混淆风险。（30分）</w:t>
            </w:r>
          </w:p>
        </w:tc>
        <w:tc>
          <w:tcPr>
            <w:tcW w:w="1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5C79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查阅程序文件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流转单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现场追踪样品</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88A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□不符</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44BDE">
            <w:pPr>
              <w:rPr>
                <w:rFonts w:hint="eastAsia" w:ascii="宋体" w:hAnsi="宋体" w:eastAsia="宋体" w:cs="宋体"/>
                <w:i w:val="0"/>
                <w:iCs w:val="0"/>
                <w:color w:val="000000"/>
                <w:sz w:val="21"/>
                <w:szCs w:val="21"/>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9FC05">
            <w:pPr>
              <w:rPr>
                <w:rFonts w:hint="eastAsia" w:ascii="宋体" w:hAnsi="宋体" w:eastAsia="宋体" w:cs="宋体"/>
                <w:i w:val="0"/>
                <w:iCs w:val="0"/>
                <w:color w:val="000000"/>
                <w:sz w:val="21"/>
                <w:szCs w:val="21"/>
                <w:u w:val="none"/>
              </w:rPr>
            </w:pPr>
          </w:p>
        </w:tc>
      </w:tr>
      <w:tr w14:paraId="6DAAB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327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21A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试剂与耗材</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027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4.4.3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0CF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3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61D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剧毒/易制毒化学品实行“双人双锁”管理（20分）；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试剂耗材有效期管理规范，有过期的隔离处理记录（20分）。</w:t>
            </w:r>
          </w:p>
        </w:tc>
        <w:tc>
          <w:tcPr>
            <w:tcW w:w="1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09CF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现场查看危险品库</w:t>
            </w:r>
          </w:p>
          <w:p w14:paraId="6204E1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查阅台账及MSDS</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A51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□不符</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517DD">
            <w:pPr>
              <w:rPr>
                <w:rFonts w:hint="eastAsia" w:ascii="宋体" w:hAnsi="宋体" w:eastAsia="宋体" w:cs="宋体"/>
                <w:i w:val="0"/>
                <w:iCs w:val="0"/>
                <w:color w:val="000000"/>
                <w:sz w:val="21"/>
                <w:szCs w:val="21"/>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7C7C8">
            <w:pPr>
              <w:rPr>
                <w:rFonts w:hint="eastAsia" w:ascii="宋体" w:hAnsi="宋体" w:eastAsia="宋体" w:cs="宋体"/>
                <w:i w:val="0"/>
                <w:iCs w:val="0"/>
                <w:color w:val="000000"/>
                <w:sz w:val="21"/>
                <w:szCs w:val="21"/>
                <w:u w:val="none"/>
              </w:rPr>
            </w:pPr>
          </w:p>
        </w:tc>
      </w:tr>
      <w:tr w14:paraId="5BE3B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BE7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05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8030C4D">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方法与文件 (70分）</w:t>
            </w:r>
          </w:p>
        </w:tc>
      </w:tr>
      <w:tr w14:paraId="1A445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83E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66B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方法验证</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DD2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E8B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3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67A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标准方法查新及时，使用现行有效版本（20分）；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非标/变更方法有完整验证报告（含精密度/准确度/检出限等）（20分）。</w:t>
            </w:r>
          </w:p>
        </w:tc>
        <w:tc>
          <w:tcPr>
            <w:tcW w:w="1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0CD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查阅查询记录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验证报告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作业指导书</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B4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□不符</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B189A">
            <w:pPr>
              <w:rPr>
                <w:rFonts w:hint="eastAsia" w:ascii="宋体" w:hAnsi="宋体" w:eastAsia="宋体" w:cs="宋体"/>
                <w:i w:val="0"/>
                <w:iCs w:val="0"/>
                <w:color w:val="000000"/>
                <w:sz w:val="21"/>
                <w:szCs w:val="21"/>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9387C">
            <w:pPr>
              <w:rPr>
                <w:rFonts w:hint="eastAsia" w:ascii="宋体" w:hAnsi="宋体" w:eastAsia="宋体" w:cs="宋体"/>
                <w:i w:val="0"/>
                <w:iCs w:val="0"/>
                <w:color w:val="000000"/>
                <w:sz w:val="21"/>
                <w:szCs w:val="21"/>
                <w:u w:val="none"/>
              </w:rPr>
            </w:pPr>
          </w:p>
        </w:tc>
      </w:tr>
      <w:tr w14:paraId="33EB3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9EA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B46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文件与记录</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2BD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4.5.3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65A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3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4F9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体系文件受控；原始记录信息完整（含环境、设备、人员、计算过程），可追溯。（30分）</w:t>
            </w:r>
          </w:p>
        </w:tc>
        <w:tc>
          <w:tcPr>
            <w:tcW w:w="1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FE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查阅受控清单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发放记录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抽查档案</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FAB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□不符</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9668D">
            <w:pPr>
              <w:rPr>
                <w:rFonts w:hint="eastAsia" w:ascii="宋体" w:hAnsi="宋体" w:eastAsia="宋体" w:cs="宋体"/>
                <w:i w:val="0"/>
                <w:iCs w:val="0"/>
                <w:color w:val="000000"/>
                <w:sz w:val="21"/>
                <w:szCs w:val="21"/>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E98F8">
            <w:pPr>
              <w:rPr>
                <w:rFonts w:hint="eastAsia" w:ascii="宋体" w:hAnsi="宋体" w:eastAsia="宋体" w:cs="宋体"/>
                <w:i w:val="0"/>
                <w:iCs w:val="0"/>
                <w:color w:val="000000"/>
                <w:sz w:val="21"/>
                <w:szCs w:val="21"/>
                <w:u w:val="none"/>
              </w:rPr>
            </w:pPr>
          </w:p>
        </w:tc>
      </w:tr>
      <w:tr w14:paraId="11A60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97A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05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FD2F24F">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环境与设施 (70分）</w:t>
            </w:r>
          </w:p>
        </w:tc>
      </w:tr>
      <w:tr w14:paraId="6AB41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4EA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7B2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环境监控</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DB9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138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3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89D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温湿度监控记录完整连续（20分）；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功能分区合理（前处理/仪器室分开），互不干扰（20分）。</w:t>
            </w:r>
          </w:p>
        </w:tc>
        <w:tc>
          <w:tcPr>
            <w:tcW w:w="1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712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查阅监控记录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现场查看布局</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191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□不符</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16326">
            <w:pPr>
              <w:rPr>
                <w:rFonts w:hint="eastAsia" w:ascii="宋体" w:hAnsi="宋体" w:eastAsia="宋体" w:cs="宋体"/>
                <w:i w:val="0"/>
                <w:iCs w:val="0"/>
                <w:color w:val="000000"/>
                <w:sz w:val="21"/>
                <w:szCs w:val="21"/>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7E71E">
            <w:pPr>
              <w:rPr>
                <w:rFonts w:hint="eastAsia" w:ascii="宋体" w:hAnsi="宋体" w:eastAsia="宋体" w:cs="宋体"/>
                <w:i w:val="0"/>
                <w:iCs w:val="0"/>
                <w:color w:val="000000"/>
                <w:sz w:val="21"/>
                <w:szCs w:val="21"/>
                <w:u w:val="none"/>
              </w:rPr>
            </w:pPr>
          </w:p>
        </w:tc>
      </w:tr>
      <w:tr w14:paraId="0A50C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F4E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752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环保与安全</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F3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4.6.3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F73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3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04BF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三废处置合规，有第三方检测报告（15分）；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配备洗眼器、通风橱且运行正常，有应急演练记录（15分）。</w:t>
            </w:r>
          </w:p>
        </w:tc>
        <w:tc>
          <w:tcPr>
            <w:tcW w:w="1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44B0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查阅三废合同/报告</w:t>
            </w:r>
          </w:p>
          <w:p w14:paraId="09E33F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现场测试设施</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69C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□不符</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AD9F5">
            <w:pPr>
              <w:rPr>
                <w:rFonts w:hint="eastAsia" w:ascii="宋体" w:hAnsi="宋体" w:eastAsia="宋体" w:cs="宋体"/>
                <w:i w:val="0"/>
                <w:iCs w:val="0"/>
                <w:color w:val="000000"/>
                <w:sz w:val="21"/>
                <w:szCs w:val="21"/>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97EA2">
            <w:pPr>
              <w:rPr>
                <w:rFonts w:hint="eastAsia" w:ascii="宋体" w:hAnsi="宋体" w:eastAsia="宋体" w:cs="宋体"/>
                <w:i w:val="0"/>
                <w:iCs w:val="0"/>
                <w:color w:val="000000"/>
                <w:sz w:val="21"/>
                <w:szCs w:val="21"/>
                <w:u w:val="none"/>
              </w:rPr>
            </w:pPr>
          </w:p>
        </w:tc>
      </w:tr>
      <w:tr w14:paraId="2D12F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671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05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60A1678">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检测过程控制 (110分）</w:t>
            </w:r>
          </w:p>
        </w:tc>
      </w:tr>
      <w:tr w14:paraId="08AD9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7918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9B9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质量控制</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FA0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88D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3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396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定期开展空白、平行、加标，有异常处理记录（30分）；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每年参加能力验证且结果满意（30分）。</w:t>
            </w:r>
          </w:p>
        </w:tc>
        <w:tc>
          <w:tcPr>
            <w:tcW w:w="1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A97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查阅质控图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PT报告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质控总结</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8EF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□不符</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11FD3">
            <w:pPr>
              <w:rPr>
                <w:rFonts w:hint="eastAsia" w:ascii="宋体" w:hAnsi="宋体" w:eastAsia="宋体" w:cs="宋体"/>
                <w:i w:val="0"/>
                <w:iCs w:val="0"/>
                <w:color w:val="000000"/>
                <w:sz w:val="21"/>
                <w:szCs w:val="21"/>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CAFEB">
            <w:pPr>
              <w:rPr>
                <w:rFonts w:hint="eastAsia" w:ascii="宋体" w:hAnsi="宋体" w:eastAsia="宋体" w:cs="宋体"/>
                <w:i w:val="0"/>
                <w:iCs w:val="0"/>
                <w:color w:val="000000"/>
                <w:sz w:val="21"/>
                <w:szCs w:val="21"/>
                <w:u w:val="none"/>
              </w:rPr>
            </w:pPr>
          </w:p>
        </w:tc>
      </w:tr>
      <w:tr w14:paraId="48F6A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287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22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报告质量</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F76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D39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3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86A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报告信息齐全、结论准确（20分）；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报告与原始记录可全链条追溯（30分）。</w:t>
            </w:r>
          </w:p>
        </w:tc>
        <w:tc>
          <w:tcPr>
            <w:tcW w:w="1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2CE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抽查典型报告及对应原始记录</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C10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□不符</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525C2">
            <w:pPr>
              <w:rPr>
                <w:rFonts w:hint="eastAsia" w:ascii="宋体" w:hAnsi="宋体" w:eastAsia="宋体" w:cs="宋体"/>
                <w:i w:val="0"/>
                <w:iCs w:val="0"/>
                <w:color w:val="000000"/>
                <w:sz w:val="21"/>
                <w:szCs w:val="21"/>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5FBE8">
            <w:pPr>
              <w:rPr>
                <w:rFonts w:hint="eastAsia" w:ascii="宋体" w:hAnsi="宋体" w:eastAsia="宋体" w:cs="宋体"/>
                <w:i w:val="0"/>
                <w:iCs w:val="0"/>
                <w:color w:val="000000"/>
                <w:sz w:val="21"/>
                <w:szCs w:val="21"/>
                <w:u w:val="none"/>
              </w:rPr>
            </w:pPr>
          </w:p>
        </w:tc>
      </w:tr>
      <w:tr w14:paraId="0099B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C18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05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159D6F5">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风险与体系 (100分）</w:t>
            </w:r>
          </w:p>
        </w:tc>
      </w:tr>
      <w:tr w14:paraId="42B08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8BA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6D0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体系运行</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20A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6DE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3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1A4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内审与管理评审按计划实施，资料全套（计划/检查表/报告），不符合项完成闭环。（40分）</w:t>
            </w:r>
          </w:p>
        </w:tc>
        <w:tc>
          <w:tcPr>
            <w:tcW w:w="1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115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查阅内审管评全套资料</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781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□不符</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A97E4">
            <w:pPr>
              <w:rPr>
                <w:rFonts w:hint="eastAsia" w:ascii="宋体" w:hAnsi="宋体" w:eastAsia="宋体" w:cs="宋体"/>
                <w:i w:val="0"/>
                <w:iCs w:val="0"/>
                <w:color w:val="000000"/>
                <w:sz w:val="21"/>
                <w:szCs w:val="21"/>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20BEA">
            <w:pPr>
              <w:rPr>
                <w:rFonts w:hint="eastAsia" w:ascii="宋体" w:hAnsi="宋体" w:eastAsia="宋体" w:cs="宋体"/>
                <w:i w:val="0"/>
                <w:iCs w:val="0"/>
                <w:color w:val="000000"/>
                <w:sz w:val="21"/>
                <w:szCs w:val="21"/>
                <w:u w:val="none"/>
              </w:rPr>
            </w:pPr>
          </w:p>
        </w:tc>
      </w:tr>
      <w:tr w14:paraId="130CA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B1C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196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风险管控</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DF7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4.8.3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1D7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3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B98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识别公正性/安全/质量风险；建立HSPM相关程序及管控流程。（30分）</w:t>
            </w:r>
          </w:p>
        </w:tc>
        <w:tc>
          <w:tcPr>
            <w:tcW w:w="1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D483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查阅风险评估表</w:t>
            </w:r>
          </w:p>
          <w:p w14:paraId="22FE95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HSPM文件</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AEC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□不符</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76504">
            <w:pPr>
              <w:rPr>
                <w:rFonts w:hint="eastAsia" w:ascii="宋体" w:hAnsi="宋体" w:eastAsia="宋体" w:cs="宋体"/>
                <w:i w:val="0"/>
                <w:iCs w:val="0"/>
                <w:color w:val="000000"/>
                <w:sz w:val="21"/>
                <w:szCs w:val="21"/>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723AD">
            <w:pPr>
              <w:rPr>
                <w:rFonts w:hint="eastAsia" w:ascii="宋体" w:hAnsi="宋体" w:eastAsia="宋体" w:cs="宋体"/>
                <w:i w:val="0"/>
                <w:iCs w:val="0"/>
                <w:color w:val="000000"/>
                <w:sz w:val="21"/>
                <w:szCs w:val="21"/>
                <w:u w:val="none"/>
              </w:rPr>
            </w:pPr>
          </w:p>
        </w:tc>
      </w:tr>
      <w:tr w14:paraId="1E2E5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374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461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数据安全</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0F8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521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3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D69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建立信息安全制度，有数据备份记录，权限管理规范。（30分）</w:t>
            </w:r>
          </w:p>
        </w:tc>
        <w:tc>
          <w:tcPr>
            <w:tcW w:w="1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401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查阅制度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备份日志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系统演示</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919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□不符</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CAB58">
            <w:pPr>
              <w:rPr>
                <w:rFonts w:hint="eastAsia" w:ascii="宋体" w:hAnsi="宋体" w:eastAsia="宋体" w:cs="宋体"/>
                <w:i w:val="0"/>
                <w:iCs w:val="0"/>
                <w:color w:val="000000"/>
                <w:sz w:val="21"/>
                <w:szCs w:val="21"/>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681B7">
            <w:pPr>
              <w:rPr>
                <w:rFonts w:hint="eastAsia" w:ascii="宋体" w:hAnsi="宋体" w:eastAsia="宋体" w:cs="宋体"/>
                <w:i w:val="0"/>
                <w:iCs w:val="0"/>
                <w:color w:val="000000"/>
                <w:sz w:val="21"/>
                <w:szCs w:val="21"/>
                <w:u w:val="none"/>
              </w:rPr>
            </w:pPr>
          </w:p>
        </w:tc>
      </w:tr>
      <w:tr w14:paraId="3106A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81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3C370CC">
            <w:pPr>
              <w:keepNext w:val="0"/>
              <w:keepLines w:val="0"/>
              <w:widowControl/>
              <w:suppressLineNumbers w:val="0"/>
              <w:jc w:val="right"/>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基础项得分小计</w:t>
            </w:r>
          </w:p>
        </w:tc>
        <w:tc>
          <w:tcPr>
            <w:tcW w:w="24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9B2A12">
            <w:pPr>
              <w:rPr>
                <w:rFonts w:hint="eastAsia" w:ascii="宋体" w:hAnsi="宋体" w:eastAsia="宋体" w:cs="宋体"/>
                <w:i w:val="0"/>
                <w:iCs w:val="0"/>
                <w:color w:val="000000"/>
                <w:sz w:val="21"/>
                <w:szCs w:val="21"/>
                <w:u w:val="none"/>
              </w:rPr>
            </w:pPr>
            <w:r>
              <w:rPr>
                <w:rFonts w:hint="eastAsia" w:ascii="微软雅黑" w:hAnsi="微软雅黑" w:eastAsia="微软雅黑" w:cs="微软雅黑"/>
                <w:b/>
                <w:bCs/>
                <w:i w:val="0"/>
                <w:iCs w:val="0"/>
                <w:color w:val="000000"/>
                <w:kern w:val="0"/>
                <w:sz w:val="22"/>
                <w:szCs w:val="22"/>
                <w:u w:val="none"/>
                <w:lang w:val="en-US" w:eastAsia="zh-CN" w:bidi="ar"/>
              </w:rPr>
              <w:t>______ / 650</w:t>
            </w:r>
          </w:p>
        </w:tc>
      </w:tr>
    </w:tbl>
    <w:p w14:paraId="3B140E05">
      <w:pPr>
        <w:jc w:val="left"/>
        <w:rPr>
          <w:rFonts w:hint="eastAsia" w:ascii="黑体" w:hAnsi="黑体" w:eastAsia="黑体" w:cs="黑体"/>
          <w:b/>
          <w:bCs/>
          <w:sz w:val="21"/>
          <w:szCs w:val="21"/>
        </w:rPr>
      </w:pPr>
    </w:p>
    <w:tbl>
      <w:tblPr>
        <w:tblStyle w:val="15"/>
        <w:tblW w:w="11250" w:type="dxa"/>
        <w:tblInd w:w="-70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7"/>
        <w:gridCol w:w="1575"/>
        <w:gridCol w:w="850"/>
        <w:gridCol w:w="563"/>
        <w:gridCol w:w="3381"/>
        <w:gridCol w:w="1787"/>
        <w:gridCol w:w="975"/>
        <w:gridCol w:w="727"/>
        <w:gridCol w:w="705"/>
      </w:tblGrid>
      <w:tr w14:paraId="0BFD5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1250" w:type="dxa"/>
            <w:gridSpan w:val="9"/>
            <w:tcBorders>
              <w:top w:val="nil"/>
              <w:left w:val="nil"/>
              <w:bottom w:val="single" w:color="auto" w:sz="4" w:space="0"/>
              <w:right w:val="nil"/>
            </w:tcBorders>
            <w:shd w:val="clear" w:color="auto" w:fill="auto"/>
            <w:vAlign w:val="center"/>
          </w:tcPr>
          <w:p w14:paraId="65F391E0">
            <w:pPr>
              <w:keepNext w:val="0"/>
              <w:keepLines w:val="0"/>
              <w:widowControl/>
              <w:suppressLineNumbers w:val="0"/>
              <w:jc w:val="left"/>
              <w:textAlignment w:val="center"/>
              <w:rPr>
                <w:rFonts w:ascii="Arial" w:hAnsi="Arial" w:eastAsia="宋体" w:cs="Arial"/>
                <w:b/>
                <w:bCs/>
                <w:i w:val="0"/>
                <w:iCs w:val="0"/>
                <w:color w:val="000000"/>
                <w:sz w:val="21"/>
                <w:szCs w:val="21"/>
                <w:u w:val="none"/>
              </w:rPr>
            </w:pPr>
            <w:r>
              <w:rPr>
                <w:rFonts w:hint="default" w:ascii="微软雅黑" w:hAnsi="微软雅黑" w:eastAsia="微软雅黑" w:cs="微软雅黑"/>
                <w:b/>
                <w:bCs/>
                <w:i w:val="0"/>
                <w:iCs w:val="0"/>
                <w:color w:val="000000"/>
                <w:kern w:val="0"/>
                <w:sz w:val="22"/>
                <w:szCs w:val="22"/>
                <w:u w:val="none"/>
                <w:lang w:val="en-US" w:eastAsia="zh-CN" w:bidi="ar"/>
              </w:rPr>
              <w:t xml:space="preserve">C.2 </w:t>
            </w:r>
            <w:r>
              <w:rPr>
                <w:rFonts w:hint="eastAsia" w:ascii="微软雅黑" w:hAnsi="微软雅黑" w:eastAsia="微软雅黑" w:cs="微软雅黑"/>
                <w:b/>
                <w:bCs/>
                <w:i w:val="0"/>
                <w:iCs w:val="0"/>
                <w:color w:val="000000"/>
                <w:kern w:val="0"/>
                <w:sz w:val="22"/>
                <w:szCs w:val="22"/>
                <w:u w:val="none"/>
                <w:lang w:val="en-US" w:eastAsia="zh-CN" w:bidi="ar"/>
              </w:rPr>
              <w:t>创新项核查（满分</w:t>
            </w:r>
            <w:r>
              <w:rPr>
                <w:rFonts w:hint="default" w:ascii="微软雅黑" w:hAnsi="微软雅黑" w:eastAsia="微软雅黑" w:cs="微软雅黑"/>
                <w:b/>
                <w:bCs/>
                <w:i w:val="0"/>
                <w:iCs w:val="0"/>
                <w:color w:val="000000"/>
                <w:kern w:val="0"/>
                <w:sz w:val="22"/>
                <w:szCs w:val="22"/>
                <w:u w:val="none"/>
                <w:lang w:val="en-US" w:eastAsia="zh-CN" w:bidi="ar"/>
              </w:rPr>
              <w:t>250</w:t>
            </w:r>
            <w:r>
              <w:rPr>
                <w:rFonts w:hint="eastAsia" w:ascii="微软雅黑" w:hAnsi="微软雅黑" w:eastAsia="微软雅黑" w:cs="微软雅黑"/>
                <w:b/>
                <w:bCs/>
                <w:i w:val="0"/>
                <w:iCs w:val="0"/>
                <w:color w:val="000000"/>
                <w:kern w:val="0"/>
                <w:sz w:val="22"/>
                <w:szCs w:val="22"/>
                <w:u w:val="none"/>
                <w:lang w:val="en-US" w:eastAsia="zh-CN" w:bidi="ar"/>
              </w:rPr>
              <w:t>分）</w:t>
            </w:r>
          </w:p>
        </w:tc>
      </w:tr>
      <w:tr w14:paraId="643E6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6E762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E8594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评价指标</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39C069">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对应</w:t>
            </w:r>
          </w:p>
          <w:p w14:paraId="4974A16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条款</w:t>
            </w:r>
          </w:p>
        </w:tc>
        <w:tc>
          <w:tcPr>
            <w:tcW w:w="5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D59FC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标准分值</w:t>
            </w:r>
          </w:p>
        </w:tc>
        <w:tc>
          <w:tcPr>
            <w:tcW w:w="3381" w:type="dxa"/>
            <w:tcBorders>
              <w:top w:val="single" w:color="auto" w:sz="4" w:space="0"/>
              <w:left w:val="single" w:color="auto" w:sz="4" w:space="0"/>
              <w:bottom w:val="single" w:color="auto" w:sz="4" w:space="0"/>
              <w:right w:val="single" w:color="auto" w:sz="4" w:space="0"/>
            </w:tcBorders>
            <w:shd w:val="clear" w:color="auto" w:fill="auto"/>
            <w:vAlign w:val="center"/>
          </w:tcPr>
          <w:p w14:paraId="224C241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核查要点及评分依据 （基于附录B）</w:t>
            </w:r>
          </w:p>
        </w:tc>
        <w:tc>
          <w:tcPr>
            <w:tcW w:w="17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2DB0B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核查方式</w:t>
            </w:r>
          </w:p>
        </w:tc>
        <w:tc>
          <w:tcPr>
            <w:tcW w:w="9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10F841">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判定</w:t>
            </w:r>
          </w:p>
          <w:p w14:paraId="694998B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结果</w:t>
            </w:r>
          </w:p>
        </w:tc>
        <w:tc>
          <w:tcPr>
            <w:tcW w:w="7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1C74D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得分</w:t>
            </w:r>
          </w:p>
        </w:tc>
        <w:tc>
          <w:tcPr>
            <w:tcW w:w="7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807F3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w:t>
            </w:r>
          </w:p>
        </w:tc>
      </w:tr>
      <w:tr w14:paraId="224AF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6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E0BF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0563" w:type="dxa"/>
            <w:gridSpan w:val="8"/>
            <w:tcBorders>
              <w:top w:val="single" w:color="auto" w:sz="4" w:space="0"/>
              <w:left w:val="single" w:color="auto" w:sz="4" w:space="0"/>
              <w:bottom w:val="single" w:color="auto" w:sz="4" w:space="0"/>
              <w:right w:val="single" w:color="auto" w:sz="4" w:space="0"/>
            </w:tcBorders>
            <w:shd w:val="clear" w:color="auto" w:fill="auto"/>
            <w:noWrap/>
            <w:vAlign w:val="center"/>
          </w:tcPr>
          <w:p w14:paraId="6030E9BF">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技术创新能力（100分）</w:t>
            </w:r>
          </w:p>
        </w:tc>
      </w:tr>
      <w:tr w14:paraId="71F78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6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8DE0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w:t>
            </w:r>
          </w:p>
        </w:tc>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740F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自主研发</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911F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4.9.1</w:t>
            </w:r>
          </w:p>
        </w:tc>
        <w:tc>
          <w:tcPr>
            <w:tcW w:w="5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692E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3381" w:type="dxa"/>
            <w:tcBorders>
              <w:top w:val="single" w:color="auto" w:sz="4" w:space="0"/>
              <w:left w:val="single" w:color="auto" w:sz="4" w:space="0"/>
              <w:bottom w:val="single" w:color="auto" w:sz="4" w:space="0"/>
              <w:right w:val="single" w:color="auto" w:sz="4" w:space="0"/>
            </w:tcBorders>
            <w:shd w:val="clear" w:color="auto" w:fill="auto"/>
            <w:vAlign w:val="center"/>
          </w:tcPr>
          <w:p w14:paraId="77FA7A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拥有授权专利、软著、SCI/EI论文或自研工装设备。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（每项5分，满分30）</w:t>
            </w:r>
          </w:p>
        </w:tc>
        <w:tc>
          <w:tcPr>
            <w:tcW w:w="17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CF2F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查原件/报告</w:t>
            </w:r>
          </w:p>
        </w:tc>
        <w:tc>
          <w:tcPr>
            <w:tcW w:w="9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E7B5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□不符</w:t>
            </w:r>
          </w:p>
        </w:tc>
        <w:tc>
          <w:tcPr>
            <w:tcW w:w="7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6CE649">
            <w:pPr>
              <w:rPr>
                <w:rFonts w:hint="eastAsia" w:ascii="宋体" w:hAnsi="宋体" w:eastAsia="宋体" w:cs="宋体"/>
                <w:i w:val="0"/>
                <w:iCs w:val="0"/>
                <w:color w:val="000000"/>
                <w:sz w:val="21"/>
                <w:szCs w:val="21"/>
                <w:u w:val="none"/>
              </w:rPr>
            </w:pPr>
          </w:p>
        </w:tc>
        <w:tc>
          <w:tcPr>
            <w:tcW w:w="7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87F91B">
            <w:pPr>
              <w:rPr>
                <w:rFonts w:hint="eastAsia" w:ascii="宋体" w:hAnsi="宋体" w:eastAsia="宋体" w:cs="宋体"/>
                <w:i w:val="0"/>
                <w:iCs w:val="0"/>
                <w:color w:val="000000"/>
                <w:sz w:val="21"/>
                <w:szCs w:val="21"/>
                <w:u w:val="none"/>
              </w:rPr>
            </w:pPr>
          </w:p>
        </w:tc>
      </w:tr>
      <w:tr w14:paraId="49952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6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6A79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B214D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标准制定</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4996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4.9.2</w:t>
            </w:r>
          </w:p>
        </w:tc>
        <w:tc>
          <w:tcPr>
            <w:tcW w:w="5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6A32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3381" w:type="dxa"/>
            <w:tcBorders>
              <w:top w:val="single" w:color="auto" w:sz="4" w:space="0"/>
              <w:left w:val="single" w:color="auto" w:sz="4" w:space="0"/>
              <w:bottom w:val="single" w:color="auto" w:sz="4" w:space="0"/>
              <w:right w:val="single" w:color="auto" w:sz="4" w:space="0"/>
            </w:tcBorders>
            <w:shd w:val="clear" w:color="auto" w:fill="auto"/>
            <w:vAlign w:val="center"/>
          </w:tcPr>
          <w:p w14:paraId="58D706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主导/参与国际、国家、行业、团体标准制定。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（主导国标5分/项，满分20）</w:t>
            </w:r>
          </w:p>
        </w:tc>
        <w:tc>
          <w:tcPr>
            <w:tcW w:w="17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E544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查标准文本</w:t>
            </w:r>
          </w:p>
        </w:tc>
        <w:tc>
          <w:tcPr>
            <w:tcW w:w="9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35DC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□不符</w:t>
            </w:r>
          </w:p>
        </w:tc>
        <w:tc>
          <w:tcPr>
            <w:tcW w:w="7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04FCEA">
            <w:pPr>
              <w:rPr>
                <w:rFonts w:hint="eastAsia" w:ascii="宋体" w:hAnsi="宋体" w:eastAsia="宋体" w:cs="宋体"/>
                <w:i w:val="0"/>
                <w:iCs w:val="0"/>
                <w:color w:val="000000"/>
                <w:sz w:val="21"/>
                <w:szCs w:val="21"/>
                <w:u w:val="none"/>
              </w:rPr>
            </w:pPr>
          </w:p>
        </w:tc>
        <w:tc>
          <w:tcPr>
            <w:tcW w:w="7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D01D92">
            <w:pPr>
              <w:rPr>
                <w:rFonts w:hint="eastAsia" w:ascii="宋体" w:hAnsi="宋体" w:eastAsia="宋体" w:cs="宋体"/>
                <w:i w:val="0"/>
                <w:iCs w:val="0"/>
                <w:color w:val="000000"/>
                <w:sz w:val="21"/>
                <w:szCs w:val="21"/>
                <w:u w:val="none"/>
              </w:rPr>
            </w:pPr>
          </w:p>
        </w:tc>
      </w:tr>
      <w:tr w14:paraId="55167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5C32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w:t>
            </w:r>
          </w:p>
        </w:tc>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BBF2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未知物鉴定</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8D58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4.9.3</w:t>
            </w:r>
          </w:p>
        </w:tc>
        <w:tc>
          <w:tcPr>
            <w:tcW w:w="5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AF8D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3381" w:type="dxa"/>
            <w:tcBorders>
              <w:top w:val="single" w:color="auto" w:sz="4" w:space="0"/>
              <w:left w:val="single" w:color="auto" w:sz="4" w:space="0"/>
              <w:bottom w:val="single" w:color="auto" w:sz="4" w:space="0"/>
              <w:right w:val="single" w:color="auto" w:sz="4" w:space="0"/>
            </w:tcBorders>
            <w:shd w:val="clear" w:color="auto" w:fill="auto"/>
            <w:vAlign w:val="center"/>
          </w:tcPr>
          <w:p w14:paraId="588469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具备复杂样品非靶向未知物鉴定、分析和溯源能力。</w:t>
            </w:r>
          </w:p>
        </w:tc>
        <w:tc>
          <w:tcPr>
            <w:tcW w:w="17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BB34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查案例报告</w:t>
            </w:r>
          </w:p>
        </w:tc>
        <w:tc>
          <w:tcPr>
            <w:tcW w:w="9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8178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□不符</w:t>
            </w:r>
          </w:p>
        </w:tc>
        <w:tc>
          <w:tcPr>
            <w:tcW w:w="7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335098">
            <w:pPr>
              <w:rPr>
                <w:rFonts w:hint="eastAsia" w:ascii="宋体" w:hAnsi="宋体" w:eastAsia="宋体" w:cs="宋体"/>
                <w:i w:val="0"/>
                <w:iCs w:val="0"/>
                <w:color w:val="000000"/>
                <w:sz w:val="21"/>
                <w:szCs w:val="21"/>
                <w:u w:val="none"/>
              </w:rPr>
            </w:pPr>
          </w:p>
        </w:tc>
        <w:tc>
          <w:tcPr>
            <w:tcW w:w="7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53CA1F">
            <w:pPr>
              <w:rPr>
                <w:rFonts w:hint="eastAsia" w:ascii="宋体" w:hAnsi="宋体" w:eastAsia="宋体" w:cs="宋体"/>
                <w:i w:val="0"/>
                <w:iCs w:val="0"/>
                <w:color w:val="000000"/>
                <w:sz w:val="21"/>
                <w:szCs w:val="21"/>
                <w:u w:val="none"/>
              </w:rPr>
            </w:pPr>
          </w:p>
        </w:tc>
      </w:tr>
      <w:tr w14:paraId="10D11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5793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9.4</w:t>
            </w:r>
          </w:p>
        </w:tc>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CA78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新兴污染物</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7C06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4.9.3</w:t>
            </w:r>
          </w:p>
        </w:tc>
        <w:tc>
          <w:tcPr>
            <w:tcW w:w="5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F14C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3381" w:type="dxa"/>
            <w:tcBorders>
              <w:top w:val="single" w:color="auto" w:sz="4" w:space="0"/>
              <w:left w:val="single" w:color="auto" w:sz="4" w:space="0"/>
              <w:bottom w:val="single" w:color="auto" w:sz="4" w:space="0"/>
              <w:right w:val="single" w:color="auto" w:sz="4" w:space="0"/>
            </w:tcBorders>
            <w:shd w:val="clear" w:color="auto" w:fill="auto"/>
            <w:vAlign w:val="center"/>
          </w:tcPr>
          <w:p w14:paraId="50A2EF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建立PFAS、微塑料、抗生素等前瞻性检测能力。</w:t>
            </w:r>
          </w:p>
        </w:tc>
        <w:tc>
          <w:tcPr>
            <w:tcW w:w="17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8283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查能力附表</w:t>
            </w:r>
          </w:p>
        </w:tc>
        <w:tc>
          <w:tcPr>
            <w:tcW w:w="9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7F6A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□不符</w:t>
            </w:r>
          </w:p>
        </w:tc>
        <w:tc>
          <w:tcPr>
            <w:tcW w:w="7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53089E">
            <w:pPr>
              <w:rPr>
                <w:rFonts w:hint="eastAsia" w:ascii="宋体" w:hAnsi="宋体" w:eastAsia="宋体" w:cs="宋体"/>
                <w:i w:val="0"/>
                <w:iCs w:val="0"/>
                <w:color w:val="000000"/>
                <w:sz w:val="21"/>
                <w:szCs w:val="21"/>
                <w:u w:val="none"/>
              </w:rPr>
            </w:pPr>
          </w:p>
        </w:tc>
        <w:tc>
          <w:tcPr>
            <w:tcW w:w="7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BFE77D">
            <w:pPr>
              <w:rPr>
                <w:rFonts w:hint="eastAsia" w:ascii="宋体" w:hAnsi="宋体" w:eastAsia="宋体" w:cs="宋体"/>
                <w:i w:val="0"/>
                <w:iCs w:val="0"/>
                <w:color w:val="000000"/>
                <w:sz w:val="21"/>
                <w:szCs w:val="21"/>
                <w:u w:val="none"/>
              </w:rPr>
            </w:pPr>
          </w:p>
        </w:tc>
      </w:tr>
      <w:tr w14:paraId="7FED2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F726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w:t>
            </w:r>
          </w:p>
        </w:tc>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9A82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新方法开发</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1C26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4.9.4</w:t>
            </w:r>
          </w:p>
        </w:tc>
        <w:tc>
          <w:tcPr>
            <w:tcW w:w="5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3EFF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3381" w:type="dxa"/>
            <w:tcBorders>
              <w:top w:val="single" w:color="auto" w:sz="4" w:space="0"/>
              <w:left w:val="single" w:color="auto" w:sz="4" w:space="0"/>
              <w:bottom w:val="single" w:color="auto" w:sz="4" w:space="0"/>
              <w:right w:val="single" w:color="auto" w:sz="4" w:space="0"/>
            </w:tcBorders>
            <w:shd w:val="clear" w:color="auto" w:fill="auto"/>
            <w:vAlign w:val="center"/>
          </w:tcPr>
          <w:p w14:paraId="64A92B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有完整开发流程（立项－验证－审批）（10分）；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近三年完成至少1项并实际应用（10分）。</w:t>
            </w:r>
          </w:p>
        </w:tc>
        <w:tc>
          <w:tcPr>
            <w:tcW w:w="17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3F4B8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查开发卷宗</w:t>
            </w:r>
          </w:p>
        </w:tc>
        <w:tc>
          <w:tcPr>
            <w:tcW w:w="9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2273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□不符</w:t>
            </w:r>
          </w:p>
        </w:tc>
        <w:tc>
          <w:tcPr>
            <w:tcW w:w="7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FC4902">
            <w:pPr>
              <w:rPr>
                <w:rFonts w:hint="eastAsia" w:ascii="宋体" w:hAnsi="宋体" w:eastAsia="宋体" w:cs="宋体"/>
                <w:i w:val="0"/>
                <w:iCs w:val="0"/>
                <w:color w:val="000000"/>
                <w:sz w:val="21"/>
                <w:szCs w:val="21"/>
                <w:u w:val="none"/>
              </w:rPr>
            </w:pPr>
          </w:p>
        </w:tc>
        <w:tc>
          <w:tcPr>
            <w:tcW w:w="7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7877C2">
            <w:pPr>
              <w:rPr>
                <w:rFonts w:hint="eastAsia" w:ascii="宋体" w:hAnsi="宋体" w:eastAsia="宋体" w:cs="宋体"/>
                <w:i w:val="0"/>
                <w:iCs w:val="0"/>
                <w:color w:val="000000"/>
                <w:sz w:val="21"/>
                <w:szCs w:val="21"/>
                <w:u w:val="none"/>
              </w:rPr>
            </w:pPr>
          </w:p>
        </w:tc>
      </w:tr>
      <w:tr w14:paraId="2C5CC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6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9E06E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0563" w:type="dxa"/>
            <w:gridSpan w:val="8"/>
            <w:tcBorders>
              <w:top w:val="single" w:color="auto" w:sz="4" w:space="0"/>
              <w:left w:val="single" w:color="auto" w:sz="4" w:space="0"/>
              <w:bottom w:val="single" w:color="auto" w:sz="4" w:space="0"/>
              <w:right w:val="single" w:color="auto" w:sz="4" w:space="0"/>
            </w:tcBorders>
            <w:shd w:val="clear" w:color="auto" w:fill="auto"/>
            <w:noWrap/>
            <w:vAlign w:val="center"/>
          </w:tcPr>
          <w:p w14:paraId="3FD1934F">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服务创新能力（20分）</w:t>
            </w:r>
          </w:p>
        </w:tc>
      </w:tr>
      <w:tr w14:paraId="772CD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7FBC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10.1</w:t>
            </w:r>
          </w:p>
        </w:tc>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7D24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综合服务</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A09D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4.11.4</w:t>
            </w:r>
          </w:p>
        </w:tc>
        <w:tc>
          <w:tcPr>
            <w:tcW w:w="5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BCCC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33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DFAC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提供定制化解决方案、技术咨询培训、政府支撑或行业宣传。（每项5分，满分20）</w:t>
            </w:r>
          </w:p>
        </w:tc>
        <w:tc>
          <w:tcPr>
            <w:tcW w:w="17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BEC9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查合同/证明</w:t>
            </w:r>
          </w:p>
        </w:tc>
        <w:tc>
          <w:tcPr>
            <w:tcW w:w="9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0F71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□不符</w:t>
            </w:r>
          </w:p>
        </w:tc>
        <w:tc>
          <w:tcPr>
            <w:tcW w:w="7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C4339C">
            <w:pPr>
              <w:rPr>
                <w:rFonts w:hint="eastAsia" w:ascii="宋体" w:hAnsi="宋体" w:eastAsia="宋体" w:cs="宋体"/>
                <w:i w:val="0"/>
                <w:iCs w:val="0"/>
                <w:color w:val="000000"/>
                <w:sz w:val="21"/>
                <w:szCs w:val="21"/>
                <w:u w:val="none"/>
              </w:rPr>
            </w:pPr>
          </w:p>
        </w:tc>
        <w:tc>
          <w:tcPr>
            <w:tcW w:w="7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076E09">
            <w:pPr>
              <w:rPr>
                <w:rFonts w:hint="eastAsia" w:ascii="宋体" w:hAnsi="宋体" w:eastAsia="宋体" w:cs="宋体"/>
                <w:i w:val="0"/>
                <w:iCs w:val="0"/>
                <w:color w:val="000000"/>
                <w:sz w:val="21"/>
                <w:szCs w:val="21"/>
                <w:u w:val="none"/>
              </w:rPr>
            </w:pPr>
          </w:p>
        </w:tc>
      </w:tr>
      <w:tr w14:paraId="782BD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6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49DF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0563" w:type="dxa"/>
            <w:gridSpan w:val="8"/>
            <w:tcBorders>
              <w:top w:val="single" w:color="auto" w:sz="4" w:space="0"/>
              <w:left w:val="single" w:color="auto" w:sz="4" w:space="0"/>
              <w:bottom w:val="single" w:color="auto" w:sz="4" w:space="0"/>
              <w:right w:val="single" w:color="auto" w:sz="4" w:space="0"/>
            </w:tcBorders>
            <w:shd w:val="clear" w:color="auto" w:fill="auto"/>
            <w:noWrap/>
            <w:vAlign w:val="center"/>
          </w:tcPr>
          <w:p w14:paraId="5D43A28D">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数字化与智能化（100分）</w:t>
            </w:r>
          </w:p>
        </w:tc>
      </w:tr>
      <w:tr w14:paraId="6163E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4D49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w:t>
            </w:r>
          </w:p>
        </w:tc>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D9EA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深度LIMS</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75C73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4.10.1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4.10.2</w:t>
            </w:r>
          </w:p>
        </w:tc>
        <w:tc>
          <w:tcPr>
            <w:tcW w:w="5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80CC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3381" w:type="dxa"/>
            <w:tcBorders>
              <w:top w:val="single" w:color="auto" w:sz="4" w:space="0"/>
              <w:left w:val="single" w:color="auto" w:sz="4" w:space="0"/>
              <w:bottom w:val="single" w:color="auto" w:sz="4" w:space="0"/>
              <w:right w:val="single" w:color="auto" w:sz="4" w:space="0"/>
            </w:tcBorders>
            <w:shd w:val="clear" w:color="auto" w:fill="auto"/>
            <w:vAlign w:val="center"/>
          </w:tcPr>
          <w:p w14:paraId="5A6C8B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LIMS覆盖人机料法环全流程（20分）；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关键设备实现数据自动采集，无人工转录（20分）。</w:t>
            </w:r>
          </w:p>
        </w:tc>
        <w:tc>
          <w:tcPr>
            <w:tcW w:w="17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F6D1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系统演示</w:t>
            </w:r>
          </w:p>
        </w:tc>
        <w:tc>
          <w:tcPr>
            <w:tcW w:w="9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691F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□不符</w:t>
            </w:r>
          </w:p>
        </w:tc>
        <w:tc>
          <w:tcPr>
            <w:tcW w:w="7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FBDB53">
            <w:pPr>
              <w:rPr>
                <w:rFonts w:hint="eastAsia" w:ascii="宋体" w:hAnsi="宋体" w:eastAsia="宋体" w:cs="宋体"/>
                <w:i w:val="0"/>
                <w:iCs w:val="0"/>
                <w:color w:val="000000"/>
                <w:sz w:val="21"/>
                <w:szCs w:val="21"/>
                <w:u w:val="none"/>
              </w:rPr>
            </w:pPr>
          </w:p>
        </w:tc>
        <w:tc>
          <w:tcPr>
            <w:tcW w:w="7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9B2A9C">
            <w:pPr>
              <w:rPr>
                <w:rFonts w:hint="eastAsia" w:ascii="宋体" w:hAnsi="宋体" w:eastAsia="宋体" w:cs="宋体"/>
                <w:i w:val="0"/>
                <w:iCs w:val="0"/>
                <w:color w:val="000000"/>
                <w:sz w:val="21"/>
                <w:szCs w:val="21"/>
                <w:u w:val="none"/>
              </w:rPr>
            </w:pPr>
          </w:p>
        </w:tc>
      </w:tr>
      <w:tr w14:paraId="79DCA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8F41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w:t>
            </w:r>
          </w:p>
        </w:tc>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FD91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电子记录</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6885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4.10.3</w:t>
            </w:r>
          </w:p>
        </w:tc>
        <w:tc>
          <w:tcPr>
            <w:tcW w:w="5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5682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3381" w:type="dxa"/>
            <w:tcBorders>
              <w:top w:val="single" w:color="auto" w:sz="4" w:space="0"/>
              <w:left w:val="single" w:color="auto" w:sz="4" w:space="0"/>
              <w:bottom w:val="single" w:color="auto" w:sz="4" w:space="0"/>
              <w:right w:val="single" w:color="auto" w:sz="4" w:space="0"/>
            </w:tcBorders>
            <w:shd w:val="clear" w:color="auto" w:fill="auto"/>
            <w:vAlign w:val="center"/>
          </w:tcPr>
          <w:p w14:paraId="305F94D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电子记录具备审计追踪功能，修改留痕，符合RB/T 240。</w:t>
            </w:r>
          </w:p>
        </w:tc>
        <w:tc>
          <w:tcPr>
            <w:tcW w:w="17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2E7CD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查审计日志</w:t>
            </w:r>
          </w:p>
        </w:tc>
        <w:tc>
          <w:tcPr>
            <w:tcW w:w="9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09A6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□不符</w:t>
            </w:r>
          </w:p>
        </w:tc>
        <w:tc>
          <w:tcPr>
            <w:tcW w:w="7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501EFB">
            <w:pPr>
              <w:rPr>
                <w:rFonts w:hint="eastAsia" w:ascii="宋体" w:hAnsi="宋体" w:eastAsia="宋体" w:cs="宋体"/>
                <w:i w:val="0"/>
                <w:iCs w:val="0"/>
                <w:color w:val="000000"/>
                <w:sz w:val="21"/>
                <w:szCs w:val="21"/>
                <w:u w:val="none"/>
              </w:rPr>
            </w:pPr>
          </w:p>
        </w:tc>
        <w:tc>
          <w:tcPr>
            <w:tcW w:w="7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3318A7">
            <w:pPr>
              <w:rPr>
                <w:rFonts w:hint="eastAsia" w:ascii="宋体" w:hAnsi="宋体" w:eastAsia="宋体" w:cs="宋体"/>
                <w:i w:val="0"/>
                <w:iCs w:val="0"/>
                <w:color w:val="000000"/>
                <w:sz w:val="21"/>
                <w:szCs w:val="21"/>
                <w:u w:val="none"/>
              </w:rPr>
            </w:pPr>
          </w:p>
        </w:tc>
      </w:tr>
      <w:tr w14:paraId="16862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E661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w:t>
            </w:r>
          </w:p>
        </w:tc>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6D7B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智能应用</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CE3B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4.10.3</w:t>
            </w:r>
          </w:p>
        </w:tc>
        <w:tc>
          <w:tcPr>
            <w:tcW w:w="5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3270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3381" w:type="dxa"/>
            <w:tcBorders>
              <w:top w:val="single" w:color="auto" w:sz="4" w:space="0"/>
              <w:left w:val="single" w:color="auto" w:sz="4" w:space="0"/>
              <w:bottom w:val="single" w:color="auto" w:sz="4" w:space="0"/>
              <w:right w:val="single" w:color="auto" w:sz="4" w:space="0"/>
            </w:tcBorders>
            <w:shd w:val="clear" w:color="auto" w:fill="auto"/>
            <w:vAlign w:val="center"/>
          </w:tcPr>
          <w:p w14:paraId="10ACAB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利用数据进行质量趋势分析、风险预警或画像服务。</w:t>
            </w:r>
          </w:p>
        </w:tc>
        <w:tc>
          <w:tcPr>
            <w:tcW w:w="17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E5C6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查分析报告</w:t>
            </w:r>
          </w:p>
        </w:tc>
        <w:tc>
          <w:tcPr>
            <w:tcW w:w="9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7982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□不符</w:t>
            </w:r>
          </w:p>
        </w:tc>
        <w:tc>
          <w:tcPr>
            <w:tcW w:w="7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76E9B3">
            <w:pPr>
              <w:rPr>
                <w:rFonts w:hint="eastAsia" w:ascii="宋体" w:hAnsi="宋体" w:eastAsia="宋体" w:cs="宋体"/>
                <w:i w:val="0"/>
                <w:iCs w:val="0"/>
                <w:color w:val="000000"/>
                <w:sz w:val="21"/>
                <w:szCs w:val="21"/>
                <w:u w:val="none"/>
              </w:rPr>
            </w:pPr>
          </w:p>
        </w:tc>
        <w:tc>
          <w:tcPr>
            <w:tcW w:w="7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BFA6FF">
            <w:pPr>
              <w:rPr>
                <w:rFonts w:hint="eastAsia" w:ascii="宋体" w:hAnsi="宋体" w:eastAsia="宋体" w:cs="宋体"/>
                <w:i w:val="0"/>
                <w:iCs w:val="0"/>
                <w:color w:val="000000"/>
                <w:sz w:val="21"/>
                <w:szCs w:val="21"/>
                <w:u w:val="none"/>
              </w:rPr>
            </w:pPr>
          </w:p>
        </w:tc>
      </w:tr>
      <w:tr w14:paraId="19975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C2EF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0563" w:type="dxa"/>
            <w:gridSpan w:val="8"/>
            <w:tcBorders>
              <w:top w:val="single" w:color="auto" w:sz="4" w:space="0"/>
              <w:left w:val="single" w:color="auto" w:sz="4" w:space="0"/>
              <w:bottom w:val="single" w:color="auto" w:sz="4" w:space="0"/>
              <w:right w:val="single" w:color="auto" w:sz="4" w:space="0"/>
            </w:tcBorders>
            <w:shd w:val="clear" w:color="auto" w:fill="auto"/>
            <w:noWrap/>
            <w:vAlign w:val="center"/>
          </w:tcPr>
          <w:p w14:paraId="4FE79E80">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绿色运营能力</w:t>
            </w:r>
          </w:p>
        </w:tc>
      </w:tr>
      <w:tr w14:paraId="62AB3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A2EF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12.1</w:t>
            </w:r>
          </w:p>
        </w:tc>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14B3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绿色建设</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CCE5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4.13</w:t>
            </w:r>
          </w:p>
        </w:tc>
        <w:tc>
          <w:tcPr>
            <w:tcW w:w="5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17DA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3381" w:type="dxa"/>
            <w:tcBorders>
              <w:top w:val="single" w:color="auto" w:sz="4" w:space="0"/>
              <w:left w:val="single" w:color="auto" w:sz="4" w:space="0"/>
              <w:bottom w:val="single" w:color="auto" w:sz="4" w:space="0"/>
              <w:right w:val="single" w:color="auto" w:sz="4" w:space="0"/>
            </w:tcBorders>
            <w:shd w:val="clear" w:color="auto" w:fill="auto"/>
            <w:vAlign w:val="center"/>
          </w:tcPr>
          <w:p w14:paraId="7D13D6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建立节能制度，有能耗监控记录（15分）；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实施试剂减量化/废液资源化或获得绿色评价（15分）。</w:t>
            </w:r>
          </w:p>
        </w:tc>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14:paraId="207B5F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查账单/证明</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2599D1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□不符</w:t>
            </w:r>
          </w:p>
        </w:tc>
        <w:tc>
          <w:tcPr>
            <w:tcW w:w="727" w:type="dxa"/>
            <w:tcBorders>
              <w:top w:val="single" w:color="auto" w:sz="4" w:space="0"/>
              <w:left w:val="single" w:color="auto" w:sz="4" w:space="0"/>
              <w:bottom w:val="single" w:color="auto" w:sz="4" w:space="0"/>
              <w:right w:val="single" w:color="auto" w:sz="4" w:space="0"/>
            </w:tcBorders>
            <w:shd w:val="clear" w:color="auto" w:fill="auto"/>
            <w:vAlign w:val="center"/>
          </w:tcPr>
          <w:p w14:paraId="54802E05">
            <w:pPr>
              <w:rPr>
                <w:rFonts w:hint="eastAsia" w:ascii="宋体" w:hAnsi="宋体" w:eastAsia="宋体" w:cs="宋体"/>
                <w:i w:val="0"/>
                <w:iCs w:val="0"/>
                <w:color w:val="000000"/>
                <w:sz w:val="21"/>
                <w:szCs w:val="21"/>
                <w:u w:val="none"/>
              </w:rPr>
            </w:pPr>
          </w:p>
        </w:tc>
        <w:tc>
          <w:tcPr>
            <w:tcW w:w="7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D712C7">
            <w:pPr>
              <w:rPr>
                <w:rFonts w:hint="eastAsia" w:ascii="宋体" w:hAnsi="宋体" w:eastAsia="宋体" w:cs="宋体"/>
                <w:i w:val="0"/>
                <w:iCs w:val="0"/>
                <w:color w:val="000000"/>
                <w:sz w:val="21"/>
                <w:szCs w:val="21"/>
                <w:u w:val="none"/>
              </w:rPr>
            </w:pPr>
          </w:p>
        </w:tc>
      </w:tr>
      <w:tr w14:paraId="21AF1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trPr>
        <w:tc>
          <w:tcPr>
            <w:tcW w:w="6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3426CD">
            <w:pPr>
              <w:rPr>
                <w:rFonts w:hint="eastAsia" w:ascii="宋体" w:hAnsi="宋体" w:eastAsia="宋体" w:cs="宋体"/>
                <w:i w:val="0"/>
                <w:iCs w:val="0"/>
                <w:color w:val="000000"/>
                <w:sz w:val="21"/>
                <w:szCs w:val="21"/>
                <w:u w:val="none"/>
              </w:rPr>
            </w:pPr>
          </w:p>
        </w:tc>
        <w:tc>
          <w:tcPr>
            <w:tcW w:w="8156"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448E9242">
            <w:pPr>
              <w:keepNext w:val="0"/>
              <w:keepLines w:val="0"/>
              <w:widowControl/>
              <w:suppressLineNumbers w:val="0"/>
              <w:jc w:val="right"/>
              <w:textAlignment w:val="center"/>
              <w:rPr>
                <w:rFonts w:hint="eastAsia" w:ascii="微软雅黑" w:hAnsi="微软雅黑" w:eastAsia="微软雅黑" w:cs="微软雅黑"/>
                <w:b/>
                <w:bCs/>
                <w:i w:val="0"/>
                <w:iCs w:val="0"/>
                <w:color w:val="000000"/>
                <w:kern w:val="0"/>
                <w:sz w:val="22"/>
                <w:szCs w:val="22"/>
                <w:u w:val="none"/>
                <w:lang w:val="en-US" w:eastAsia="zh-CN" w:bidi="ar"/>
              </w:rPr>
            </w:pPr>
            <w:r>
              <w:rPr>
                <w:rFonts w:hint="eastAsia" w:ascii="微软雅黑" w:hAnsi="微软雅黑" w:eastAsia="微软雅黑" w:cs="微软雅黑"/>
                <w:b/>
                <w:bCs/>
                <w:i w:val="0"/>
                <w:iCs w:val="0"/>
                <w:color w:val="000000"/>
                <w:kern w:val="0"/>
                <w:sz w:val="22"/>
                <w:szCs w:val="22"/>
                <w:u w:val="none"/>
                <w:lang w:val="en-US" w:eastAsia="zh-CN" w:bidi="ar"/>
              </w:rPr>
              <w:t>创新项总分</w:t>
            </w:r>
          </w:p>
        </w:tc>
        <w:tc>
          <w:tcPr>
            <w:tcW w:w="2407"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54141B8A">
            <w:pPr>
              <w:rPr>
                <w:rFonts w:hint="eastAsia" w:ascii="宋体" w:hAnsi="宋体" w:eastAsia="宋体" w:cs="宋体"/>
                <w:i w:val="0"/>
                <w:iCs w:val="0"/>
                <w:color w:val="000000"/>
                <w:sz w:val="21"/>
                <w:szCs w:val="21"/>
                <w:u w:val="none"/>
              </w:rPr>
            </w:pPr>
            <w:r>
              <w:rPr>
                <w:rFonts w:hint="eastAsia" w:ascii="微软雅黑" w:hAnsi="微软雅黑" w:eastAsia="微软雅黑" w:cs="微软雅黑"/>
                <w:b/>
                <w:bCs/>
                <w:i w:val="0"/>
                <w:iCs w:val="0"/>
                <w:color w:val="000000"/>
                <w:kern w:val="0"/>
                <w:sz w:val="22"/>
                <w:szCs w:val="22"/>
                <w:u w:val="none"/>
                <w:lang w:val="en-US" w:eastAsia="zh-CN" w:bidi="ar"/>
              </w:rPr>
              <w:t>______ / 250</w:t>
            </w:r>
          </w:p>
        </w:tc>
      </w:tr>
    </w:tbl>
    <w:p w14:paraId="204007AB">
      <w:pPr>
        <w:jc w:val="left"/>
        <w:rPr>
          <w:rFonts w:hint="eastAsia" w:ascii="黑体" w:hAnsi="黑体" w:eastAsia="黑体" w:cs="黑体"/>
          <w:b/>
          <w:bCs/>
          <w:sz w:val="21"/>
          <w:szCs w:val="21"/>
        </w:rPr>
      </w:pPr>
    </w:p>
    <w:tbl>
      <w:tblPr>
        <w:tblStyle w:val="15"/>
        <w:tblW w:w="11238" w:type="dxa"/>
        <w:tblInd w:w="-70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3"/>
        <w:gridCol w:w="1537"/>
        <w:gridCol w:w="1006"/>
        <w:gridCol w:w="588"/>
        <w:gridCol w:w="3225"/>
        <w:gridCol w:w="1800"/>
        <w:gridCol w:w="950"/>
        <w:gridCol w:w="744"/>
        <w:gridCol w:w="675"/>
      </w:tblGrid>
      <w:tr w14:paraId="7E384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0" w:hRule="atLeast"/>
        </w:trPr>
        <w:tc>
          <w:tcPr>
            <w:tcW w:w="11238" w:type="dxa"/>
            <w:gridSpan w:val="9"/>
            <w:tcBorders>
              <w:top w:val="nil"/>
              <w:left w:val="nil"/>
              <w:bottom w:val="single" w:color="000000" w:sz="4" w:space="0"/>
              <w:right w:val="nil"/>
            </w:tcBorders>
            <w:shd w:val="clear" w:color="auto" w:fill="auto"/>
            <w:noWrap/>
            <w:vAlign w:val="center"/>
          </w:tcPr>
          <w:p w14:paraId="64207D5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C.3 服务项核查表（满分 50 分）</w:t>
            </w:r>
          </w:p>
        </w:tc>
      </w:tr>
      <w:tr w14:paraId="471AB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159E4">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6985A">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评价指标</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6981A">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对应条款</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A4A33">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标准分值</w:t>
            </w:r>
          </w:p>
        </w:tc>
        <w:tc>
          <w:tcPr>
            <w:tcW w:w="3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14324">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 xml:space="preserve">核查要点及评分依据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A093A">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核查方式</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9275E">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判定</w:t>
            </w:r>
          </w:p>
          <w:p w14:paraId="46AD43E5">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结果</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10B58">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得分</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F6716">
            <w:pPr>
              <w:rPr>
                <w:rFonts w:hint="eastAsia" w:ascii="宋体" w:hAnsi="宋体" w:eastAsia="宋体" w:cs="宋体"/>
                <w:b/>
                <w:bCs/>
                <w:i w:val="0"/>
                <w:iCs w:val="0"/>
                <w:color w:val="000000"/>
                <w:sz w:val="22"/>
                <w:szCs w:val="22"/>
                <w:u w:val="none"/>
              </w:rPr>
            </w:pPr>
          </w:p>
        </w:tc>
      </w:tr>
      <w:tr w14:paraId="24335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CEBC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0525"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46353">
            <w:pPr>
              <w:rPr>
                <w:rFonts w:hint="eastAsia" w:ascii="宋体" w:hAnsi="宋体" w:eastAsia="宋体" w:cs="宋体"/>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客户服务</w:t>
            </w:r>
          </w:p>
        </w:tc>
      </w:tr>
      <w:tr w14:paraId="462E8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55F5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662D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满意度</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F4B7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4.11.2</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558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16AA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年度客户满意度≥90%（15分）；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投诉处理机制完善且闭环（15分）。</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2B36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查问卷/台账</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EAA8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□符合 □不符</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D0FB6">
            <w:pPr>
              <w:rPr>
                <w:rFonts w:hint="eastAsia" w:ascii="宋体" w:hAnsi="宋体" w:eastAsia="宋体" w:cs="宋体"/>
                <w:i w:val="0"/>
                <w:iCs w:val="0"/>
                <w:color w:val="000000"/>
                <w:sz w:val="22"/>
                <w:szCs w:val="22"/>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6558E">
            <w:pPr>
              <w:rPr>
                <w:rFonts w:hint="eastAsia" w:ascii="宋体" w:hAnsi="宋体" w:eastAsia="宋体" w:cs="宋体"/>
                <w:i w:val="0"/>
                <w:iCs w:val="0"/>
                <w:color w:val="000000"/>
                <w:sz w:val="22"/>
                <w:szCs w:val="22"/>
                <w:u w:val="none"/>
              </w:rPr>
            </w:pPr>
          </w:p>
        </w:tc>
      </w:tr>
      <w:tr w14:paraId="1E662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A79C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E113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增值服务</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290A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4.11.4</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E23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57E1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提供法规培训、双语报告或技术咨询等延伸服务。</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FD11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查合同/样本</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5CC9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□符合 □不符</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DA2CD">
            <w:pPr>
              <w:rPr>
                <w:rFonts w:hint="eastAsia" w:ascii="宋体" w:hAnsi="宋体" w:eastAsia="宋体" w:cs="宋体"/>
                <w:i w:val="0"/>
                <w:iCs w:val="0"/>
                <w:color w:val="000000"/>
                <w:sz w:val="22"/>
                <w:szCs w:val="22"/>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B1321">
            <w:pPr>
              <w:rPr>
                <w:rFonts w:hint="eastAsia" w:ascii="宋体" w:hAnsi="宋体" w:eastAsia="宋体" w:cs="宋体"/>
                <w:i w:val="0"/>
                <w:iCs w:val="0"/>
                <w:color w:val="000000"/>
                <w:sz w:val="22"/>
                <w:szCs w:val="22"/>
                <w:u w:val="none"/>
              </w:rPr>
            </w:pPr>
          </w:p>
        </w:tc>
      </w:tr>
      <w:tr w14:paraId="7A3A0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6"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0D36D">
            <w:pPr>
              <w:rPr>
                <w:rFonts w:hint="eastAsia" w:ascii="宋体" w:hAnsi="宋体" w:eastAsia="宋体" w:cs="宋体"/>
                <w:i w:val="0"/>
                <w:iCs w:val="0"/>
                <w:color w:val="000000"/>
                <w:sz w:val="22"/>
                <w:szCs w:val="22"/>
                <w:u w:val="none"/>
              </w:rPr>
            </w:pPr>
          </w:p>
        </w:tc>
        <w:tc>
          <w:tcPr>
            <w:tcW w:w="8156"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80EF8">
            <w:pPr>
              <w:keepNext w:val="0"/>
              <w:keepLines w:val="0"/>
              <w:widowControl/>
              <w:suppressLineNumbers w:val="0"/>
              <w:jc w:val="right"/>
              <w:textAlignment w:val="center"/>
              <w:rPr>
                <w:rFonts w:hint="eastAsia" w:ascii="微软雅黑" w:hAnsi="微软雅黑" w:eastAsia="微软雅黑" w:cs="微软雅黑"/>
                <w:b/>
                <w:bCs/>
                <w:i w:val="0"/>
                <w:iCs w:val="0"/>
                <w:color w:val="000000"/>
                <w:kern w:val="0"/>
                <w:sz w:val="22"/>
                <w:szCs w:val="22"/>
                <w:u w:val="none"/>
                <w:lang w:val="en-US" w:eastAsia="zh-CN" w:bidi="ar"/>
              </w:rPr>
            </w:pPr>
            <w:r>
              <w:rPr>
                <w:rFonts w:hint="eastAsia" w:ascii="微软雅黑" w:hAnsi="微软雅黑" w:eastAsia="微软雅黑" w:cs="微软雅黑"/>
                <w:b/>
                <w:bCs/>
                <w:i w:val="0"/>
                <w:iCs w:val="0"/>
                <w:color w:val="000000"/>
                <w:kern w:val="0"/>
                <w:sz w:val="22"/>
                <w:szCs w:val="22"/>
                <w:u w:val="none"/>
                <w:lang w:val="en-US" w:eastAsia="zh-CN" w:bidi="ar"/>
              </w:rPr>
              <w:t>服务项总分</w:t>
            </w:r>
          </w:p>
        </w:tc>
        <w:tc>
          <w:tcPr>
            <w:tcW w:w="236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BCC0E">
            <w:pPr>
              <w:rPr>
                <w:rFonts w:hint="eastAsia" w:ascii="宋体" w:hAnsi="宋体" w:eastAsia="宋体" w:cs="宋体"/>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______ / 50</w:t>
            </w:r>
          </w:p>
        </w:tc>
      </w:tr>
    </w:tbl>
    <w:p w14:paraId="7DB6C14B">
      <w:pPr>
        <w:rPr>
          <w:rFonts w:hint="eastAsia" w:ascii="宋体" w:hAnsi="宋体" w:eastAsia="宋体" w:cs="宋体"/>
          <w:szCs w:val="21"/>
        </w:rPr>
      </w:pPr>
    </w:p>
    <w:tbl>
      <w:tblPr>
        <w:tblStyle w:val="15"/>
        <w:tblW w:w="11238" w:type="dxa"/>
        <w:tblInd w:w="-70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0"/>
        <w:gridCol w:w="1525"/>
        <w:gridCol w:w="1031"/>
        <w:gridCol w:w="588"/>
        <w:gridCol w:w="3201"/>
        <w:gridCol w:w="1825"/>
        <w:gridCol w:w="938"/>
        <w:gridCol w:w="755"/>
        <w:gridCol w:w="675"/>
      </w:tblGrid>
      <w:tr w14:paraId="5CC67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238" w:type="dxa"/>
            <w:gridSpan w:val="9"/>
            <w:tcBorders>
              <w:top w:val="nil"/>
              <w:left w:val="nil"/>
              <w:bottom w:val="single" w:color="000000" w:sz="4" w:space="0"/>
              <w:right w:val="nil"/>
            </w:tcBorders>
            <w:shd w:val="clear" w:color="auto" w:fill="auto"/>
            <w:vAlign w:val="center"/>
          </w:tcPr>
          <w:p w14:paraId="009CBBC1">
            <w:pPr>
              <w:keepNext w:val="0"/>
              <w:keepLines w:val="0"/>
              <w:widowControl/>
              <w:suppressLineNumbers w:val="0"/>
              <w:jc w:val="left"/>
              <w:textAlignment w:val="center"/>
              <w:rPr>
                <w:rFonts w:ascii="Arial" w:hAnsi="Arial" w:eastAsia="宋体" w:cs="Arial"/>
                <w:b/>
                <w:bCs/>
                <w:i w:val="0"/>
                <w:iCs w:val="0"/>
                <w:color w:val="000000"/>
                <w:sz w:val="28"/>
                <w:szCs w:val="28"/>
                <w:u w:val="none"/>
              </w:rPr>
            </w:pPr>
            <w:r>
              <w:rPr>
                <w:rFonts w:hint="default" w:ascii="微软雅黑" w:hAnsi="微软雅黑" w:eastAsia="微软雅黑" w:cs="微软雅黑"/>
                <w:b/>
                <w:bCs/>
                <w:i w:val="0"/>
                <w:iCs w:val="0"/>
                <w:color w:val="000000"/>
                <w:kern w:val="0"/>
                <w:sz w:val="22"/>
                <w:szCs w:val="22"/>
                <w:u w:val="none"/>
                <w:lang w:val="en-US" w:eastAsia="zh-CN" w:bidi="ar"/>
              </w:rPr>
              <w:t xml:space="preserve">C.4 </w:t>
            </w:r>
            <w:r>
              <w:rPr>
                <w:rFonts w:hint="eastAsia" w:ascii="微软雅黑" w:hAnsi="微软雅黑" w:eastAsia="微软雅黑" w:cs="微软雅黑"/>
                <w:b/>
                <w:bCs/>
                <w:i w:val="0"/>
                <w:iCs w:val="0"/>
                <w:color w:val="000000"/>
                <w:kern w:val="0"/>
                <w:sz w:val="22"/>
                <w:szCs w:val="22"/>
                <w:u w:val="none"/>
                <w:lang w:val="en-US" w:eastAsia="zh-CN" w:bidi="ar"/>
              </w:rPr>
              <w:t>加分项核查表（满分</w:t>
            </w:r>
            <w:r>
              <w:rPr>
                <w:rFonts w:hint="default" w:ascii="微软雅黑" w:hAnsi="微软雅黑" w:eastAsia="微软雅黑" w:cs="微软雅黑"/>
                <w:b/>
                <w:bCs/>
                <w:i w:val="0"/>
                <w:iCs w:val="0"/>
                <w:color w:val="000000"/>
                <w:kern w:val="0"/>
                <w:sz w:val="22"/>
                <w:szCs w:val="22"/>
                <w:u w:val="none"/>
                <w:lang w:val="en-US" w:eastAsia="zh-CN" w:bidi="ar"/>
              </w:rPr>
              <w:t xml:space="preserve"> 50 </w:t>
            </w:r>
            <w:r>
              <w:rPr>
                <w:rFonts w:hint="eastAsia" w:ascii="微软雅黑" w:hAnsi="微软雅黑" w:eastAsia="微软雅黑" w:cs="微软雅黑"/>
                <w:b/>
                <w:bCs/>
                <w:i w:val="0"/>
                <w:iCs w:val="0"/>
                <w:color w:val="000000"/>
                <w:kern w:val="0"/>
                <w:sz w:val="22"/>
                <w:szCs w:val="22"/>
                <w:u w:val="none"/>
                <w:lang w:val="en-US" w:eastAsia="zh-CN" w:bidi="ar"/>
              </w:rPr>
              <w:t>分）</w:t>
            </w:r>
          </w:p>
        </w:tc>
      </w:tr>
      <w:tr w14:paraId="503DC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4743F">
            <w:pPr>
              <w:keepNext w:val="0"/>
              <w:keepLines w:val="0"/>
              <w:widowControl/>
              <w:suppressLineNumbers w:val="0"/>
              <w:jc w:val="left"/>
              <w:textAlignment w:val="center"/>
              <w:rPr>
                <w:rFonts w:hint="default" w:ascii="Arial" w:hAnsi="Arial" w:eastAsia="宋体" w:cs="Arial"/>
                <w:b/>
                <w:bCs/>
                <w:i w:val="0"/>
                <w:iCs w:val="0"/>
                <w:color w:val="000000"/>
                <w:sz w:val="21"/>
                <w:szCs w:val="21"/>
                <w:u w:val="none"/>
              </w:rPr>
            </w:pPr>
            <w:r>
              <w:rPr>
                <w:rFonts w:hint="default" w:ascii="Arial" w:hAnsi="Arial" w:eastAsia="宋体" w:cs="Arial"/>
                <w:b/>
                <w:bCs/>
                <w:i w:val="0"/>
                <w:iCs w:val="0"/>
                <w:color w:val="000000"/>
                <w:kern w:val="0"/>
                <w:sz w:val="21"/>
                <w:szCs w:val="21"/>
                <w:u w:val="none"/>
                <w:lang w:val="en-US" w:eastAsia="zh-CN" w:bidi="ar"/>
              </w:rPr>
              <w:t>序号</w:t>
            </w:r>
          </w:p>
        </w:tc>
        <w:tc>
          <w:tcPr>
            <w:tcW w:w="1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CAA7D">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评价指标</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52207">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对应条款</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34F51">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标准分值</w:t>
            </w:r>
          </w:p>
        </w:tc>
        <w:tc>
          <w:tcPr>
            <w:tcW w:w="3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33142">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 xml:space="preserve">核查要点及评分依据 </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B8BF0">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核查方式</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BD9AA">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判定</w:t>
            </w:r>
          </w:p>
          <w:p w14:paraId="72BFDCDB">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结果</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3C950">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得分</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D0699">
            <w:pPr>
              <w:rPr>
                <w:rFonts w:hint="eastAsia" w:ascii="宋体" w:hAnsi="宋体" w:eastAsia="宋体" w:cs="宋体"/>
                <w:b/>
                <w:bCs/>
                <w:i w:val="0"/>
                <w:iCs w:val="0"/>
                <w:color w:val="000000"/>
                <w:sz w:val="22"/>
                <w:szCs w:val="22"/>
                <w:u w:val="none"/>
              </w:rPr>
            </w:pPr>
          </w:p>
        </w:tc>
      </w:tr>
      <w:tr w14:paraId="16519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B67F6">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14</w:t>
            </w:r>
          </w:p>
        </w:tc>
        <w:tc>
          <w:tcPr>
            <w:tcW w:w="1053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9CC3F9D">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行业贡献</w:t>
            </w:r>
          </w:p>
        </w:tc>
      </w:tr>
      <w:tr w14:paraId="46389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6D9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14.1</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1D8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荣誉奖项</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DB3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C54EB">
            <w:pPr>
              <w:keepNext w:val="0"/>
              <w:keepLines w:val="0"/>
              <w:widowControl/>
              <w:suppressLineNumbers w:val="0"/>
              <w:jc w:val="righ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20</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1B5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省部级以上“优秀检测机构”“质量标杆”等荣誉。（10分/项，满分20）</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637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查证书原件</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4FA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□不符</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EBB89">
            <w:pPr>
              <w:rPr>
                <w:rFonts w:hint="eastAsia" w:ascii="宋体" w:hAnsi="宋体" w:eastAsia="宋体" w:cs="宋体"/>
                <w:i w:val="0"/>
                <w:iCs w:val="0"/>
                <w:color w:val="000000"/>
                <w:sz w:val="22"/>
                <w:szCs w:val="22"/>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48472">
            <w:pPr>
              <w:rPr>
                <w:rFonts w:hint="eastAsia" w:ascii="宋体" w:hAnsi="宋体" w:eastAsia="宋体" w:cs="宋体"/>
                <w:i w:val="0"/>
                <w:iCs w:val="0"/>
                <w:color w:val="000000"/>
                <w:sz w:val="21"/>
                <w:szCs w:val="21"/>
                <w:u w:val="none"/>
              </w:rPr>
            </w:pPr>
          </w:p>
        </w:tc>
      </w:tr>
      <w:tr w14:paraId="2742B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3E6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8A0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竞赛参与</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A24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08B0B">
            <w:pPr>
              <w:keepNext w:val="0"/>
              <w:keepLines w:val="0"/>
              <w:widowControl/>
              <w:suppressLineNumbers w:val="0"/>
              <w:jc w:val="righ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20</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D84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参加全国/行业/省市级技能竞赛获奖。（全国10分，其他5分，满分20）</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E41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查获奖证书</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7B3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□不符</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12A8D">
            <w:pPr>
              <w:rPr>
                <w:rFonts w:hint="eastAsia" w:ascii="宋体" w:hAnsi="宋体" w:eastAsia="宋体" w:cs="宋体"/>
                <w:i w:val="0"/>
                <w:iCs w:val="0"/>
                <w:color w:val="000000"/>
                <w:sz w:val="22"/>
                <w:szCs w:val="22"/>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9D8D2">
            <w:pPr>
              <w:rPr>
                <w:rFonts w:hint="eastAsia" w:ascii="宋体" w:hAnsi="宋体" w:eastAsia="宋体" w:cs="宋体"/>
                <w:i w:val="0"/>
                <w:iCs w:val="0"/>
                <w:color w:val="000000"/>
                <w:sz w:val="21"/>
                <w:szCs w:val="21"/>
                <w:u w:val="none"/>
              </w:rPr>
            </w:pPr>
          </w:p>
        </w:tc>
      </w:tr>
      <w:tr w14:paraId="4FAD2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B04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14.3</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CE6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企业服务</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77B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690B8">
            <w:pPr>
              <w:keepNext w:val="0"/>
              <w:keepLines w:val="0"/>
              <w:widowControl/>
              <w:suppressLineNumbers w:val="0"/>
              <w:jc w:val="righ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0CD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对接企业绿色管控系统或服务数字化转型。（5分/项，满分10）</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F3D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查对接协议</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697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□不符</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24C75">
            <w:pPr>
              <w:rPr>
                <w:rFonts w:hint="eastAsia" w:ascii="宋体" w:hAnsi="宋体" w:eastAsia="宋体" w:cs="宋体"/>
                <w:i w:val="0"/>
                <w:iCs w:val="0"/>
                <w:color w:val="000000"/>
                <w:sz w:val="22"/>
                <w:szCs w:val="22"/>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203EE">
            <w:pPr>
              <w:rPr>
                <w:rFonts w:hint="eastAsia" w:ascii="宋体" w:hAnsi="宋体" w:eastAsia="宋体" w:cs="宋体"/>
                <w:i w:val="0"/>
                <w:iCs w:val="0"/>
                <w:color w:val="000000"/>
                <w:sz w:val="21"/>
                <w:szCs w:val="21"/>
                <w:u w:val="none"/>
              </w:rPr>
            </w:pPr>
          </w:p>
        </w:tc>
      </w:tr>
      <w:tr w14:paraId="0E096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4B493">
            <w:pPr>
              <w:rPr>
                <w:rFonts w:hint="default" w:ascii="Arial" w:hAnsi="Arial" w:eastAsia="宋体" w:cs="Arial"/>
                <w:b/>
                <w:bCs/>
                <w:i w:val="0"/>
                <w:iCs w:val="0"/>
                <w:color w:val="000000"/>
                <w:sz w:val="21"/>
                <w:szCs w:val="21"/>
                <w:u w:val="none"/>
              </w:rPr>
            </w:pPr>
          </w:p>
        </w:tc>
        <w:tc>
          <w:tcPr>
            <w:tcW w:w="817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0636751">
            <w:pPr>
              <w:keepNext w:val="0"/>
              <w:keepLines w:val="0"/>
              <w:widowControl/>
              <w:suppressLineNumbers w:val="0"/>
              <w:jc w:val="right"/>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加分项总分</w:t>
            </w:r>
          </w:p>
        </w:tc>
        <w:tc>
          <w:tcPr>
            <w:tcW w:w="236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FF321">
            <w:pPr>
              <w:rPr>
                <w:rFonts w:hint="default" w:ascii="Arial" w:hAnsi="Arial" w:eastAsia="宋体" w:cs="Arial"/>
                <w:b/>
                <w:bCs/>
                <w:i w:val="0"/>
                <w:iCs w:val="0"/>
                <w:color w:val="000000"/>
                <w:sz w:val="21"/>
                <w:szCs w:val="21"/>
                <w:u w:val="none"/>
              </w:rPr>
            </w:pPr>
            <w:r>
              <w:rPr>
                <w:rFonts w:hint="eastAsia" w:ascii="微软雅黑" w:hAnsi="微软雅黑" w:eastAsia="微软雅黑" w:cs="微软雅黑"/>
                <w:b/>
                <w:bCs/>
                <w:i w:val="0"/>
                <w:iCs w:val="0"/>
                <w:color w:val="000000"/>
                <w:kern w:val="0"/>
                <w:sz w:val="22"/>
                <w:szCs w:val="22"/>
                <w:u w:val="none"/>
                <w:lang w:val="en-US" w:eastAsia="zh-CN" w:bidi="ar"/>
              </w:rPr>
              <w:t>______ / 50</w:t>
            </w:r>
          </w:p>
        </w:tc>
      </w:tr>
    </w:tbl>
    <w:p w14:paraId="6E7C895C">
      <w:pPr>
        <w:rPr>
          <w:rFonts w:hint="eastAsia" w:ascii="宋体" w:hAnsi="宋体" w:eastAsia="宋体" w:cs="宋体"/>
          <w:szCs w:val="21"/>
        </w:rPr>
      </w:pPr>
    </w:p>
    <w:tbl>
      <w:tblPr>
        <w:tblStyle w:val="15"/>
        <w:tblW w:w="11263" w:type="dxa"/>
        <w:tblInd w:w="-7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38"/>
        <w:gridCol w:w="2487"/>
        <w:gridCol w:w="2488"/>
        <w:gridCol w:w="2209"/>
        <w:gridCol w:w="2341"/>
      </w:tblGrid>
      <w:tr w14:paraId="04C1B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263" w:type="dxa"/>
            <w:gridSpan w:val="5"/>
            <w:tcBorders>
              <w:top w:val="nil"/>
              <w:left w:val="nil"/>
              <w:bottom w:val="single" w:color="000000" w:sz="4" w:space="0"/>
              <w:right w:val="nil"/>
            </w:tcBorders>
            <w:shd w:val="clear" w:color="auto" w:fill="auto"/>
            <w:vAlign w:val="center"/>
          </w:tcPr>
          <w:p w14:paraId="243DB309">
            <w:pPr>
              <w:keepNext w:val="0"/>
              <w:keepLines w:val="0"/>
              <w:widowControl/>
              <w:suppressLineNumbers w:val="0"/>
              <w:jc w:val="left"/>
              <w:textAlignment w:val="center"/>
              <w:rPr>
                <w:rFonts w:ascii="Arial" w:hAnsi="Arial" w:eastAsia="宋体" w:cs="Arial"/>
                <w:b/>
                <w:bCs/>
                <w:i w:val="0"/>
                <w:iCs w:val="0"/>
                <w:color w:val="000000"/>
                <w:sz w:val="28"/>
                <w:szCs w:val="28"/>
                <w:u w:val="none"/>
              </w:rPr>
            </w:pPr>
            <w:r>
              <w:rPr>
                <w:rFonts w:hint="default" w:ascii="微软雅黑" w:hAnsi="微软雅黑" w:eastAsia="微软雅黑" w:cs="微软雅黑"/>
                <w:b/>
                <w:bCs/>
                <w:i w:val="0"/>
                <w:iCs w:val="0"/>
                <w:color w:val="000000"/>
                <w:kern w:val="0"/>
                <w:sz w:val="22"/>
                <w:szCs w:val="22"/>
                <w:u w:val="none"/>
                <w:lang w:val="en-US" w:eastAsia="zh-CN" w:bidi="ar"/>
              </w:rPr>
              <w:t xml:space="preserve">C.5 </w:t>
            </w:r>
            <w:r>
              <w:rPr>
                <w:rFonts w:hint="eastAsia" w:ascii="微软雅黑" w:hAnsi="微软雅黑" w:eastAsia="微软雅黑" w:cs="微软雅黑"/>
                <w:b/>
                <w:bCs/>
                <w:i w:val="0"/>
                <w:iCs w:val="0"/>
                <w:color w:val="000000"/>
                <w:kern w:val="0"/>
                <w:sz w:val="22"/>
                <w:szCs w:val="22"/>
                <w:u w:val="none"/>
                <w:lang w:val="en-US" w:eastAsia="zh-CN" w:bidi="ar"/>
              </w:rPr>
              <w:t>评分汇总与等级判定</w:t>
            </w:r>
          </w:p>
        </w:tc>
      </w:tr>
      <w:tr w14:paraId="3B19F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4" w:hRule="atLeast"/>
        </w:trPr>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F57EF">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评价类别</w:t>
            </w:r>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36B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标准总分</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7CBE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实得分</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67D05">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得分率 （实得/标准）</w:t>
            </w:r>
          </w:p>
        </w:tc>
        <w:tc>
          <w:tcPr>
            <w:tcW w:w="2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952C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达标要求</w:t>
            </w:r>
          </w:p>
        </w:tc>
      </w:tr>
      <w:tr w14:paraId="51125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8E9DC">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 基础项</w:t>
            </w:r>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F3C2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650</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7D532">
            <w:pPr>
              <w:rPr>
                <w:rFonts w:hint="eastAsia" w:ascii="宋体" w:hAnsi="宋体" w:eastAsia="宋体" w:cs="宋体"/>
                <w:b w:val="0"/>
                <w:bCs w:val="0"/>
                <w:i w:val="0"/>
                <w:iCs w:val="0"/>
                <w:color w:val="000000"/>
                <w:sz w:val="21"/>
                <w:szCs w:val="21"/>
                <w:u w:val="none"/>
              </w:rPr>
            </w:pP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A4D70">
            <w:pPr>
              <w:keepNext w:val="0"/>
              <w:keepLines w:val="0"/>
              <w:widowControl/>
              <w:suppressLineNumbers w:val="0"/>
              <w:jc w:val="righ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w:t>
            </w:r>
          </w:p>
        </w:tc>
        <w:tc>
          <w:tcPr>
            <w:tcW w:w="2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D4E42">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必须 ≥ 60%</w:t>
            </w:r>
          </w:p>
        </w:tc>
      </w:tr>
      <w:tr w14:paraId="23501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96FC9">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 创新项</w:t>
            </w:r>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24FB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250</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BAA5E">
            <w:pPr>
              <w:rPr>
                <w:rFonts w:hint="eastAsia" w:ascii="宋体" w:hAnsi="宋体" w:eastAsia="宋体" w:cs="宋体"/>
                <w:b w:val="0"/>
                <w:bCs w:val="0"/>
                <w:i w:val="0"/>
                <w:iCs w:val="0"/>
                <w:color w:val="000000"/>
                <w:sz w:val="21"/>
                <w:szCs w:val="21"/>
                <w:u w:val="none"/>
              </w:rPr>
            </w:pP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E3CC1">
            <w:pPr>
              <w:keepNext w:val="0"/>
              <w:keepLines w:val="0"/>
              <w:widowControl/>
              <w:suppressLineNumbers w:val="0"/>
              <w:jc w:val="righ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w:t>
            </w:r>
          </w:p>
        </w:tc>
        <w:tc>
          <w:tcPr>
            <w:tcW w:w="2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8B56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必须 ≥ 60%</w:t>
            </w:r>
          </w:p>
        </w:tc>
      </w:tr>
      <w:tr w14:paraId="21B26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20402">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 服务项</w:t>
            </w:r>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8E4A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50</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150C1">
            <w:pPr>
              <w:rPr>
                <w:rFonts w:hint="eastAsia" w:ascii="宋体" w:hAnsi="宋体" w:eastAsia="宋体" w:cs="宋体"/>
                <w:b w:val="0"/>
                <w:bCs w:val="0"/>
                <w:i w:val="0"/>
                <w:iCs w:val="0"/>
                <w:color w:val="000000"/>
                <w:sz w:val="21"/>
                <w:szCs w:val="21"/>
                <w:u w:val="none"/>
              </w:rPr>
            </w:pP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7B127">
            <w:pPr>
              <w:keepNext w:val="0"/>
              <w:keepLines w:val="0"/>
              <w:widowControl/>
              <w:suppressLineNumbers w:val="0"/>
              <w:jc w:val="righ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w:t>
            </w:r>
          </w:p>
        </w:tc>
        <w:tc>
          <w:tcPr>
            <w:tcW w:w="2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3D211">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w:t>
            </w:r>
          </w:p>
        </w:tc>
      </w:tr>
      <w:tr w14:paraId="0618E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48A61">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 加分项</w:t>
            </w:r>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89A8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50</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9AB61">
            <w:pPr>
              <w:rPr>
                <w:rFonts w:hint="eastAsia" w:ascii="宋体" w:hAnsi="宋体" w:eastAsia="宋体" w:cs="宋体"/>
                <w:b w:val="0"/>
                <w:bCs w:val="0"/>
                <w:i w:val="0"/>
                <w:iCs w:val="0"/>
                <w:color w:val="000000"/>
                <w:sz w:val="21"/>
                <w:szCs w:val="21"/>
                <w:u w:val="none"/>
              </w:rPr>
            </w:pP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B5746">
            <w:pPr>
              <w:keepNext w:val="0"/>
              <w:keepLines w:val="0"/>
              <w:widowControl/>
              <w:suppressLineNumbers w:val="0"/>
              <w:jc w:val="righ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w:t>
            </w:r>
          </w:p>
        </w:tc>
        <w:tc>
          <w:tcPr>
            <w:tcW w:w="2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B5A8E">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w:t>
            </w:r>
          </w:p>
        </w:tc>
      </w:tr>
      <w:tr w14:paraId="789D6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B9406">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综合总分</w:t>
            </w:r>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B6D1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1000</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EE331">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2"/>
                <w:szCs w:val="22"/>
                <w:u w:val="none"/>
                <w:lang w:val="en-US" w:eastAsia="zh-CN" w:bidi="ar"/>
              </w:rPr>
              <w:t>______</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D3E4E">
            <w:pPr>
              <w:jc w:val="center"/>
              <w:rPr>
                <w:rFonts w:hint="eastAsia" w:ascii="宋体" w:hAnsi="宋体" w:eastAsia="宋体" w:cs="宋体"/>
                <w:b w:val="0"/>
                <w:bCs w:val="0"/>
                <w:i w:val="0"/>
                <w:iCs w:val="0"/>
                <w:color w:val="000000"/>
                <w:sz w:val="21"/>
                <w:szCs w:val="21"/>
                <w:u w:val="none"/>
              </w:rPr>
            </w:pPr>
          </w:p>
        </w:tc>
        <w:tc>
          <w:tcPr>
            <w:tcW w:w="2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E298F">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600 分</w:t>
            </w:r>
          </w:p>
        </w:tc>
      </w:tr>
    </w:tbl>
    <w:p w14:paraId="25A840C2">
      <w:pPr>
        <w:rPr>
          <w:rFonts w:hint="eastAsia" w:ascii="宋体" w:hAnsi="宋体" w:eastAsia="宋体" w:cs="宋体"/>
          <w:szCs w:val="21"/>
        </w:rPr>
      </w:pPr>
    </w:p>
    <w:p w14:paraId="217BE974">
      <w:pPr>
        <w:keepNext w:val="0"/>
        <w:keepLines w:val="0"/>
        <w:widowControl/>
        <w:suppressLineNumbers w:val="0"/>
        <w:jc w:val="left"/>
        <w:textAlignment w:val="center"/>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评价结论：</w:t>
      </w:r>
    </w:p>
    <w:p w14:paraId="3F1D9F90">
      <w:pPr>
        <w:rPr>
          <w:rFonts w:hint="eastAsia" w:ascii="微软雅黑" w:hAnsi="微软雅黑" w:eastAsia="微软雅黑" w:cs="微软雅黑"/>
          <w:b/>
          <w:bCs/>
          <w:szCs w:val="21"/>
        </w:rPr>
      </w:pPr>
      <w:r>
        <w:rPr>
          <w:rFonts w:hint="eastAsia" w:ascii="微软雅黑" w:hAnsi="微软雅黑" w:eastAsia="微软雅黑" w:cs="微软雅黑"/>
          <w:b/>
          <w:bCs/>
          <w:szCs w:val="21"/>
        </w:rPr>
        <w:t>一票否决项核查：</w:t>
      </w:r>
    </w:p>
    <w:p w14:paraId="24775FE4">
      <w:pPr>
        <w:spacing w:line="360" w:lineRule="auto"/>
        <w:rPr>
          <w:rFonts w:hint="eastAsia" w:ascii="宋体" w:hAnsi="宋体" w:eastAsia="宋体" w:cs="宋体"/>
          <w:szCs w:val="21"/>
        </w:rPr>
      </w:pPr>
      <w:r>
        <w:rPr>
          <w:rFonts w:hint="eastAsia" w:ascii="宋体" w:hAnsi="宋体" w:eastAsia="宋体" w:cs="宋体"/>
          <w:szCs w:val="21"/>
        </w:rPr>
        <w:t>□ 无一票否决情形</w:t>
      </w:r>
    </w:p>
    <w:p w14:paraId="2AF98F22">
      <w:pPr>
        <w:spacing w:line="360" w:lineRule="auto"/>
        <w:rPr>
          <w:rFonts w:hint="eastAsia" w:ascii="宋体" w:hAnsi="宋体" w:eastAsia="宋体" w:cs="宋体"/>
          <w:szCs w:val="21"/>
        </w:rPr>
      </w:pPr>
      <w:r>
        <w:rPr>
          <w:rFonts w:hint="eastAsia" w:ascii="宋体" w:hAnsi="宋体" w:eastAsia="宋体" w:cs="宋体"/>
          <w:szCs w:val="21"/>
        </w:rPr>
        <w:t>□ 存在一票否决情形（描述：________________________________），直接判定为不合格。</w:t>
      </w:r>
    </w:p>
    <w:p w14:paraId="32E9AD04">
      <w:pPr>
        <w:rPr>
          <w:rFonts w:hint="eastAsia" w:ascii="宋体" w:hAnsi="宋体" w:eastAsia="宋体" w:cs="宋体"/>
          <w:szCs w:val="21"/>
        </w:rPr>
      </w:pPr>
    </w:p>
    <w:p w14:paraId="63273799">
      <w:pPr>
        <w:rPr>
          <w:rFonts w:hint="eastAsia" w:ascii="宋体" w:hAnsi="宋体" w:eastAsia="宋体" w:cs="宋体"/>
          <w:szCs w:val="21"/>
        </w:rPr>
      </w:pPr>
      <w:r>
        <w:rPr>
          <w:rFonts w:hint="eastAsia" w:ascii="微软雅黑" w:hAnsi="微软雅黑" w:eastAsia="微软雅黑" w:cs="微软雅黑"/>
          <w:b/>
          <w:bCs/>
          <w:i w:val="0"/>
          <w:iCs w:val="0"/>
          <w:color w:val="000000"/>
          <w:kern w:val="0"/>
          <w:sz w:val="22"/>
          <w:szCs w:val="22"/>
          <w:u w:val="none"/>
          <w:lang w:val="en-US" w:eastAsia="zh-CN" w:bidi="ar"/>
        </w:rPr>
        <w:t>等级判定： （</w:t>
      </w:r>
      <w:r>
        <w:rPr>
          <w:rFonts w:hint="eastAsia" w:ascii="宋体" w:hAnsi="宋体" w:eastAsia="宋体" w:cs="宋体"/>
          <w:szCs w:val="21"/>
        </w:rPr>
        <w:t>请在对应方框内打√</w:t>
      </w:r>
      <w:r>
        <w:rPr>
          <w:rFonts w:hint="eastAsia" w:ascii="宋体" w:hAnsi="宋体" w:eastAsia="宋体" w:cs="宋体"/>
          <w:szCs w:val="21"/>
          <w:lang w:eastAsia="zh-CN"/>
        </w:rPr>
        <w:t>）</w:t>
      </w:r>
    </w:p>
    <w:p w14:paraId="11194101">
      <w:pPr>
        <w:spacing w:line="360" w:lineRule="auto"/>
        <w:rPr>
          <w:rFonts w:hint="eastAsia" w:ascii="宋体" w:hAnsi="宋体" w:eastAsia="宋体" w:cs="宋体"/>
          <w:b w:val="0"/>
          <w:bCs w:val="0"/>
          <w:szCs w:val="21"/>
        </w:rPr>
      </w:pPr>
      <w:r>
        <w:rPr>
          <w:rFonts w:hint="eastAsia" w:ascii="宋体" w:hAnsi="宋体" w:eastAsia="宋体" w:cs="宋体"/>
          <w:b w:val="0"/>
          <w:bCs w:val="0"/>
          <w:szCs w:val="21"/>
        </w:rPr>
        <w:t>□ 高质量实验室 （总分≥880，且基础、创新项得分率均≥60%）</w:t>
      </w:r>
    </w:p>
    <w:p w14:paraId="50D69769">
      <w:pPr>
        <w:spacing w:line="360" w:lineRule="auto"/>
        <w:rPr>
          <w:rFonts w:hint="eastAsia" w:ascii="宋体" w:hAnsi="宋体" w:eastAsia="宋体" w:cs="宋体"/>
          <w:b w:val="0"/>
          <w:bCs w:val="0"/>
          <w:szCs w:val="21"/>
        </w:rPr>
      </w:pPr>
      <w:r>
        <w:rPr>
          <w:rFonts w:hint="eastAsia" w:ascii="宋体" w:hAnsi="宋体" w:eastAsia="宋体" w:cs="宋体"/>
          <w:b w:val="0"/>
          <w:bCs w:val="0"/>
          <w:szCs w:val="21"/>
        </w:rPr>
        <w:t>□ 优质实验室 （749 ≤ 总分 ≤ 879，且基础、创新项得分率均≥60%）</w:t>
      </w:r>
    </w:p>
    <w:p w14:paraId="3505BF11">
      <w:pPr>
        <w:spacing w:line="360" w:lineRule="auto"/>
        <w:rPr>
          <w:rFonts w:hint="eastAsia" w:ascii="宋体" w:hAnsi="宋体" w:eastAsia="宋体" w:cs="宋体"/>
          <w:b w:val="0"/>
          <w:bCs w:val="0"/>
          <w:szCs w:val="21"/>
        </w:rPr>
      </w:pPr>
      <w:r>
        <w:rPr>
          <w:rFonts w:hint="eastAsia" w:ascii="宋体" w:hAnsi="宋体" w:eastAsia="宋体" w:cs="宋体"/>
          <w:b w:val="0"/>
          <w:bCs w:val="0"/>
          <w:szCs w:val="21"/>
        </w:rPr>
        <w:t>□ 达标实验室 （600 ≤ 总分 ≤ 748，且基础、创新项得分率均≥60%）</w:t>
      </w:r>
    </w:p>
    <w:p w14:paraId="68889EDD">
      <w:pPr>
        <w:spacing w:line="360" w:lineRule="auto"/>
        <w:rPr>
          <w:rFonts w:hint="eastAsia" w:ascii="宋体" w:hAnsi="宋体" w:eastAsia="宋体" w:cs="宋体"/>
          <w:b w:val="0"/>
          <w:bCs w:val="0"/>
          <w:szCs w:val="21"/>
        </w:rPr>
      </w:pPr>
      <w:r>
        <w:rPr>
          <w:rFonts w:hint="eastAsia" w:ascii="宋体" w:hAnsi="宋体" w:eastAsia="宋体" w:cs="宋体"/>
          <w:b w:val="0"/>
          <w:bCs w:val="0"/>
          <w:szCs w:val="21"/>
        </w:rPr>
        <w:t xml:space="preserve">□ </w:t>
      </w:r>
      <w:r>
        <w:rPr>
          <w:rFonts w:hint="eastAsia" w:ascii="宋体" w:hAnsi="宋体" w:eastAsia="宋体" w:cs="宋体"/>
          <w:b w:val="0"/>
          <w:bCs w:val="0"/>
          <w:szCs w:val="21"/>
          <w:lang w:val="en-US" w:eastAsia="zh-CN"/>
        </w:rPr>
        <w:t>没有附加分</w:t>
      </w:r>
      <w:r>
        <w:rPr>
          <w:rFonts w:hint="eastAsia" w:ascii="宋体" w:hAnsi="宋体" w:eastAsia="宋体" w:cs="宋体"/>
          <w:b w:val="0"/>
          <w:bCs w:val="0"/>
          <w:szCs w:val="21"/>
        </w:rPr>
        <w:t>高质量实验室 （总分≥8</w:t>
      </w:r>
      <w:r>
        <w:rPr>
          <w:rFonts w:hint="eastAsia" w:ascii="宋体" w:hAnsi="宋体" w:eastAsia="宋体" w:cs="宋体"/>
          <w:b w:val="0"/>
          <w:bCs w:val="0"/>
          <w:szCs w:val="21"/>
          <w:lang w:val="en-US" w:eastAsia="zh-CN"/>
        </w:rPr>
        <w:t>5</w:t>
      </w:r>
      <w:r>
        <w:rPr>
          <w:rFonts w:hint="eastAsia" w:ascii="宋体" w:hAnsi="宋体" w:eastAsia="宋体" w:cs="宋体"/>
          <w:b w:val="0"/>
          <w:bCs w:val="0"/>
          <w:szCs w:val="21"/>
        </w:rPr>
        <w:t>0，且基础、创新项得分率均≥60%）</w:t>
      </w:r>
    </w:p>
    <w:p w14:paraId="5958756C">
      <w:pPr>
        <w:spacing w:line="360" w:lineRule="auto"/>
        <w:rPr>
          <w:rFonts w:hint="eastAsia" w:ascii="宋体" w:hAnsi="宋体" w:eastAsia="宋体" w:cs="宋体"/>
          <w:b w:val="0"/>
          <w:bCs w:val="0"/>
          <w:szCs w:val="21"/>
        </w:rPr>
      </w:pPr>
      <w:r>
        <w:rPr>
          <w:rFonts w:hint="eastAsia" w:ascii="宋体" w:hAnsi="宋体" w:eastAsia="宋体" w:cs="宋体"/>
          <w:b w:val="0"/>
          <w:bCs w:val="0"/>
          <w:szCs w:val="21"/>
        </w:rPr>
        <w:t xml:space="preserve">□ </w:t>
      </w:r>
      <w:r>
        <w:rPr>
          <w:rFonts w:hint="eastAsia" w:ascii="宋体" w:hAnsi="宋体" w:eastAsia="宋体" w:cs="宋体"/>
          <w:b w:val="0"/>
          <w:bCs w:val="0"/>
          <w:szCs w:val="21"/>
          <w:lang w:val="en-US" w:eastAsia="zh-CN"/>
        </w:rPr>
        <w:t>没有附加分</w:t>
      </w:r>
      <w:r>
        <w:rPr>
          <w:rFonts w:hint="eastAsia" w:ascii="宋体" w:hAnsi="宋体" w:eastAsia="宋体" w:cs="宋体"/>
          <w:b w:val="0"/>
          <w:bCs w:val="0"/>
          <w:szCs w:val="21"/>
        </w:rPr>
        <w:t>优质实验室 （7</w:t>
      </w:r>
      <w:r>
        <w:rPr>
          <w:rFonts w:hint="eastAsia" w:ascii="宋体" w:hAnsi="宋体" w:eastAsia="宋体" w:cs="宋体"/>
          <w:b w:val="0"/>
          <w:bCs w:val="0"/>
          <w:szCs w:val="21"/>
          <w:lang w:val="en-US" w:eastAsia="zh-CN"/>
        </w:rPr>
        <w:t>1</w:t>
      </w:r>
      <w:r>
        <w:rPr>
          <w:rFonts w:hint="eastAsia" w:ascii="宋体" w:hAnsi="宋体" w:eastAsia="宋体" w:cs="宋体"/>
          <w:b w:val="0"/>
          <w:bCs w:val="0"/>
          <w:szCs w:val="21"/>
        </w:rPr>
        <w:t>9 ≤ 总分 ≤ 8</w:t>
      </w:r>
      <w:r>
        <w:rPr>
          <w:rFonts w:hint="eastAsia" w:ascii="宋体" w:hAnsi="宋体" w:eastAsia="宋体" w:cs="宋体"/>
          <w:b w:val="0"/>
          <w:bCs w:val="0"/>
          <w:szCs w:val="21"/>
          <w:lang w:val="en-US" w:eastAsia="zh-CN"/>
        </w:rPr>
        <w:t>4</w:t>
      </w:r>
      <w:r>
        <w:rPr>
          <w:rFonts w:hint="eastAsia" w:ascii="宋体" w:hAnsi="宋体" w:eastAsia="宋体" w:cs="宋体"/>
          <w:b w:val="0"/>
          <w:bCs w:val="0"/>
          <w:szCs w:val="21"/>
        </w:rPr>
        <w:t>9，且基础、创新项得分率均≥60%）</w:t>
      </w:r>
    </w:p>
    <w:p w14:paraId="18130569">
      <w:pPr>
        <w:spacing w:line="360" w:lineRule="auto"/>
        <w:rPr>
          <w:rFonts w:hint="eastAsia" w:ascii="宋体" w:hAnsi="宋体" w:eastAsia="宋体" w:cs="宋体"/>
          <w:b w:val="0"/>
          <w:bCs w:val="0"/>
          <w:szCs w:val="21"/>
        </w:rPr>
      </w:pPr>
      <w:r>
        <w:rPr>
          <w:rFonts w:hint="eastAsia" w:ascii="宋体" w:hAnsi="宋体" w:eastAsia="宋体" w:cs="宋体"/>
          <w:b w:val="0"/>
          <w:bCs w:val="0"/>
          <w:szCs w:val="21"/>
        </w:rPr>
        <w:t xml:space="preserve">□ </w:t>
      </w:r>
      <w:r>
        <w:rPr>
          <w:rFonts w:hint="eastAsia" w:ascii="宋体" w:hAnsi="宋体" w:eastAsia="宋体" w:cs="宋体"/>
          <w:b w:val="0"/>
          <w:bCs w:val="0"/>
          <w:szCs w:val="21"/>
          <w:lang w:val="en-US" w:eastAsia="zh-CN"/>
        </w:rPr>
        <w:t>没有附加分</w:t>
      </w:r>
      <w:r>
        <w:rPr>
          <w:rFonts w:hint="eastAsia" w:ascii="宋体" w:hAnsi="宋体" w:eastAsia="宋体" w:cs="宋体"/>
          <w:b w:val="0"/>
          <w:bCs w:val="0"/>
          <w:szCs w:val="21"/>
        </w:rPr>
        <w:t>达标实验室 （600 ≤ 总分 ≤ 7</w:t>
      </w:r>
      <w:r>
        <w:rPr>
          <w:rFonts w:hint="eastAsia" w:ascii="宋体" w:hAnsi="宋体" w:eastAsia="宋体" w:cs="宋体"/>
          <w:b w:val="0"/>
          <w:bCs w:val="0"/>
          <w:szCs w:val="21"/>
          <w:lang w:val="en-US" w:eastAsia="zh-CN"/>
        </w:rPr>
        <w:t>1</w:t>
      </w:r>
      <w:r>
        <w:rPr>
          <w:rFonts w:hint="eastAsia" w:ascii="宋体" w:hAnsi="宋体" w:eastAsia="宋体" w:cs="宋体"/>
          <w:b w:val="0"/>
          <w:bCs w:val="0"/>
          <w:szCs w:val="21"/>
        </w:rPr>
        <w:t>8，且基础、创新项得分率均≥60%）</w:t>
      </w:r>
    </w:p>
    <w:p w14:paraId="09DCE7B5">
      <w:pPr>
        <w:spacing w:line="360" w:lineRule="auto"/>
        <w:rPr>
          <w:rFonts w:hint="eastAsia" w:ascii="宋体" w:hAnsi="宋体" w:eastAsia="宋体" w:cs="宋体"/>
          <w:b w:val="0"/>
          <w:bCs w:val="0"/>
          <w:szCs w:val="21"/>
        </w:rPr>
      </w:pPr>
      <w:r>
        <w:rPr>
          <w:rFonts w:hint="eastAsia" w:ascii="宋体" w:hAnsi="宋体" w:eastAsia="宋体" w:cs="宋体"/>
          <w:b w:val="0"/>
          <w:bCs w:val="0"/>
          <w:szCs w:val="21"/>
        </w:rPr>
        <w:t>□ 不合格 （总分＜600 或 基础/创新项得分率＜60%）</w:t>
      </w:r>
    </w:p>
    <w:p w14:paraId="77BD5082">
      <w:pPr>
        <w:rPr>
          <w:rFonts w:hint="eastAsia" w:ascii="宋体" w:hAnsi="宋体" w:eastAsia="宋体" w:cs="宋体"/>
          <w:szCs w:val="21"/>
        </w:rPr>
      </w:pPr>
    </w:p>
    <w:p w14:paraId="0B9DA976">
      <w:pPr>
        <w:rPr>
          <w:rFonts w:hint="eastAsia" w:ascii="微软雅黑" w:hAnsi="微软雅黑" w:eastAsia="微软雅黑" w:cs="微软雅黑"/>
          <w:b/>
          <w:bCs/>
          <w:i w:val="0"/>
          <w:iCs w:val="0"/>
          <w:color w:val="000000"/>
          <w:kern w:val="0"/>
          <w:sz w:val="22"/>
          <w:szCs w:val="22"/>
          <w:u w:val="none"/>
          <w:lang w:val="en-US" w:eastAsia="zh-CN" w:bidi="ar"/>
        </w:rPr>
      </w:pPr>
      <w:r>
        <w:rPr>
          <w:rFonts w:hint="eastAsia" w:ascii="微软雅黑" w:hAnsi="微软雅黑" w:eastAsia="微软雅黑" w:cs="微软雅黑"/>
          <w:b/>
          <w:bCs/>
          <w:i w:val="0"/>
          <w:iCs w:val="0"/>
          <w:color w:val="000000"/>
          <w:kern w:val="0"/>
          <w:sz w:val="22"/>
          <w:szCs w:val="22"/>
          <w:u w:val="none"/>
          <w:lang w:val="en-US" w:eastAsia="zh-CN" w:bidi="ar"/>
        </w:rPr>
        <w:t>主要问题及整改建议：</w:t>
      </w:r>
    </w:p>
    <w:p w14:paraId="4B92FF4A">
      <w:pPr>
        <w:rPr>
          <w:rFonts w:hint="eastAsia" w:ascii="宋体" w:hAnsi="宋体" w:eastAsia="宋体" w:cs="宋体"/>
          <w:szCs w:val="21"/>
        </w:rPr>
      </w:pPr>
    </w:p>
    <w:p w14:paraId="6763D86C">
      <w:pPr>
        <w:rPr>
          <w:rFonts w:hint="eastAsia" w:ascii="宋体" w:hAnsi="宋体" w:eastAsia="宋体" w:cs="宋体"/>
          <w:szCs w:val="21"/>
        </w:rPr>
      </w:pPr>
      <w:r>
        <w:rPr>
          <w:rFonts w:hint="eastAsia" w:ascii="宋体" w:hAnsi="宋体" w:eastAsia="宋体" w:cs="宋体"/>
          <w:szCs w:val="21"/>
        </w:rPr>
        <w:t>________________________________________________________________________</w:t>
      </w:r>
    </w:p>
    <w:p w14:paraId="1BD9B787">
      <w:pPr>
        <w:rPr>
          <w:rFonts w:hint="eastAsia" w:ascii="宋体" w:hAnsi="宋体" w:eastAsia="宋体" w:cs="宋体"/>
          <w:szCs w:val="21"/>
        </w:rPr>
      </w:pPr>
      <w:r>
        <w:rPr>
          <w:rFonts w:hint="eastAsia" w:ascii="宋体" w:hAnsi="宋体" w:eastAsia="宋体" w:cs="宋体"/>
          <w:szCs w:val="21"/>
        </w:rPr>
        <w:t>_________________________________________________________________________</w:t>
      </w:r>
    </w:p>
    <w:p w14:paraId="59368FFF">
      <w:pPr>
        <w:rPr>
          <w:rFonts w:hint="eastAsia" w:ascii="宋体" w:hAnsi="宋体" w:eastAsia="宋体" w:cs="宋体"/>
          <w:szCs w:val="21"/>
        </w:rPr>
      </w:pPr>
      <w:r>
        <w:rPr>
          <w:rFonts w:hint="eastAsia" w:ascii="宋体" w:hAnsi="宋体" w:eastAsia="宋体" w:cs="宋体"/>
          <w:szCs w:val="21"/>
        </w:rPr>
        <w:t>_________________________________________________________________________</w:t>
      </w:r>
    </w:p>
    <w:p w14:paraId="7E635534">
      <w:pPr>
        <w:rPr>
          <w:rFonts w:hint="eastAsia" w:ascii="宋体" w:hAnsi="宋体" w:eastAsia="宋体" w:cs="宋体"/>
          <w:szCs w:val="21"/>
        </w:rPr>
      </w:pPr>
    </w:p>
    <w:p w14:paraId="09F4C741">
      <w:pPr>
        <w:rPr>
          <w:rFonts w:hint="eastAsia" w:ascii="宋体" w:hAnsi="宋体" w:eastAsia="宋体" w:cs="宋体"/>
          <w:szCs w:val="21"/>
        </w:rPr>
      </w:pPr>
    </w:p>
    <w:tbl>
      <w:tblPr>
        <w:tblStyle w:val="15"/>
        <w:tblW w:w="10950" w:type="dxa"/>
        <w:tblInd w:w="-57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205"/>
        <w:gridCol w:w="3881"/>
        <w:gridCol w:w="3864"/>
      </w:tblGrid>
      <w:tr w14:paraId="0814F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3205" w:type="dxa"/>
            <w:vMerge w:val="restart"/>
            <w:tcBorders>
              <w:top w:val="single" w:color="auto" w:sz="4" w:space="0"/>
              <w:left w:val="single" w:color="auto" w:sz="4" w:space="0"/>
              <w:right w:val="single" w:color="auto" w:sz="4" w:space="0"/>
            </w:tcBorders>
            <w:shd w:val="clear" w:color="auto" w:fill="auto"/>
            <w:noWrap/>
            <w:vAlign w:val="center"/>
          </w:tcPr>
          <w:p w14:paraId="392AE556">
            <w:pPr>
              <w:keepNext w:val="0"/>
              <w:keepLines w:val="0"/>
              <w:widowControl/>
              <w:suppressLineNumbers w:val="0"/>
              <w:jc w:val="left"/>
              <w:textAlignment w:val="center"/>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评审专家组</w:t>
            </w:r>
          </w:p>
        </w:tc>
        <w:tc>
          <w:tcPr>
            <w:tcW w:w="3881" w:type="dxa"/>
            <w:tcBorders>
              <w:top w:val="single" w:color="auto" w:sz="4" w:space="0"/>
              <w:left w:val="single" w:color="auto" w:sz="4" w:space="0"/>
              <w:bottom w:val="single" w:color="auto" w:sz="4" w:space="0"/>
              <w:right w:val="single" w:color="auto" w:sz="4" w:space="0"/>
            </w:tcBorders>
            <w:shd w:val="clear" w:color="auto" w:fill="auto"/>
            <w:vAlign w:val="bottom"/>
          </w:tcPr>
          <w:p w14:paraId="263AD45D">
            <w:pPr>
              <w:keepNext w:val="0"/>
              <w:keepLines w:val="0"/>
              <w:widowControl/>
              <w:suppressLineNumbers w:val="0"/>
              <w:spacing w:line="480" w:lineRule="auto"/>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评审组长：       </w:t>
            </w:r>
          </w:p>
        </w:tc>
        <w:tc>
          <w:tcPr>
            <w:tcW w:w="3864" w:type="dxa"/>
            <w:tcBorders>
              <w:top w:val="single" w:color="auto" w:sz="4" w:space="0"/>
              <w:left w:val="single" w:color="auto" w:sz="4" w:space="0"/>
              <w:bottom w:val="single" w:color="auto" w:sz="4" w:space="0"/>
              <w:right w:val="single" w:color="auto" w:sz="4" w:space="0"/>
            </w:tcBorders>
            <w:shd w:val="clear" w:color="auto" w:fill="auto"/>
            <w:vAlign w:val="bottom"/>
          </w:tcPr>
          <w:p w14:paraId="0940DE31">
            <w:pPr>
              <w:keepNext w:val="0"/>
              <w:keepLines w:val="0"/>
              <w:widowControl/>
              <w:suppressLineNumbers w:val="0"/>
              <w:spacing w:line="480" w:lineRule="auto"/>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认证专家编号：</w:t>
            </w:r>
          </w:p>
        </w:tc>
      </w:tr>
      <w:tr w14:paraId="7939C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3205" w:type="dxa"/>
            <w:vMerge w:val="continue"/>
            <w:tcBorders>
              <w:left w:val="single" w:color="auto" w:sz="4" w:space="0"/>
              <w:right w:val="single" w:color="auto" w:sz="4" w:space="0"/>
            </w:tcBorders>
            <w:shd w:val="clear" w:color="auto" w:fill="auto"/>
            <w:noWrap/>
            <w:vAlign w:val="center"/>
          </w:tcPr>
          <w:p w14:paraId="0834ADEF">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3881" w:type="dxa"/>
            <w:tcBorders>
              <w:top w:val="single" w:color="auto" w:sz="4" w:space="0"/>
              <w:left w:val="single" w:color="auto" w:sz="4" w:space="0"/>
              <w:bottom w:val="single" w:color="auto" w:sz="4" w:space="0"/>
              <w:right w:val="single" w:color="auto" w:sz="4" w:space="0"/>
            </w:tcBorders>
            <w:shd w:val="clear" w:color="auto" w:fill="auto"/>
            <w:vAlign w:val="bottom"/>
          </w:tcPr>
          <w:p w14:paraId="142D226D">
            <w:pPr>
              <w:keepNext w:val="0"/>
              <w:keepLines w:val="0"/>
              <w:widowControl/>
              <w:suppressLineNumbers w:val="0"/>
              <w:spacing w:line="480" w:lineRule="auto"/>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评审成员：</w:t>
            </w:r>
          </w:p>
        </w:tc>
        <w:tc>
          <w:tcPr>
            <w:tcW w:w="3864" w:type="dxa"/>
            <w:tcBorders>
              <w:top w:val="single" w:color="auto" w:sz="4" w:space="0"/>
              <w:left w:val="single" w:color="auto" w:sz="4" w:space="0"/>
              <w:bottom w:val="single" w:color="auto" w:sz="4" w:space="0"/>
              <w:right w:val="single" w:color="auto" w:sz="4" w:space="0"/>
            </w:tcBorders>
            <w:shd w:val="clear" w:color="auto" w:fill="auto"/>
            <w:vAlign w:val="bottom"/>
          </w:tcPr>
          <w:p w14:paraId="1B5388CC">
            <w:pPr>
              <w:keepNext w:val="0"/>
              <w:keepLines w:val="0"/>
              <w:widowControl/>
              <w:suppressLineNumbers w:val="0"/>
              <w:spacing w:line="480" w:lineRule="auto"/>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认证专家编号：</w:t>
            </w:r>
          </w:p>
        </w:tc>
      </w:tr>
      <w:tr w14:paraId="2318C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3205" w:type="dxa"/>
            <w:vMerge w:val="continue"/>
            <w:tcBorders>
              <w:left w:val="single" w:color="auto" w:sz="4" w:space="0"/>
              <w:right w:val="single" w:color="auto" w:sz="4" w:space="0"/>
            </w:tcBorders>
            <w:shd w:val="clear" w:color="auto" w:fill="auto"/>
            <w:noWrap/>
            <w:vAlign w:val="center"/>
          </w:tcPr>
          <w:p w14:paraId="112EA7D7">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3881" w:type="dxa"/>
            <w:tcBorders>
              <w:top w:val="single" w:color="auto" w:sz="4" w:space="0"/>
              <w:left w:val="single" w:color="auto" w:sz="4" w:space="0"/>
              <w:bottom w:val="single" w:color="auto" w:sz="4" w:space="0"/>
              <w:right w:val="single" w:color="auto" w:sz="4" w:space="0"/>
            </w:tcBorders>
            <w:shd w:val="clear" w:color="auto" w:fill="auto"/>
            <w:vAlign w:val="bottom"/>
          </w:tcPr>
          <w:p w14:paraId="71AB5434">
            <w:pPr>
              <w:keepNext w:val="0"/>
              <w:keepLines w:val="0"/>
              <w:widowControl/>
              <w:suppressLineNumbers w:val="0"/>
              <w:spacing w:line="480" w:lineRule="auto"/>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评审成员：</w:t>
            </w:r>
          </w:p>
        </w:tc>
        <w:tc>
          <w:tcPr>
            <w:tcW w:w="3864" w:type="dxa"/>
            <w:tcBorders>
              <w:top w:val="single" w:color="auto" w:sz="4" w:space="0"/>
              <w:left w:val="single" w:color="auto" w:sz="4" w:space="0"/>
              <w:bottom w:val="single" w:color="auto" w:sz="4" w:space="0"/>
              <w:right w:val="single" w:color="auto" w:sz="4" w:space="0"/>
            </w:tcBorders>
            <w:shd w:val="clear" w:color="auto" w:fill="auto"/>
            <w:vAlign w:val="bottom"/>
          </w:tcPr>
          <w:p w14:paraId="4C113EB0">
            <w:pPr>
              <w:keepNext w:val="0"/>
              <w:keepLines w:val="0"/>
              <w:widowControl/>
              <w:suppressLineNumbers w:val="0"/>
              <w:spacing w:line="480" w:lineRule="auto"/>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认证专家编号：</w:t>
            </w:r>
          </w:p>
        </w:tc>
      </w:tr>
      <w:tr w14:paraId="69DF5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3205" w:type="dxa"/>
            <w:vMerge w:val="continue"/>
            <w:tcBorders>
              <w:left w:val="single" w:color="auto" w:sz="4" w:space="0"/>
              <w:right w:val="single" w:color="auto" w:sz="4" w:space="0"/>
            </w:tcBorders>
            <w:shd w:val="clear" w:color="auto" w:fill="auto"/>
            <w:noWrap/>
            <w:vAlign w:val="center"/>
          </w:tcPr>
          <w:p w14:paraId="67CC8831">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3881" w:type="dxa"/>
            <w:tcBorders>
              <w:top w:val="single" w:color="auto" w:sz="4" w:space="0"/>
              <w:left w:val="single" w:color="auto" w:sz="4" w:space="0"/>
              <w:bottom w:val="single" w:color="auto" w:sz="4" w:space="0"/>
              <w:right w:val="single" w:color="auto" w:sz="4" w:space="0"/>
            </w:tcBorders>
            <w:shd w:val="clear" w:color="auto" w:fill="auto"/>
            <w:vAlign w:val="bottom"/>
          </w:tcPr>
          <w:p w14:paraId="20D6BA53">
            <w:pPr>
              <w:keepNext w:val="0"/>
              <w:keepLines w:val="0"/>
              <w:widowControl/>
              <w:suppressLineNumbers w:val="0"/>
              <w:spacing w:line="480" w:lineRule="auto"/>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评审成员：</w:t>
            </w:r>
          </w:p>
        </w:tc>
        <w:tc>
          <w:tcPr>
            <w:tcW w:w="3864" w:type="dxa"/>
            <w:tcBorders>
              <w:top w:val="single" w:color="auto" w:sz="4" w:space="0"/>
              <w:left w:val="single" w:color="auto" w:sz="4" w:space="0"/>
              <w:bottom w:val="single" w:color="auto" w:sz="4" w:space="0"/>
              <w:right w:val="single" w:color="auto" w:sz="4" w:space="0"/>
            </w:tcBorders>
            <w:shd w:val="clear" w:color="auto" w:fill="auto"/>
            <w:vAlign w:val="bottom"/>
          </w:tcPr>
          <w:p w14:paraId="34F38A81">
            <w:pPr>
              <w:keepNext w:val="0"/>
              <w:keepLines w:val="0"/>
              <w:widowControl/>
              <w:suppressLineNumbers w:val="0"/>
              <w:spacing w:line="480" w:lineRule="auto"/>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认证专家编号：</w:t>
            </w:r>
          </w:p>
        </w:tc>
      </w:tr>
      <w:tr w14:paraId="139C2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3205" w:type="dxa"/>
            <w:vMerge w:val="continue"/>
            <w:tcBorders>
              <w:left w:val="single" w:color="auto" w:sz="4" w:space="0"/>
              <w:bottom w:val="single" w:color="auto" w:sz="4" w:space="0"/>
              <w:right w:val="single" w:color="auto" w:sz="4" w:space="0"/>
            </w:tcBorders>
            <w:shd w:val="clear" w:color="auto" w:fill="auto"/>
            <w:noWrap/>
            <w:vAlign w:val="center"/>
          </w:tcPr>
          <w:p w14:paraId="4C48746D">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3881" w:type="dxa"/>
            <w:tcBorders>
              <w:top w:val="single" w:color="auto" w:sz="4" w:space="0"/>
              <w:left w:val="single" w:color="auto" w:sz="4" w:space="0"/>
              <w:bottom w:val="single" w:color="auto" w:sz="4" w:space="0"/>
              <w:right w:val="single" w:color="auto" w:sz="4" w:space="0"/>
            </w:tcBorders>
            <w:shd w:val="clear" w:color="auto" w:fill="auto"/>
            <w:vAlign w:val="bottom"/>
          </w:tcPr>
          <w:p w14:paraId="02CD34B0">
            <w:pPr>
              <w:keepNext w:val="0"/>
              <w:keepLines w:val="0"/>
              <w:widowControl/>
              <w:suppressLineNumbers w:val="0"/>
              <w:spacing w:line="480" w:lineRule="auto"/>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评审成员：</w:t>
            </w:r>
          </w:p>
        </w:tc>
        <w:tc>
          <w:tcPr>
            <w:tcW w:w="3864" w:type="dxa"/>
            <w:tcBorders>
              <w:top w:val="single" w:color="auto" w:sz="4" w:space="0"/>
              <w:left w:val="single" w:color="auto" w:sz="4" w:space="0"/>
              <w:bottom w:val="single" w:color="auto" w:sz="4" w:space="0"/>
              <w:right w:val="single" w:color="auto" w:sz="4" w:space="0"/>
            </w:tcBorders>
            <w:shd w:val="clear" w:color="auto" w:fill="auto"/>
            <w:vAlign w:val="bottom"/>
          </w:tcPr>
          <w:p w14:paraId="267959F2">
            <w:pPr>
              <w:keepNext w:val="0"/>
              <w:keepLines w:val="0"/>
              <w:widowControl/>
              <w:suppressLineNumbers w:val="0"/>
              <w:spacing w:line="480" w:lineRule="auto"/>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认证专家编号：</w:t>
            </w:r>
          </w:p>
        </w:tc>
      </w:tr>
      <w:tr w14:paraId="695B5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9" w:hRule="atLeast"/>
        </w:trPr>
        <w:tc>
          <w:tcPr>
            <w:tcW w:w="32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4F41D6">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评价机构盖章</w:t>
            </w:r>
          </w:p>
        </w:tc>
        <w:tc>
          <w:tcPr>
            <w:tcW w:w="3881" w:type="dxa"/>
            <w:tcBorders>
              <w:top w:val="single" w:color="auto" w:sz="4" w:space="0"/>
              <w:left w:val="single" w:color="auto" w:sz="4" w:space="0"/>
              <w:bottom w:val="single" w:color="auto" w:sz="4" w:space="0"/>
              <w:right w:val="single" w:color="auto" w:sz="4" w:space="0"/>
            </w:tcBorders>
            <w:shd w:val="clear" w:color="auto" w:fill="auto"/>
            <w:vAlign w:val="center"/>
          </w:tcPr>
          <w:p w14:paraId="02E55B9A">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p w14:paraId="4F657FB0">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中国电子节能技术协会</w:t>
            </w:r>
          </w:p>
          <w:p w14:paraId="62B19347">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（盖章）</w:t>
            </w:r>
          </w:p>
          <w:p w14:paraId="6595682C">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p>
        </w:tc>
        <w:tc>
          <w:tcPr>
            <w:tcW w:w="3864" w:type="dxa"/>
            <w:tcBorders>
              <w:top w:val="single" w:color="auto" w:sz="4" w:space="0"/>
              <w:left w:val="single" w:color="auto" w:sz="4" w:space="0"/>
              <w:bottom w:val="single" w:color="auto" w:sz="4" w:space="0"/>
              <w:right w:val="single" w:color="auto" w:sz="4" w:space="0"/>
            </w:tcBorders>
            <w:shd w:val="clear" w:color="auto" w:fill="auto"/>
            <w:vAlign w:val="center"/>
          </w:tcPr>
          <w:p w14:paraId="67F8D7B8">
            <w:pPr>
              <w:keepNext w:val="0"/>
              <w:keepLines w:val="0"/>
              <w:widowControl/>
              <w:suppressLineNumbers w:val="0"/>
              <w:ind w:firstLine="843" w:firstLineChars="400"/>
              <w:jc w:val="both"/>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授权实验室认证机构</w:t>
            </w:r>
          </w:p>
          <w:p w14:paraId="4010026C">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（盖章）</w:t>
            </w:r>
          </w:p>
        </w:tc>
      </w:tr>
      <w:tr w14:paraId="1E9E3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0" w:hRule="atLeast"/>
        </w:trPr>
        <w:tc>
          <w:tcPr>
            <w:tcW w:w="32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027982">
            <w:pPr>
              <w:keepNext w:val="0"/>
              <w:keepLines w:val="0"/>
              <w:widowControl/>
              <w:suppressLineNumbers w:val="0"/>
              <w:jc w:val="left"/>
              <w:textAlignment w:val="center"/>
              <w:rPr>
                <w:rFonts w:hint="default"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实验室签字</w:t>
            </w:r>
          </w:p>
        </w:tc>
        <w:tc>
          <w:tcPr>
            <w:tcW w:w="774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5AC25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r>
    </w:tbl>
    <w:p w14:paraId="386F04C6">
      <w:pPr>
        <w:rPr>
          <w:rFonts w:hint="eastAsia" w:ascii="宋体" w:hAnsi="宋体" w:eastAsia="宋体" w:cs="宋体"/>
          <w:szCs w:val="21"/>
        </w:rPr>
      </w:pPr>
    </w:p>
    <w:p w14:paraId="612A3B7E">
      <w:pPr>
        <w:rPr>
          <w:rFonts w:ascii="宋体" w:hAnsi="宋体" w:eastAsia="宋体" w:cs="宋体"/>
          <w:sz w:val="21"/>
          <w:szCs w:val="21"/>
        </w:rPr>
      </w:pPr>
      <w:r>
        <w:rPr>
          <w:rFonts w:hint="eastAsia" w:ascii="宋体" w:hAnsi="宋体" w:eastAsia="宋体" w:cs="宋体"/>
          <w:sz w:val="21"/>
          <w:szCs w:val="21"/>
        </w:rPr>
        <w:t xml:space="preserve">备注： </w:t>
      </w:r>
    </w:p>
    <w:p w14:paraId="2C3930AF">
      <w:pPr>
        <w:numPr>
          <w:ilvl w:val="0"/>
          <w:numId w:val="16"/>
        </w:numPr>
        <w:spacing w:line="360" w:lineRule="auto"/>
        <w:rPr>
          <w:rFonts w:ascii="宋体" w:hAnsi="宋体" w:eastAsia="宋体" w:cs="宋体"/>
          <w:sz w:val="21"/>
          <w:szCs w:val="21"/>
        </w:rPr>
      </w:pPr>
      <w:r>
        <w:rPr>
          <w:rFonts w:hint="eastAsia" w:ascii="宋体" w:hAnsi="宋体" w:eastAsia="宋体" w:cs="宋体"/>
          <w:sz w:val="21"/>
          <w:szCs w:val="21"/>
        </w:rPr>
        <w:t>请随本表一并提交所有“支撑材料”清单所列文件（电子版+纸质盖章版）；</w:t>
      </w:r>
    </w:p>
    <w:p w14:paraId="290D703C">
      <w:pPr>
        <w:numPr>
          <w:ilvl w:val="0"/>
          <w:numId w:val="16"/>
        </w:numPr>
        <w:spacing w:line="360" w:lineRule="auto"/>
        <w:rPr>
          <w:rFonts w:ascii="宋体" w:hAnsi="宋体" w:eastAsia="宋体" w:cs="宋体"/>
          <w:sz w:val="21"/>
          <w:szCs w:val="21"/>
        </w:rPr>
      </w:pPr>
      <w:r>
        <w:rPr>
          <w:rFonts w:hint="eastAsia" w:ascii="宋体" w:hAnsi="宋体" w:eastAsia="宋体" w:cs="宋体"/>
          <w:sz w:val="21"/>
          <w:szCs w:val="21"/>
        </w:rPr>
        <w:t>未如实填报或提供虚假材料者，评价机构有权终止评审并记入信用档案；</w:t>
      </w:r>
    </w:p>
    <w:p w14:paraId="60A635DA">
      <w:pPr>
        <w:numPr>
          <w:ilvl w:val="0"/>
          <w:numId w:val="16"/>
        </w:numPr>
        <w:spacing w:line="360" w:lineRule="auto"/>
        <w:rPr>
          <w:rFonts w:ascii="宋体" w:hAnsi="宋体" w:eastAsia="宋体" w:cs="宋体"/>
          <w:sz w:val="21"/>
          <w:szCs w:val="21"/>
        </w:rPr>
      </w:pPr>
      <w:r>
        <w:rPr>
          <w:rFonts w:hint="eastAsia" w:ascii="宋体" w:hAnsi="宋体" w:eastAsia="宋体" w:cs="宋体"/>
          <w:sz w:val="21"/>
          <w:szCs w:val="21"/>
        </w:rPr>
        <w:t>本表为规范性附录，是评价申请的必要组成部分。</w:t>
      </w:r>
    </w:p>
    <w:p w14:paraId="3090AD3C">
      <w:pPr>
        <w:numPr>
          <w:ilvl w:val="0"/>
          <w:numId w:val="16"/>
        </w:numPr>
        <w:spacing w:line="360" w:lineRule="auto"/>
        <w:rPr>
          <w:rFonts w:ascii="宋体" w:hAnsi="宋体" w:eastAsia="宋体" w:cs="宋体"/>
          <w:sz w:val="21"/>
          <w:szCs w:val="21"/>
        </w:rPr>
      </w:pPr>
      <w:r>
        <w:rPr>
          <w:rFonts w:hint="eastAsia" w:ascii="宋体" w:hAnsi="宋体" w:eastAsia="宋体" w:cs="宋体"/>
          <w:sz w:val="21"/>
          <w:szCs w:val="21"/>
        </w:rPr>
        <w:t xml:space="preserve">本核查表为资料性附录，供现场评审使用，不作为实验室申请材料。 </w:t>
      </w:r>
    </w:p>
    <w:p w14:paraId="32A37C91">
      <w:pPr>
        <w:jc w:val="left"/>
        <w:outlineLvl w:val="0"/>
        <w:rPr>
          <w:rStyle w:val="23"/>
          <w:rFonts w:ascii="黑体" w:hAnsi="黑体" w:eastAsia="黑体" w:cs="Times New Roman"/>
          <w:szCs w:val="21"/>
        </w:rPr>
      </w:pPr>
    </w:p>
    <w:p w14:paraId="58559FC0">
      <w:pPr>
        <w:jc w:val="left"/>
        <w:outlineLvl w:val="0"/>
        <w:rPr>
          <w:rStyle w:val="23"/>
          <w:rFonts w:ascii="黑体" w:hAnsi="黑体" w:eastAsia="黑体" w:cs="Times New Roman"/>
          <w:szCs w:val="21"/>
        </w:rPr>
      </w:pPr>
    </w:p>
    <w:p w14:paraId="022854C5">
      <w:pPr>
        <w:jc w:val="left"/>
        <w:outlineLvl w:val="0"/>
        <w:rPr>
          <w:rStyle w:val="23"/>
          <w:rFonts w:ascii="黑体" w:hAnsi="黑体" w:eastAsia="黑体" w:cs="Times New Roman"/>
          <w:szCs w:val="21"/>
        </w:rPr>
      </w:pPr>
    </w:p>
    <w:p w14:paraId="65103025">
      <w:pPr>
        <w:jc w:val="left"/>
        <w:outlineLvl w:val="0"/>
        <w:rPr>
          <w:rStyle w:val="23"/>
          <w:rFonts w:ascii="黑体" w:hAnsi="黑体" w:eastAsia="黑体" w:cs="Times New Roman"/>
          <w:szCs w:val="21"/>
        </w:rPr>
      </w:pPr>
    </w:p>
    <w:p w14:paraId="6E77E175">
      <w:pPr>
        <w:jc w:val="left"/>
        <w:outlineLvl w:val="0"/>
        <w:rPr>
          <w:rStyle w:val="23"/>
          <w:rFonts w:ascii="黑体" w:hAnsi="黑体" w:eastAsia="黑体" w:cs="Times New Roman"/>
          <w:szCs w:val="21"/>
        </w:rPr>
      </w:pPr>
    </w:p>
    <w:p w14:paraId="5ECD49FE">
      <w:pPr>
        <w:jc w:val="left"/>
        <w:outlineLvl w:val="0"/>
        <w:rPr>
          <w:rStyle w:val="23"/>
          <w:rFonts w:ascii="黑体" w:hAnsi="黑体" w:eastAsia="黑体" w:cs="Times New Roman"/>
          <w:szCs w:val="21"/>
        </w:rPr>
      </w:pPr>
    </w:p>
    <w:p w14:paraId="43BCCA5D">
      <w:pPr>
        <w:jc w:val="left"/>
        <w:outlineLvl w:val="0"/>
        <w:rPr>
          <w:rStyle w:val="23"/>
          <w:rFonts w:ascii="黑体" w:hAnsi="黑体" w:eastAsia="黑体" w:cs="Times New Roman"/>
          <w:szCs w:val="21"/>
        </w:rPr>
      </w:pPr>
    </w:p>
    <w:p w14:paraId="7DDB9CD0">
      <w:pPr>
        <w:jc w:val="left"/>
        <w:outlineLvl w:val="0"/>
        <w:rPr>
          <w:rStyle w:val="23"/>
          <w:rFonts w:ascii="黑体" w:hAnsi="黑体" w:eastAsia="黑体" w:cs="Times New Roman"/>
          <w:szCs w:val="21"/>
        </w:rPr>
      </w:pPr>
    </w:p>
    <w:p w14:paraId="2FE04604">
      <w:pPr>
        <w:jc w:val="left"/>
        <w:outlineLvl w:val="0"/>
        <w:rPr>
          <w:rStyle w:val="23"/>
          <w:rFonts w:ascii="黑体" w:hAnsi="黑体" w:eastAsia="黑体" w:cs="Times New Roman"/>
          <w:szCs w:val="21"/>
        </w:rPr>
      </w:pPr>
    </w:p>
    <w:p w14:paraId="6DC70A0C">
      <w:pPr>
        <w:jc w:val="center"/>
        <w:outlineLvl w:val="0"/>
        <w:rPr>
          <w:rStyle w:val="23"/>
          <w:rFonts w:hint="eastAsia" w:ascii="黑体" w:hAnsi="黑体" w:eastAsia="黑体" w:cs="黑体"/>
          <w:sz w:val="21"/>
          <w:szCs w:val="21"/>
        </w:rPr>
      </w:pPr>
      <w:bookmarkStart w:id="81" w:name="_Toc25087"/>
    </w:p>
    <w:p w14:paraId="648E3639">
      <w:pPr>
        <w:jc w:val="center"/>
        <w:outlineLvl w:val="0"/>
        <w:rPr>
          <w:rStyle w:val="23"/>
          <w:rFonts w:hint="eastAsia" w:ascii="黑体" w:hAnsi="黑体" w:eastAsia="黑体" w:cs="黑体"/>
          <w:sz w:val="21"/>
          <w:szCs w:val="21"/>
        </w:rPr>
      </w:pPr>
    </w:p>
    <w:p w14:paraId="29E73115">
      <w:pPr>
        <w:jc w:val="center"/>
        <w:outlineLvl w:val="0"/>
        <w:rPr>
          <w:rStyle w:val="23"/>
          <w:rFonts w:hint="eastAsia" w:ascii="黑体" w:hAnsi="黑体" w:eastAsia="黑体" w:cs="黑体"/>
          <w:sz w:val="21"/>
          <w:szCs w:val="21"/>
        </w:rPr>
      </w:pPr>
    </w:p>
    <w:p w14:paraId="39E1A057">
      <w:pPr>
        <w:jc w:val="center"/>
        <w:outlineLvl w:val="0"/>
        <w:rPr>
          <w:rStyle w:val="23"/>
          <w:rFonts w:hint="eastAsia" w:ascii="黑体" w:hAnsi="黑体" w:eastAsia="黑体" w:cs="黑体"/>
          <w:sz w:val="21"/>
          <w:szCs w:val="21"/>
        </w:rPr>
      </w:pPr>
    </w:p>
    <w:p w14:paraId="3E671871">
      <w:pPr>
        <w:jc w:val="center"/>
        <w:outlineLvl w:val="0"/>
        <w:rPr>
          <w:rStyle w:val="23"/>
          <w:rFonts w:hint="eastAsia" w:ascii="黑体" w:hAnsi="黑体" w:eastAsia="黑体" w:cs="黑体"/>
          <w:sz w:val="21"/>
          <w:szCs w:val="21"/>
        </w:rPr>
      </w:pPr>
    </w:p>
    <w:p w14:paraId="6362618B">
      <w:pPr>
        <w:jc w:val="center"/>
        <w:outlineLvl w:val="0"/>
        <w:rPr>
          <w:rStyle w:val="23"/>
          <w:rFonts w:hint="eastAsia" w:ascii="黑体" w:hAnsi="黑体" w:eastAsia="黑体" w:cs="黑体"/>
          <w:sz w:val="21"/>
          <w:szCs w:val="21"/>
        </w:rPr>
      </w:pPr>
    </w:p>
    <w:p w14:paraId="6ED64372">
      <w:pPr>
        <w:jc w:val="center"/>
        <w:outlineLvl w:val="0"/>
        <w:rPr>
          <w:rStyle w:val="23"/>
          <w:rFonts w:hint="eastAsia" w:ascii="黑体" w:hAnsi="黑体" w:eastAsia="黑体" w:cs="黑体"/>
          <w:sz w:val="21"/>
          <w:szCs w:val="21"/>
        </w:rPr>
      </w:pPr>
    </w:p>
    <w:p w14:paraId="2CB2D860">
      <w:pPr>
        <w:jc w:val="center"/>
        <w:outlineLvl w:val="0"/>
        <w:rPr>
          <w:rStyle w:val="23"/>
          <w:rFonts w:hint="eastAsia" w:ascii="黑体" w:hAnsi="黑体" w:eastAsia="黑体" w:cs="黑体"/>
          <w:sz w:val="21"/>
          <w:szCs w:val="21"/>
        </w:rPr>
      </w:pPr>
    </w:p>
    <w:p w14:paraId="6F1EDD32">
      <w:pPr>
        <w:jc w:val="center"/>
        <w:outlineLvl w:val="0"/>
        <w:rPr>
          <w:rStyle w:val="23"/>
          <w:rFonts w:hint="eastAsia" w:ascii="黑体" w:hAnsi="黑体" w:eastAsia="黑体" w:cs="黑体"/>
          <w:sz w:val="21"/>
          <w:szCs w:val="21"/>
        </w:rPr>
      </w:pPr>
    </w:p>
    <w:p w14:paraId="0055538D">
      <w:pPr>
        <w:jc w:val="center"/>
        <w:outlineLvl w:val="0"/>
        <w:rPr>
          <w:rStyle w:val="23"/>
          <w:rFonts w:hint="eastAsia" w:ascii="黑体" w:hAnsi="黑体" w:eastAsia="黑体" w:cs="黑体"/>
          <w:sz w:val="21"/>
          <w:szCs w:val="21"/>
        </w:rPr>
      </w:pPr>
    </w:p>
    <w:p w14:paraId="3FD21BF4">
      <w:pPr>
        <w:jc w:val="center"/>
        <w:outlineLvl w:val="0"/>
        <w:rPr>
          <w:rStyle w:val="23"/>
          <w:rFonts w:hint="eastAsia" w:ascii="黑体" w:hAnsi="黑体" w:eastAsia="黑体" w:cs="黑体"/>
          <w:sz w:val="21"/>
          <w:szCs w:val="21"/>
        </w:rPr>
      </w:pPr>
    </w:p>
    <w:p w14:paraId="59EBC788">
      <w:pPr>
        <w:jc w:val="center"/>
        <w:outlineLvl w:val="0"/>
        <w:rPr>
          <w:rStyle w:val="23"/>
          <w:rFonts w:ascii="黑体" w:hAnsi="黑体" w:eastAsia="黑体" w:cs="黑体"/>
          <w:sz w:val="21"/>
          <w:szCs w:val="21"/>
        </w:rPr>
      </w:pPr>
      <w:r>
        <w:rPr>
          <w:rStyle w:val="23"/>
          <w:rFonts w:hint="eastAsia" w:ascii="黑体" w:hAnsi="黑体" w:eastAsia="黑体" w:cs="黑体"/>
          <w:sz w:val="21"/>
          <w:szCs w:val="21"/>
        </w:rPr>
        <w:t>附  录  D</w:t>
      </w:r>
      <w:bookmarkEnd w:id="81"/>
    </w:p>
    <w:p w14:paraId="4552A0D8">
      <w:pPr>
        <w:jc w:val="center"/>
        <w:outlineLvl w:val="0"/>
        <w:rPr>
          <w:rStyle w:val="23"/>
          <w:rFonts w:ascii="黑体" w:hAnsi="黑体" w:eastAsia="黑体" w:cs="Times New Roman"/>
          <w:sz w:val="21"/>
          <w:szCs w:val="21"/>
        </w:rPr>
      </w:pPr>
      <w:bookmarkStart w:id="82" w:name="_Toc28361"/>
      <w:r>
        <w:rPr>
          <w:rStyle w:val="23"/>
          <w:rFonts w:hint="eastAsia" w:ascii="黑体" w:hAnsi="黑体" w:eastAsia="黑体" w:cs="黑体"/>
          <w:sz w:val="21"/>
          <w:szCs w:val="21"/>
        </w:rPr>
        <w:t>（规范性）</w:t>
      </w:r>
      <w:bookmarkEnd w:id="82"/>
    </w:p>
    <w:p w14:paraId="0DF162A7">
      <w:pPr>
        <w:jc w:val="center"/>
        <w:outlineLvl w:val="0"/>
        <w:rPr>
          <w:rStyle w:val="23"/>
          <w:rFonts w:ascii="黑体" w:hAnsi="黑体" w:eastAsia="黑体" w:cs="黑体"/>
          <w:sz w:val="21"/>
          <w:szCs w:val="21"/>
        </w:rPr>
      </w:pPr>
      <w:bookmarkStart w:id="83" w:name="_Toc21947"/>
      <w:r>
        <w:rPr>
          <w:rStyle w:val="23"/>
          <w:rFonts w:hint="eastAsia" w:ascii="黑体" w:hAnsi="黑体" w:eastAsia="黑体" w:cs="黑体"/>
          <w:sz w:val="21"/>
          <w:szCs w:val="21"/>
        </w:rPr>
        <w:t>电器电子产品环保检测高质量实验室等级标识使用规范</w:t>
      </w:r>
      <w:bookmarkEnd w:id="83"/>
    </w:p>
    <w:p w14:paraId="00624E87">
      <w:pPr>
        <w:jc w:val="center"/>
        <w:outlineLvl w:val="0"/>
        <w:rPr>
          <w:rStyle w:val="23"/>
          <w:rFonts w:ascii="黑体" w:hAnsi="黑体" w:eastAsia="黑体" w:cs="黑体"/>
          <w:szCs w:val="21"/>
        </w:rPr>
      </w:pPr>
    </w:p>
    <w:p w14:paraId="566B4AD0">
      <w:pPr>
        <w:rPr>
          <w:rFonts w:ascii="黑体" w:hAnsi="黑体" w:eastAsia="黑体" w:cs="黑体"/>
          <w:b/>
          <w:bCs/>
          <w:szCs w:val="21"/>
        </w:rPr>
      </w:pPr>
      <w:r>
        <w:rPr>
          <w:rFonts w:hint="eastAsia" w:ascii="黑体" w:hAnsi="黑体" w:eastAsia="黑体" w:cs="黑体"/>
          <w:b/>
          <w:bCs/>
          <w:szCs w:val="21"/>
        </w:rPr>
        <w:t>D.1 标识构成</w:t>
      </w:r>
    </w:p>
    <w:p w14:paraId="6D21E920">
      <w:pPr>
        <w:rPr>
          <w:rFonts w:ascii="宋体" w:hAnsi="宋体" w:eastAsia="宋体" w:cs="宋体"/>
          <w:b/>
          <w:bCs/>
          <w:szCs w:val="21"/>
        </w:rPr>
      </w:pPr>
    </w:p>
    <w:p w14:paraId="48F95780">
      <w:pPr>
        <w:spacing w:line="360" w:lineRule="auto"/>
        <w:rPr>
          <w:rFonts w:ascii="宋体" w:hAnsi="宋体" w:eastAsia="宋体" w:cs="宋体"/>
          <w:szCs w:val="21"/>
        </w:rPr>
      </w:pPr>
      <w:r>
        <w:rPr>
          <w:rFonts w:hint="eastAsia" w:ascii="黑体" w:hAnsi="黑体" w:eastAsia="黑体" w:cs="黑体"/>
          <w:szCs w:val="21"/>
        </w:rPr>
        <w:t xml:space="preserve">D.1.1 </w:t>
      </w:r>
      <w:r>
        <w:rPr>
          <w:rFonts w:hint="eastAsia" w:ascii="宋体" w:hAnsi="宋体" w:eastAsia="宋体" w:cs="宋体"/>
          <w:szCs w:val="21"/>
        </w:rPr>
        <w:t>实验室等级标识由以下三部分组成，缺一不可：</w:t>
      </w:r>
    </w:p>
    <w:p w14:paraId="209EB27A">
      <w:pPr>
        <w:spacing w:line="360" w:lineRule="auto"/>
        <w:rPr>
          <w:rFonts w:ascii="宋体" w:hAnsi="宋体" w:eastAsia="宋体" w:cs="宋体"/>
          <w:szCs w:val="21"/>
        </w:rPr>
      </w:pPr>
      <w:r>
        <w:rPr>
          <w:rFonts w:hint="eastAsia" w:ascii="宋体" w:hAnsi="宋体" w:eastAsia="宋体" w:cs="宋体"/>
          <w:szCs w:val="21"/>
          <w:lang w:eastAsia="zh-CN"/>
        </w:rPr>
        <w:t>a）</w:t>
      </w:r>
      <w:r>
        <w:rPr>
          <w:rFonts w:hint="eastAsia" w:ascii="宋体" w:hAnsi="宋体" w:eastAsia="宋体" w:cs="宋体"/>
          <w:szCs w:val="21"/>
        </w:rPr>
        <w:t xml:space="preserve"> 等级符号：采用五级星级（★）体系或字母等级（A+/A/A-）表示，具体对应关系见表 C.1；</w:t>
      </w:r>
    </w:p>
    <w:p w14:paraId="0331B828">
      <w:pPr>
        <w:spacing w:line="360" w:lineRule="auto"/>
        <w:rPr>
          <w:rFonts w:ascii="宋体" w:hAnsi="宋体" w:eastAsia="宋体" w:cs="宋体"/>
          <w:szCs w:val="21"/>
        </w:rPr>
      </w:pPr>
      <w:r>
        <w:rPr>
          <w:rFonts w:hint="eastAsia" w:ascii="宋体" w:hAnsi="宋体" w:eastAsia="宋体" w:cs="宋体"/>
          <w:szCs w:val="21"/>
          <w:lang w:eastAsia="zh-CN"/>
        </w:rPr>
        <w:t>b）</w:t>
      </w:r>
      <w:r>
        <w:rPr>
          <w:rFonts w:hint="eastAsia" w:ascii="宋体" w:hAnsi="宋体" w:eastAsia="宋体" w:cs="宋体"/>
          <w:szCs w:val="21"/>
        </w:rPr>
        <w:t xml:space="preserve"> 等级文字：中文等级名称，包括“高质量实验室”“优质实验室”“达标实验室”；</w:t>
      </w:r>
    </w:p>
    <w:p w14:paraId="2C729703">
      <w:pPr>
        <w:spacing w:line="360" w:lineRule="auto"/>
        <w:rPr>
          <w:rFonts w:hint="eastAsia" w:ascii="宋体" w:hAnsi="宋体" w:eastAsia="宋体" w:cs="宋体"/>
          <w:szCs w:val="21"/>
        </w:rPr>
      </w:pPr>
      <w:r>
        <w:rPr>
          <w:rFonts w:hint="eastAsia" w:ascii="宋体" w:hAnsi="宋体" w:eastAsia="宋体" w:cs="宋体"/>
          <w:szCs w:val="21"/>
          <w:lang w:eastAsia="zh-CN"/>
        </w:rPr>
        <w:t>c）</w:t>
      </w:r>
      <w:r>
        <w:rPr>
          <w:rFonts w:hint="eastAsia" w:ascii="宋体" w:hAnsi="宋体" w:eastAsia="宋体" w:cs="宋体"/>
          <w:szCs w:val="21"/>
        </w:rPr>
        <w:t xml:space="preserve"> 认证编号：采用“物理地址绑定”编码规则，格式为 CEESTA-HQL-YYYY-RRRR-XXXX。</w:t>
      </w:r>
    </w:p>
    <w:p w14:paraId="749BA8D1">
      <w:pPr>
        <w:spacing w:line="360" w:lineRule="auto"/>
        <w:rPr>
          <w:rFonts w:hint="eastAsia" w:ascii="宋体" w:hAnsi="宋体" w:eastAsia="宋体" w:cs="宋体"/>
          <w:szCs w:val="21"/>
        </w:rPr>
      </w:pPr>
      <w:r>
        <w:rPr>
          <w:rFonts w:hint="eastAsia" w:ascii="宋体" w:hAnsi="宋体" w:eastAsia="宋体" w:cs="宋体"/>
          <w:szCs w:val="21"/>
        </w:rPr>
        <w:t>RRRR 为实验室所在地行政区划代码（依据GB/T 2260，如上海浦东为3101）；此编号具有地理唯一性，不同地址的实验室（即使隶属同一集团）不得共用。</w:t>
      </w:r>
    </w:p>
    <w:p w14:paraId="37CEAD43">
      <w:pPr>
        <w:spacing w:line="360" w:lineRule="auto"/>
        <w:rPr>
          <w:rFonts w:ascii="宋体" w:hAnsi="宋体" w:eastAsia="宋体" w:cs="宋体"/>
          <w:szCs w:val="21"/>
        </w:rPr>
      </w:pPr>
      <w:r>
        <w:rPr>
          <w:rFonts w:hint="eastAsia" w:ascii="黑体" w:hAnsi="黑体" w:eastAsia="黑体" w:cs="黑体"/>
          <w:szCs w:val="21"/>
        </w:rPr>
        <w:t>D.1.2</w:t>
      </w:r>
      <w:r>
        <w:rPr>
          <w:rFonts w:hint="eastAsia" w:ascii="宋体" w:hAnsi="宋体" w:eastAsia="宋体" w:cs="宋体"/>
          <w:szCs w:val="21"/>
        </w:rPr>
        <w:t xml:space="preserve"> 等级符号与文字对应关系如下</w:t>
      </w:r>
    </w:p>
    <w:tbl>
      <w:tblPr>
        <w:tblStyle w:val="15"/>
        <w:tblW w:w="11171" w:type="dxa"/>
        <w:tblInd w:w="-660" w:type="dxa"/>
        <w:tblLayout w:type="fixed"/>
        <w:tblCellMar>
          <w:top w:w="0" w:type="dxa"/>
          <w:left w:w="108" w:type="dxa"/>
          <w:bottom w:w="0" w:type="dxa"/>
          <w:right w:w="108" w:type="dxa"/>
        </w:tblCellMar>
      </w:tblPr>
      <w:tblGrid>
        <w:gridCol w:w="1594"/>
        <w:gridCol w:w="3443"/>
        <w:gridCol w:w="3556"/>
        <w:gridCol w:w="1397"/>
        <w:gridCol w:w="1181"/>
      </w:tblGrid>
      <w:tr w14:paraId="4F9E5277">
        <w:tblPrEx>
          <w:tblCellMar>
            <w:top w:w="0" w:type="dxa"/>
            <w:left w:w="108" w:type="dxa"/>
            <w:bottom w:w="0" w:type="dxa"/>
            <w:right w:w="108" w:type="dxa"/>
          </w:tblCellMar>
        </w:tblPrEx>
        <w:trPr>
          <w:trHeight w:val="510" w:hRule="atLeast"/>
        </w:trPr>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9B145">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等级名称</w:t>
            </w:r>
          </w:p>
        </w:tc>
        <w:tc>
          <w:tcPr>
            <w:tcW w:w="34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253F2">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中文标识示例</w:t>
            </w:r>
          </w:p>
        </w:tc>
        <w:tc>
          <w:tcPr>
            <w:tcW w:w="3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B4760">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英文标识示例（国际使用）</w:t>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E0D42">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星级符号</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F7F95">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字母等级</w:t>
            </w:r>
          </w:p>
        </w:tc>
      </w:tr>
      <w:tr w14:paraId="4E22DC49">
        <w:tblPrEx>
          <w:tblCellMar>
            <w:top w:w="0" w:type="dxa"/>
            <w:left w:w="108" w:type="dxa"/>
            <w:bottom w:w="0" w:type="dxa"/>
            <w:right w:w="108" w:type="dxa"/>
          </w:tblCellMar>
        </w:tblPrEx>
        <w:trPr>
          <w:trHeight w:val="510" w:hRule="atLeast"/>
        </w:trPr>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E892F">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高质量实验室</w:t>
            </w:r>
          </w:p>
        </w:tc>
        <w:tc>
          <w:tcPr>
            <w:tcW w:w="34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17D69">
            <w:pPr>
              <w:widowControl/>
              <w:jc w:val="left"/>
              <w:textAlignment w:val="bottom"/>
              <w:rPr>
                <w:rFonts w:ascii="Arial" w:hAnsi="Arial" w:eastAsia="宋体" w:cs="Arial"/>
                <w:color w:val="000000"/>
                <w:kern w:val="0"/>
                <w:szCs w:val="21"/>
                <w:lang w:bidi="ar"/>
              </w:rPr>
            </w:pPr>
            <w:r>
              <w:rPr>
                <w:rFonts w:ascii="Arial" w:hAnsi="Arial" w:eastAsia="宋体" w:cs="Arial"/>
                <w:color w:val="000000"/>
                <w:kern w:val="0"/>
                <w:szCs w:val="21"/>
                <w:lang w:bidi="ar"/>
              </w:rPr>
              <w:t>★★★★★ 高质量实验室</w:t>
            </w:r>
          </w:p>
          <w:p w14:paraId="31E4D480">
            <w:pPr>
              <w:widowControl/>
              <w:jc w:val="left"/>
              <w:textAlignment w:val="bottom"/>
              <w:rPr>
                <w:rFonts w:ascii="Arial" w:hAnsi="Arial" w:eastAsia="宋体" w:cs="Arial"/>
                <w:color w:val="000000"/>
                <w:szCs w:val="21"/>
              </w:rPr>
            </w:pPr>
            <w:r>
              <w:rPr>
                <w:rFonts w:ascii="Arial" w:hAnsi="Arial" w:eastAsia="宋体" w:cs="Arial"/>
                <w:color w:val="000000"/>
                <w:kern w:val="0"/>
                <w:szCs w:val="21"/>
                <w:lang w:bidi="ar"/>
              </w:rPr>
              <w:t>证书编号：</w:t>
            </w:r>
            <w:r>
              <w:rPr>
                <w:rFonts w:ascii="Arial" w:hAnsi="Arial" w:eastAsia="宋体" w:cs="Arial"/>
                <w:szCs w:val="21"/>
              </w:rPr>
              <w:t>CEESTA</w:t>
            </w:r>
            <w:r>
              <w:rPr>
                <w:rFonts w:ascii="Arial" w:hAnsi="Arial" w:eastAsia="宋体" w:cs="Arial"/>
                <w:color w:val="000000"/>
                <w:kern w:val="0"/>
                <w:szCs w:val="21"/>
                <w:lang w:bidi="ar"/>
              </w:rPr>
              <w:t>-HQL-2025-</w:t>
            </w:r>
            <w:r>
              <w:rPr>
                <w:rFonts w:hint="eastAsia" w:ascii="Arial" w:hAnsi="Arial" w:eastAsia="宋体" w:cs="Arial"/>
                <w:color w:val="000000"/>
                <w:kern w:val="0"/>
                <w:szCs w:val="21"/>
                <w:lang w:val="en-US" w:eastAsia="zh-CN" w:bidi="ar"/>
              </w:rPr>
              <w:t>RRRR-</w:t>
            </w:r>
            <w:r>
              <w:rPr>
                <w:rFonts w:ascii="Arial" w:hAnsi="Arial" w:eastAsia="宋体" w:cs="Arial"/>
                <w:color w:val="000000"/>
                <w:kern w:val="0"/>
                <w:szCs w:val="21"/>
                <w:lang w:bidi="ar"/>
              </w:rPr>
              <w:t>XXXX</w:t>
            </w:r>
          </w:p>
        </w:tc>
        <w:tc>
          <w:tcPr>
            <w:tcW w:w="3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9048C">
            <w:pPr>
              <w:widowControl/>
              <w:jc w:val="left"/>
              <w:textAlignment w:val="bottom"/>
              <w:rPr>
                <w:rFonts w:ascii="Arial" w:hAnsi="Arial" w:eastAsia="宋体" w:cs="Arial"/>
                <w:color w:val="000000"/>
                <w:szCs w:val="21"/>
              </w:rPr>
            </w:pPr>
            <w:r>
              <w:rPr>
                <w:rFonts w:ascii="Arial" w:hAnsi="Arial" w:eastAsia="宋体" w:cs="Arial"/>
                <w:color w:val="000000"/>
                <w:kern w:val="0"/>
                <w:szCs w:val="21"/>
                <w:lang w:bidi="ar"/>
              </w:rPr>
              <w:t xml:space="preserve">A+ High-Quality Lab (Cert. No.: </w:t>
            </w:r>
            <w:r>
              <w:rPr>
                <w:rFonts w:ascii="Arial" w:hAnsi="Arial" w:eastAsia="宋体" w:cs="Arial"/>
                <w:szCs w:val="21"/>
              </w:rPr>
              <w:t>CEESTA</w:t>
            </w:r>
            <w:r>
              <w:rPr>
                <w:rFonts w:ascii="Arial" w:hAnsi="Arial" w:eastAsia="宋体" w:cs="Arial"/>
                <w:color w:val="000000"/>
                <w:kern w:val="0"/>
                <w:szCs w:val="21"/>
                <w:lang w:bidi="ar"/>
              </w:rPr>
              <w:t>-HQL-2025-</w:t>
            </w:r>
            <w:r>
              <w:rPr>
                <w:rFonts w:hint="eastAsia" w:ascii="Arial" w:hAnsi="Arial" w:eastAsia="宋体" w:cs="Arial"/>
                <w:color w:val="000000"/>
                <w:kern w:val="0"/>
                <w:szCs w:val="21"/>
                <w:lang w:val="en-US" w:eastAsia="zh-CN" w:bidi="ar"/>
              </w:rPr>
              <w:t>RRRR-</w:t>
            </w:r>
            <w:r>
              <w:rPr>
                <w:rFonts w:ascii="Arial" w:hAnsi="Arial" w:eastAsia="宋体" w:cs="Arial"/>
                <w:color w:val="000000"/>
                <w:kern w:val="0"/>
                <w:szCs w:val="21"/>
                <w:lang w:bidi="ar"/>
              </w:rPr>
              <w:t>XXXX</w:t>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044B9">
            <w:pPr>
              <w:widowControl/>
              <w:jc w:val="left"/>
              <w:textAlignment w:val="bottom"/>
              <w:rPr>
                <w:rFonts w:ascii="Arial" w:hAnsi="Arial" w:eastAsia="宋体" w:cs="Arial"/>
                <w:color w:val="000000"/>
                <w:szCs w:val="21"/>
              </w:rPr>
            </w:pPr>
            <w:r>
              <w:rPr>
                <w:rFonts w:ascii="Arial" w:hAnsi="Arial" w:eastAsia="宋体" w:cs="Arial"/>
                <w:color w:val="000000"/>
                <w:kern w:val="0"/>
                <w:szCs w:val="21"/>
                <w:lang w:bidi="ar"/>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9738D">
            <w:pPr>
              <w:widowControl/>
              <w:jc w:val="center"/>
              <w:textAlignment w:val="bottom"/>
              <w:rPr>
                <w:rFonts w:ascii="Arial" w:hAnsi="Arial" w:eastAsia="宋体" w:cs="Arial"/>
                <w:color w:val="000000"/>
                <w:szCs w:val="21"/>
              </w:rPr>
            </w:pPr>
            <w:r>
              <w:rPr>
                <w:rFonts w:ascii="Arial" w:hAnsi="Arial" w:eastAsia="宋体" w:cs="Arial"/>
                <w:color w:val="000000"/>
                <w:kern w:val="0"/>
                <w:szCs w:val="21"/>
                <w:lang w:bidi="ar"/>
              </w:rPr>
              <w:t>A+</w:t>
            </w:r>
          </w:p>
        </w:tc>
      </w:tr>
      <w:tr w14:paraId="341B73CE">
        <w:tblPrEx>
          <w:tblCellMar>
            <w:top w:w="0" w:type="dxa"/>
            <w:left w:w="108" w:type="dxa"/>
            <w:bottom w:w="0" w:type="dxa"/>
            <w:right w:w="108" w:type="dxa"/>
          </w:tblCellMar>
        </w:tblPrEx>
        <w:trPr>
          <w:trHeight w:val="510" w:hRule="atLeast"/>
        </w:trPr>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9C439">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优质实验室</w:t>
            </w:r>
          </w:p>
        </w:tc>
        <w:tc>
          <w:tcPr>
            <w:tcW w:w="34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9812B">
            <w:pPr>
              <w:widowControl/>
              <w:jc w:val="left"/>
              <w:textAlignment w:val="bottom"/>
              <w:rPr>
                <w:rFonts w:ascii="Arial" w:hAnsi="Arial" w:eastAsia="宋体" w:cs="Arial"/>
                <w:color w:val="000000"/>
                <w:kern w:val="0"/>
                <w:szCs w:val="21"/>
                <w:lang w:bidi="ar"/>
              </w:rPr>
            </w:pPr>
            <w:r>
              <w:rPr>
                <w:rFonts w:ascii="Arial" w:hAnsi="Arial" w:eastAsia="宋体" w:cs="Arial"/>
                <w:color w:val="000000"/>
                <w:kern w:val="0"/>
                <w:szCs w:val="21"/>
                <w:lang w:bidi="ar"/>
              </w:rPr>
              <w:t>★★★★☆ 优质实验室</w:t>
            </w:r>
          </w:p>
          <w:p w14:paraId="39FD2CE2">
            <w:pPr>
              <w:widowControl/>
              <w:jc w:val="left"/>
              <w:textAlignment w:val="bottom"/>
              <w:rPr>
                <w:rFonts w:ascii="Arial" w:hAnsi="Arial" w:eastAsia="宋体" w:cs="Arial"/>
                <w:color w:val="000000"/>
                <w:szCs w:val="21"/>
              </w:rPr>
            </w:pPr>
            <w:r>
              <w:rPr>
                <w:rFonts w:ascii="Arial" w:hAnsi="Arial" w:eastAsia="宋体" w:cs="Arial"/>
                <w:color w:val="000000"/>
                <w:kern w:val="0"/>
                <w:szCs w:val="21"/>
                <w:lang w:bidi="ar"/>
              </w:rPr>
              <w:t>证书编号：</w:t>
            </w:r>
            <w:r>
              <w:rPr>
                <w:rFonts w:ascii="Arial" w:hAnsi="Arial" w:eastAsia="宋体" w:cs="Arial"/>
                <w:szCs w:val="21"/>
              </w:rPr>
              <w:t>CEESTA</w:t>
            </w:r>
            <w:r>
              <w:rPr>
                <w:rFonts w:ascii="Arial" w:hAnsi="Arial" w:eastAsia="宋体" w:cs="Arial"/>
                <w:color w:val="000000"/>
                <w:kern w:val="0"/>
                <w:szCs w:val="21"/>
                <w:lang w:bidi="ar"/>
              </w:rPr>
              <w:t>-HQL-2025-</w:t>
            </w:r>
            <w:r>
              <w:rPr>
                <w:rFonts w:hint="eastAsia" w:ascii="Arial" w:hAnsi="Arial" w:eastAsia="宋体" w:cs="Arial"/>
                <w:color w:val="000000"/>
                <w:kern w:val="0"/>
                <w:szCs w:val="21"/>
                <w:lang w:val="en-US" w:eastAsia="zh-CN" w:bidi="ar"/>
              </w:rPr>
              <w:t>RRRR-</w:t>
            </w:r>
            <w:r>
              <w:rPr>
                <w:rFonts w:ascii="Arial" w:hAnsi="Arial" w:eastAsia="宋体" w:cs="Arial"/>
                <w:color w:val="000000"/>
                <w:kern w:val="0"/>
                <w:szCs w:val="21"/>
                <w:lang w:bidi="ar"/>
              </w:rPr>
              <w:t>XXXX</w:t>
            </w:r>
          </w:p>
        </w:tc>
        <w:tc>
          <w:tcPr>
            <w:tcW w:w="3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FA0E9">
            <w:pPr>
              <w:widowControl/>
              <w:jc w:val="left"/>
              <w:textAlignment w:val="bottom"/>
              <w:rPr>
                <w:rFonts w:ascii="Arial" w:hAnsi="Arial" w:eastAsia="宋体" w:cs="Arial"/>
                <w:color w:val="000000"/>
                <w:kern w:val="0"/>
                <w:szCs w:val="21"/>
                <w:lang w:bidi="ar"/>
              </w:rPr>
            </w:pPr>
            <w:r>
              <w:rPr>
                <w:rFonts w:ascii="Arial" w:hAnsi="Arial" w:eastAsia="宋体" w:cs="Arial"/>
                <w:color w:val="000000"/>
                <w:kern w:val="0"/>
                <w:szCs w:val="21"/>
                <w:lang w:bidi="ar"/>
              </w:rPr>
              <w:t xml:space="preserve">A Excellent Lab (Cert. No.: </w:t>
            </w:r>
          </w:p>
          <w:p w14:paraId="1223CA84">
            <w:pPr>
              <w:widowControl/>
              <w:jc w:val="left"/>
              <w:textAlignment w:val="bottom"/>
              <w:rPr>
                <w:rFonts w:ascii="Arial" w:hAnsi="Arial" w:eastAsia="宋体" w:cs="Arial"/>
                <w:color w:val="000000"/>
                <w:kern w:val="0"/>
                <w:szCs w:val="21"/>
                <w:lang w:bidi="ar"/>
              </w:rPr>
            </w:pPr>
            <w:r>
              <w:rPr>
                <w:rFonts w:ascii="Arial" w:hAnsi="Arial" w:eastAsia="宋体" w:cs="Arial"/>
                <w:szCs w:val="21"/>
              </w:rPr>
              <w:t>CEESTA</w:t>
            </w:r>
            <w:r>
              <w:rPr>
                <w:rFonts w:ascii="Arial" w:hAnsi="Arial" w:eastAsia="宋体" w:cs="Arial"/>
                <w:color w:val="000000"/>
                <w:kern w:val="0"/>
                <w:szCs w:val="21"/>
                <w:lang w:bidi="ar"/>
              </w:rPr>
              <w:t>-HQL-2025-</w:t>
            </w:r>
            <w:r>
              <w:rPr>
                <w:rFonts w:hint="eastAsia" w:ascii="Arial" w:hAnsi="Arial" w:eastAsia="宋体" w:cs="Arial"/>
                <w:color w:val="000000"/>
                <w:kern w:val="0"/>
                <w:szCs w:val="21"/>
                <w:lang w:val="en-US" w:eastAsia="zh-CN" w:bidi="ar"/>
              </w:rPr>
              <w:t>RRRR-</w:t>
            </w:r>
            <w:r>
              <w:rPr>
                <w:rFonts w:ascii="Arial" w:hAnsi="Arial" w:eastAsia="宋体" w:cs="Arial"/>
                <w:color w:val="000000"/>
                <w:kern w:val="0"/>
                <w:szCs w:val="21"/>
                <w:lang w:bidi="ar"/>
              </w:rPr>
              <w:t>XXXX</w:t>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CD713">
            <w:pPr>
              <w:widowControl/>
              <w:jc w:val="left"/>
              <w:textAlignment w:val="bottom"/>
              <w:rPr>
                <w:rFonts w:ascii="Arial" w:hAnsi="Arial" w:eastAsia="宋体" w:cs="Arial"/>
                <w:color w:val="000000"/>
                <w:szCs w:val="21"/>
              </w:rPr>
            </w:pPr>
            <w:r>
              <w:rPr>
                <w:rFonts w:ascii="Arial" w:hAnsi="Arial" w:eastAsia="宋体" w:cs="Arial"/>
                <w:color w:val="000000"/>
                <w:kern w:val="0"/>
                <w:szCs w:val="21"/>
                <w:lang w:bidi="ar"/>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3B1DE">
            <w:pPr>
              <w:widowControl/>
              <w:jc w:val="center"/>
              <w:textAlignment w:val="bottom"/>
              <w:rPr>
                <w:rFonts w:ascii="Arial" w:hAnsi="Arial" w:eastAsia="宋体" w:cs="Arial"/>
                <w:color w:val="000000"/>
                <w:szCs w:val="21"/>
              </w:rPr>
            </w:pPr>
            <w:r>
              <w:rPr>
                <w:rFonts w:ascii="Arial" w:hAnsi="Arial" w:eastAsia="宋体" w:cs="Arial"/>
                <w:color w:val="000000"/>
                <w:kern w:val="0"/>
                <w:szCs w:val="21"/>
                <w:lang w:bidi="ar"/>
              </w:rPr>
              <w:t>A</w:t>
            </w:r>
          </w:p>
        </w:tc>
      </w:tr>
      <w:tr w14:paraId="68F99C24">
        <w:tblPrEx>
          <w:tblCellMar>
            <w:top w:w="0" w:type="dxa"/>
            <w:left w:w="108" w:type="dxa"/>
            <w:bottom w:w="0" w:type="dxa"/>
            <w:right w:w="108" w:type="dxa"/>
          </w:tblCellMar>
        </w:tblPrEx>
        <w:trPr>
          <w:trHeight w:val="510" w:hRule="atLeast"/>
        </w:trPr>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67DBB">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达标实验室</w:t>
            </w:r>
          </w:p>
        </w:tc>
        <w:tc>
          <w:tcPr>
            <w:tcW w:w="34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224E1">
            <w:pPr>
              <w:widowControl/>
              <w:jc w:val="left"/>
              <w:textAlignment w:val="bottom"/>
              <w:rPr>
                <w:rFonts w:ascii="Arial" w:hAnsi="Arial" w:eastAsia="宋体" w:cs="Arial"/>
                <w:color w:val="000000"/>
                <w:kern w:val="0"/>
                <w:szCs w:val="21"/>
                <w:lang w:bidi="ar"/>
              </w:rPr>
            </w:pPr>
            <w:r>
              <w:rPr>
                <w:rFonts w:ascii="Arial" w:hAnsi="Arial" w:eastAsia="宋体" w:cs="Arial"/>
                <w:color w:val="000000"/>
                <w:kern w:val="0"/>
                <w:szCs w:val="21"/>
                <w:lang w:bidi="ar"/>
              </w:rPr>
              <w:t>★★★☆☆ 达标实验室</w:t>
            </w:r>
          </w:p>
          <w:p w14:paraId="28CDC38D">
            <w:pPr>
              <w:widowControl/>
              <w:jc w:val="left"/>
              <w:textAlignment w:val="bottom"/>
              <w:rPr>
                <w:rFonts w:ascii="Arial" w:hAnsi="Arial" w:eastAsia="宋体" w:cs="Arial"/>
                <w:color w:val="000000"/>
                <w:szCs w:val="21"/>
              </w:rPr>
            </w:pPr>
            <w:r>
              <w:rPr>
                <w:rFonts w:ascii="Arial" w:hAnsi="Arial" w:eastAsia="宋体" w:cs="Arial"/>
                <w:color w:val="000000"/>
                <w:kern w:val="0"/>
                <w:szCs w:val="21"/>
                <w:lang w:bidi="ar"/>
              </w:rPr>
              <w:t>证书编号：</w:t>
            </w:r>
            <w:r>
              <w:rPr>
                <w:rFonts w:ascii="Arial" w:hAnsi="Arial" w:eastAsia="宋体" w:cs="Arial"/>
                <w:szCs w:val="21"/>
              </w:rPr>
              <w:t>CEESTA</w:t>
            </w:r>
            <w:r>
              <w:rPr>
                <w:rFonts w:ascii="Arial" w:hAnsi="Arial" w:eastAsia="宋体" w:cs="Arial"/>
                <w:color w:val="000000"/>
                <w:kern w:val="0"/>
                <w:szCs w:val="21"/>
                <w:lang w:bidi="ar"/>
              </w:rPr>
              <w:t>-HQL-2025-</w:t>
            </w:r>
            <w:r>
              <w:rPr>
                <w:rFonts w:hint="eastAsia" w:ascii="Arial" w:hAnsi="Arial" w:eastAsia="宋体" w:cs="Arial"/>
                <w:color w:val="000000"/>
                <w:kern w:val="0"/>
                <w:szCs w:val="21"/>
                <w:lang w:val="en-US" w:eastAsia="zh-CN" w:bidi="ar"/>
              </w:rPr>
              <w:t>RRRR-</w:t>
            </w:r>
            <w:r>
              <w:rPr>
                <w:rFonts w:ascii="Arial" w:hAnsi="Arial" w:eastAsia="宋体" w:cs="Arial"/>
                <w:color w:val="000000"/>
                <w:kern w:val="0"/>
                <w:szCs w:val="21"/>
                <w:lang w:bidi="ar"/>
              </w:rPr>
              <w:t>XXXX</w:t>
            </w:r>
          </w:p>
        </w:tc>
        <w:tc>
          <w:tcPr>
            <w:tcW w:w="3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3BCC7">
            <w:pPr>
              <w:widowControl/>
              <w:numPr>
                <w:ilvl w:val="0"/>
                <w:numId w:val="17"/>
              </w:numPr>
              <w:jc w:val="left"/>
              <w:textAlignment w:val="bottom"/>
              <w:rPr>
                <w:rFonts w:ascii="Arial" w:hAnsi="Arial" w:eastAsia="宋体" w:cs="Arial"/>
                <w:color w:val="000000"/>
                <w:kern w:val="0"/>
                <w:szCs w:val="21"/>
                <w:lang w:bidi="ar"/>
              </w:rPr>
            </w:pPr>
            <w:r>
              <w:rPr>
                <w:rFonts w:ascii="Arial" w:hAnsi="Arial" w:eastAsia="宋体" w:cs="Arial"/>
                <w:color w:val="000000"/>
                <w:kern w:val="0"/>
                <w:szCs w:val="21"/>
                <w:lang w:bidi="ar"/>
              </w:rPr>
              <w:t xml:space="preserve">Qualified Lab (Cert. No.: </w:t>
            </w:r>
          </w:p>
          <w:p w14:paraId="73A2CB1E">
            <w:pPr>
              <w:widowControl/>
              <w:numPr>
                <w:ilvl w:val="0"/>
                <w:numId w:val="0"/>
              </w:numPr>
              <w:jc w:val="left"/>
              <w:textAlignment w:val="bottom"/>
              <w:rPr>
                <w:rFonts w:ascii="Arial" w:hAnsi="Arial" w:eastAsia="宋体" w:cs="Arial"/>
                <w:color w:val="000000"/>
                <w:kern w:val="0"/>
                <w:szCs w:val="21"/>
                <w:lang w:bidi="ar"/>
              </w:rPr>
            </w:pPr>
            <w:r>
              <w:rPr>
                <w:rFonts w:ascii="Arial" w:hAnsi="Arial" w:eastAsia="宋体" w:cs="Arial"/>
                <w:szCs w:val="21"/>
              </w:rPr>
              <w:t>CEESTA</w:t>
            </w:r>
            <w:r>
              <w:rPr>
                <w:rFonts w:ascii="Arial" w:hAnsi="Arial" w:eastAsia="宋体" w:cs="Arial"/>
                <w:color w:val="000000"/>
                <w:kern w:val="0"/>
                <w:szCs w:val="21"/>
                <w:lang w:bidi="ar"/>
              </w:rPr>
              <w:t>-HQL-2025-</w:t>
            </w:r>
            <w:r>
              <w:rPr>
                <w:rFonts w:hint="eastAsia" w:ascii="Arial" w:hAnsi="Arial" w:eastAsia="宋体" w:cs="Arial"/>
                <w:color w:val="000000"/>
                <w:kern w:val="0"/>
                <w:szCs w:val="21"/>
                <w:lang w:val="en-US" w:eastAsia="zh-CN" w:bidi="ar"/>
              </w:rPr>
              <w:t>RRRR-</w:t>
            </w:r>
            <w:r>
              <w:rPr>
                <w:rFonts w:ascii="Arial" w:hAnsi="Arial" w:eastAsia="宋体" w:cs="Arial"/>
                <w:color w:val="000000"/>
                <w:kern w:val="0"/>
                <w:szCs w:val="21"/>
                <w:lang w:bidi="ar"/>
              </w:rPr>
              <w:t>XXXX</w:t>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E2636">
            <w:pPr>
              <w:widowControl/>
              <w:jc w:val="left"/>
              <w:textAlignment w:val="bottom"/>
              <w:rPr>
                <w:rFonts w:ascii="Arial" w:hAnsi="Arial" w:eastAsia="宋体" w:cs="Arial"/>
                <w:color w:val="000000"/>
                <w:szCs w:val="21"/>
              </w:rPr>
            </w:pPr>
            <w:r>
              <w:rPr>
                <w:rFonts w:ascii="Arial" w:hAnsi="Arial" w:eastAsia="宋体" w:cs="Arial"/>
                <w:color w:val="000000"/>
                <w:kern w:val="0"/>
                <w:szCs w:val="21"/>
                <w:lang w:bidi="ar"/>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CD2A3">
            <w:pPr>
              <w:widowControl/>
              <w:jc w:val="center"/>
              <w:textAlignment w:val="bottom"/>
              <w:rPr>
                <w:rFonts w:ascii="Arial" w:hAnsi="Arial" w:eastAsia="宋体" w:cs="Arial"/>
                <w:color w:val="000000"/>
                <w:szCs w:val="21"/>
              </w:rPr>
            </w:pPr>
            <w:r>
              <w:rPr>
                <w:rFonts w:ascii="Arial" w:hAnsi="Arial" w:eastAsia="宋体" w:cs="Arial"/>
                <w:color w:val="000000"/>
                <w:kern w:val="0"/>
                <w:szCs w:val="21"/>
                <w:lang w:bidi="ar"/>
              </w:rPr>
              <w:t>A-</w:t>
            </w:r>
          </w:p>
        </w:tc>
      </w:tr>
    </w:tbl>
    <w:p w14:paraId="4AE8049E">
      <w:pPr>
        <w:rPr>
          <w:rFonts w:ascii="宋体" w:hAnsi="宋体" w:eastAsia="宋体" w:cs="宋体"/>
          <w:szCs w:val="21"/>
        </w:rPr>
      </w:pPr>
    </w:p>
    <w:p w14:paraId="4205FEAF">
      <w:pPr>
        <w:rPr>
          <w:rFonts w:hint="eastAsia" w:ascii="宋体" w:hAnsi="宋体" w:eastAsia="宋体" w:cs="宋体"/>
          <w:szCs w:val="21"/>
        </w:rPr>
      </w:pPr>
      <w:r>
        <w:rPr>
          <w:rFonts w:hint="eastAsia" w:ascii="宋体" w:hAnsi="宋体" w:eastAsia="宋体" w:cs="宋体"/>
          <w:szCs w:val="21"/>
        </w:rPr>
        <w:t xml:space="preserve">注：不合格实验室不得使用任何等级标识。 </w:t>
      </w:r>
    </w:p>
    <w:p w14:paraId="0AA5C30E">
      <w:pPr>
        <w:rPr>
          <w:rFonts w:hint="eastAsia" w:ascii="宋体" w:hAnsi="宋体" w:eastAsia="宋体" w:cs="宋体"/>
          <w:szCs w:val="21"/>
        </w:rPr>
      </w:pPr>
      <w:r>
        <w:rPr>
          <w:rFonts w:hint="eastAsia" w:ascii="黑体" w:hAnsi="黑体" w:eastAsia="黑体" w:cs="黑体"/>
          <w:szCs w:val="21"/>
        </w:rPr>
        <w:t xml:space="preserve"> D.1.3 </w:t>
      </w:r>
      <w:r>
        <w:rPr>
          <w:rFonts w:hint="eastAsia" w:ascii="宋体" w:hAnsi="宋体" w:eastAsia="宋体" w:cs="宋体"/>
          <w:szCs w:val="21"/>
        </w:rPr>
        <w:t>电子证书特征：“电子证书及纸质证书副本应包含实时验证二维码，扫描可显示当前年度监督状态（有效/冻结/失效）。”</w:t>
      </w:r>
    </w:p>
    <w:p w14:paraId="7B085EE1">
      <w:pPr>
        <w:rPr>
          <w:rFonts w:ascii="宋体" w:hAnsi="宋体" w:eastAsia="宋体" w:cs="宋体"/>
          <w:szCs w:val="21"/>
        </w:rPr>
      </w:pPr>
    </w:p>
    <w:p w14:paraId="0B2CDFBE">
      <w:pPr>
        <w:rPr>
          <w:rFonts w:ascii="黑体" w:hAnsi="黑体" w:eastAsia="黑体" w:cs="黑体"/>
          <w:b/>
          <w:bCs/>
          <w:szCs w:val="21"/>
        </w:rPr>
      </w:pPr>
      <w:r>
        <w:rPr>
          <w:rFonts w:hint="eastAsia" w:ascii="黑体" w:hAnsi="黑体" w:eastAsia="黑体" w:cs="黑体"/>
          <w:b/>
          <w:bCs/>
          <w:szCs w:val="21"/>
        </w:rPr>
        <w:t>D.2 标识授权与使用</w:t>
      </w:r>
    </w:p>
    <w:p w14:paraId="53903531">
      <w:pPr>
        <w:rPr>
          <w:rFonts w:ascii="宋体" w:hAnsi="宋体" w:eastAsia="宋体" w:cs="宋体"/>
          <w:b/>
          <w:bCs/>
          <w:szCs w:val="21"/>
        </w:rPr>
      </w:pPr>
    </w:p>
    <w:p w14:paraId="5E558957">
      <w:pPr>
        <w:spacing w:line="360" w:lineRule="auto"/>
        <w:rPr>
          <w:rFonts w:ascii="宋体" w:hAnsi="宋体" w:eastAsia="宋体" w:cs="宋体"/>
          <w:szCs w:val="21"/>
        </w:rPr>
      </w:pPr>
      <w:r>
        <w:rPr>
          <w:rFonts w:hint="eastAsia" w:ascii="黑体" w:hAnsi="黑体" w:eastAsia="黑体" w:cs="黑体"/>
          <w:szCs w:val="21"/>
        </w:rPr>
        <w:t>D.2.1</w:t>
      </w:r>
      <w:r>
        <w:rPr>
          <w:rFonts w:hint="eastAsia" w:ascii="宋体" w:hAnsi="宋体" w:eastAsia="宋体" w:cs="宋体"/>
          <w:szCs w:val="21"/>
        </w:rPr>
        <w:t xml:space="preserve"> 等级标识模板（含中英文版本、矢量图形、配色规范、字体要求）由评价机构统一设计并授权发布。</w:t>
      </w:r>
    </w:p>
    <w:p w14:paraId="1282C811">
      <w:pPr>
        <w:spacing w:line="360" w:lineRule="auto"/>
        <w:rPr>
          <w:rFonts w:ascii="宋体" w:hAnsi="宋体" w:eastAsia="宋体" w:cs="宋体"/>
          <w:szCs w:val="21"/>
        </w:rPr>
      </w:pPr>
      <w:r>
        <w:rPr>
          <w:rFonts w:hint="eastAsia" w:ascii="黑体" w:hAnsi="黑体" w:eastAsia="黑体" w:cs="黑体"/>
          <w:szCs w:val="21"/>
        </w:rPr>
        <w:t>D.2.2</w:t>
      </w:r>
      <w:r>
        <w:rPr>
          <w:rFonts w:hint="eastAsia" w:ascii="宋体" w:hAnsi="宋体" w:eastAsia="宋体" w:cs="宋体"/>
          <w:szCs w:val="21"/>
        </w:rPr>
        <w:t xml:space="preserve"> 获得相应等级证书的实验室，可向评价机构申请标识使用授权，获准后方可用于以下场景：</w:t>
      </w:r>
    </w:p>
    <w:p w14:paraId="3E41F883">
      <w:pPr>
        <w:numPr>
          <w:ilvl w:val="0"/>
          <w:numId w:val="18"/>
        </w:numPr>
        <w:spacing w:line="360" w:lineRule="auto"/>
        <w:rPr>
          <w:rFonts w:ascii="宋体" w:hAnsi="宋体" w:eastAsia="宋体" w:cs="宋体"/>
          <w:szCs w:val="21"/>
        </w:rPr>
      </w:pPr>
      <w:r>
        <w:rPr>
          <w:rFonts w:hint="eastAsia" w:ascii="宋体" w:hAnsi="宋体" w:eastAsia="宋体" w:cs="宋体"/>
          <w:szCs w:val="21"/>
        </w:rPr>
        <w:t>检测报告封面或页脚；</w:t>
      </w:r>
    </w:p>
    <w:p w14:paraId="03E7863F">
      <w:pPr>
        <w:numPr>
          <w:ilvl w:val="0"/>
          <w:numId w:val="18"/>
        </w:numPr>
        <w:spacing w:line="360" w:lineRule="auto"/>
        <w:rPr>
          <w:rFonts w:ascii="宋体" w:hAnsi="宋体" w:eastAsia="宋体" w:cs="宋体"/>
          <w:szCs w:val="21"/>
        </w:rPr>
      </w:pPr>
      <w:r>
        <w:rPr>
          <w:rFonts w:hint="eastAsia" w:ascii="宋体" w:hAnsi="宋体" w:eastAsia="宋体" w:cs="宋体"/>
          <w:szCs w:val="21"/>
        </w:rPr>
        <w:t>官方网站、宣传册、展板、名片等对外宣传材料；</w:t>
      </w:r>
    </w:p>
    <w:p w14:paraId="6415CB64">
      <w:pPr>
        <w:numPr>
          <w:ilvl w:val="0"/>
          <w:numId w:val="18"/>
        </w:numPr>
        <w:spacing w:line="360" w:lineRule="auto"/>
        <w:rPr>
          <w:rFonts w:ascii="宋体" w:hAnsi="宋体" w:eastAsia="宋体" w:cs="宋体"/>
          <w:szCs w:val="21"/>
        </w:rPr>
      </w:pPr>
      <w:r>
        <w:rPr>
          <w:rFonts w:hint="eastAsia" w:ascii="宋体" w:hAnsi="宋体" w:eastAsia="宋体" w:cs="宋体"/>
          <w:szCs w:val="21"/>
        </w:rPr>
        <w:t>政府采购、招投标、客户合作等商业文件中</w:t>
      </w:r>
      <w:r>
        <w:rPr>
          <w:rFonts w:hint="eastAsia" w:ascii="宋体" w:hAnsi="宋体" w:eastAsia="宋体" w:cs="宋体"/>
          <w:szCs w:val="21"/>
          <w:lang w:eastAsia="zh-CN"/>
        </w:rPr>
        <w:t>；</w:t>
      </w:r>
    </w:p>
    <w:p w14:paraId="4DCF959F">
      <w:pPr>
        <w:numPr>
          <w:ilvl w:val="0"/>
          <w:numId w:val="18"/>
        </w:numPr>
        <w:spacing w:line="360" w:lineRule="auto"/>
        <w:rPr>
          <w:rFonts w:hint="eastAsia" w:ascii="宋体" w:hAnsi="宋体" w:eastAsia="宋体" w:cs="宋体"/>
          <w:szCs w:val="21"/>
        </w:rPr>
      </w:pPr>
      <w:r>
        <w:rPr>
          <w:rFonts w:hint="eastAsia" w:ascii="宋体" w:hAnsi="宋体" w:eastAsia="宋体" w:cs="宋体"/>
          <w:szCs w:val="21"/>
        </w:rPr>
        <w:t>标识的使用权限仅在数据平台显示证书状态为‘有效’时存在。纸质证书失效或平台状态冻结期间，严禁在新的宣传材料或报告中使用标识</w:t>
      </w:r>
      <w:r>
        <w:rPr>
          <w:rFonts w:hint="eastAsia" w:ascii="宋体" w:hAnsi="宋体" w:eastAsia="宋体" w:cs="宋体"/>
          <w:szCs w:val="21"/>
          <w:lang w:eastAsia="zh-CN"/>
        </w:rPr>
        <w:t>。</w:t>
      </w:r>
    </w:p>
    <w:p w14:paraId="753E21A4">
      <w:pPr>
        <w:numPr>
          <w:ilvl w:val="0"/>
          <w:numId w:val="0"/>
        </w:numPr>
        <w:spacing w:line="360" w:lineRule="auto"/>
        <w:ind w:leftChars="0"/>
        <w:rPr>
          <w:rFonts w:hint="eastAsia" w:ascii="宋体" w:hAnsi="宋体" w:eastAsia="宋体" w:cs="宋体"/>
          <w:szCs w:val="21"/>
        </w:rPr>
      </w:pPr>
      <w:r>
        <w:rPr>
          <w:rFonts w:hint="eastAsia" w:ascii="黑体" w:hAnsi="黑体" w:eastAsia="黑体" w:cs="黑体"/>
          <w:szCs w:val="21"/>
        </w:rPr>
        <w:t>D.2.3</w:t>
      </w:r>
      <w:r>
        <w:rPr>
          <w:rFonts w:hint="eastAsia" w:ascii="宋体" w:hAnsi="宋体" w:eastAsia="宋体" w:cs="宋体"/>
          <w:szCs w:val="21"/>
        </w:rPr>
        <w:t xml:space="preserve"> 严格限制使用范围</w:t>
      </w:r>
    </w:p>
    <w:p w14:paraId="5D9892B1">
      <w:pPr>
        <w:numPr>
          <w:ilvl w:val="0"/>
          <w:numId w:val="19"/>
        </w:numPr>
        <w:spacing w:line="360" w:lineRule="auto"/>
        <w:ind w:left="425" w:leftChars="0" w:hanging="425" w:firstLineChars="0"/>
        <w:rPr>
          <w:rFonts w:hint="eastAsia" w:ascii="宋体" w:hAnsi="宋体" w:eastAsia="宋体" w:cs="宋体"/>
          <w:szCs w:val="21"/>
        </w:rPr>
      </w:pPr>
      <w:r>
        <w:rPr>
          <w:rFonts w:hint="eastAsia" w:ascii="宋体" w:hAnsi="宋体" w:eastAsia="宋体" w:cs="宋体"/>
          <w:szCs w:val="21"/>
        </w:rPr>
        <w:t>一址一证原则：本评价体系系对“特定检测场所（Testing Site）”的能力评价。</w:t>
      </w:r>
    </w:p>
    <w:p w14:paraId="4AB85A1E">
      <w:pPr>
        <w:numPr>
          <w:ilvl w:val="0"/>
          <w:numId w:val="19"/>
        </w:numPr>
        <w:spacing w:line="360" w:lineRule="auto"/>
        <w:ind w:left="425" w:leftChars="0" w:hanging="425" w:firstLineChars="0"/>
        <w:rPr>
          <w:rFonts w:hint="eastAsia" w:ascii="宋体" w:hAnsi="宋体" w:eastAsia="宋体" w:cs="宋体"/>
          <w:szCs w:val="21"/>
        </w:rPr>
      </w:pPr>
      <w:r>
        <w:rPr>
          <w:rFonts w:hint="eastAsia" w:ascii="宋体" w:hAnsi="宋体" w:eastAsia="宋体" w:cs="宋体"/>
          <w:szCs w:val="21"/>
        </w:rPr>
        <w:t>禁止跨地冒用：同一集团公司名下，若存在多个不同地址的实验室，须分别独立申请评价。获证实验室（A地）的证书、编号及等级标识，严禁被未获证的关联实验室（B地）用于出具报告、市场宣传或投标活动。</w:t>
      </w:r>
    </w:p>
    <w:p w14:paraId="2B37C24B">
      <w:pPr>
        <w:numPr>
          <w:ilvl w:val="0"/>
          <w:numId w:val="19"/>
        </w:numPr>
        <w:spacing w:line="360" w:lineRule="auto"/>
        <w:ind w:left="425" w:leftChars="0" w:hanging="425" w:firstLineChars="0"/>
        <w:rPr>
          <w:rFonts w:ascii="宋体" w:hAnsi="宋体" w:eastAsia="宋体" w:cs="宋体"/>
          <w:szCs w:val="21"/>
        </w:rPr>
      </w:pPr>
      <w:r>
        <w:rPr>
          <w:rFonts w:hint="eastAsia" w:ascii="宋体" w:hAnsi="宋体" w:eastAsia="宋体" w:cs="宋体"/>
          <w:szCs w:val="21"/>
        </w:rPr>
        <w:t>一经发现集团内部跨场所冒用标识，评价机构将直接撤销该集团所有已获证实验室的资格，并列入行业失信名单。</w:t>
      </w:r>
    </w:p>
    <w:p w14:paraId="15BCC2CD">
      <w:pPr>
        <w:numPr>
          <w:ilvl w:val="0"/>
          <w:numId w:val="0"/>
        </w:numPr>
        <w:spacing w:line="360" w:lineRule="auto"/>
        <w:ind w:leftChars="0"/>
        <w:rPr>
          <w:rFonts w:ascii="宋体" w:hAnsi="宋体" w:eastAsia="宋体" w:cs="宋体"/>
          <w:szCs w:val="21"/>
        </w:rPr>
      </w:pPr>
      <w:r>
        <w:rPr>
          <w:rFonts w:hint="eastAsia" w:ascii="黑体" w:hAnsi="黑体" w:eastAsia="黑体" w:cs="黑体"/>
          <w:szCs w:val="21"/>
        </w:rPr>
        <w:t xml:space="preserve">D.2.4 </w:t>
      </w:r>
      <w:r>
        <w:rPr>
          <w:rFonts w:hint="eastAsia" w:ascii="宋体" w:hAnsi="宋体" w:eastAsia="宋体" w:cs="宋体"/>
          <w:szCs w:val="21"/>
        </w:rPr>
        <w:t>动态有效性</w:t>
      </w:r>
    </w:p>
    <w:p w14:paraId="0A97578D">
      <w:pPr>
        <w:numPr>
          <w:ilvl w:val="0"/>
          <w:numId w:val="0"/>
        </w:numPr>
        <w:spacing w:line="360" w:lineRule="auto"/>
        <w:ind w:leftChars="0"/>
        <w:rPr>
          <w:rFonts w:ascii="宋体" w:hAnsi="宋体" w:eastAsia="宋体" w:cs="宋体"/>
          <w:szCs w:val="21"/>
        </w:rPr>
      </w:pPr>
      <w:r>
        <w:rPr>
          <w:rFonts w:hint="eastAsia" w:ascii="宋体" w:hAnsi="宋体" w:eastAsia="宋体" w:cs="宋体"/>
          <w:szCs w:val="21"/>
        </w:rPr>
        <w:t>等级标识的使用权限与数据平台状态实时关联。当平台显示证书状态为“冻结”或“失效”时，实验室严禁在新的检测报告、宣传材料中使用相关标识。</w:t>
      </w:r>
    </w:p>
    <w:p w14:paraId="571BB2CD">
      <w:pPr>
        <w:rPr>
          <w:rFonts w:ascii="黑体" w:hAnsi="黑体" w:eastAsia="黑体" w:cs="黑体"/>
          <w:b/>
          <w:bCs/>
          <w:szCs w:val="21"/>
        </w:rPr>
      </w:pPr>
      <w:r>
        <w:rPr>
          <w:rFonts w:hint="eastAsia" w:ascii="黑体" w:hAnsi="黑体" w:eastAsia="黑体" w:cs="黑体"/>
          <w:b/>
          <w:bCs/>
          <w:szCs w:val="21"/>
        </w:rPr>
        <w:t>D.3 禁用与撤回</w:t>
      </w:r>
    </w:p>
    <w:p w14:paraId="5CA754F6">
      <w:pPr>
        <w:rPr>
          <w:rFonts w:ascii="宋体" w:hAnsi="宋体" w:eastAsia="宋体" w:cs="宋体"/>
          <w:b/>
          <w:bCs/>
          <w:szCs w:val="21"/>
        </w:rPr>
      </w:pPr>
    </w:p>
    <w:p w14:paraId="1A735030">
      <w:pPr>
        <w:spacing w:line="360" w:lineRule="auto"/>
        <w:rPr>
          <w:rFonts w:ascii="宋体" w:hAnsi="宋体" w:eastAsia="宋体" w:cs="宋体"/>
          <w:szCs w:val="21"/>
        </w:rPr>
      </w:pPr>
      <w:r>
        <w:rPr>
          <w:rFonts w:hint="eastAsia" w:ascii="黑体" w:hAnsi="黑体" w:eastAsia="黑体" w:cs="黑体"/>
          <w:szCs w:val="21"/>
        </w:rPr>
        <w:t>D.3.1</w:t>
      </w:r>
      <w:r>
        <w:rPr>
          <w:rFonts w:hint="eastAsia" w:ascii="宋体" w:hAnsi="宋体" w:eastAsia="宋体" w:cs="宋体"/>
          <w:szCs w:val="21"/>
        </w:rPr>
        <w:t xml:space="preserve"> 出现以下情形之一时，实验室应立即停止使用等级标识，并在5个工作日内撤回所有已发布内容：</w:t>
      </w:r>
    </w:p>
    <w:p w14:paraId="54D80DB7">
      <w:pPr>
        <w:spacing w:line="360" w:lineRule="auto"/>
        <w:rPr>
          <w:rFonts w:ascii="宋体" w:hAnsi="宋体" w:eastAsia="宋体" w:cs="宋体"/>
          <w:szCs w:val="21"/>
        </w:rPr>
      </w:pPr>
      <w:r>
        <w:rPr>
          <w:rFonts w:hint="eastAsia" w:ascii="宋体" w:hAnsi="宋体" w:eastAsia="宋体" w:cs="宋体"/>
          <w:szCs w:val="21"/>
          <w:lang w:eastAsia="zh-CN"/>
        </w:rPr>
        <w:t>a）</w:t>
      </w:r>
      <w:r>
        <w:rPr>
          <w:rFonts w:hint="eastAsia" w:ascii="宋体" w:hAnsi="宋体" w:eastAsia="宋体" w:cs="宋体"/>
          <w:szCs w:val="21"/>
        </w:rPr>
        <w:t xml:space="preserve"> 证书有效期届满未通过复评；</w:t>
      </w:r>
    </w:p>
    <w:p w14:paraId="7F92FBDF">
      <w:pPr>
        <w:spacing w:line="360" w:lineRule="auto"/>
        <w:rPr>
          <w:rFonts w:ascii="宋体" w:hAnsi="宋体" w:eastAsia="宋体" w:cs="宋体"/>
          <w:szCs w:val="21"/>
        </w:rPr>
      </w:pPr>
      <w:r>
        <w:rPr>
          <w:rFonts w:hint="eastAsia" w:ascii="宋体" w:hAnsi="宋体" w:eastAsia="宋体" w:cs="宋体"/>
          <w:szCs w:val="21"/>
          <w:lang w:eastAsia="zh-CN"/>
        </w:rPr>
        <w:t>b）</w:t>
      </w:r>
      <w:r>
        <w:rPr>
          <w:rFonts w:hint="eastAsia" w:ascii="宋体" w:hAnsi="宋体" w:eastAsia="宋体" w:cs="宋体"/>
          <w:szCs w:val="21"/>
        </w:rPr>
        <w:t xml:space="preserve"> 监督评价不合格且未在规定期限内完成整改；</w:t>
      </w:r>
    </w:p>
    <w:p w14:paraId="44D58469">
      <w:pPr>
        <w:spacing w:line="360" w:lineRule="auto"/>
        <w:rPr>
          <w:rFonts w:ascii="宋体" w:hAnsi="宋体" w:eastAsia="宋体" w:cs="宋体"/>
          <w:szCs w:val="21"/>
        </w:rPr>
      </w:pPr>
      <w:r>
        <w:rPr>
          <w:rFonts w:hint="eastAsia" w:ascii="宋体" w:hAnsi="宋体" w:eastAsia="宋体" w:cs="宋体"/>
          <w:szCs w:val="21"/>
          <w:lang w:eastAsia="zh-CN"/>
        </w:rPr>
        <w:t>c）</w:t>
      </w:r>
      <w:r>
        <w:rPr>
          <w:rFonts w:hint="eastAsia" w:ascii="宋体" w:hAnsi="宋体" w:eastAsia="宋体" w:cs="宋体"/>
          <w:szCs w:val="21"/>
        </w:rPr>
        <w:t xml:space="preserve"> 发生重大检测质量事故、数据造假或被监管部门处罚；</w:t>
      </w:r>
    </w:p>
    <w:p w14:paraId="4E458749">
      <w:pPr>
        <w:spacing w:line="360" w:lineRule="auto"/>
        <w:rPr>
          <w:rFonts w:ascii="宋体" w:hAnsi="宋体" w:eastAsia="宋体" w:cs="宋体"/>
          <w:szCs w:val="21"/>
        </w:rPr>
      </w:pPr>
      <w:r>
        <w:rPr>
          <w:rFonts w:hint="eastAsia" w:ascii="宋体" w:hAnsi="宋体" w:eastAsia="宋体" w:cs="宋体"/>
          <w:szCs w:val="21"/>
          <w:lang w:eastAsia="zh-CN"/>
        </w:rPr>
        <w:t>d）</w:t>
      </w:r>
      <w:r>
        <w:rPr>
          <w:rFonts w:hint="eastAsia" w:ascii="宋体" w:hAnsi="宋体" w:eastAsia="宋体" w:cs="宋体"/>
          <w:szCs w:val="21"/>
        </w:rPr>
        <w:t xml:space="preserve"> 评价机构依据第6.8.4条撤销证书。</w:t>
      </w:r>
    </w:p>
    <w:p w14:paraId="5C63DEDF">
      <w:pPr>
        <w:spacing w:line="360" w:lineRule="auto"/>
        <w:rPr>
          <w:rFonts w:ascii="宋体" w:hAnsi="宋体" w:eastAsia="宋体" w:cs="宋体"/>
          <w:szCs w:val="21"/>
        </w:rPr>
      </w:pPr>
      <w:r>
        <w:rPr>
          <w:rFonts w:hint="eastAsia" w:ascii="黑体" w:hAnsi="黑体" w:eastAsia="黑体" w:cs="黑体"/>
          <w:szCs w:val="21"/>
        </w:rPr>
        <w:t>D.3.2</w:t>
      </w:r>
      <w:r>
        <w:rPr>
          <w:rFonts w:hint="eastAsia" w:ascii="宋体" w:hAnsi="宋体" w:eastAsia="宋体" w:cs="宋体"/>
          <w:szCs w:val="21"/>
        </w:rPr>
        <w:t xml:space="preserve"> 违规使用标识的，评价机构有权通报行业主管部门，并记入实验室信用档案。</w:t>
      </w:r>
    </w:p>
    <w:p w14:paraId="7E6A0BAA">
      <w:pPr>
        <w:rPr>
          <w:rFonts w:ascii="宋体" w:hAnsi="宋体" w:eastAsia="宋体" w:cs="宋体"/>
          <w:szCs w:val="21"/>
        </w:rPr>
      </w:pPr>
    </w:p>
    <w:p w14:paraId="454E8639">
      <w:pPr>
        <w:rPr>
          <w:rFonts w:ascii="黑体" w:hAnsi="黑体" w:eastAsia="黑体" w:cs="黑体"/>
          <w:b/>
          <w:bCs/>
          <w:szCs w:val="21"/>
        </w:rPr>
      </w:pPr>
      <w:r>
        <w:rPr>
          <w:rFonts w:hint="eastAsia" w:ascii="黑体" w:hAnsi="黑体" w:eastAsia="黑体" w:cs="黑体"/>
          <w:b/>
          <w:bCs/>
          <w:szCs w:val="21"/>
        </w:rPr>
        <w:t>D.4 国际使用说明</w:t>
      </w:r>
    </w:p>
    <w:p w14:paraId="70801025">
      <w:pPr>
        <w:rPr>
          <w:rFonts w:ascii="宋体" w:hAnsi="宋体" w:eastAsia="宋体" w:cs="宋体"/>
          <w:b/>
          <w:bCs/>
          <w:szCs w:val="21"/>
        </w:rPr>
      </w:pPr>
    </w:p>
    <w:p w14:paraId="7BF85AAB">
      <w:pPr>
        <w:spacing w:line="360" w:lineRule="auto"/>
        <w:rPr>
          <w:rFonts w:ascii="宋体" w:hAnsi="宋体" w:eastAsia="宋体" w:cs="宋体"/>
          <w:szCs w:val="21"/>
        </w:rPr>
      </w:pPr>
      <w:r>
        <w:rPr>
          <w:rFonts w:hint="eastAsia" w:ascii="黑体" w:hAnsi="黑体" w:eastAsia="黑体" w:cs="黑体"/>
          <w:szCs w:val="21"/>
        </w:rPr>
        <w:t xml:space="preserve">D.4.1 </w:t>
      </w:r>
      <w:r>
        <w:rPr>
          <w:rFonts w:hint="eastAsia" w:ascii="宋体" w:hAnsi="宋体" w:eastAsia="宋体" w:cs="宋体"/>
          <w:szCs w:val="21"/>
        </w:rPr>
        <w:t>面向国际客户或参与国际互认项目时，可使用英文标识（如 “A+ High-Quality Lab”），但须同时标注中文等级名称或提供中英文对照说明。</w:t>
      </w:r>
    </w:p>
    <w:p w14:paraId="01BB3C73">
      <w:pPr>
        <w:spacing w:line="360" w:lineRule="auto"/>
        <w:rPr>
          <w:rFonts w:ascii="宋体" w:hAnsi="宋体" w:eastAsia="宋体" w:cs="宋体"/>
          <w:szCs w:val="21"/>
        </w:rPr>
      </w:pPr>
      <w:r>
        <w:rPr>
          <w:rFonts w:hint="eastAsia" w:ascii="黑体" w:hAnsi="黑体" w:eastAsia="黑体" w:cs="黑体"/>
          <w:szCs w:val="21"/>
        </w:rPr>
        <w:t>D.4.2</w:t>
      </w:r>
      <w:r>
        <w:rPr>
          <w:rFonts w:hint="eastAsia" w:ascii="宋体" w:hAnsi="宋体" w:eastAsia="宋体" w:cs="宋体"/>
          <w:szCs w:val="21"/>
        </w:rPr>
        <w:t xml:space="preserve"> 英文标识不得单独使用，且不得暗示获得 ILAC、IECQ 等国际组织直接认证，除非实验室已取得相应认可。</w:t>
      </w:r>
    </w:p>
    <w:p w14:paraId="070AB1AB">
      <w:pPr>
        <w:rPr>
          <w:rFonts w:ascii="宋体" w:hAnsi="宋体" w:eastAsia="宋体" w:cs="宋体"/>
          <w:szCs w:val="21"/>
        </w:rPr>
      </w:pPr>
    </w:p>
    <w:p w14:paraId="20CAB4E6">
      <w:pPr>
        <w:rPr>
          <w:rFonts w:ascii="黑体" w:hAnsi="黑体" w:eastAsia="黑体" w:cs="黑体"/>
          <w:szCs w:val="21"/>
        </w:rPr>
      </w:pPr>
      <w:r>
        <w:rPr>
          <w:rFonts w:hint="eastAsia" w:ascii="黑体" w:hAnsi="黑体" w:eastAsia="黑体" w:cs="黑体"/>
          <w:b/>
          <w:bCs/>
          <w:szCs w:val="21"/>
        </w:rPr>
        <w:t>D.5 标识样式示例（图示说明</w:t>
      </w:r>
      <w:r>
        <w:rPr>
          <w:rFonts w:hint="eastAsia" w:ascii="黑体" w:hAnsi="黑体" w:eastAsia="黑体" w:cs="黑体"/>
          <w:b/>
          <w:bCs/>
          <w:szCs w:val="21"/>
          <w:lang w:eastAsia="zh-CN"/>
        </w:rPr>
        <w:t>，与防伪二维码配合使用）</w:t>
      </w:r>
    </w:p>
    <w:tbl>
      <w:tblPr>
        <w:tblStyle w:val="16"/>
        <w:tblpPr w:leftFromText="180" w:rightFromText="180" w:vertAnchor="text" w:horzAnchor="page" w:tblpX="708" w:tblpY="149"/>
        <w:tblOverlap w:val="never"/>
        <w:tblW w:w="108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58"/>
        <w:gridCol w:w="3658"/>
        <w:gridCol w:w="3640"/>
      </w:tblGrid>
      <w:tr w14:paraId="3249C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10888" w:type="dxa"/>
            <w:gridSpan w:val="3"/>
          </w:tcPr>
          <w:p w14:paraId="1B8AAE34">
            <w:pPr>
              <w:rPr>
                <w:rFonts w:ascii="宋体" w:hAnsi="宋体" w:eastAsia="宋体" w:cs="宋体"/>
                <w:szCs w:val="21"/>
              </w:rPr>
            </w:pPr>
            <w:r>
              <w:rPr>
                <w:rFonts w:hint="eastAsia" w:ascii="黑体" w:hAnsi="黑体" w:eastAsia="黑体" w:cs="黑体"/>
                <w:b/>
                <w:bCs/>
                <w:szCs w:val="21"/>
              </w:rPr>
              <w:t xml:space="preserve">D.5.1 </w:t>
            </w:r>
            <w:r>
              <w:rPr>
                <w:rFonts w:hint="eastAsia" w:ascii="黑体" w:hAnsi="黑体" w:eastAsia="黑体" w:cs="黑体"/>
                <w:b/>
                <w:bCs/>
                <w:szCs w:val="21"/>
                <w:lang w:val="en-US" w:eastAsia="zh-CN"/>
              </w:rPr>
              <w:t>文件</w:t>
            </w:r>
            <w:r>
              <w:rPr>
                <w:rFonts w:hint="eastAsia" w:ascii="黑体" w:hAnsi="黑体" w:eastAsia="黑体" w:cs="黑体"/>
                <w:b/>
                <w:bCs/>
                <w:szCs w:val="21"/>
              </w:rPr>
              <w:t>标识</w:t>
            </w:r>
          </w:p>
        </w:tc>
      </w:tr>
      <w:tr w14:paraId="0348F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7" w:hRule="atLeast"/>
        </w:trPr>
        <w:tc>
          <w:tcPr>
            <w:tcW w:w="3636" w:type="dxa"/>
          </w:tcPr>
          <w:p w14:paraId="529BD4AC">
            <w:pPr>
              <w:rPr>
                <w:rFonts w:hint="eastAsia" w:ascii="宋体" w:hAnsi="宋体" w:eastAsia="宋体" w:cs="宋体"/>
                <w:szCs w:val="21"/>
                <w:lang w:eastAsia="zh-CN"/>
              </w:rPr>
            </w:pPr>
            <w:r>
              <w:rPr>
                <w:rFonts w:hint="eastAsia" w:ascii="宋体" w:hAnsi="宋体" w:eastAsia="宋体" w:cs="宋体"/>
                <w:szCs w:val="21"/>
                <w:lang w:eastAsia="zh-CN"/>
              </w:rPr>
              <w:drawing>
                <wp:anchor distT="0" distB="0" distL="114300" distR="114300" simplePos="0" relativeHeight="251665408" behindDoc="0" locked="0" layoutInCell="1" allowOverlap="1">
                  <wp:simplePos x="0" y="0"/>
                  <wp:positionH relativeFrom="column">
                    <wp:posOffset>437515</wp:posOffset>
                  </wp:positionH>
                  <wp:positionV relativeFrom="paragraph">
                    <wp:posOffset>455295</wp:posOffset>
                  </wp:positionV>
                  <wp:extent cx="1224280" cy="824865"/>
                  <wp:effectExtent l="0" t="0" r="7620" b="635"/>
                  <wp:wrapSquare wrapText="bothSides"/>
                  <wp:docPr id="6" name="图片 6" descr="5398b54e7e92e16302fdf63d66ec0d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398b54e7e92e16302fdf63d66ec0d6a"/>
                          <pic:cNvPicPr>
                            <a:picLocks noChangeAspect="1"/>
                          </pic:cNvPicPr>
                        </pic:nvPicPr>
                        <pic:blipFill>
                          <a:blip r:embed="rId18"/>
                          <a:stretch>
                            <a:fillRect/>
                          </a:stretch>
                        </pic:blipFill>
                        <pic:spPr>
                          <a:xfrm>
                            <a:off x="0" y="0"/>
                            <a:ext cx="1224280" cy="824865"/>
                          </a:xfrm>
                          <a:prstGeom prst="rect">
                            <a:avLst/>
                          </a:prstGeom>
                        </pic:spPr>
                      </pic:pic>
                    </a:graphicData>
                  </a:graphic>
                </wp:anchor>
              </w:drawing>
            </w:r>
          </w:p>
        </w:tc>
        <w:tc>
          <w:tcPr>
            <w:tcW w:w="3636" w:type="dxa"/>
          </w:tcPr>
          <w:p w14:paraId="3F3A9B1C">
            <w:pPr>
              <w:rPr>
                <w:rFonts w:hint="eastAsia" w:ascii="宋体" w:hAnsi="宋体" w:eastAsia="宋体" w:cs="宋体"/>
                <w:szCs w:val="21"/>
                <w:lang w:eastAsia="zh-CN"/>
              </w:rPr>
            </w:pPr>
            <w:r>
              <w:rPr>
                <w:rFonts w:hint="eastAsia" w:ascii="宋体" w:hAnsi="宋体" w:eastAsia="宋体" w:cs="宋体"/>
                <w:szCs w:val="21"/>
                <w:lang w:eastAsia="zh-CN"/>
              </w:rPr>
              <w:drawing>
                <wp:anchor distT="0" distB="0" distL="114300" distR="114300" simplePos="0" relativeHeight="251667456" behindDoc="0" locked="0" layoutInCell="1" allowOverlap="1">
                  <wp:simplePos x="0" y="0"/>
                  <wp:positionH relativeFrom="column">
                    <wp:posOffset>466090</wp:posOffset>
                  </wp:positionH>
                  <wp:positionV relativeFrom="paragraph">
                    <wp:posOffset>469265</wp:posOffset>
                  </wp:positionV>
                  <wp:extent cx="1229360" cy="828040"/>
                  <wp:effectExtent l="0" t="0" r="2540" b="10160"/>
                  <wp:wrapSquare wrapText="bothSides"/>
                  <wp:docPr id="11" name="图片 11" descr="de7ce4282e12ff7ce16499e5035b2c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e7ce4282e12ff7ce16499e5035b2c6b"/>
                          <pic:cNvPicPr>
                            <a:picLocks noChangeAspect="1"/>
                          </pic:cNvPicPr>
                        </pic:nvPicPr>
                        <pic:blipFill>
                          <a:blip r:embed="rId19"/>
                          <a:stretch>
                            <a:fillRect/>
                          </a:stretch>
                        </pic:blipFill>
                        <pic:spPr>
                          <a:xfrm>
                            <a:off x="0" y="0"/>
                            <a:ext cx="1229360" cy="828040"/>
                          </a:xfrm>
                          <a:prstGeom prst="rect">
                            <a:avLst/>
                          </a:prstGeom>
                        </pic:spPr>
                      </pic:pic>
                    </a:graphicData>
                  </a:graphic>
                </wp:anchor>
              </w:drawing>
            </w:r>
          </w:p>
        </w:tc>
        <w:tc>
          <w:tcPr>
            <w:tcW w:w="3616" w:type="dxa"/>
          </w:tcPr>
          <w:p w14:paraId="465D45BB">
            <w:pPr>
              <w:rPr>
                <w:rFonts w:hint="eastAsia" w:ascii="宋体" w:hAnsi="宋体" w:eastAsia="宋体" w:cs="宋体"/>
                <w:szCs w:val="21"/>
                <w:lang w:eastAsia="zh-CN"/>
              </w:rPr>
            </w:pPr>
            <w:r>
              <w:rPr>
                <w:rFonts w:hint="eastAsia" w:ascii="宋体" w:hAnsi="宋体" w:eastAsia="宋体" w:cs="宋体"/>
                <w:szCs w:val="21"/>
                <w:lang w:eastAsia="zh-CN"/>
              </w:rPr>
              <w:drawing>
                <wp:anchor distT="0" distB="0" distL="114300" distR="114300" simplePos="0" relativeHeight="251666432" behindDoc="0" locked="0" layoutInCell="1" allowOverlap="1">
                  <wp:simplePos x="0" y="0"/>
                  <wp:positionH relativeFrom="column">
                    <wp:posOffset>509270</wp:posOffset>
                  </wp:positionH>
                  <wp:positionV relativeFrom="paragraph">
                    <wp:posOffset>473710</wp:posOffset>
                  </wp:positionV>
                  <wp:extent cx="1216025" cy="819150"/>
                  <wp:effectExtent l="0" t="0" r="3175" b="6350"/>
                  <wp:wrapSquare wrapText="bothSides"/>
                  <wp:docPr id="7" name="图片 7" descr="0bc8d1512ced5e562f68a019070e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bc8d1512ced5e562f68a019070e4870"/>
                          <pic:cNvPicPr>
                            <a:picLocks noChangeAspect="1"/>
                          </pic:cNvPicPr>
                        </pic:nvPicPr>
                        <pic:blipFill>
                          <a:blip r:embed="rId20"/>
                          <a:stretch>
                            <a:fillRect/>
                          </a:stretch>
                        </pic:blipFill>
                        <pic:spPr>
                          <a:xfrm>
                            <a:off x="0" y="0"/>
                            <a:ext cx="1216025" cy="819150"/>
                          </a:xfrm>
                          <a:prstGeom prst="rect">
                            <a:avLst/>
                          </a:prstGeom>
                        </pic:spPr>
                      </pic:pic>
                    </a:graphicData>
                  </a:graphic>
                </wp:anchor>
              </w:drawing>
            </w:r>
          </w:p>
        </w:tc>
      </w:tr>
      <w:tr w14:paraId="23EA6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10888" w:type="dxa"/>
            <w:gridSpan w:val="3"/>
          </w:tcPr>
          <w:p w14:paraId="2171C048">
            <w:pPr>
              <w:rPr>
                <w:rFonts w:ascii="宋体" w:hAnsi="宋体" w:eastAsia="宋体" w:cs="宋体"/>
                <w:szCs w:val="21"/>
              </w:rPr>
            </w:pPr>
            <w:r>
              <w:rPr>
                <w:rFonts w:hint="eastAsia" w:ascii="黑体" w:hAnsi="黑体" w:eastAsia="黑体" w:cs="黑体"/>
                <w:b/>
                <w:bCs/>
                <w:szCs w:val="21"/>
              </w:rPr>
              <w:t xml:space="preserve">D.5.2 </w:t>
            </w:r>
            <w:r>
              <w:rPr>
                <w:rFonts w:hint="eastAsia" w:ascii="黑体" w:hAnsi="黑体" w:eastAsia="黑体" w:cs="黑体"/>
                <w:b/>
                <w:bCs/>
                <w:szCs w:val="21"/>
                <w:lang w:val="en-US" w:eastAsia="zh-CN"/>
              </w:rPr>
              <w:t>实验室</w:t>
            </w:r>
            <w:r>
              <w:rPr>
                <w:rFonts w:hint="eastAsia" w:ascii="黑体" w:hAnsi="黑体" w:eastAsia="黑体" w:cs="黑体"/>
                <w:b/>
                <w:bCs/>
                <w:szCs w:val="21"/>
              </w:rPr>
              <w:t>牌匾</w:t>
            </w:r>
          </w:p>
        </w:tc>
      </w:tr>
      <w:tr w14:paraId="1A51C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1" w:hRule="atLeast"/>
        </w:trPr>
        <w:tc>
          <w:tcPr>
            <w:tcW w:w="10888" w:type="dxa"/>
            <w:gridSpan w:val="3"/>
          </w:tcPr>
          <w:p w14:paraId="44DE2C2E">
            <w:pPr>
              <w:rPr>
                <w:rFonts w:ascii="宋体" w:hAnsi="宋体" w:eastAsia="宋体" w:cs="宋体"/>
                <w:szCs w:val="21"/>
              </w:rPr>
            </w:pPr>
            <w:r>
              <w:rPr>
                <w:rFonts w:hint="eastAsia" w:ascii="宋体" w:hAnsi="宋体" w:eastAsia="宋体" w:cs="宋体"/>
                <w:szCs w:val="21"/>
                <w:lang w:eastAsia="zh-CN"/>
              </w:rPr>
              <w:drawing>
                <wp:inline distT="0" distB="0" distL="114300" distR="114300">
                  <wp:extent cx="6812280" cy="1401445"/>
                  <wp:effectExtent l="0" t="0" r="7620" b="8255"/>
                  <wp:docPr id="5" name="图片 5" descr="51af9516aacbb331dc5dd98d7dbdf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1af9516aacbb331dc5dd98d7dbdf949"/>
                          <pic:cNvPicPr>
                            <a:picLocks noChangeAspect="1"/>
                          </pic:cNvPicPr>
                        </pic:nvPicPr>
                        <pic:blipFill>
                          <a:blip r:embed="rId21"/>
                          <a:stretch>
                            <a:fillRect/>
                          </a:stretch>
                        </pic:blipFill>
                        <pic:spPr>
                          <a:xfrm>
                            <a:off x="0" y="0"/>
                            <a:ext cx="6812280" cy="1401445"/>
                          </a:xfrm>
                          <a:prstGeom prst="rect">
                            <a:avLst/>
                          </a:prstGeom>
                        </pic:spPr>
                      </pic:pic>
                    </a:graphicData>
                  </a:graphic>
                </wp:inline>
              </w:drawing>
            </w:r>
          </w:p>
        </w:tc>
      </w:tr>
    </w:tbl>
    <w:p w14:paraId="3D8FD7F0">
      <w:pPr>
        <w:rPr>
          <w:rFonts w:ascii="宋体" w:hAnsi="宋体" w:eastAsia="宋体" w:cs="宋体"/>
          <w:szCs w:val="21"/>
        </w:rPr>
      </w:pPr>
    </w:p>
    <w:tbl>
      <w:tblPr>
        <w:tblStyle w:val="16"/>
        <w:tblpPr w:leftFromText="180" w:rightFromText="180" w:vertAnchor="text" w:horzAnchor="page" w:tblpX="708" w:tblpY="149"/>
        <w:tblOverlap w:val="never"/>
        <w:tblW w:w="108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88"/>
      </w:tblGrid>
      <w:tr w14:paraId="0630F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10888" w:type="dxa"/>
          </w:tcPr>
          <w:p w14:paraId="156E73D2">
            <w:pPr>
              <w:rPr>
                <w:rFonts w:hint="default" w:ascii="宋体" w:hAnsi="宋体" w:eastAsia="黑体" w:cs="宋体"/>
                <w:szCs w:val="21"/>
                <w:lang w:val="en-US" w:eastAsia="zh-CN"/>
              </w:rPr>
            </w:pPr>
            <w:r>
              <w:rPr>
                <w:rFonts w:hint="eastAsia" w:ascii="黑体" w:hAnsi="黑体" w:eastAsia="黑体" w:cs="黑体"/>
                <w:b/>
                <w:bCs/>
                <w:szCs w:val="21"/>
              </w:rPr>
              <w:t>D.5.</w:t>
            </w:r>
            <w:r>
              <w:rPr>
                <w:rFonts w:hint="eastAsia" w:ascii="黑体" w:hAnsi="黑体" w:eastAsia="黑体" w:cs="黑体"/>
                <w:b/>
                <w:bCs/>
                <w:szCs w:val="21"/>
                <w:lang w:val="en-US" w:eastAsia="zh-CN"/>
              </w:rPr>
              <w:t>3</w:t>
            </w:r>
            <w:r>
              <w:rPr>
                <w:rFonts w:hint="eastAsia" w:ascii="黑体" w:hAnsi="黑体" w:eastAsia="黑体" w:cs="黑体"/>
                <w:b/>
                <w:bCs/>
                <w:szCs w:val="21"/>
              </w:rPr>
              <w:t xml:space="preserve"> </w:t>
            </w:r>
            <w:r>
              <w:rPr>
                <w:rFonts w:hint="eastAsia" w:ascii="黑体" w:hAnsi="黑体" w:eastAsia="黑体" w:cs="黑体"/>
                <w:b/>
                <w:bCs/>
                <w:szCs w:val="21"/>
                <w:lang w:val="en-US" w:eastAsia="zh-CN"/>
              </w:rPr>
              <w:t>高质量评价项目标识</w:t>
            </w:r>
          </w:p>
        </w:tc>
      </w:tr>
      <w:tr w14:paraId="172C1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99" w:hRule="atLeast"/>
        </w:trPr>
        <w:tc>
          <w:tcPr>
            <w:tcW w:w="10888" w:type="dxa"/>
          </w:tcPr>
          <w:p w14:paraId="7C782734">
            <w:pPr>
              <w:rPr>
                <w:rFonts w:hint="eastAsia" w:ascii="宋体" w:hAnsi="宋体" w:eastAsia="宋体" w:cs="宋体"/>
                <w:szCs w:val="21"/>
                <w:lang w:eastAsia="zh-CN"/>
              </w:rPr>
            </w:pPr>
            <w:r>
              <w:rPr>
                <w:rFonts w:hint="eastAsia" w:ascii="宋体" w:hAnsi="宋体" w:eastAsia="宋体" w:cs="宋体"/>
                <w:szCs w:val="21"/>
                <w:lang w:eastAsia="zh-CN"/>
              </w:rPr>
              <w:drawing>
                <wp:anchor distT="0" distB="0" distL="114300" distR="114300" simplePos="0" relativeHeight="251664384" behindDoc="0" locked="0" layoutInCell="1" allowOverlap="1">
                  <wp:simplePos x="0" y="0"/>
                  <wp:positionH relativeFrom="column">
                    <wp:posOffset>2143125</wp:posOffset>
                  </wp:positionH>
                  <wp:positionV relativeFrom="paragraph">
                    <wp:posOffset>210185</wp:posOffset>
                  </wp:positionV>
                  <wp:extent cx="2164080" cy="2087880"/>
                  <wp:effectExtent l="0" t="0" r="7620" b="7620"/>
                  <wp:wrapSquare wrapText="bothSides"/>
                  <wp:docPr id="10" name="图片 10" descr="log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ogo_01"/>
                          <pic:cNvPicPr>
                            <a:picLocks noChangeAspect="1"/>
                          </pic:cNvPicPr>
                        </pic:nvPicPr>
                        <pic:blipFill>
                          <a:blip r:embed="rId22"/>
                          <a:srcRect l="30375" t="18619" r="29849" b="13171"/>
                          <a:stretch>
                            <a:fillRect/>
                          </a:stretch>
                        </pic:blipFill>
                        <pic:spPr>
                          <a:xfrm>
                            <a:off x="0" y="0"/>
                            <a:ext cx="2164080" cy="2087880"/>
                          </a:xfrm>
                          <a:prstGeom prst="rect">
                            <a:avLst/>
                          </a:prstGeom>
                        </pic:spPr>
                      </pic:pic>
                    </a:graphicData>
                  </a:graphic>
                </wp:anchor>
              </w:drawing>
            </w:r>
          </w:p>
        </w:tc>
      </w:tr>
    </w:tbl>
    <w:p w14:paraId="5B236232">
      <w:pPr>
        <w:rPr>
          <w:rFonts w:ascii="宋体" w:hAnsi="宋体" w:eastAsia="宋体" w:cs="宋体"/>
          <w:szCs w:val="21"/>
        </w:rPr>
      </w:pPr>
    </w:p>
    <w:p w14:paraId="5C36429A">
      <w:pPr>
        <w:rPr>
          <w:rFonts w:ascii="宋体" w:hAnsi="宋体" w:eastAsia="宋体" w:cs="宋体"/>
          <w:szCs w:val="21"/>
        </w:rPr>
      </w:pPr>
      <w:r>
        <w:rPr>
          <w:rFonts w:hint="eastAsia" w:ascii="宋体" w:hAnsi="宋体" w:eastAsia="宋体" w:cs="宋体"/>
          <w:szCs w:val="21"/>
        </w:rPr>
        <w:t xml:space="preserve">注：正式发布时应附标准标识矢量图（含 </w:t>
      </w:r>
      <w:r>
        <w:rPr>
          <w:rFonts w:ascii="Arial" w:hAnsi="Arial" w:eastAsia="宋体" w:cs="Arial"/>
          <w:szCs w:val="21"/>
        </w:rPr>
        <w:t>RGB/CMYK</w:t>
      </w:r>
      <w:r>
        <w:rPr>
          <w:rFonts w:hint="eastAsia" w:ascii="宋体" w:hAnsi="宋体" w:eastAsia="宋体" w:cs="宋体"/>
          <w:szCs w:val="21"/>
        </w:rPr>
        <w:t xml:space="preserve"> 色值、最小使用尺寸、安全间距等技术参数）。</w:t>
      </w:r>
      <w:bookmarkStart w:id="84" w:name="_Toc207144898"/>
      <w:bookmarkStart w:id="85" w:name="_Toc195402419"/>
    </w:p>
    <w:p w14:paraId="28A6011D">
      <w:pPr>
        <w:outlineLvl w:val="0"/>
        <w:rPr>
          <w:rStyle w:val="23"/>
          <w:rFonts w:ascii="黑体" w:hAnsi="黑体" w:eastAsia="黑体" w:cs="黑体"/>
          <w:szCs w:val="21"/>
        </w:rPr>
      </w:pPr>
    </w:p>
    <w:p w14:paraId="50DA5638">
      <w:pPr>
        <w:jc w:val="both"/>
        <w:outlineLvl w:val="0"/>
        <w:rPr>
          <w:rStyle w:val="23"/>
          <w:rFonts w:ascii="黑体" w:hAnsi="黑体" w:eastAsia="黑体" w:cs="黑体"/>
          <w:szCs w:val="21"/>
        </w:rPr>
      </w:pPr>
    </w:p>
    <w:p w14:paraId="03D71833">
      <w:pPr>
        <w:jc w:val="center"/>
        <w:outlineLvl w:val="0"/>
        <w:rPr>
          <w:rStyle w:val="23"/>
          <w:rFonts w:hint="eastAsia" w:ascii="黑体" w:hAnsi="黑体" w:eastAsia="黑体" w:cs="黑体"/>
          <w:szCs w:val="21"/>
        </w:rPr>
      </w:pPr>
      <w:bookmarkStart w:id="86" w:name="_Toc23969"/>
    </w:p>
    <w:p w14:paraId="7C5B2C2E">
      <w:pPr>
        <w:jc w:val="center"/>
        <w:outlineLvl w:val="0"/>
        <w:rPr>
          <w:rStyle w:val="23"/>
          <w:rFonts w:hint="eastAsia" w:ascii="黑体" w:hAnsi="黑体" w:eastAsia="黑体" w:cs="黑体"/>
          <w:szCs w:val="21"/>
        </w:rPr>
      </w:pPr>
    </w:p>
    <w:p w14:paraId="163E7C7B">
      <w:pPr>
        <w:jc w:val="center"/>
        <w:outlineLvl w:val="0"/>
        <w:rPr>
          <w:rStyle w:val="23"/>
          <w:rFonts w:hint="eastAsia" w:ascii="黑体" w:hAnsi="黑体" w:eastAsia="黑体" w:cs="黑体"/>
          <w:szCs w:val="21"/>
        </w:rPr>
      </w:pPr>
    </w:p>
    <w:p w14:paraId="18FAA638">
      <w:pPr>
        <w:jc w:val="center"/>
        <w:outlineLvl w:val="0"/>
        <w:rPr>
          <w:rStyle w:val="23"/>
          <w:rFonts w:hint="eastAsia" w:ascii="黑体" w:hAnsi="黑体" w:eastAsia="黑体" w:cs="黑体"/>
          <w:szCs w:val="21"/>
        </w:rPr>
      </w:pPr>
    </w:p>
    <w:p w14:paraId="20712E3E">
      <w:pPr>
        <w:jc w:val="center"/>
        <w:outlineLvl w:val="0"/>
        <w:rPr>
          <w:rStyle w:val="23"/>
          <w:rFonts w:hint="eastAsia" w:ascii="黑体" w:hAnsi="黑体" w:eastAsia="黑体" w:cs="黑体"/>
          <w:szCs w:val="21"/>
        </w:rPr>
      </w:pPr>
    </w:p>
    <w:p w14:paraId="495C7E83">
      <w:pPr>
        <w:jc w:val="center"/>
        <w:outlineLvl w:val="0"/>
        <w:rPr>
          <w:rStyle w:val="23"/>
          <w:rFonts w:hint="eastAsia" w:ascii="黑体" w:hAnsi="黑体" w:eastAsia="黑体" w:cs="黑体"/>
          <w:szCs w:val="21"/>
        </w:rPr>
      </w:pPr>
    </w:p>
    <w:p w14:paraId="0604C385">
      <w:pPr>
        <w:jc w:val="center"/>
        <w:outlineLvl w:val="0"/>
        <w:rPr>
          <w:rStyle w:val="23"/>
          <w:rFonts w:ascii="黑体" w:hAnsi="黑体" w:eastAsia="黑体" w:cs="黑体"/>
          <w:szCs w:val="21"/>
        </w:rPr>
      </w:pPr>
      <w:r>
        <w:rPr>
          <w:rStyle w:val="23"/>
          <w:rFonts w:hint="eastAsia" w:ascii="黑体" w:hAnsi="黑体" w:eastAsia="黑体" w:cs="黑体"/>
          <w:szCs w:val="21"/>
        </w:rPr>
        <w:t>参</w:t>
      </w:r>
      <w:r>
        <w:rPr>
          <w:rStyle w:val="23"/>
          <w:rFonts w:hint="eastAsia" w:ascii="黑体" w:hAnsi="黑体" w:eastAsia="黑体" w:cs="黑体"/>
          <w:szCs w:val="21"/>
          <w:lang w:val="en-US" w:eastAsia="zh-CN"/>
        </w:rPr>
        <w:t xml:space="preserve">  </w:t>
      </w:r>
      <w:r>
        <w:rPr>
          <w:rStyle w:val="23"/>
          <w:rFonts w:hint="eastAsia" w:ascii="黑体" w:hAnsi="黑体" w:eastAsia="黑体" w:cs="黑体"/>
          <w:szCs w:val="21"/>
        </w:rPr>
        <w:t>考</w:t>
      </w:r>
      <w:r>
        <w:rPr>
          <w:rStyle w:val="23"/>
          <w:rFonts w:hint="eastAsia" w:ascii="黑体" w:hAnsi="黑体" w:eastAsia="黑体" w:cs="黑体"/>
          <w:szCs w:val="21"/>
          <w:lang w:val="en-US" w:eastAsia="zh-CN"/>
        </w:rPr>
        <w:t xml:space="preserve">  </w:t>
      </w:r>
      <w:r>
        <w:rPr>
          <w:rStyle w:val="23"/>
          <w:rFonts w:hint="eastAsia" w:ascii="黑体" w:hAnsi="黑体" w:eastAsia="黑体" w:cs="黑体"/>
          <w:szCs w:val="21"/>
        </w:rPr>
        <w:t>文</w:t>
      </w:r>
      <w:r>
        <w:rPr>
          <w:rStyle w:val="23"/>
          <w:rFonts w:hint="eastAsia" w:ascii="黑体" w:hAnsi="黑体" w:eastAsia="黑体" w:cs="黑体"/>
          <w:szCs w:val="21"/>
          <w:lang w:val="en-US" w:eastAsia="zh-CN"/>
        </w:rPr>
        <w:t xml:space="preserve">  </w:t>
      </w:r>
      <w:r>
        <w:rPr>
          <w:rStyle w:val="23"/>
          <w:rFonts w:hint="eastAsia" w:ascii="黑体" w:hAnsi="黑体" w:eastAsia="黑体" w:cs="黑体"/>
          <w:szCs w:val="21"/>
        </w:rPr>
        <w:t>献</w:t>
      </w:r>
      <w:bookmarkEnd w:id="84"/>
      <w:bookmarkEnd w:id="85"/>
      <w:bookmarkEnd w:id="86"/>
    </w:p>
    <w:p w14:paraId="7FCD7C76">
      <w:pPr>
        <w:numPr>
          <w:ilvl w:val="0"/>
          <w:numId w:val="20"/>
        </w:numPr>
      </w:pPr>
      <w:r>
        <w:rPr>
          <w:rFonts w:hint="eastAsia"/>
        </w:rPr>
        <w:t>GB/T 1.1</w:t>
      </w:r>
      <w:r>
        <w:rPr>
          <w:rFonts w:hint="eastAsia"/>
          <w:lang w:val="en-US" w:eastAsia="zh-CN"/>
        </w:rPr>
        <w:t>-</w:t>
      </w:r>
      <w:r>
        <w:rPr>
          <w:rFonts w:hint="eastAsia"/>
        </w:rPr>
        <w:t xml:space="preserve">2020《标准化工作导则 第1部分：标准化文件的结构和起草规则》 </w:t>
      </w:r>
    </w:p>
    <w:p w14:paraId="092CAF16">
      <w:pPr>
        <w:numPr>
          <w:ilvl w:val="0"/>
          <w:numId w:val="20"/>
        </w:numPr>
      </w:pPr>
      <w:r>
        <w:rPr>
          <w:rFonts w:hint="eastAsia"/>
        </w:rPr>
        <w:t>GB/T 20001.5</w:t>
      </w:r>
      <w:r>
        <w:rPr>
          <w:rFonts w:hint="eastAsia"/>
          <w:lang w:val="en-US" w:eastAsia="zh-CN"/>
        </w:rPr>
        <w:t>-</w:t>
      </w:r>
      <w:r>
        <w:rPr>
          <w:rFonts w:hint="eastAsia"/>
        </w:rPr>
        <w:t xml:space="preserve">2017《标准编写规则 第5部分：规范标准》 </w:t>
      </w:r>
    </w:p>
    <w:p w14:paraId="124587FB">
      <w:pPr>
        <w:numPr>
          <w:ilvl w:val="0"/>
          <w:numId w:val="20"/>
        </w:numPr>
      </w:pPr>
      <w:r>
        <w:rPr>
          <w:rFonts w:hint="eastAsia"/>
        </w:rPr>
        <w:t>GB/T 27025</w:t>
      </w:r>
      <w:r>
        <w:rPr>
          <w:rFonts w:hint="eastAsia"/>
          <w:lang w:val="en-US" w:eastAsia="zh-CN"/>
        </w:rPr>
        <w:t>-</w:t>
      </w:r>
      <w:r>
        <w:rPr>
          <w:rFonts w:hint="eastAsia"/>
        </w:rPr>
        <w:t xml:space="preserve">2019《检测和校准实验室能力的通用要求》 </w:t>
      </w:r>
    </w:p>
    <w:p w14:paraId="5C9D3C66">
      <w:pPr>
        <w:numPr>
          <w:ilvl w:val="0"/>
          <w:numId w:val="20"/>
        </w:numPr>
      </w:pPr>
      <w:r>
        <w:rPr>
          <w:rFonts w:hint="eastAsia"/>
        </w:rPr>
        <w:t>GB 26572</w:t>
      </w:r>
      <w:r>
        <w:rPr>
          <w:rFonts w:hint="eastAsia"/>
          <w:lang w:val="en-US" w:eastAsia="zh-CN"/>
        </w:rPr>
        <w:t>-</w:t>
      </w:r>
      <w:r>
        <w:rPr>
          <w:rFonts w:hint="eastAsia"/>
        </w:rPr>
        <w:t xml:space="preserve">2025《电子电气产品中限用物质的限量要求》 </w:t>
      </w:r>
    </w:p>
    <w:p w14:paraId="1722FB8F">
      <w:pPr>
        <w:numPr>
          <w:ilvl w:val="0"/>
          <w:numId w:val="20"/>
        </w:numPr>
      </w:pPr>
      <w:r>
        <w:rPr>
          <w:rFonts w:hint="eastAsia"/>
        </w:rPr>
        <w:t xml:space="preserve">GB/T 39560（所有部分《电子电气产品中某些物质的测定》 </w:t>
      </w:r>
    </w:p>
    <w:p w14:paraId="34196302">
      <w:pPr>
        <w:numPr>
          <w:ilvl w:val="0"/>
          <w:numId w:val="20"/>
        </w:numPr>
      </w:pPr>
      <w:r>
        <w:rPr>
          <w:rFonts w:hint="eastAsia"/>
        </w:rPr>
        <w:t>GB/T 33760</w:t>
      </w:r>
      <w:r>
        <w:rPr>
          <w:rFonts w:hint="eastAsia"/>
          <w:lang w:val="en-US" w:eastAsia="zh-CN"/>
        </w:rPr>
        <w:t>-</w:t>
      </w:r>
      <w:r>
        <w:rPr>
          <w:rFonts w:hint="eastAsia"/>
        </w:rPr>
        <w:t xml:space="preserve">2017《绿色制造评价通则》 </w:t>
      </w:r>
    </w:p>
    <w:p w14:paraId="4CF81732">
      <w:pPr>
        <w:numPr>
          <w:ilvl w:val="0"/>
          <w:numId w:val="20"/>
        </w:numPr>
      </w:pPr>
      <w:r>
        <w:rPr>
          <w:rFonts w:hint="eastAsia"/>
        </w:rPr>
        <w:t>GB/T 38650</w:t>
      </w:r>
      <w:r>
        <w:rPr>
          <w:rFonts w:hint="eastAsia"/>
          <w:lang w:val="en-US" w:eastAsia="zh-CN"/>
        </w:rPr>
        <w:t>-</w:t>
      </w:r>
      <w:r>
        <w:rPr>
          <w:rFonts w:hint="eastAsia"/>
        </w:rPr>
        <w:t xml:space="preserve">2020《检验检测机构诚信基本要求》 </w:t>
      </w:r>
    </w:p>
    <w:p w14:paraId="1A764934">
      <w:pPr>
        <w:numPr>
          <w:ilvl w:val="0"/>
          <w:numId w:val="20"/>
        </w:numPr>
        <w:rPr>
          <w:rFonts w:hint="eastAsia"/>
        </w:rPr>
      </w:pPr>
      <w:r>
        <w:rPr>
          <w:rFonts w:hint="eastAsia"/>
        </w:rPr>
        <w:t>RB/T 240</w:t>
      </w:r>
      <w:r>
        <w:rPr>
          <w:rFonts w:hint="eastAsia"/>
          <w:lang w:val="en-US" w:eastAsia="zh-CN"/>
        </w:rPr>
        <w:t>-</w:t>
      </w:r>
      <w:r>
        <w:rPr>
          <w:rFonts w:hint="eastAsia"/>
        </w:rPr>
        <w:t>2023《检验检测机构信息化管理要求》</w:t>
      </w:r>
    </w:p>
    <w:p w14:paraId="749391D4">
      <w:pPr>
        <w:numPr>
          <w:ilvl w:val="0"/>
          <w:numId w:val="20"/>
        </w:numPr>
      </w:pPr>
      <w:r>
        <w:rPr>
          <w:rFonts w:hint="eastAsia"/>
        </w:rPr>
        <w:t>RB/T 027</w:t>
      </w:r>
      <w:r>
        <w:rPr>
          <w:rFonts w:hint="eastAsia"/>
          <w:lang w:val="en-US" w:eastAsia="zh-CN"/>
        </w:rPr>
        <w:t>-</w:t>
      </w:r>
      <w:r>
        <w:rPr>
          <w:rFonts w:hint="eastAsia"/>
        </w:rPr>
        <w:t>2020《检验检测机构内部审核指南》</w:t>
      </w:r>
    </w:p>
    <w:p w14:paraId="404B7633">
      <w:pPr>
        <w:numPr>
          <w:ilvl w:val="0"/>
          <w:numId w:val="20"/>
        </w:numPr>
      </w:pPr>
      <w:r>
        <w:rPr>
          <w:rFonts w:hint="eastAsia"/>
        </w:rPr>
        <w:t>T/CESA 1199</w:t>
      </w:r>
      <w:r>
        <w:rPr>
          <w:rFonts w:hint="eastAsia"/>
          <w:lang w:val="en-US" w:eastAsia="zh-CN"/>
        </w:rPr>
        <w:t>-</w:t>
      </w:r>
      <w:r>
        <w:rPr>
          <w:rFonts w:hint="eastAsia"/>
        </w:rPr>
        <w:t xml:space="preserve">2022《绿色设计产品评价技术规范家用电器》 </w:t>
      </w:r>
    </w:p>
    <w:p w14:paraId="2A0246B7">
      <w:pPr>
        <w:numPr>
          <w:ilvl w:val="0"/>
          <w:numId w:val="20"/>
        </w:numPr>
      </w:pPr>
      <w:r>
        <w:rPr>
          <w:rFonts w:hint="eastAsia"/>
        </w:rPr>
        <w:t xml:space="preserve">CNAS-CL01:2018《检测和校准实验室能力认可准则》 </w:t>
      </w:r>
    </w:p>
    <w:p w14:paraId="345F9932">
      <w:pPr>
        <w:numPr>
          <w:ilvl w:val="0"/>
          <w:numId w:val="20"/>
        </w:numPr>
      </w:pPr>
      <w:r>
        <w:rPr>
          <w:rFonts w:hint="eastAsia"/>
        </w:rPr>
        <w:t xml:space="preserve">《中华人民共和国环境保护法》（2014年修订） </w:t>
      </w:r>
    </w:p>
    <w:p w14:paraId="5284EE47">
      <w:pPr>
        <w:numPr>
          <w:ilvl w:val="0"/>
          <w:numId w:val="20"/>
        </w:numPr>
      </w:pPr>
      <w:r>
        <w:rPr>
          <w:rFonts w:hint="eastAsia"/>
        </w:rPr>
        <w:t xml:space="preserve">《中华人民共和国电子签名法》（2019年修正） </w:t>
      </w:r>
    </w:p>
    <w:p w14:paraId="50B5EED6">
      <w:pPr>
        <w:numPr>
          <w:ilvl w:val="0"/>
          <w:numId w:val="20"/>
        </w:numPr>
      </w:pPr>
      <w:r>
        <w:rPr>
          <w:rFonts w:hint="eastAsia"/>
        </w:rPr>
        <w:t xml:space="preserve">《检验检测机构监督管理办法》（国家市场监督管理总局令第39号） </w:t>
      </w:r>
    </w:p>
    <w:p w14:paraId="6E9867CC">
      <w:pPr>
        <w:numPr>
          <w:ilvl w:val="0"/>
          <w:numId w:val="20"/>
        </w:numPr>
      </w:pPr>
      <w:r>
        <w:rPr>
          <w:rFonts w:hint="eastAsia"/>
        </w:rPr>
        <w:t xml:space="preserve">《电器电子产品有害物质限制使用管理办法》（工业和信息化部令第32号） </w:t>
      </w:r>
    </w:p>
    <w:p w14:paraId="67D2F811">
      <w:pPr>
        <w:numPr>
          <w:ilvl w:val="0"/>
          <w:numId w:val="20"/>
        </w:numPr>
      </w:pPr>
      <w:r>
        <w:rPr>
          <w:rFonts w:hint="eastAsia"/>
          <w:lang w:eastAsia="zh-CN"/>
        </w:rPr>
        <w:t>IECQ QC 080000或GB/T 31274-2024-2024</w:t>
      </w:r>
      <w:r>
        <w:rPr>
          <w:rFonts w:hint="eastAsia"/>
        </w:rPr>
        <w:t xml:space="preserve">:2017《有害物质过程管理体系要求》 </w:t>
      </w:r>
    </w:p>
    <w:p w14:paraId="238380DD">
      <w:pPr>
        <w:numPr>
          <w:ilvl w:val="0"/>
          <w:numId w:val="20"/>
        </w:numPr>
      </w:pPr>
      <w:r>
        <w:rPr>
          <w:rFonts w:hint="eastAsia"/>
        </w:rPr>
        <w:t>ISO/IEC 17025:2017《</w:t>
      </w:r>
      <w:r>
        <w:rPr>
          <w:rFonts w:ascii="Arial" w:hAnsi="Arial" w:cs="Arial"/>
        </w:rPr>
        <w:t>General requirements for the competence of testing and calibration laboratorie</w:t>
      </w:r>
      <w:r>
        <w:rPr>
          <w:rFonts w:hint="eastAsia"/>
        </w:rPr>
        <w:t xml:space="preserve">s》 </w:t>
      </w:r>
    </w:p>
    <w:p w14:paraId="06F36C37">
      <w:pPr>
        <w:numPr>
          <w:ilvl w:val="0"/>
          <w:numId w:val="20"/>
        </w:numPr>
      </w:pPr>
      <w:r>
        <w:rPr>
          <w:rFonts w:hint="eastAsia"/>
        </w:rPr>
        <w:t xml:space="preserve">ISO 9001:2015《质量管理体系要求》 </w:t>
      </w:r>
    </w:p>
    <w:p w14:paraId="438B29DC">
      <w:pPr>
        <w:numPr>
          <w:ilvl w:val="0"/>
          <w:numId w:val="20"/>
        </w:numPr>
      </w:pPr>
      <w:r>
        <w:rPr>
          <w:rFonts w:hint="eastAsia"/>
        </w:rPr>
        <w:t xml:space="preserve">ISO 14001:2015《环境管理体系要求及使用指南》 </w:t>
      </w:r>
    </w:p>
    <w:p w14:paraId="4CD1B962">
      <w:pPr>
        <w:numPr>
          <w:ilvl w:val="0"/>
          <w:numId w:val="20"/>
        </w:numPr>
      </w:pPr>
      <w:r>
        <w:rPr>
          <w:rFonts w:hint="eastAsia"/>
        </w:rPr>
        <w:t>IEC 62321（所有部分</w:t>
      </w:r>
      <w:r>
        <w:rPr>
          <w:rFonts w:hint="eastAsia"/>
          <w:lang w:eastAsia="zh-CN"/>
        </w:rPr>
        <w:t>）</w:t>
      </w:r>
      <w:r>
        <w:rPr>
          <w:rFonts w:hint="eastAsia"/>
        </w:rPr>
        <w:t xml:space="preserve">《电工电子产品中某些物质的测定》 </w:t>
      </w:r>
    </w:p>
    <w:p w14:paraId="67361C81"/>
    <w:p w14:paraId="21F06AD0">
      <w:r>
        <mc:AlternateContent>
          <mc:Choice Requires="wps">
            <w:drawing>
              <wp:anchor distT="0" distB="0" distL="114300" distR="114300" simplePos="0" relativeHeight="251668480" behindDoc="0" locked="0" layoutInCell="1" allowOverlap="1">
                <wp:simplePos x="0" y="0"/>
                <wp:positionH relativeFrom="column">
                  <wp:posOffset>2133600</wp:posOffset>
                </wp:positionH>
                <wp:positionV relativeFrom="paragraph">
                  <wp:posOffset>140335</wp:posOffset>
                </wp:positionV>
                <wp:extent cx="1734820" cy="76200"/>
                <wp:effectExtent l="0" t="0" r="8255" b="0"/>
                <wp:wrapNone/>
                <wp:docPr id="22" name="任意多边形 22"/>
                <wp:cNvGraphicFramePr/>
                <a:graphic xmlns:a="http://schemas.openxmlformats.org/drawingml/2006/main">
                  <a:graphicData uri="http://schemas.microsoft.com/office/word/2010/wordprocessingShape">
                    <wps:wsp>
                      <wps:cNvSpPr/>
                      <wps:spPr>
                        <a:xfrm flipV="1">
                          <a:off x="0" y="0"/>
                          <a:ext cx="1734820" cy="76200"/>
                        </a:xfrm>
                        <a:custGeom>
                          <a:avLst/>
                          <a:gdLst/>
                          <a:ahLst/>
                          <a:cxnLst/>
                          <a:pathLst>
                            <a:path w="2268" h="16">
                              <a:moveTo>
                                <a:pt x="0" y="7"/>
                              </a:moveTo>
                              <a:lnTo>
                                <a:pt x="2267" y="7"/>
                              </a:lnTo>
                            </a:path>
                          </a:pathLst>
                        </a:custGeom>
                        <a:noFill/>
                        <a:ln w="9779" cap="flat" cmpd="sng">
                          <a:solidFill>
                            <a:srgbClr val="231F20"/>
                          </a:solidFill>
                          <a:prstDash val="solid"/>
                          <a:miter lim="400000"/>
                          <a:headEnd type="none" w="med" len="med"/>
                          <a:tailEnd type="none" w="med" len="med"/>
                        </a:ln>
                      </wps:spPr>
                      <wps:bodyPr upright="1"/>
                    </wps:wsp>
                  </a:graphicData>
                </a:graphic>
              </wp:anchor>
            </w:drawing>
          </mc:Choice>
          <mc:Fallback>
            <w:pict>
              <v:shape id="_x0000_s1026" o:spid="_x0000_s1026" o:spt="100" style="position:absolute;left:0pt;flip:y;margin-left:168pt;margin-top:11.05pt;height:6pt;width:136.6pt;z-index:251668480;mso-width-relative:page;mso-height-relative:page;" filled="f" stroked="t" coordsize="2268,16" o:gfxdata="UEsDBAoAAAAAAIdO4kAAAAAAAAAAAAAAAAAEAAAAZHJzL1BLAwQUAAAACACHTuJAAhtMGdkAAAAJ&#10;AQAADwAAAGRycy9kb3ducmV2LnhtbE2PzU7DMBCE70i8g7VIXCLqxI0iGuJUAokjB1rEz82Nt0lE&#10;vI5iJ23fnuUEx9GMZr6ptmc3iAWn0HvSkK1SEEiNtz21Gt72z3f3IEI0ZM3gCTVcMMC2vr6qTGn9&#10;iV5x2cVWcAmF0mjoYhxLKUPToTNh5Uck9o5+ciaynFppJ3PicjdIlaaFdKYnXujMiE8dNt+72WnY&#10;v1/UZvnoKXmZH4+feZF8uTzR+vYmSx9ARDzHvzD84jM61Mx08DPZIAYN63XBX6IGpTIQHCjSjQJx&#10;YCfPQNaV/P+g/gFQSwMEFAAAAAgAh07iQNgRIoxPAgAAsAQAAA4AAABkcnMvZTJvRG9jLnhtbK1U&#10;zY7TMBC+I/EOlu80bXbV7EZN90ApFwQr7cLdtZ3Ekv9ku017586dI+Il0AqehkU8BmMn/WG59EAO&#10;0Xhm8s03n2cyu9kqiTbceWF0hSejMUZcU8OEbir8/n754gojH4hmRBrNK7zjHt/Mnz+bdbbkuWmN&#10;ZNwhANG+7GyF2xBsmWWetlwRPzKWawjWxikS4OiajDnSAbqSWT4eT7POOGadodx78C76IB4Q3TmA&#10;pq4F5QtD14rr0KM6LkmAlnwrrMfzxLauOQ3v6trzgGSFodOQ3lAE7FV8Z/MZKRtHbCvoQIGcQ+FJ&#10;T4oIDUUPUAsSCFo78Q+UEtQZb+owokZlfSNJEehiMn6izV1LLE+9gNTeHkT3/w+Wvt3cOiRYhfMc&#10;I00U3PjPh4dfHz89fv38+8e3x+9fEERAps76ErLv7K0bTh7M2PO2dgrVUtgPME9JBegLbZPIu4PI&#10;fBsQBeekuLi8ykF/CrFiCiMR0bMeJsLRtQ+vuVHRJps3PvR3xPYWafcW3eq9aUmI7vhNNFEXG5rC&#10;KLdQcZpIKbPh9yZlhCO7Yqh+jEp9mgUoBUaR6pDYh4FvrJOIH2qD85S8NkshZWIvdWR0XRTX0DeB&#10;ralhWsFUFpT3ukkEvZGCxU8iR++a1Uvp0IbA5OYXkyVI1uv0V5p1PiyIb/u8FIpppFQiwJpKoSp8&#10;OY5P7245Ya80Q2Fn4aY1bDiOzBRnGEkOP4RoJYBAhDwnE5qWGnSI89FPRLRWhu1gsNbWiaaFrZsk&#10;8jECg5xUG5YubsrpOSEdfzTz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IbTBnZAAAACQEAAA8A&#10;AAAAAAAAAQAgAAAAIgAAAGRycy9kb3ducmV2LnhtbFBLAQIUABQAAAAIAIdO4kDYESKMTwIAALAE&#10;AAAOAAAAAAAAAAEAIAAAACgBAABkcnMvZTJvRG9jLnhtbFBLBQYAAAAABgAGAFkBAADpBQAAAAA=&#10;" path="m0,7l2267,7e">
                <v:fill on="f" focussize="0,0"/>
                <v:stroke weight="0.77pt" color="#231F20" miterlimit="4" joinstyle="miter"/>
                <v:imagedata o:title=""/>
                <o:lock v:ext="edit" aspectratio="f"/>
              </v:shape>
            </w:pict>
          </mc:Fallback>
        </mc:AlternateContent>
      </w:r>
    </w:p>
    <w:sectPr>
      <w:pgSz w:w="11906" w:h="16838"/>
      <w:pgMar w:top="1928" w:right="1134" w:bottom="1134" w:left="1134" w:header="1417" w:footer="1134"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142EF">
    <w:pPr>
      <w:pStyle w:val="8"/>
      <w:ind w:left="7740" w:hanging="7740" w:hangingChars="43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4F271">
    <w:pPr>
      <w:pStyle w:val="8"/>
      <w:ind w:left="7740" w:hanging="7740" w:hangingChars="4300"/>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752CEE">
                          <w:pPr>
                            <w:pStyle w:val="8"/>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47752CEE">
                    <w:pPr>
                      <w:pStyle w:val="8"/>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84D68">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9A151">
    <w:pPr>
      <w:pStyle w:val="8"/>
      <w:ind w:left="7740" w:hanging="7740" w:hangingChars="4300"/>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BCB18">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213BCB18">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4BAF5">
    <w:pPr>
      <w:pStyle w:val="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D2C0F">
    <w:pPr>
      <w:pStyle w:val="8"/>
      <w:tabs>
        <w:tab w:val="right" w:pos="1898"/>
        <w:tab w:val="clear" w:pos="4153"/>
      </w:tabs>
      <w:ind w:left="7740" w:hanging="7740" w:hangingChars="4300"/>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1100B3">
                          <w:pPr>
                            <w:pStyle w:val="8"/>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351100B3">
                    <w:pPr>
                      <w:pStyle w:val="8"/>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80DA4">
    <w:pPr>
      <w:pStyle w:val="8"/>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33002A">
                          <w:pPr>
                            <w:pStyle w:val="8"/>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1733002A">
                    <w:pPr>
                      <w:pStyle w:val="8"/>
                    </w:pPr>
                    <w:r>
                      <w:fldChar w:fldCharType="begin"/>
                    </w:r>
                    <w:r>
                      <w:instrText xml:space="preserve"> PAGE  \* MERGEFORMAT </w:instrText>
                    </w:r>
                    <w:r>
                      <w:fldChar w:fldCharType="separate"/>
                    </w:r>
                    <w:r>
                      <w:t>II</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4C544">
    <w:pPr>
      <w:pStyle w:val="9"/>
      <w:pBdr>
        <w:bottom w:val="none" w:color="auto" w:sz="0" w:space="0"/>
      </w:pBdr>
      <w:jc w:val="right"/>
      <w:rPr>
        <w:rFonts w:ascii="Times New Roman" w:hAnsi="Times New Roman" w:eastAsia="Times New Roman" w:cs="Times New Roman"/>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0E9C6">
    <w:pPr>
      <w:pStyle w:val="9"/>
      <w:pBdr>
        <w:bottom w:val="none" w:color="auto" w:sz="0" w:space="0"/>
      </w:pBdr>
      <w:jc w:val="right"/>
      <w:rPr>
        <w:rFonts w:ascii="Times New Roman" w:hAnsi="Times New Roman" w:eastAsia="Times New Roman" w:cs="Times New Roman"/>
        <w:sz w:val="21"/>
        <w:szCs w:val="21"/>
      </w:rPr>
    </w:pPr>
    <w:r>
      <w:rPr>
        <w:rFonts w:hint="eastAsia" w:ascii="Times New Roman" w:hAnsi="Times New Roman" w:eastAsia="Times New Roman"/>
        <w:szCs w:val="21"/>
      </w:rPr>
      <w:t>T/DZJN 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C9B11">
    <w:pPr>
      <w:pStyle w:val="9"/>
      <w:pBdr>
        <w:bottom w:val="none" w:color="auto" w:sz="0" w:space="0"/>
      </w:pBdr>
      <w:jc w:val="right"/>
    </w:pPr>
    <w:r>
      <w:rPr>
        <w:rFonts w:hint="eastAsia" w:ascii="Times New Roman" w:hAnsi="Times New Roman" w:eastAsia="Times New Roman"/>
        <w:szCs w:val="21"/>
      </w:rPr>
      <w:t>T/DZJN XX-XXXX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F9A7A">
    <w:pPr>
      <w:pStyle w:val="9"/>
      <w:pBdr>
        <w:bottom w:val="none" w:color="auto" w:sz="0" w:space="0"/>
      </w:pBdr>
      <w:jc w:val="right"/>
      <w:rPr>
        <w:rFonts w:ascii="Times New Roman" w:hAnsi="Times New Roman" w:eastAsia="Times New Roman" w:cs="Times New Roman"/>
        <w:sz w:val="21"/>
        <w:szCs w:val="21"/>
      </w:rPr>
    </w:pPr>
    <w:r>
      <w:rPr>
        <w:rFonts w:hint="eastAsia" w:ascii="Times New Roman" w:hAnsi="Times New Roman" w:eastAsia="Times New Roman"/>
        <w:szCs w:val="21"/>
      </w:rPr>
      <w:t>T/DZJN XX-XXXX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832B2">
    <w:pPr>
      <w:pStyle w:val="9"/>
      <w:pBdr>
        <w:bottom w:val="none" w:color="auto" w:sz="0" w:space="0"/>
      </w:pBdr>
      <w:jc w:val="both"/>
    </w:pPr>
    <w:r>
      <w:rPr>
        <w:rFonts w:hint="eastAsia" w:ascii="Times New Roman" w:hAnsi="Times New Roman" w:eastAsia="Times New Roman"/>
        <w:szCs w:val="21"/>
      </w:rPr>
      <w:t>T/DZJN XX-XXXX</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B1033">
    <w:pPr>
      <w:pStyle w:val="9"/>
      <w:pBdr>
        <w:bottom w:val="none" w:color="auto" w:sz="0" w:space="0"/>
      </w:pBdr>
      <w:jc w:val="both"/>
      <w:rPr>
        <w:rFonts w:ascii="Times New Roman" w:hAnsi="Times New Roman" w:eastAsia="Times New Roman" w:cs="Times New Roman"/>
        <w:sz w:val="21"/>
        <w:szCs w:val="21"/>
      </w:rPr>
    </w:pPr>
    <w:r>
      <w:rPr>
        <w:rFonts w:hint="eastAsia" w:ascii="Times New Roman" w:hAnsi="Times New Roman" w:eastAsia="Times New Roman"/>
        <w:szCs w:val="21"/>
      </w:rPr>
      <w:t>T/DZJN XX-XXXX</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6D62B">
    <w:pPr>
      <w:pStyle w:val="9"/>
      <w:pBdr>
        <w:bottom w:val="none" w:color="auto" w:sz="0" w:space="0"/>
      </w:pBdr>
      <w:jc w:val="right"/>
    </w:pPr>
    <w:r>
      <w:rPr>
        <w:rFonts w:hint="eastAsia" w:ascii="Times New Roman" w:hAnsi="Times New Roman" w:eastAsia="Times New Roman"/>
        <w:szCs w:val="21"/>
      </w:rPr>
      <w:t>T/DZJN 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B3565"/>
    <w:multiLevelType w:val="singleLevel"/>
    <w:tmpl w:val="88EB3565"/>
    <w:lvl w:ilvl="0" w:tentative="0">
      <w:start w:val="1"/>
      <w:numFmt w:val="decimal"/>
      <w:suff w:val="space"/>
      <w:lvlText w:val="%1."/>
      <w:lvlJc w:val="left"/>
    </w:lvl>
  </w:abstractNum>
  <w:abstractNum w:abstractNumId="1">
    <w:nsid w:val="9362DA71"/>
    <w:multiLevelType w:val="singleLevel"/>
    <w:tmpl w:val="9362DA71"/>
    <w:lvl w:ilvl="0" w:tentative="0">
      <w:start w:val="1"/>
      <w:numFmt w:val="decimal"/>
      <w:lvlText w:val="%1)"/>
      <w:lvlJc w:val="left"/>
      <w:pPr>
        <w:ind w:left="425" w:hanging="425"/>
      </w:pPr>
      <w:rPr>
        <w:rFonts w:hint="default"/>
      </w:rPr>
    </w:lvl>
  </w:abstractNum>
  <w:abstractNum w:abstractNumId="2">
    <w:nsid w:val="96A5CAD4"/>
    <w:multiLevelType w:val="singleLevel"/>
    <w:tmpl w:val="96A5CAD4"/>
    <w:lvl w:ilvl="0" w:tentative="0">
      <w:start w:val="1"/>
      <w:numFmt w:val="decimal"/>
      <w:suff w:val="space"/>
      <w:lvlText w:val="%1."/>
      <w:lvlJc w:val="left"/>
    </w:lvl>
  </w:abstractNum>
  <w:abstractNum w:abstractNumId="3">
    <w:nsid w:val="A8CE3BF2"/>
    <w:multiLevelType w:val="singleLevel"/>
    <w:tmpl w:val="A8CE3BF2"/>
    <w:lvl w:ilvl="0" w:tentative="0">
      <w:start w:val="1"/>
      <w:numFmt w:val="decimal"/>
      <w:suff w:val="space"/>
      <w:lvlText w:val="%1."/>
      <w:lvlJc w:val="left"/>
    </w:lvl>
  </w:abstractNum>
  <w:abstractNum w:abstractNumId="4">
    <w:nsid w:val="AC726346"/>
    <w:multiLevelType w:val="singleLevel"/>
    <w:tmpl w:val="AC726346"/>
    <w:lvl w:ilvl="0" w:tentative="0">
      <w:start w:val="1"/>
      <w:numFmt w:val="decimal"/>
      <w:lvlText w:val="%1)"/>
      <w:lvlJc w:val="left"/>
      <w:pPr>
        <w:ind w:left="425" w:hanging="425"/>
      </w:pPr>
      <w:rPr>
        <w:rFonts w:hint="default"/>
      </w:rPr>
    </w:lvl>
  </w:abstractNum>
  <w:abstractNum w:abstractNumId="5">
    <w:nsid w:val="E4D466AD"/>
    <w:multiLevelType w:val="singleLevel"/>
    <w:tmpl w:val="E4D466AD"/>
    <w:lvl w:ilvl="0" w:tentative="0">
      <w:start w:val="1"/>
      <w:numFmt w:val="decimal"/>
      <w:suff w:val="space"/>
      <w:lvlText w:val="%1."/>
      <w:lvlJc w:val="left"/>
    </w:lvl>
  </w:abstractNum>
  <w:abstractNum w:abstractNumId="6">
    <w:nsid w:val="E78D5C4D"/>
    <w:multiLevelType w:val="singleLevel"/>
    <w:tmpl w:val="E78D5C4D"/>
    <w:lvl w:ilvl="0" w:tentative="0">
      <w:start w:val="1"/>
      <w:numFmt w:val="lowerLetter"/>
      <w:lvlText w:val="%1."/>
      <w:lvlJc w:val="left"/>
      <w:pPr>
        <w:ind w:left="425" w:hanging="425"/>
      </w:pPr>
      <w:rPr>
        <w:rFonts w:hint="default"/>
      </w:rPr>
    </w:lvl>
  </w:abstractNum>
  <w:abstractNum w:abstractNumId="7">
    <w:nsid w:val="EBF7D2B4"/>
    <w:multiLevelType w:val="singleLevel"/>
    <w:tmpl w:val="EBF7D2B4"/>
    <w:lvl w:ilvl="0" w:tentative="0">
      <w:start w:val="1"/>
      <w:numFmt w:val="decimal"/>
      <w:suff w:val="space"/>
      <w:lvlText w:val="[%1]"/>
      <w:lvlJc w:val="left"/>
    </w:lvl>
  </w:abstractNum>
  <w:abstractNum w:abstractNumId="8">
    <w:nsid w:val="F3FFAB9B"/>
    <w:multiLevelType w:val="singleLevel"/>
    <w:tmpl w:val="F3FFAB9B"/>
    <w:lvl w:ilvl="0" w:tentative="0">
      <w:start w:val="1"/>
      <w:numFmt w:val="decimal"/>
      <w:lvlText w:val="%1)"/>
      <w:lvlJc w:val="left"/>
      <w:pPr>
        <w:ind w:left="425" w:hanging="425"/>
      </w:pPr>
      <w:rPr>
        <w:rFonts w:hint="default"/>
      </w:rPr>
    </w:lvl>
  </w:abstractNum>
  <w:abstractNum w:abstractNumId="9">
    <w:nsid w:val="18FA74C0"/>
    <w:multiLevelType w:val="singleLevel"/>
    <w:tmpl w:val="18FA74C0"/>
    <w:lvl w:ilvl="0" w:tentative="0">
      <w:start w:val="1"/>
      <w:numFmt w:val="decimal"/>
      <w:lvlText w:val="%1)"/>
      <w:lvlJc w:val="left"/>
      <w:pPr>
        <w:ind w:left="425" w:hanging="425"/>
      </w:pPr>
      <w:rPr>
        <w:rFonts w:hint="default"/>
      </w:rPr>
    </w:lvl>
  </w:abstractNum>
  <w:abstractNum w:abstractNumId="10">
    <w:nsid w:val="1A19DC95"/>
    <w:multiLevelType w:val="singleLevel"/>
    <w:tmpl w:val="1A19DC95"/>
    <w:lvl w:ilvl="0" w:tentative="0">
      <w:start w:val="1"/>
      <w:numFmt w:val="decimal"/>
      <w:suff w:val="space"/>
      <w:lvlText w:val="%1."/>
      <w:lvlJc w:val="left"/>
    </w:lvl>
  </w:abstractNum>
  <w:abstractNum w:abstractNumId="11">
    <w:nsid w:val="26035C74"/>
    <w:multiLevelType w:val="singleLevel"/>
    <w:tmpl w:val="26035C74"/>
    <w:lvl w:ilvl="0" w:tentative="0">
      <w:start w:val="1"/>
      <w:numFmt w:val="decimal"/>
      <w:lvlText w:val="%1)"/>
      <w:lvlJc w:val="left"/>
      <w:pPr>
        <w:ind w:left="425" w:hanging="425"/>
      </w:pPr>
      <w:rPr>
        <w:rFonts w:hint="default"/>
      </w:rPr>
    </w:lvl>
  </w:abstractNum>
  <w:abstractNum w:abstractNumId="12">
    <w:nsid w:val="2983F570"/>
    <w:multiLevelType w:val="singleLevel"/>
    <w:tmpl w:val="2983F570"/>
    <w:lvl w:ilvl="0" w:tentative="0">
      <w:start w:val="1"/>
      <w:numFmt w:val="decimal"/>
      <w:suff w:val="space"/>
      <w:lvlText w:val="%1."/>
      <w:lvlJc w:val="left"/>
    </w:lvl>
  </w:abstractNum>
  <w:abstractNum w:abstractNumId="13">
    <w:nsid w:val="32E0877D"/>
    <w:multiLevelType w:val="singleLevel"/>
    <w:tmpl w:val="32E0877D"/>
    <w:lvl w:ilvl="0" w:tentative="0">
      <w:start w:val="1"/>
      <w:numFmt w:val="decimal"/>
      <w:lvlText w:val="%1."/>
      <w:lvlJc w:val="left"/>
      <w:pPr>
        <w:tabs>
          <w:tab w:val="left" w:pos="312"/>
        </w:tabs>
      </w:pPr>
    </w:lvl>
  </w:abstractNum>
  <w:abstractNum w:abstractNumId="14">
    <w:nsid w:val="372E0275"/>
    <w:multiLevelType w:val="singleLevel"/>
    <w:tmpl w:val="372E0275"/>
    <w:lvl w:ilvl="0" w:tentative="0">
      <w:start w:val="1"/>
      <w:numFmt w:val="upperLetter"/>
      <w:suff w:val="space"/>
      <w:lvlText w:val="%1-"/>
      <w:lvlJc w:val="left"/>
    </w:lvl>
  </w:abstractNum>
  <w:abstractNum w:abstractNumId="15">
    <w:nsid w:val="39ABFD4A"/>
    <w:multiLevelType w:val="singleLevel"/>
    <w:tmpl w:val="39ABFD4A"/>
    <w:lvl w:ilvl="0" w:tentative="0">
      <w:start w:val="1"/>
      <w:numFmt w:val="decimal"/>
      <w:suff w:val="nothing"/>
      <w:lvlText w:val="%1．"/>
      <w:lvlJc w:val="left"/>
      <w:pPr>
        <w:ind w:left="0" w:firstLine="400"/>
      </w:pPr>
      <w:rPr>
        <w:rFonts w:hint="default"/>
      </w:rPr>
    </w:lvl>
  </w:abstractNum>
  <w:abstractNum w:abstractNumId="16">
    <w:nsid w:val="58D69C21"/>
    <w:multiLevelType w:val="singleLevel"/>
    <w:tmpl w:val="58D69C21"/>
    <w:lvl w:ilvl="0" w:tentative="0">
      <w:start w:val="1"/>
      <w:numFmt w:val="decimal"/>
      <w:suff w:val="nothing"/>
      <w:lvlText w:val="%1．"/>
      <w:lvlJc w:val="left"/>
      <w:pPr>
        <w:ind w:left="0" w:firstLine="400"/>
      </w:pPr>
      <w:rPr>
        <w:rFonts w:hint="default"/>
      </w:rPr>
    </w:lvl>
  </w:abstractNum>
  <w:abstractNum w:abstractNumId="17">
    <w:nsid w:val="66BAAABA"/>
    <w:multiLevelType w:val="singleLevel"/>
    <w:tmpl w:val="66BAAABA"/>
    <w:lvl w:ilvl="0" w:tentative="0">
      <w:start w:val="1"/>
      <w:numFmt w:val="decimal"/>
      <w:lvlText w:val="%1)"/>
      <w:lvlJc w:val="left"/>
      <w:pPr>
        <w:ind w:left="425" w:hanging="425"/>
      </w:pPr>
      <w:rPr>
        <w:rFonts w:hint="default"/>
      </w:rPr>
    </w:lvl>
  </w:abstractNum>
  <w:abstractNum w:abstractNumId="18">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pStyle w:val="31"/>
      <w:suff w:val="nothing"/>
      <w:lvlText w:val="%1%2　"/>
      <w:lvlJc w:val="left"/>
      <w:pPr>
        <w:ind w:left="4111" w:firstLine="0"/>
      </w:pPr>
      <w:rPr>
        <w:rFonts w:hint="eastAsia" w:ascii="黑体" w:eastAsia="黑体"/>
        <w:b w:val="0"/>
        <w:i w:val="0"/>
        <w:sz w:val="21"/>
      </w:rPr>
    </w:lvl>
    <w:lvl w:ilvl="2" w:tentative="0">
      <w:start w:val="1"/>
      <w:numFmt w:val="decimal"/>
      <w:pStyle w:val="32"/>
      <w:suff w:val="nothing"/>
      <w:lvlText w:val="%1%2.%3　"/>
      <w:lvlJc w:val="left"/>
      <w:pPr>
        <w:ind w:left="1134"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suff w:val="nothing"/>
      <w:lvlText w:val="%1%2.%3.%4　"/>
      <w:lvlJc w:val="left"/>
      <w:pPr>
        <w:ind w:left="1275"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9">
    <w:nsid w:val="715607BB"/>
    <w:multiLevelType w:val="singleLevel"/>
    <w:tmpl w:val="715607BB"/>
    <w:lvl w:ilvl="0" w:tentative="0">
      <w:start w:val="1"/>
      <w:numFmt w:val="decimal"/>
      <w:lvlText w:val="%1."/>
      <w:lvlJc w:val="left"/>
      <w:pPr>
        <w:tabs>
          <w:tab w:val="left" w:pos="312"/>
        </w:tabs>
      </w:pPr>
    </w:lvl>
  </w:abstractNum>
  <w:num w:numId="1">
    <w:abstractNumId w:val="18"/>
  </w:num>
  <w:num w:numId="2">
    <w:abstractNumId w:val="16"/>
  </w:num>
  <w:num w:numId="3">
    <w:abstractNumId w:val="6"/>
  </w:num>
  <w:num w:numId="4">
    <w:abstractNumId w:val="17"/>
  </w:num>
  <w:num w:numId="5">
    <w:abstractNumId w:val="11"/>
  </w:num>
  <w:num w:numId="6">
    <w:abstractNumId w:val="1"/>
  </w:num>
  <w:num w:numId="7">
    <w:abstractNumId w:val="8"/>
  </w:num>
  <w:num w:numId="8">
    <w:abstractNumId w:val="3"/>
  </w:num>
  <w:num w:numId="9">
    <w:abstractNumId w:val="0"/>
  </w:num>
  <w:num w:numId="10">
    <w:abstractNumId w:val="10"/>
  </w:num>
  <w:num w:numId="11">
    <w:abstractNumId w:val="13"/>
  </w:num>
  <w:num w:numId="12">
    <w:abstractNumId w:val="19"/>
  </w:num>
  <w:num w:numId="13">
    <w:abstractNumId w:val="5"/>
  </w:num>
  <w:num w:numId="14">
    <w:abstractNumId w:val="12"/>
  </w:num>
  <w:num w:numId="15">
    <w:abstractNumId w:val="2"/>
  </w:num>
  <w:num w:numId="16">
    <w:abstractNumId w:val="4"/>
  </w:num>
  <w:num w:numId="17">
    <w:abstractNumId w:val="14"/>
  </w:num>
  <w:num w:numId="18">
    <w:abstractNumId w:val="9"/>
  </w:num>
  <w:num w:numId="19">
    <w:abstractNumId w:val="15"/>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F9560AC"/>
    <w:rsid w:val="000A3A2B"/>
    <w:rsid w:val="000D0FDD"/>
    <w:rsid w:val="001C76E7"/>
    <w:rsid w:val="001F7F7E"/>
    <w:rsid w:val="0022299A"/>
    <w:rsid w:val="002C117C"/>
    <w:rsid w:val="00366850"/>
    <w:rsid w:val="00432659"/>
    <w:rsid w:val="00493E85"/>
    <w:rsid w:val="005E24E7"/>
    <w:rsid w:val="006D790D"/>
    <w:rsid w:val="007E72BD"/>
    <w:rsid w:val="00840759"/>
    <w:rsid w:val="0087280F"/>
    <w:rsid w:val="00A73D91"/>
    <w:rsid w:val="00C03B73"/>
    <w:rsid w:val="00C8148C"/>
    <w:rsid w:val="00ED52C9"/>
    <w:rsid w:val="00F5471D"/>
    <w:rsid w:val="023C1459"/>
    <w:rsid w:val="02497534"/>
    <w:rsid w:val="02CD433B"/>
    <w:rsid w:val="031169F8"/>
    <w:rsid w:val="03465310"/>
    <w:rsid w:val="0366022A"/>
    <w:rsid w:val="03BA3762"/>
    <w:rsid w:val="03CA173E"/>
    <w:rsid w:val="03EB50A7"/>
    <w:rsid w:val="041D6583"/>
    <w:rsid w:val="045D2E23"/>
    <w:rsid w:val="047E3CBC"/>
    <w:rsid w:val="05344197"/>
    <w:rsid w:val="058D022A"/>
    <w:rsid w:val="05DE61E6"/>
    <w:rsid w:val="07B00E42"/>
    <w:rsid w:val="08E872F1"/>
    <w:rsid w:val="097601F1"/>
    <w:rsid w:val="098D603B"/>
    <w:rsid w:val="0A335E09"/>
    <w:rsid w:val="0A481E7F"/>
    <w:rsid w:val="0A9662C5"/>
    <w:rsid w:val="0AB1607D"/>
    <w:rsid w:val="0B782B60"/>
    <w:rsid w:val="0B972652"/>
    <w:rsid w:val="0BFA2DB1"/>
    <w:rsid w:val="0C1977CA"/>
    <w:rsid w:val="0DB53CD0"/>
    <w:rsid w:val="0DE51158"/>
    <w:rsid w:val="0E7A23C0"/>
    <w:rsid w:val="0FAC2EB1"/>
    <w:rsid w:val="10260EB5"/>
    <w:rsid w:val="11535CDA"/>
    <w:rsid w:val="117229AE"/>
    <w:rsid w:val="11953FF7"/>
    <w:rsid w:val="11EE3EF8"/>
    <w:rsid w:val="122E5E1C"/>
    <w:rsid w:val="14D159C6"/>
    <w:rsid w:val="14E21050"/>
    <w:rsid w:val="150428DE"/>
    <w:rsid w:val="15323E58"/>
    <w:rsid w:val="15410A7F"/>
    <w:rsid w:val="15C26F8A"/>
    <w:rsid w:val="16184DFC"/>
    <w:rsid w:val="163F682C"/>
    <w:rsid w:val="16AE5460"/>
    <w:rsid w:val="174945A7"/>
    <w:rsid w:val="17B40B54"/>
    <w:rsid w:val="191B2190"/>
    <w:rsid w:val="19526877"/>
    <w:rsid w:val="1A54439E"/>
    <w:rsid w:val="1AE41750"/>
    <w:rsid w:val="1AFC07EC"/>
    <w:rsid w:val="1B2A38B1"/>
    <w:rsid w:val="1B2D0499"/>
    <w:rsid w:val="1BDD4B1E"/>
    <w:rsid w:val="1BF400B9"/>
    <w:rsid w:val="1D954F84"/>
    <w:rsid w:val="1D960306"/>
    <w:rsid w:val="1DD1717A"/>
    <w:rsid w:val="1DD33B0F"/>
    <w:rsid w:val="1E712DAB"/>
    <w:rsid w:val="1E933514"/>
    <w:rsid w:val="1ED37C6F"/>
    <w:rsid w:val="1F413615"/>
    <w:rsid w:val="1FE333A6"/>
    <w:rsid w:val="20E00C0C"/>
    <w:rsid w:val="210963B5"/>
    <w:rsid w:val="21843B11"/>
    <w:rsid w:val="22361FDF"/>
    <w:rsid w:val="22484CD3"/>
    <w:rsid w:val="22F67CC1"/>
    <w:rsid w:val="22FF6642"/>
    <w:rsid w:val="23C81FB0"/>
    <w:rsid w:val="23FA1FE5"/>
    <w:rsid w:val="24255ABF"/>
    <w:rsid w:val="24566C81"/>
    <w:rsid w:val="247E6772"/>
    <w:rsid w:val="24C743DE"/>
    <w:rsid w:val="25911F9F"/>
    <w:rsid w:val="25D9638D"/>
    <w:rsid w:val="25EB3977"/>
    <w:rsid w:val="25F073EE"/>
    <w:rsid w:val="2661459D"/>
    <w:rsid w:val="26AF355A"/>
    <w:rsid w:val="270A253F"/>
    <w:rsid w:val="27223D2C"/>
    <w:rsid w:val="27572143"/>
    <w:rsid w:val="27D112AE"/>
    <w:rsid w:val="28A01DEF"/>
    <w:rsid w:val="28D12794"/>
    <w:rsid w:val="28E61BFB"/>
    <w:rsid w:val="29084CD8"/>
    <w:rsid w:val="2A5F2B4C"/>
    <w:rsid w:val="2A6C7D60"/>
    <w:rsid w:val="2A89071A"/>
    <w:rsid w:val="2AA86AA4"/>
    <w:rsid w:val="2AE01907"/>
    <w:rsid w:val="2AF94DA4"/>
    <w:rsid w:val="2C171AB5"/>
    <w:rsid w:val="2C4E2ECE"/>
    <w:rsid w:val="2C7072E8"/>
    <w:rsid w:val="2C8B2374"/>
    <w:rsid w:val="2E5A1FFE"/>
    <w:rsid w:val="2E9F2106"/>
    <w:rsid w:val="2EA761E1"/>
    <w:rsid w:val="2F8900FB"/>
    <w:rsid w:val="303456F4"/>
    <w:rsid w:val="31B70A3D"/>
    <w:rsid w:val="31B92E3A"/>
    <w:rsid w:val="31D2634F"/>
    <w:rsid w:val="33484B1B"/>
    <w:rsid w:val="334E6CB3"/>
    <w:rsid w:val="33721B98"/>
    <w:rsid w:val="33B372FA"/>
    <w:rsid w:val="345D45F6"/>
    <w:rsid w:val="35366FB2"/>
    <w:rsid w:val="355157DD"/>
    <w:rsid w:val="37050677"/>
    <w:rsid w:val="378A78F3"/>
    <w:rsid w:val="37C7090C"/>
    <w:rsid w:val="37D24788"/>
    <w:rsid w:val="381E312F"/>
    <w:rsid w:val="38D35A4C"/>
    <w:rsid w:val="391C1A68"/>
    <w:rsid w:val="39BB7346"/>
    <w:rsid w:val="3A1D7CF6"/>
    <w:rsid w:val="3A970136"/>
    <w:rsid w:val="3B0A781D"/>
    <w:rsid w:val="3B3E640E"/>
    <w:rsid w:val="3B7A051F"/>
    <w:rsid w:val="3BE473AB"/>
    <w:rsid w:val="3BEC7DCA"/>
    <w:rsid w:val="3C1063F2"/>
    <w:rsid w:val="3C601C11"/>
    <w:rsid w:val="3C9E57AB"/>
    <w:rsid w:val="3CB90837"/>
    <w:rsid w:val="3CBB50F2"/>
    <w:rsid w:val="3CF47176"/>
    <w:rsid w:val="3D1C447A"/>
    <w:rsid w:val="3D294FD4"/>
    <w:rsid w:val="3E22639A"/>
    <w:rsid w:val="3E2942CF"/>
    <w:rsid w:val="3E2E7003"/>
    <w:rsid w:val="3EB2418E"/>
    <w:rsid w:val="3F0D6F85"/>
    <w:rsid w:val="3F2F702D"/>
    <w:rsid w:val="3F4D73BD"/>
    <w:rsid w:val="40007D5F"/>
    <w:rsid w:val="40266E6E"/>
    <w:rsid w:val="407C5E04"/>
    <w:rsid w:val="410858E9"/>
    <w:rsid w:val="410C362B"/>
    <w:rsid w:val="41CF5B2A"/>
    <w:rsid w:val="41E27C26"/>
    <w:rsid w:val="42232C0D"/>
    <w:rsid w:val="422642BF"/>
    <w:rsid w:val="42905697"/>
    <w:rsid w:val="43154572"/>
    <w:rsid w:val="434150E2"/>
    <w:rsid w:val="439353EE"/>
    <w:rsid w:val="43E4263E"/>
    <w:rsid w:val="44F5250A"/>
    <w:rsid w:val="454315E6"/>
    <w:rsid w:val="455530C7"/>
    <w:rsid w:val="45C66E38"/>
    <w:rsid w:val="46636606"/>
    <w:rsid w:val="46C20F3B"/>
    <w:rsid w:val="47B438F0"/>
    <w:rsid w:val="482C65F8"/>
    <w:rsid w:val="48667653"/>
    <w:rsid w:val="48A4242C"/>
    <w:rsid w:val="495D72B2"/>
    <w:rsid w:val="496E71B1"/>
    <w:rsid w:val="4994520B"/>
    <w:rsid w:val="4AEA361B"/>
    <w:rsid w:val="4BB475B7"/>
    <w:rsid w:val="4C605068"/>
    <w:rsid w:val="4CD62D3F"/>
    <w:rsid w:val="4D280D19"/>
    <w:rsid w:val="4D5139DE"/>
    <w:rsid w:val="4EEF5DE4"/>
    <w:rsid w:val="4F562F15"/>
    <w:rsid w:val="4F844892"/>
    <w:rsid w:val="4F874A89"/>
    <w:rsid w:val="4FAE3B00"/>
    <w:rsid w:val="500951F3"/>
    <w:rsid w:val="50B11149"/>
    <w:rsid w:val="515763AD"/>
    <w:rsid w:val="516A5C59"/>
    <w:rsid w:val="51C403A8"/>
    <w:rsid w:val="520851A6"/>
    <w:rsid w:val="52086F43"/>
    <w:rsid w:val="52203FA3"/>
    <w:rsid w:val="5244074B"/>
    <w:rsid w:val="526C4DBF"/>
    <w:rsid w:val="52AD6D00"/>
    <w:rsid w:val="53206AC2"/>
    <w:rsid w:val="535844AE"/>
    <w:rsid w:val="542034A7"/>
    <w:rsid w:val="546078A2"/>
    <w:rsid w:val="546274E3"/>
    <w:rsid w:val="54C6369A"/>
    <w:rsid w:val="54F40F66"/>
    <w:rsid w:val="55016556"/>
    <w:rsid w:val="551B2E31"/>
    <w:rsid w:val="558F7F2F"/>
    <w:rsid w:val="55AB6035"/>
    <w:rsid w:val="56362DB6"/>
    <w:rsid w:val="5749020C"/>
    <w:rsid w:val="57563796"/>
    <w:rsid w:val="583B75C9"/>
    <w:rsid w:val="5855006D"/>
    <w:rsid w:val="58883D79"/>
    <w:rsid w:val="594828CF"/>
    <w:rsid w:val="597D38C7"/>
    <w:rsid w:val="5B6E518B"/>
    <w:rsid w:val="5C074B91"/>
    <w:rsid w:val="5C3B5D30"/>
    <w:rsid w:val="5CBB0F9F"/>
    <w:rsid w:val="5F1E7A22"/>
    <w:rsid w:val="600808F0"/>
    <w:rsid w:val="600F27C1"/>
    <w:rsid w:val="604364E6"/>
    <w:rsid w:val="605F2329"/>
    <w:rsid w:val="60CA4511"/>
    <w:rsid w:val="611B3604"/>
    <w:rsid w:val="61913399"/>
    <w:rsid w:val="63220635"/>
    <w:rsid w:val="63660521"/>
    <w:rsid w:val="645629B7"/>
    <w:rsid w:val="652F2B95"/>
    <w:rsid w:val="6569344D"/>
    <w:rsid w:val="65E74C3F"/>
    <w:rsid w:val="668769D2"/>
    <w:rsid w:val="669748D6"/>
    <w:rsid w:val="66A870A3"/>
    <w:rsid w:val="66E87218"/>
    <w:rsid w:val="6764746E"/>
    <w:rsid w:val="6780592A"/>
    <w:rsid w:val="6793565D"/>
    <w:rsid w:val="67A15FA8"/>
    <w:rsid w:val="698B02B8"/>
    <w:rsid w:val="69D07F42"/>
    <w:rsid w:val="6A0A193F"/>
    <w:rsid w:val="6A154A4F"/>
    <w:rsid w:val="6A584189"/>
    <w:rsid w:val="6A627569"/>
    <w:rsid w:val="6A7946BD"/>
    <w:rsid w:val="6B1F297F"/>
    <w:rsid w:val="6B271BE0"/>
    <w:rsid w:val="6B430907"/>
    <w:rsid w:val="6BB95A47"/>
    <w:rsid w:val="6C62044F"/>
    <w:rsid w:val="6CEC25E8"/>
    <w:rsid w:val="6DA76094"/>
    <w:rsid w:val="6DE67646"/>
    <w:rsid w:val="6DF64189"/>
    <w:rsid w:val="6E080427"/>
    <w:rsid w:val="6E315BD0"/>
    <w:rsid w:val="6E4C2A0A"/>
    <w:rsid w:val="6E7E4FBB"/>
    <w:rsid w:val="6E815015"/>
    <w:rsid w:val="6EB90CD2"/>
    <w:rsid w:val="6F0E764C"/>
    <w:rsid w:val="6F4E3F0C"/>
    <w:rsid w:val="6FB41B5B"/>
    <w:rsid w:val="70512559"/>
    <w:rsid w:val="715E2CF4"/>
    <w:rsid w:val="723F1B4A"/>
    <w:rsid w:val="728B4FA7"/>
    <w:rsid w:val="736D32F3"/>
    <w:rsid w:val="73B52DFF"/>
    <w:rsid w:val="73BD5AAB"/>
    <w:rsid w:val="73F47DE9"/>
    <w:rsid w:val="741C2C22"/>
    <w:rsid w:val="75324707"/>
    <w:rsid w:val="75607EDE"/>
    <w:rsid w:val="75780124"/>
    <w:rsid w:val="760F4A49"/>
    <w:rsid w:val="77651D73"/>
    <w:rsid w:val="77C11D73"/>
    <w:rsid w:val="77ED23D6"/>
    <w:rsid w:val="780472F2"/>
    <w:rsid w:val="782303E7"/>
    <w:rsid w:val="78E8332F"/>
    <w:rsid w:val="792B3405"/>
    <w:rsid w:val="795135CA"/>
    <w:rsid w:val="79751F2D"/>
    <w:rsid w:val="79D43678"/>
    <w:rsid w:val="7A394769"/>
    <w:rsid w:val="7A614D0A"/>
    <w:rsid w:val="7C3074C7"/>
    <w:rsid w:val="7C4405EC"/>
    <w:rsid w:val="7C6F7FEF"/>
    <w:rsid w:val="7CEE5236"/>
    <w:rsid w:val="7D3E5C13"/>
    <w:rsid w:val="7DB67716"/>
    <w:rsid w:val="7E181529"/>
    <w:rsid w:val="7E9401E1"/>
    <w:rsid w:val="7EEB1D38"/>
    <w:rsid w:val="7EEC78E0"/>
    <w:rsid w:val="7F9560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4"/>
    <w:qFormat/>
    <w:uiPriority w:val="0"/>
    <w:pPr>
      <w:jc w:val="left"/>
    </w:pPr>
  </w:style>
  <w:style w:type="paragraph" w:styleId="7">
    <w:name w:val="Balloon Text"/>
    <w:basedOn w:val="1"/>
    <w:link w:val="36"/>
    <w:qFormat/>
    <w:uiPriority w:val="0"/>
    <w:rPr>
      <w:sz w:val="18"/>
      <w:szCs w:val="18"/>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0"/>
  </w:style>
  <w:style w:type="paragraph" w:styleId="11">
    <w:name w:val="toc 2"/>
    <w:basedOn w:val="1"/>
    <w:next w:val="1"/>
    <w:unhideWhenUsed/>
    <w:qFormat/>
    <w:uiPriority w:val="39"/>
    <w:pPr>
      <w:spacing w:line="300" w:lineRule="exact"/>
      <w:ind w:left="210"/>
    </w:pPr>
    <w:rPr>
      <w:rFonts w:ascii="宋体"/>
    </w:rPr>
  </w:style>
  <w:style w:type="paragraph" w:styleId="1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3">
    <w:name w:val="Normal (Web)"/>
    <w:basedOn w:val="1"/>
    <w:qFormat/>
    <w:uiPriority w:val="0"/>
    <w:pPr>
      <w:spacing w:beforeAutospacing="1" w:afterAutospacing="1"/>
      <w:jc w:val="left"/>
    </w:pPr>
    <w:rPr>
      <w:rFonts w:cs="Times New Roman"/>
      <w:kern w:val="0"/>
      <w:sz w:val="24"/>
    </w:rPr>
  </w:style>
  <w:style w:type="paragraph" w:styleId="14">
    <w:name w:val="annotation subject"/>
    <w:basedOn w:val="6"/>
    <w:next w:val="6"/>
    <w:link w:val="35"/>
    <w:qFormat/>
    <w:uiPriority w:val="0"/>
    <w:rPr>
      <w:b/>
      <w:bCs/>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character" w:styleId="19">
    <w:name w:val="annotation reference"/>
    <w:basedOn w:val="17"/>
    <w:qFormat/>
    <w:uiPriority w:val="0"/>
    <w:rPr>
      <w:sz w:val="21"/>
      <w:szCs w:val="21"/>
    </w:rPr>
  </w:style>
  <w:style w:type="paragraph" w:customStyle="1" w:styleId="20">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2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2">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character" w:customStyle="1" w:styleId="23">
    <w:name w:val="mm-editor-clipboard"/>
    <w:basedOn w:val="17"/>
    <w:qFormat/>
    <w:uiPriority w:val="0"/>
  </w:style>
  <w:style w:type="paragraph" w:customStyle="1" w:styleId="24">
    <w:name w:val="其他发布日期"/>
    <w:basedOn w:val="1"/>
    <w:qFormat/>
    <w:uiPriority w:val="0"/>
    <w:pPr>
      <w:framePr w:w="3997" w:h="471" w:hRule="exact" w:vSpace="181" w:wrap="around" w:vAnchor="page" w:hAnchor="text" w:x="1419" w:y="14097" w:anchorLock="1"/>
      <w:widowControl/>
      <w:jc w:val="left"/>
    </w:pPr>
    <w:rPr>
      <w:rFonts w:ascii="Times New Roman" w:hAnsi="Times New Roman" w:eastAsia="黑体" w:cs="Times New Roman"/>
      <w:kern w:val="0"/>
      <w:sz w:val="28"/>
      <w:szCs w:val="20"/>
    </w:rPr>
  </w:style>
  <w:style w:type="paragraph" w:customStyle="1" w:styleId="25">
    <w:name w:val="其他实施日期"/>
    <w:basedOn w:val="1"/>
    <w:qFormat/>
    <w:uiPriority w:val="0"/>
    <w:pPr>
      <w:framePr w:w="3997" w:h="471" w:hRule="exact" w:vSpace="181" w:wrap="around" w:vAnchor="page" w:hAnchor="text" w:x="7089" w:y="14097" w:anchorLock="1"/>
      <w:widowControl/>
      <w:jc w:val="right"/>
    </w:pPr>
    <w:rPr>
      <w:rFonts w:ascii="Times New Roman" w:hAnsi="Times New Roman" w:eastAsia="黑体" w:cs="Times New Roman"/>
      <w:kern w:val="0"/>
      <w:sz w:val="28"/>
      <w:szCs w:val="20"/>
    </w:rPr>
  </w:style>
  <w:style w:type="character" w:customStyle="1" w:styleId="26">
    <w:name w:val="发布"/>
    <w:basedOn w:val="17"/>
    <w:qFormat/>
    <w:uiPriority w:val="0"/>
    <w:rPr>
      <w:rFonts w:ascii="黑体" w:eastAsia="黑体"/>
      <w:spacing w:val="85"/>
      <w:w w:val="100"/>
      <w:position w:val="3"/>
      <w:sz w:val="28"/>
      <w:szCs w:val="28"/>
    </w:rPr>
  </w:style>
  <w:style w:type="paragraph" w:customStyle="1" w:styleId="27">
    <w:name w:val="paragraph"/>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8">
    <w:name w:val="其他发布部门"/>
    <w:basedOn w:val="29"/>
    <w:qFormat/>
    <w:uiPriority w:val="0"/>
    <w:pPr>
      <w:framePr w:wrap="around"/>
      <w:spacing w:line="0" w:lineRule="atLeast"/>
    </w:pPr>
    <w:rPr>
      <w:rFonts w:ascii="黑体" w:eastAsia="黑体"/>
      <w:b w:val="0"/>
    </w:rPr>
  </w:style>
  <w:style w:type="paragraph" w:customStyle="1" w:styleId="29">
    <w:name w:val="发布部门"/>
    <w:next w:val="30"/>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30">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1">
    <w:name w:val="标准文件_章标题"/>
    <w:next w:val="30"/>
    <w:qFormat/>
    <w:uiPriority w:val="0"/>
    <w:pPr>
      <w:numPr>
        <w:ilvl w:val="1"/>
        <w:numId w:val="1"/>
      </w:numPr>
      <w:spacing w:before="100" w:beforeLines="100" w:after="100" w:afterLines="100"/>
      <w:ind w:left="0"/>
      <w:jc w:val="both"/>
      <w:outlineLvl w:val="0"/>
    </w:pPr>
    <w:rPr>
      <w:rFonts w:ascii="黑体" w:hAnsi="Times New Roman" w:eastAsia="黑体" w:cs="Times New Roman"/>
      <w:sz w:val="21"/>
      <w:lang w:val="en-US" w:eastAsia="zh-CN" w:bidi="ar-SA"/>
    </w:rPr>
  </w:style>
  <w:style w:type="paragraph" w:customStyle="1" w:styleId="32">
    <w:name w:val="标准文件_一级条标题"/>
    <w:basedOn w:val="31"/>
    <w:next w:val="30"/>
    <w:qFormat/>
    <w:uiPriority w:val="0"/>
    <w:pPr>
      <w:numPr>
        <w:ilvl w:val="2"/>
      </w:numPr>
      <w:spacing w:before="50" w:beforeLines="50" w:after="50" w:afterLines="50"/>
      <w:ind w:left="0"/>
      <w:outlineLvl w:val="1"/>
    </w:pPr>
  </w:style>
  <w:style w:type="paragraph" w:customStyle="1" w:styleId="33">
    <w:name w:val="标准文件_参考文献标题"/>
    <w:basedOn w:val="1"/>
    <w:next w:val="1"/>
    <w:qFormat/>
    <w:uiPriority w:val="0"/>
    <w:pPr>
      <w:widowControl/>
      <w:shd w:val="clear" w:color="FFFFFF" w:fill="FFFFFF"/>
      <w:spacing w:before="560" w:after="50" w:afterLines="50"/>
      <w:jc w:val="center"/>
      <w:outlineLvl w:val="0"/>
    </w:pPr>
    <w:rPr>
      <w:rFonts w:ascii="黑体" w:eastAsia="黑体"/>
      <w:kern w:val="0"/>
    </w:rPr>
  </w:style>
  <w:style w:type="character" w:customStyle="1" w:styleId="34">
    <w:name w:val="批注文字 字符"/>
    <w:basedOn w:val="17"/>
    <w:link w:val="6"/>
    <w:qFormat/>
    <w:uiPriority w:val="0"/>
    <w:rPr>
      <w:rFonts w:asciiTheme="minorHAnsi" w:hAnsiTheme="minorHAnsi" w:eastAsiaTheme="minorEastAsia" w:cstheme="minorBidi"/>
      <w:kern w:val="2"/>
      <w:sz w:val="21"/>
      <w:szCs w:val="24"/>
    </w:rPr>
  </w:style>
  <w:style w:type="character" w:customStyle="1" w:styleId="35">
    <w:name w:val="批注主题 字符"/>
    <w:basedOn w:val="34"/>
    <w:link w:val="14"/>
    <w:qFormat/>
    <w:uiPriority w:val="0"/>
    <w:rPr>
      <w:rFonts w:asciiTheme="minorHAnsi" w:hAnsiTheme="minorHAnsi" w:eastAsiaTheme="minorEastAsia" w:cstheme="minorBidi"/>
      <w:b/>
      <w:bCs/>
      <w:kern w:val="2"/>
      <w:sz w:val="21"/>
      <w:szCs w:val="24"/>
    </w:rPr>
  </w:style>
  <w:style w:type="character" w:customStyle="1" w:styleId="36">
    <w:name w:val="批注框文本 字符"/>
    <w:basedOn w:val="17"/>
    <w:link w:val="7"/>
    <w:qFormat/>
    <w:uiPriority w:val="0"/>
    <w:rPr>
      <w:rFonts w:asciiTheme="minorHAnsi" w:hAnsiTheme="minorHAnsi" w:eastAsiaTheme="minorEastAsia" w:cstheme="minorBidi"/>
      <w:kern w:val="2"/>
      <w:sz w:val="18"/>
      <w:szCs w:val="18"/>
    </w:rPr>
  </w:style>
  <w:style w:type="character" w:customStyle="1" w:styleId="37">
    <w:name w:val="font51"/>
    <w:basedOn w:val="17"/>
    <w:qFormat/>
    <w:uiPriority w:val="0"/>
    <w:rPr>
      <w:rFonts w:hint="eastAsia" w:ascii="宋体" w:hAnsi="宋体" w:eastAsia="宋体" w:cs="宋体"/>
      <w:b/>
      <w:bCs/>
      <w:color w:val="000000"/>
      <w:sz w:val="21"/>
      <w:szCs w:val="21"/>
      <w:u w:val="none"/>
    </w:rPr>
  </w:style>
  <w:style w:type="character" w:customStyle="1" w:styleId="38">
    <w:name w:val="font11"/>
    <w:basedOn w:val="17"/>
    <w:qFormat/>
    <w:uiPriority w:val="0"/>
    <w:rPr>
      <w:rFonts w:hint="default" w:ascii="Arial" w:hAnsi="Arial" w:cs="Arial"/>
      <w:b/>
      <w:bCs/>
      <w:color w:val="000000"/>
      <w:sz w:val="21"/>
      <w:szCs w:val="21"/>
      <w:u w:val="none"/>
    </w:rPr>
  </w:style>
  <w:style w:type="character" w:customStyle="1" w:styleId="39">
    <w:name w:val="font31"/>
    <w:basedOn w:val="17"/>
    <w:qFormat/>
    <w:uiPriority w:val="0"/>
    <w:rPr>
      <w:rFonts w:hint="default" w:ascii="Arial" w:hAnsi="Arial" w:cs="Arial"/>
      <w:color w:val="000000"/>
      <w:sz w:val="21"/>
      <w:szCs w:val="21"/>
      <w:u w:val="none"/>
    </w:rPr>
  </w:style>
  <w:style w:type="character" w:customStyle="1" w:styleId="40">
    <w:name w:val="font41"/>
    <w:basedOn w:val="17"/>
    <w:qFormat/>
    <w:uiPriority w:val="0"/>
    <w:rPr>
      <w:rFonts w:hint="eastAsia" w:ascii="宋体" w:hAnsi="宋体" w:eastAsia="宋体" w:cs="宋体"/>
      <w:color w:val="000000"/>
      <w:sz w:val="21"/>
      <w:szCs w:val="21"/>
      <w:u w:val="none"/>
    </w:rPr>
  </w:style>
  <w:style w:type="character" w:customStyle="1" w:styleId="41">
    <w:name w:val="font61"/>
    <w:basedOn w:val="17"/>
    <w:qFormat/>
    <w:uiPriority w:val="0"/>
    <w:rPr>
      <w:rFonts w:hint="eastAsia" w:ascii="宋体" w:hAnsi="宋体" w:eastAsia="宋体" w:cs="宋体"/>
      <w:b/>
      <w:bCs/>
      <w:color w:val="000000"/>
      <w:sz w:val="21"/>
      <w:szCs w:val="21"/>
      <w:u w:val="none"/>
    </w:rPr>
  </w:style>
  <w:style w:type="character" w:customStyle="1" w:styleId="42">
    <w:name w:val="font71"/>
    <w:basedOn w:val="17"/>
    <w:qFormat/>
    <w:uiPriority w:val="0"/>
    <w:rPr>
      <w:rFonts w:hint="eastAsia" w:ascii="宋体" w:hAnsi="宋体" w:eastAsia="宋体" w:cs="宋体"/>
      <w:b/>
      <w:bCs/>
      <w:i/>
      <w:iCs/>
      <w:color w:val="000000"/>
      <w:sz w:val="21"/>
      <w:szCs w:val="21"/>
      <w:u w:val="none"/>
    </w:rPr>
  </w:style>
  <w:style w:type="character" w:customStyle="1" w:styleId="43">
    <w:name w:val="font21"/>
    <w:basedOn w:val="17"/>
    <w:qFormat/>
    <w:uiPriority w:val="0"/>
    <w:rPr>
      <w:rFonts w:hint="default" w:ascii="Arial" w:hAnsi="Arial" w:cs="Arial"/>
      <w:b/>
      <w:bCs/>
      <w:color w:val="000000"/>
      <w:sz w:val="21"/>
      <w:szCs w:val="21"/>
      <w:u w:val="none"/>
    </w:rPr>
  </w:style>
  <w:style w:type="character" w:customStyle="1" w:styleId="44">
    <w:name w:val="font91"/>
    <w:basedOn w:val="17"/>
    <w:qFormat/>
    <w:uiPriority w:val="0"/>
    <w:rPr>
      <w:rFonts w:hint="eastAsia" w:ascii="宋体" w:hAnsi="宋体" w:eastAsia="宋体" w:cs="宋体"/>
      <w:b/>
      <w:bCs/>
      <w:color w:val="000000"/>
      <w:sz w:val="28"/>
      <w:szCs w:val="28"/>
      <w:u w:val="none"/>
    </w:rPr>
  </w:style>
  <w:style w:type="character" w:customStyle="1" w:styleId="45">
    <w:name w:val="font101"/>
    <w:basedOn w:val="17"/>
    <w:qFormat/>
    <w:uiPriority w:val="0"/>
    <w:rPr>
      <w:rFonts w:hint="eastAsia" w:ascii="宋体" w:hAnsi="宋体" w:eastAsia="宋体" w:cs="宋体"/>
      <w:color w:val="000000"/>
      <w:sz w:val="21"/>
      <w:szCs w:val="21"/>
      <w:u w:val="none"/>
    </w:rPr>
  </w:style>
  <w:style w:type="character" w:customStyle="1" w:styleId="46">
    <w:name w:val="font111"/>
    <w:basedOn w:val="17"/>
    <w:qFormat/>
    <w:uiPriority w:val="0"/>
    <w:rPr>
      <w:rFonts w:hint="eastAsia" w:ascii="宋体" w:hAnsi="宋体" w:eastAsia="宋体" w:cs="宋体"/>
      <w:color w:val="000000"/>
      <w:sz w:val="21"/>
      <w:szCs w:val="21"/>
      <w:u w:val="none"/>
    </w:rPr>
  </w:style>
  <w:style w:type="character" w:customStyle="1" w:styleId="47">
    <w:name w:val="font81"/>
    <w:basedOn w:val="17"/>
    <w:qFormat/>
    <w:uiPriority w:val="0"/>
    <w:rPr>
      <w:rFonts w:hint="default" w:ascii="Arial" w:hAnsi="Arial" w:cs="Arial"/>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ecc9ff1e-3a7f-4568-9263-e43fedb85b8a</errorID>
      <errorWord>）</errorWord>
      <group>L1_Format</group>
      <groupName>格式问题</groupName>
      <ability>L2_HalfPunc</ability>
      <abilityName>全半角检查</abilityName>
      <candidateList>
        <item>)</item>
      </candidateList>
      <explain>文本全半角错误。</explain>
      <paraID>6ADDE601</paraID>
      <start>134</start>
      <end>135</end>
      <status>modified</status>
      <modifiedWord>)</modifiedWord>
      <trackRevisions>false</trackRevisions>
    </reviewItem>
    <reviewItem>
      <errorID>5625e2d3-822b-45db-8e97-ec5f64554b2e</errorID>
      <errorWord>、等</errorWord>
      <group>L1_Word</group>
      <groupName>字词问题</groupName>
      <ability>L2_Typo</ability>
      <abilityName>字词错误</abilityName>
      <candidateList>
        <item>、</item>
      </candidateList>
      <explain/>
      <paraID> 8F16C21</paraID>
      <start>132</start>
      <end>133</end>
      <status>modified</status>
      <modifiedWord>、</modifiedWord>
      <trackRevisions>false</trackRevisions>
    </reviewItem>
    <reviewItem>
      <errorID>857708a0-0450-4f6b-bddf-8f67a5a2ebec</errorID>
      <errorWord>中华人民共和国环境保护法</errorWord>
      <group>L1_Knowledge</group>
      <groupName>知识性问题</groupName>
      <ability>L2_Knowledge</ability>
      <abilityName>其他知识</abilityName>
      <candidateList>
        <item>《中华人民共和国环境保护法》</item>
      </candidateList>
      <explain>完整法律法规名称需要加书名号，请注意检查。</explain>
      <paraID> 6937C08</paraID>
      <start>0</start>
      <end>14</end>
      <status>modified</status>
      <modifiedWord>《中华人民共和国环境保护法》</modifiedWord>
      <trackRevisions>false</trackRevisions>
    </reviewItem>
    <reviewItem>
      <errorID>9374dbf5-d9bb-4c1c-9dca-89b6e6c90b69</errorID>
      <errorWord>、以及</errorWord>
      <group>L1_Punc</group>
      <groupName>标点问题</groupName>
      <ability>L2_Punc</ability>
      <abilityName>标点符号检查</abilityName>
      <candidateList>
        <item>，以及</item>
      </candidateList>
      <explain>连接词前后不宜使用顿号，建议使用逗号。</explain>
      <paraID>531DF72C</paraID>
      <start>49</start>
      <end>52</end>
      <status>modified</status>
      <modifiedWord>，以及</modifiedWord>
      <trackRevisions>false</trackRevisions>
    </reviewItem>
    <reviewItem>
      <errorID>21dae737-cd79-4648-9eba-0bbebfd1796e</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67A1CF63</paraID>
      <start>0</start>
      <end>2</end>
      <status>modified</status>
      <modifiedWord>a）</modifiedWord>
      <trackRevisions>false</trackRevisions>
    </reviewItem>
    <reviewItem>
      <errorID>bd3537ed-17d4-43f4-8b65-4590e0cec1d7</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60DCAAD1</paraID>
      <start>0</start>
      <end>2</end>
      <status>modified</status>
      <modifiedWord>b）</modifiedWord>
      <trackRevisions>false</trackRevisions>
    </reviewItem>
    <reviewItem>
      <errorID>63dfa916-0167-459d-ba5e-f24af0a3ccdf</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4BD33EF</paraID>
      <start>0</start>
      <end>2</end>
      <status>modified</status>
      <modifiedWord>c）</modifiedWord>
      <trackRevisions>false</trackRevisions>
    </reviewItem>
    <reviewItem>
      <errorID>a42dac5c-c98d-4c92-8be9-f8167bff628a</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1DEAAF46</paraID>
      <start>0</start>
      <end>2</end>
      <status>modified</status>
      <modifiedWord>a）</modifiedWord>
      <trackRevisions>false</trackRevisions>
    </reviewItem>
    <reviewItem>
      <errorID>6efbb739-a06f-486c-aa1f-0125e9e9aa6d</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1A346A83</paraID>
      <start>0</start>
      <end>2</end>
      <status>modified</status>
      <modifiedWord>b）</modifiedWord>
      <trackRevisions>false</trackRevisions>
    </reviewItem>
    <reviewItem>
      <errorID>f06b8b13-9c5b-43c1-ba5c-590f07b4aaa5</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1A58FB83</paraID>
      <start>0</start>
      <end>2</end>
      <status>modified</status>
      <modifiedWord>c）</modifiedWord>
      <trackRevisions>false</trackRevisions>
    </reviewItem>
    <reviewItem>
      <errorID>69d526fe-f581-475a-811e-f6cfaa36869b</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78D73D2C</paraID>
      <start>0</start>
      <end>2</end>
      <status>modified</status>
      <modifiedWord>a）</modifiedWord>
      <trackRevisions>false</trackRevisions>
    </reviewItem>
    <reviewItem>
      <errorID>8ebd90c7-ca44-462c-88e5-1d6848e7e9ee</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59442AD4</paraID>
      <start>0</start>
      <end>2</end>
      <status>modified</status>
      <modifiedWord>b）</modifiedWord>
      <trackRevisions>false</trackRevisions>
    </reviewItem>
    <reviewItem>
      <errorID>f5e3c5cd-dcde-45ba-a9ab-9d771e35146c</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3BCBFA88</paraID>
      <start>0</start>
      <end>2</end>
      <status>modified</status>
      <modifiedWord>a）</modifiedWord>
      <trackRevisions>false</trackRevisions>
    </reviewItem>
    <reviewItem>
      <errorID>73716ca2-2897-41c1-ac0d-c8982c6e7e7a</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127AB8F6</paraID>
      <start>0</start>
      <end>2</end>
      <status>modified</status>
      <modifiedWord>b）</modifiedWord>
      <trackRevisions>false</trackRevisions>
    </reviewItem>
    <reviewItem>
      <errorID>9ee17378-5c39-4218-a814-18c8d7575c62</errorID>
      <errorWord>-</errorWord>
      <group>L1_Format</group>
      <groupName>格式问题</groupName>
      <ability>L2_HalfPunc</ability>
      <abilityName>全半角检查</abilityName>
      <candidateList>
        <item>－</item>
      </candidateList>
      <explain>文本全半角错误。</explain>
      <paraID>238BCBCE</paraID>
      <start>27</start>
      <end>28</end>
      <status>modified</status>
      <modifiedWord>－</modifiedWord>
      <trackRevisions>false</trackRevisions>
    </reviewItem>
    <reviewItem>
      <errorID>639c17a3-4e0b-4e7b-8ad6-4bba1a4864d6</errorID>
      <errorWord>-</errorWord>
      <group>L1_Format</group>
      <groupName>格式问题</groupName>
      <ability>L2_HalfPunc</ability>
      <abilityName>全半角检查</abilityName>
      <candidateList>
        <item>－</item>
      </candidateList>
      <explain>文本全半角错误。</explain>
      <paraID>238BCBCE</paraID>
      <start>30</start>
      <end>31</end>
      <status>modified</status>
      <modifiedWord>－</modifiedWord>
      <trackRevisions>false</trackRevisions>
    </reviewItem>
    <reviewItem>
      <errorID>006c564a-6870-4ba2-920e-cfed330e6c21</errorID>
      <errorWord>-</errorWord>
      <group>L1_Format</group>
      <groupName>格式问题</groupName>
      <ability>L2_HalfPunc</ability>
      <abilityName>全半角检查</abilityName>
      <candidateList>
        <item>－</item>
      </candidateList>
      <explain>文本全半角错误。</explain>
      <paraID>238BCBCE</paraID>
      <start>33</start>
      <end>34</end>
      <status>modified</status>
      <modifiedWord>－</modifiedWord>
      <trackRevisions>false</trackRevisions>
    </reviewItem>
    <reviewItem>
      <errorID>a4010385-06c1-47b9-8ad6-a3233b3da369</errorID>
      <errorWord>电子签名法</errorWord>
      <group>L1_Knowledge</group>
      <groupName>知识性问题</groupName>
      <ability>L2_Knowledge</ability>
      <abilityName>其他知识</abilityName>
      <candidateList>
        <item>中华人民共和国电子签名法</item>
      </candidateList>
      <explain>当前法律法规名称使用简称，请注意是否应当使用全称。</explain>
      <paraID>4CB04771</paraID>
      <start>36</start>
      <end>48</end>
      <status>modified</status>
      <modifiedWord>中华人民共和国电子签名法</modifiedWord>
      <trackRevisions>false</trackRevisions>
    </reviewItem>
    <reviewItem>
      <errorID>92a4940d-85a6-4fa8-8107-e4556a2832f8</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4FC83F08</paraID>
      <start>0</start>
      <end>2</end>
      <status>modified</status>
      <modifiedWord>a）</modifiedWord>
      <trackRevisions>false</trackRevisions>
    </reviewItem>
    <reviewItem>
      <errorID>adf44489-1d4e-4ceb-95a9-b31337cf1959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4FC83F08</paraID>
      <start>18</start>
      <end>20</end>
      <status>modified</status>
      <modifiedWord>”“</modifiedWord>
      <trackRevisions>false</trackRevisions>
    </reviewItem>
    <reviewItem>
      <errorID>31d67777-ccee-473d-a0c8-6cad88ec43f2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4FC83F08</paraID>
      <start>24</start>
      <end>26</end>
      <status>modified</status>
      <modifiedWord>”“</modifiedWord>
      <trackRevisions>false</trackRevisions>
    </reviewItem>
    <reviewItem>
      <errorID>312ee06e-68de-4fc8-94aa-9365c702d69c</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261BE51A</paraID>
      <start>0</start>
      <end>2</end>
      <status>modified</status>
      <modifiedWord>b）</modifiedWord>
      <trackRevisions>false</trackRevisions>
    </reviewItem>
    <reviewItem>
      <errorID>60302e11-a1a0-445c-9bb3-64252966be7f</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4A078ABB</paraID>
      <start>0</start>
      <end>2</end>
      <status>modified</status>
      <modifiedWord>c）</modifiedWord>
      <trackRevisions>false</trackRevisions>
    </reviewItem>
    <reviewItem>
      <errorID>f6c55e6e-5336-40d2-a874-4437d5174bcd</errorID>
      <errorWord>基础项</errorWord>
      <group>L1_Word</group>
      <groupName>字词问题</groupName>
      <ability>L2_Typo</ability>
      <abilityName>字词错误</abilityName>
      <candidateList>
        <item>基础性</item>
      </candidateList>
      <explain/>
      <paraID>21BE029D</paraID>
      <start>30</start>
      <end>33</end>
      <status>modified</status>
      <modifiedWord>基础性</modifiedWord>
      <trackRevisions>false</trackRevisions>
    </reviewItem>
    <reviewItem>
      <errorID>b1797e0f-c29c-4b49-900d-db4e4d658b28</errorID>
      <errorWord>-</errorWord>
      <group>L1_Format</group>
      <groupName>格式问题</groupName>
      <ability>L2_HalfPunc</ability>
      <abilityName>全半角检查</abilityName>
      <candidateList>
        <item>－</item>
      </candidateList>
      <explain>文本全半角错误。</explain>
      <paraID>22586A4E</paraID>
      <start>55</start>
      <end>56</end>
      <status>modified</status>
      <modifiedWord>－</modifiedWord>
      <trackRevisions>false</trackRevisions>
    </reviewItem>
    <reviewItem>
      <errorID>2f98ba97-10e5-4570-bdd1-501d16781260</errorID>
      <errorWord>-</errorWord>
      <group>L1_Format</group>
      <groupName>格式问题</groupName>
      <ability>L2_HalfPunc</ability>
      <abilityName>全半角检查</abilityName>
      <candidateList>
        <item>－</item>
      </candidateList>
      <explain>文本全半角错误。</explain>
      <paraID>2C805185</paraID>
      <start>31</start>
      <end>32</end>
      <status>modified</status>
      <modifiedWord>－</modifiedWord>
      <trackRevisions>false</trackRevisions>
    </reviewItem>
    <reviewItem>
      <errorID>da2e7d14-8908-466b-9c15-a636a9111637</errorID>
      <errorWord>-</errorWord>
      <group>L1_Format</group>
      <groupName>格式问题</groupName>
      <ability>L2_HalfPunc</ability>
      <abilityName>全半角检查</abilityName>
      <candidateList>
        <item>－</item>
      </candidateList>
      <explain>文本全半角错误。</explain>
      <paraID>3EBBCC40</paraID>
      <start>52</start>
      <end>53</end>
      <status>modified</status>
      <modifiedWord>－</modifiedWord>
      <trackRevisions>false</trackRevisions>
    </reviewItem>
    <reviewItem>
      <errorID>cf564f98-c3df-4525-8234-5e9ce00e5f36</errorID>
      <errorWord>达</errorWord>
      <group>L1_Word</group>
      <groupName>字词问题</groupName>
      <ability>L2_Typo</ability>
      <abilityName>字词错误</abilityName>
      <candidateList>
        <item>达到</item>
      </candidateList>
      <explain>〈动〉到（多指抽象事物或程度）：达得到｜达不到｜目的没有～｜～国际水平。</explain>
      <paraID>4597849F</paraID>
      <start>8</start>
      <end>10</end>
      <status>modified</status>
      <modifiedWord>达到</modifiedWord>
      <trackRevisions>false</trackRevisions>
    </reviewItem>
    <reviewItem>
      <errorID>0c94bbf8-c4ad-43cc-8795-c7625eef4c43</errorID>
      <errorWord>;</errorWord>
      <group>L1_Format</group>
      <groupName>格式问题</groupName>
      <ability>L2_HalfPunc</ability>
      <abilityName>全半角检查</abilityName>
      <candidateList>
        <item>；</item>
      </candidateList>
      <explain>文本全半角错误。</explain>
      <paraID>55426E24</paraID>
      <start>4</start>
      <end>5</end>
      <status>modified</status>
      <modifiedWord>；</modifiedWord>
      <trackRevisions>false</trackRevisions>
    </reviewItem>
    <reviewItem>
      <errorID>dabc5fa2-fe8a-410c-968c-e38383669846</errorID>
      <errorWord>:</errorWord>
      <group>L1_Format</group>
      <groupName>格式问题</groupName>
      <ability>L2_HalfPunc</ability>
      <abilityName>全半角检查</abilityName>
      <candidateList>
        <item>：</item>
      </candidateList>
      <explain>文本全半角错误。</explain>
      <paraID>3D1F5D91</paraID>
      <start>4</start>
      <end>5</end>
      <status>modified</status>
      <modifiedWord>：</modifiedWord>
      <trackRevisions>false</trackRevisions>
    </reviewItem>
    <reviewItem>
      <errorID>ae702b2f-6c53-4cae-9698-f1e4268b6604</errorID>
      <errorWord>:</errorWord>
      <group>L1_Format</group>
      <groupName>格式问题</groupName>
      <ability>L2_HalfPunc</ability>
      <abilityName>全半角检查</abilityName>
      <candidateList>
        <item>：</item>
      </candidateList>
      <explain>文本全半角错误。</explain>
      <paraID>45E1FFB1</paraID>
      <start>4</start>
      <end>5</end>
      <status>modified</status>
      <modifiedWord>：</modifiedWord>
      <trackRevisions>false</trackRevisions>
    </reviewItem>
    <reviewItem>
      <errorID>c3d99167-d41a-43f2-b075-85d9b1760d9b</errorID>
      <errorWord>:</errorWord>
      <group>L1_Format</group>
      <groupName>格式问题</groupName>
      <ability>L2_HalfPunc</ability>
      <abilityName>全半角检查</abilityName>
      <candidateList>
        <item>：</item>
      </candidateList>
      <explain>文本全半角错误。</explain>
      <paraID> D7BA5A1</paraID>
      <start>5</start>
      <end>6</end>
      <status>modified</status>
      <modifiedWord>：</modifiedWord>
      <trackRevisions>false</trackRevisions>
    </reviewItem>
    <reviewItem>
      <errorID>5c704a32-94ce-49ad-bf16-d3511c8b2a0a</errorID>
      <errorWord>:</errorWord>
      <group>L1_Format</group>
      <groupName>格式问题</groupName>
      <ability>L2_HalfPunc</ability>
      <abilityName>全半角检查</abilityName>
      <candidateList>
        <item>：</item>
      </candidateList>
      <explain>文本全半角错误。</explain>
      <paraID>5D08FBB9</paraID>
      <start>5</start>
      <end>6</end>
      <status>modified</status>
      <modifiedWord>：</modifiedWord>
      <trackRevisions>false</trackRevisions>
    </reviewItem>
    <reviewItem>
      <errorID>7a66ff98-54c8-4605-b0ef-450d499931ea</errorID>
      <errorWord>:</errorWord>
      <group>L1_Format</group>
      <groupName>格式问题</groupName>
      <ability>L2_HalfPunc</ability>
      <abilityName>全半角检查</abilityName>
      <candidateList>
        <item>：</item>
      </candidateList>
      <explain>文本全半角错误。</explain>
      <paraID>4F723AB9</paraID>
      <start>9</start>
      <end>10</end>
      <status>modified</status>
      <modifiedWord>：</modifiedWord>
      <trackRevisions>false</trackRevisions>
    </reviewItem>
    <reviewItem>
      <errorID>bd41c9bc-49e7-45ca-8659-b62718a10496</errorID>
      <errorWord>:</errorWord>
      <group>L1_Format</group>
      <groupName>格式问题</groupName>
      <ability>L2_HalfPunc</ability>
      <abilityName>全半角检查</abilityName>
      <candidateList>
        <item>：</item>
      </candidateList>
      <explain>文本全半角错误。</explain>
      <paraID>16021762</paraID>
      <start>9</start>
      <end>10</end>
      <status>modified</status>
      <modifiedWord>：</modifiedWord>
      <trackRevisions>false</trackRevisions>
    </reviewItem>
    <reviewItem>
      <errorID>7bf4b6d8-7bdf-4652-81bc-e724c65dd43e</errorID>
      <errorWord>:</errorWord>
      <group>L1_Format</group>
      <groupName>格式问题</groupName>
      <ability>L2_HalfPunc</ability>
      <abilityName>全半角检查</abilityName>
      <candidateList>
        <item>：</item>
      </candidateList>
      <explain>文本全半角错误。</explain>
      <paraID> E6B60CD</paraID>
      <start>9</start>
      <end>10</end>
      <status>modified</status>
      <modifiedWord>：</modifiedWord>
      <trackRevisions>false</trackRevisions>
    </reviewItem>
    <reviewItem>
      <errorID>0e5274ec-9a62-4835-a816-36c741f127d7</errorID>
      <errorWord>:</errorWord>
      <group>L1_Format</group>
      <groupName>格式问题</groupName>
      <ability>L2_HalfPunc</ability>
      <abilityName>全半角检查</abilityName>
      <candidateList>
        <item>：</item>
      </candidateList>
      <explain>文本全半角错误。</explain>
      <paraID>257B4F5E</paraID>
      <start>3</start>
      <end>4</end>
      <status>modified</status>
      <modifiedWord>：</modifiedWord>
      <trackRevisions>false</trackRevisions>
    </reviewItem>
    <reviewItem>
      <errorID>41f2066c-d85d-440f-b724-f61defbb19ed</errorID>
      <errorWord>项</errorWord>
      <group>L1_Word</group>
      <groupName>字词问题</groupName>
      <ability>L2_Typo</ability>
      <abilityName>字词错误</abilityName>
      <candidateList>
        <item>项目</item>
      </candidateList>
      <explain>〈名〉事物分成的门类：服务～｜体育～｜建设～。</explain>
      <paraID>13ADC245</paraID>
      <start>2</start>
      <end>4</end>
      <status>modified</status>
      <modifiedWord>项目</modifiedWord>
      <trackRevisions>false</trackRevisions>
    </reviewItem>
    <reviewItem>
      <errorID>7b36045e-f2cf-4b12-8488-1b4163cbabfc</errorID>
      <errorWord>:</errorWord>
      <group>L1_Format</group>
      <groupName>格式问题</groupName>
      <ability>L2_HalfPunc</ability>
      <abilityName>全半角检查</abilityName>
      <candidateList>
        <item>：</item>
      </candidateList>
      <explain>文本全半角错误。</explain>
      <paraID>13ADC245</paraID>
      <start>4</start>
      <end>5</end>
      <status>modified</status>
      <modifiedWord>：</modifiedWord>
      <trackRevisions>false</trackRevisions>
    </reviewItem>
    <reviewItem>
      <errorID>8af72c65-73f7-45b7-96b1-819de8c2276e</errorID>
      <errorWord>:</errorWord>
      <group>L1_Format</group>
      <groupName>格式问题</groupName>
      <ability>L2_HalfPunc</ability>
      <abilityName>全半角检查</abilityName>
      <candidateList>
        <item>：</item>
      </candidateList>
      <explain>文本全半角错误。</explain>
      <paraID>36AF91FE</paraID>
      <start>3</start>
      <end>4</end>
      <status>modified</status>
      <modifiedWord>：</modifiedWord>
      <trackRevisions>false</trackRevisions>
    </reviewItem>
    <reviewItem>
      <errorID>eab65714-88c8-4b51-9d91-c8d99959b9f7</errorID>
      <errorWord>。。</errorWord>
      <group>L1_Punc</group>
      <groupName>标点问题</groupName>
      <ability>L2_Punc</ability>
      <abilityName>标点符号检查</abilityName>
      <candidateList>
        <item>。</item>
      </candidateList>
      <explain/>
      <paraID>78088BA0</paraID>
      <start>141</start>
      <end>142</end>
      <status>modified</status>
      <modifiedWord>。</modifiedWord>
      <trackRevisions>false</trackRevisions>
    </reviewItem>
    <reviewItem>
      <errorID>0c8fccff-a924-4367-9128-2c746e4b06a1</errorID>
      <errorWord>-</errorWord>
      <group>L1_Format</group>
      <groupName>格式问题</groupName>
      <ability>L2_HalfPunc</ability>
      <abilityName>全半角检查</abilityName>
      <candidateList>
        <item>－</item>
      </candidateList>
      <explain>文本全半角错误。</explain>
      <paraID>5E4B0AB7</paraID>
      <start>20</start>
      <end>21</end>
      <status>modified</status>
      <modifiedWord>－</modifiedWord>
      <trackRevisions>false</trackRevisions>
    </reviewItem>
    <reviewItem>
      <errorID>761c8b26-e487-45b9-a1b1-0fbc5f50bdec</errorID>
      <errorWord>材</errorWord>
      <group>L1_Word</group>
      <groupName>字词问题</groupName>
      <ability>L2_Typo</ability>
      <abilityName>字词错误</abilityName>
      <candidateList>
        <item>材有</item>
      </candidateList>
      <explain/>
      <paraID>7A0A24B4</paraID>
      <start>27</start>
      <end>29</end>
      <status>modified</status>
      <modifiedWord>材有</modifiedWord>
      <trackRevisions>false</trackRevisions>
    </reviewItem>
    <reviewItem>
      <errorID>d413ec70-f944-4895-9372-dd9ce5c13d6d</errorID>
      <errorWord>查新</errorWord>
      <group>L1_Word</group>
      <groupName>字词问题</groupName>
      <ability>L2_Typo</ability>
      <abilityName>字词错误</abilityName>
      <candidateList>
        <item>查询</item>
      </candidateList>
      <explain>〈动〉查问▲。</explain>
      <paraID>28077A60</paraID>
      <start>4</start>
      <end>6</end>
      <status>modified</status>
      <modifiedWord>查询</modifiedWord>
      <trackRevisions>false</trackRevisions>
    </reviewItem>
    <reviewItem>
      <errorID>bcb237ac-de61-402f-9541-481737766403</errorID>
      <errorWord>查新</errorWord>
      <group>L1_Word</group>
      <groupName>字词问题</groupName>
      <ability>L2_Typo</ability>
      <abilityName>字词错误</abilityName>
      <candidateList>
        <item>查询</item>
      </candidateList>
      <explain>〈动〉查问▲。</explain>
      <paraID>190FE539</paraID>
      <start>17</start>
      <end>19</end>
      <status>modified</status>
      <modifiedWord>查询</modifiedWord>
      <trackRevisions>false</trackRevisions>
    </reviewItem>
    <reviewItem>
      <errorID>a9e652d4-7593-4266-838a-fe875b4d90e9</errorID>
      <errorWord>齐</errorWord>
      <group>L1_Word</group>
      <groupName>字词问题</groupName>
      <ability>L2_Typo</ability>
      <abilityName>字词错误</abilityName>
      <candidateList>
        <item>齐全</item>
      </candidateList>
      <explain/>
      <paraID>5DD2F2CD</paraID>
      <start>54</start>
      <end>56</end>
      <status>modified</status>
      <modifiedWord>齐全</modifiedWord>
      <trackRevisions>false</trackRevisions>
    </reviewItem>
    <reviewItem>
      <errorID>de6e3f7b-1c35-4a11-b654-a52bd871f269</errorID>
      <errorWord>-</errorWord>
      <group>L1_Format</group>
      <groupName>格式问题</groupName>
      <ability>L2_HalfPunc</ability>
      <abilityName>全半角检查</abilityName>
      <candidateList>
        <item>－</item>
      </candidateList>
      <explain>文本全半角错误。</explain>
      <paraID>68A268CA</paraID>
      <start>18</start>
      <end>19</end>
      <status>modified</status>
      <modifiedWord>－</modifiedWord>
      <trackRevisions>false</trackRevisions>
    </reviewItem>
    <reviewItem>
      <errorID>27fa19a5-c29a-4c69-835f-3cee1e7be3f9</errorID>
      <errorWord>-</errorWord>
      <group>L1_Format</group>
      <groupName>格式问题</groupName>
      <ability>L2_HalfPunc</ability>
      <abilityName>全半角检查</abilityName>
      <candidateList>
        <item>－</item>
      </candidateList>
      <explain>文本全半角错误。</explain>
      <paraID>68A268CA</paraID>
      <start>21</start>
      <end>22</end>
      <status>modified</status>
      <modifiedWord>－</modifiedWord>
      <trackRevisions>false</trackRevisions>
    </reviewItem>
    <reviewItem>
      <errorID>4bcc42d3-9dff-41f9-b262-636d7c421cd3</errorID>
      <errorWord>文</errorWord>
      <group>L1_Word</group>
      <groupName>字词问题</groupName>
      <ability>L2_Typo</ability>
      <abilityName>字词错误</abilityName>
      <candidateList>
        <item>文件</item>
      </candidateList>
      <explain/>
      <paraID>4D568112</paraID>
      <start>21</start>
      <end>23</end>
      <status>modified</status>
      <modifiedWord>文件</modifiedWord>
      <trackRevisions>false</trackRevisions>
    </reviewItem>
    <reviewItem>
      <errorID>ae8c1bcd-6408-49dd-be32-2a67ff1db871</errorID>
      <errorWord>(</errorWord>
      <group>L1_Format</group>
      <groupName>格式问题</groupName>
      <ability>L2_HalfPunc</ability>
      <abilityName>全半角检查</abilityName>
      <candidateList>
        <item>（</item>
      </candidateList>
      <explain>文本全半角错误。</explain>
      <paraID>73E0CD09</paraID>
      <start>5</start>
      <end>6</end>
      <status>modified</status>
      <modifiedWord>（</modifiedWord>
      <trackRevisions>false</trackRevisions>
    </reviewItem>
    <reviewItem>
      <errorID>0009f5db-c0c9-43b4-99f2-da11d71304c7</errorID>
      <errorWord>)</errorWord>
      <group>L1_Format</group>
      <groupName>格式问题</groupName>
      <ability>L2_HalfPunc</ability>
      <abilityName>全半角检查</abilityName>
      <candidateList>
        <item>）</item>
      </candidateList>
      <explain>文本全半角错误。</explain>
      <paraID>73E0CD09</paraID>
      <start>10</start>
      <end>11</end>
      <status>modified</status>
      <modifiedWord>）</modifiedWord>
      <trackRevisions>false</trackRevisions>
    </reviewItem>
    <reviewItem>
      <errorID>4f6517a4-ddcb-4ab7-9284-ccb84801b76e</errorID>
      <errorWord>(</errorWord>
      <group>L1_Format</group>
      <groupName>格式问题</groupName>
      <ability>L2_HalfPunc</ability>
      <abilityName>全半角检查</abilityName>
      <candidateList>
        <item>（</item>
      </candidateList>
      <explain>文本全半角错误。</explain>
      <paraID>2C665BDA</paraID>
      <start>17</start>
      <end>18</end>
      <status>modified</status>
      <modifiedWord>（</modifiedWord>
      <trackRevisions>false</trackRevisions>
    </reviewItem>
    <reviewItem>
      <errorID>ce8e523e-bbfa-45fc-b8fb-e2fc1ddd90fe</errorID>
      <errorWord>)</errorWord>
      <group>L1_Format</group>
      <groupName>格式问题</groupName>
      <ability>L2_HalfPunc</ability>
      <abilityName>全半角检查</abilityName>
      <candidateList>
        <item>）</item>
      </candidateList>
      <explain>文本全半角错误。</explain>
      <paraID>2C665BDA</paraID>
      <start>23</start>
      <end>24</end>
      <status>modified</status>
      <modifiedWord>）</modifiedWord>
      <trackRevisions>false</trackRevisions>
    </reviewItem>
    <reviewItem>
      <errorID>5734cf23-9e60-4d56-8958-a955a652f4de</errorID>
      <errorWord>)</errorWord>
      <group>L1_Format</group>
      <groupName>格式问题</groupName>
      <ability>L2_HalfPunc</ability>
      <abilityName>全半角检查</abilityName>
      <candidateList>
        <item>）</item>
      </candidateList>
      <explain>文本全半角错误。</explain>
      <paraID>2F55F438</paraID>
      <start>11</start>
      <end>12</end>
      <status>modified</status>
      <modifiedWord>）</modifiedWord>
      <trackRevisions>false</trackRevisions>
    </reviewItem>
    <reviewItem>
      <errorID>b5ad7ba7-e00a-4fa4-be0e-510c3fd55cb1</errorID>
      <errorWord>)</errorWord>
      <group>L1_Format</group>
      <groupName>格式问题</groupName>
      <ability>L2_HalfPunc</ability>
      <abilityName>全半角检查</abilityName>
      <candidateList>
        <item>）</item>
      </candidateList>
      <explain>文本全半角错误。</explain>
      <paraID>6F4F4CE1</paraID>
      <start>9</start>
      <end>10</end>
      <status>modified</status>
      <modifiedWord>）</modifiedWord>
      <trackRevisions>false</trackRevisions>
    </reviewItem>
    <reviewItem>
      <errorID>9f2f4253-6c06-474a-abd5-b60d0a0d86d4</errorID>
      <errorWord>)</errorWord>
      <group>L1_Format</group>
      <groupName>格式问题</groupName>
      <ability>L2_HalfPunc</ability>
      <abilityName>全半角检查</abilityName>
      <candidateList>
        <item>）</item>
      </candidateList>
      <explain>文本全半角错误。</explain>
      <paraID>25754D65</paraID>
      <start>9</start>
      <end>10</end>
      <status>modified</status>
      <modifiedWord>）</modifiedWord>
      <trackRevisions>false</trackRevisions>
    </reviewItem>
    <reviewItem>
      <errorID>214219fa-5ca7-4f0f-94be-2833264bee19</errorID>
      <errorWord>)</errorWord>
      <group>L1_Format</group>
      <groupName>格式问题</groupName>
      <ability>L2_HalfPunc</ability>
      <abilityName>全半角检查</abilityName>
      <candidateList>
        <item>）</item>
      </candidateList>
      <explain>文本全半角错误。</explain>
      <paraID>6EC6CE67</paraID>
      <start>9</start>
      <end>10</end>
      <status>modified</status>
      <modifiedWord>）</modifiedWord>
      <trackRevisions>false</trackRevisions>
    </reviewItem>
    <reviewItem>
      <errorID>1604998d-cc58-48f6-9e9e-bd1a131e36d3</errorID>
      <errorWord>-</errorWord>
      <group>L1_Format</group>
      <groupName>格式问题</groupName>
      <ability>L2_HalfPunc</ability>
      <abilityName>全半角检查</abilityName>
      <candidateList>
        <item>－</item>
      </candidateList>
      <explain>文本全半角错误。</explain>
      <paraID>2DB06FDF</paraID>
      <start>18</start>
      <end>19</end>
      <status>modified</status>
      <modifiedWord>－</modifiedWord>
      <trackRevisions>false</trackRevisions>
    </reviewItem>
    <reviewItem>
      <errorID>a8545af6-124f-4ef0-abb9-82cad699051c</errorID>
      <errorWord>-</errorWord>
      <group>L1_Format</group>
      <groupName>格式问题</groupName>
      <ability>L2_HalfPunc</ability>
      <abilityName>全半角检查</abilityName>
      <candidateList>
        <item>－</item>
      </candidateList>
      <explain>文本全半角错误。</explain>
      <paraID>2DB06FDF</paraID>
      <start>21</start>
      <end>22</end>
      <status>modified</status>
      <modifiedWord>－</modifiedWord>
      <trackRevisions>false</trackRevisions>
    </reviewItem>
    <reviewItem>
      <errorID>d2e03fa7-c816-4682-a4f8-1b05d0f9dc65</errorID>
      <errorWord>-</errorWord>
      <group>L1_Format</group>
      <groupName>格式问题</groupName>
      <ability>L2_HalfPunc</ability>
      <abilityName>全半角检查</abilityName>
      <candidateList>
        <item>－</item>
      </candidateList>
      <explain>文本全半角错误。</explain>
      <paraID>2DB06FDF</paraID>
      <start>24</start>
      <end>25</end>
      <status>modified</status>
      <modifiedWord>－</modifiedWord>
      <trackRevisions>false</trackRevisions>
    </reviewItem>
    <reviewItem>
      <errorID>a9cd3179-e5a5-4341-821c-a11d0028c4f7</errorID>
      <errorWord>(</errorWord>
      <group>L1_Format</group>
      <groupName>格式问题</groupName>
      <ability>L2_HalfPunc</ability>
      <abilityName>全半角检查</abilityName>
      <candidateList>
        <item>（</item>
      </candidateList>
      <explain>文本全半角错误。</explain>
      <paraID>2DB06FDF</paraID>
      <start>38</start>
      <end>39</end>
      <status>modified</status>
      <modifiedWord>（</modifiedWord>
      <trackRevisions>false</trackRevisions>
    </reviewItem>
    <reviewItem>
      <errorID>9c13f3bd-5c86-413e-b4c4-e352aaa594eb</errorID>
      <errorWord>)</errorWord>
      <group>L1_Format</group>
      <groupName>格式问题</groupName>
      <ability>L2_HalfPunc</ability>
      <abilityName>全半角检查</abilityName>
      <candidateList>
        <item>）</item>
      </candidateList>
      <explain>文本全半角错误。</explain>
      <paraID>2DB06FDF</paraID>
      <start>42</start>
      <end>43</end>
      <status>modified</status>
      <modifiedWord>）</modifiedWord>
      <trackRevisions>false</trackRevisions>
    </reviewItem>
    <reviewItem>
      <errorID>4b1536d6-771a-41b3-9317-b3dc79f988a4</errorID>
      <errorWord>材</errorWord>
      <group>L1_Word</group>
      <groupName>字词问题</groupName>
      <ability>L2_Typo</ability>
      <abilityName>字词错误</abilityName>
      <candidateList>
        <item>材有</item>
      </candidateList>
      <explain/>
      <paraID>14661D13</paraID>
      <start>35</start>
      <end>37</end>
      <status>modified</status>
      <modifiedWord>材有</modifiedWord>
      <trackRevisions>false</trackRevisions>
    </reviewItem>
    <reviewItem>
      <errorID>705079d6-509a-4c8d-bf64-53734db7f435</errorID>
      <errorWord>)</errorWord>
      <group>L1_Format</group>
      <groupName>格式问题</groupName>
      <ability>L2_HalfPunc</ability>
      <abilityName>全半角检查</abilityName>
      <candidateList>
        <item>）</item>
      </candidateList>
      <explain>文本全半角错误。</explain>
      <paraID>19B0B37D</paraID>
      <start>10</start>
      <end>11</end>
      <status>modified</status>
      <modifiedWord>）</modifiedWord>
      <trackRevisions>false</trackRevisions>
    </reviewItem>
    <reviewItem>
      <errorID>5588a9f5-54b1-475c-8ca2-e2ea02508c64</errorID>
      <errorWord>查新</errorWord>
      <group>L1_Word</group>
      <groupName>字词问题</groupName>
      <ability>L2_Typo</ability>
      <abilityName>字词错误</abilityName>
      <candidateList>
        <item>查询</item>
      </candidateList>
      <explain>〈动〉查问▲。</explain>
      <paraID>1780CD70</paraID>
      <start>2</start>
      <end>4</end>
      <status>modified</status>
      <modifiedWord>查询</modifiedWord>
      <trackRevisions>false</trackRevisions>
    </reviewItem>
    <reviewItem>
      <errorID>463537d9-aea7-4e34-99cd-f6659f10758a</errorID>
      <errorWord>(</errorWord>
      <group>L1_Format</group>
      <groupName>格式问题</groupName>
      <ability>L2_HalfPunc</ability>
      <abilityName>全半角检查</abilityName>
      <candidateList>
        <item>（</item>
      </candidateList>
      <explain>文本全半角错误。</explain>
      <paraID>5B34F9B0</paraID>
      <start>36</start>
      <end>37</end>
      <status>modified</status>
      <modifiedWord>（</modifiedWord>
      <trackRevisions>false</trackRevisions>
    </reviewItem>
    <reviewItem>
      <errorID>e9813538-f0d2-4897-830a-498a8b80f7a8</errorID>
      <errorWord>)</errorWord>
      <group>L1_Format</group>
      <groupName>格式问题</groupName>
      <ability>L2_HalfPunc</ability>
      <abilityName>全半角检查</abilityName>
      <candidateList>
        <item>）</item>
      </candidateList>
      <explain>文本全半角错误。</explain>
      <paraID>5B34F9B0</paraID>
      <start>40</start>
      <end>41</end>
      <status>modified</status>
      <modifiedWord>）</modifiedWord>
      <trackRevisions>false</trackRevisions>
    </reviewItem>
    <reviewItem>
      <errorID>7d63a630-1008-4104-8416-4c9ce164bc68</errorID>
      <errorWord>)</errorWord>
      <group>L1_Format</group>
      <groupName>格式问题</groupName>
      <ability>L2_HalfPunc</ability>
      <abilityName>全半角检查</abilityName>
      <candidateList>
        <item>）</item>
      </candidateList>
      <explain>文本全半角错误。</explain>
      <paraID>67F2CA95</paraID>
      <start>10</start>
      <end>11</end>
      <status>modified</status>
      <modifiedWord>）</modifiedWord>
      <trackRevisions>false</trackRevisions>
    </reviewItem>
    <reviewItem>
      <errorID>211c69df-2ecd-4ccc-b442-1c9c19c7bacb</errorID>
      <errorWord>)</errorWord>
      <group>L1_Format</group>
      <groupName>格式问题</groupName>
      <ability>L2_HalfPunc</ability>
      <abilityName>全半角检查</abilityName>
      <candidateList>
        <item>）</item>
      </candidateList>
      <explain>文本全半角错误。</explain>
      <paraID>6EE0911E</paraID>
      <start>12</start>
      <end>13</end>
      <status>modified</status>
      <modifiedWord>）</modifiedWord>
      <trackRevisions>false</trackRevisions>
    </reviewItem>
    <reviewItem>
      <errorID>83a39afd-cd34-4534-b636-efbfb11f5c12</errorID>
      <errorWord>)</errorWord>
      <group>L1_Format</group>
      <groupName>格式问题</groupName>
      <ability>L2_HalfPunc</ability>
      <abilityName>全半角检查</abilityName>
      <candidateList>
        <item>）</item>
      </candidateList>
      <explain>文本全半角错误。</explain>
      <paraID>47563EA4</paraID>
      <start>11</start>
      <end>12</end>
      <status>modified</status>
      <modifiedWord>）</modifiedWord>
      <trackRevisions>false</trackRevisions>
    </reviewItem>
    <reviewItem>
      <errorID>fed4bd24-46ed-4330-854a-7c585dfa8f9c</errorID>
      <errorWord>(</errorWord>
      <group>L1_Format</group>
      <groupName>格式问题</groupName>
      <ability>L2_HalfPunc</ability>
      <abilityName>全半角检查</abilityName>
      <candidateList>
        <item>（</item>
      </candidateList>
      <explain>文本全半角错误。</explain>
      <paraID>5D11A456</paraID>
      <start>38</start>
      <end>39</end>
      <status>modified</status>
      <modifiedWord>（</modifiedWord>
      <trackRevisions>false</trackRevisions>
    </reviewItem>
    <reviewItem>
      <errorID>c929b082-2f7c-44d6-bce6-6012899059f9</errorID>
      <errorWord>)</errorWord>
      <group>L1_Format</group>
      <groupName>格式问题</groupName>
      <ability>L2_HalfPunc</ability>
      <abilityName>全半角检查</abilityName>
      <candidateList>
        <item>）</item>
      </candidateList>
      <explain>文本全半角错误。</explain>
      <paraID>5D11A456</paraID>
      <start>42</start>
      <end>43</end>
      <status>modified</status>
      <modifiedWord>）</modifiedWord>
      <trackRevisions>false</trackRevisions>
    </reviewItem>
    <reviewItem>
      <errorID>af8f64cd-3c7f-4a15-abb0-55d59e694ced</errorID>
      <errorWord>(</errorWord>
      <group>L1_Format</group>
      <groupName>格式问题</groupName>
      <ability>L2_HalfPunc</ability>
      <abilityName>全半角检查</abilityName>
      <candidateList>
        <item>（</item>
      </candidateList>
      <explain>文本全半角错误。</explain>
      <paraID>676B98C2</paraID>
      <start>30</start>
      <end>31</end>
      <status>modified</status>
      <modifiedWord>（</modifiedWord>
      <trackRevisions>false</trackRevisions>
    </reviewItem>
    <reviewItem>
      <errorID>dc5484c6-ef72-429b-909f-fd668ce2cd30</errorID>
      <errorWord>)</errorWord>
      <group>L1_Format</group>
      <groupName>格式问题</groupName>
      <ability>L2_HalfPunc</ability>
      <abilityName>全半角检查</abilityName>
      <candidateList>
        <item>）</item>
      </candidateList>
      <explain>文本全半角错误。</explain>
      <paraID>676B98C2</paraID>
      <start>34</start>
      <end>35</end>
      <status>modified</status>
      <modifiedWord>）</modifiedWord>
      <trackRevisions>false</trackRevisions>
    </reviewItem>
    <reviewItem>
      <errorID>25ddddee-e156-4cc9-99f2-08cc467175f4</errorID>
      <errorWord>(</errorWord>
      <group>L1_Format</group>
      <groupName>格式问题</groupName>
      <ability>L2_HalfPunc</ability>
      <abilityName>全半角检查</abilityName>
      <candidateList>
        <item>（</item>
      </candidateList>
      <explain>文本全半角错误。</explain>
      <paraID>511D69D1</paraID>
      <start>24</start>
      <end>25</end>
      <status>modified</status>
      <modifiedWord>（</modifiedWord>
      <trackRevisions>false</trackRevisions>
    </reviewItem>
    <reviewItem>
      <errorID>f4ca0405-44ce-48e3-b8a3-583f672d018e</errorID>
      <errorWord>)</errorWord>
      <group>L1_Format</group>
      <groupName>格式问题</groupName>
      <ability>L2_HalfPunc</ability>
      <abilityName>全半角检查</abilityName>
      <candidateList>
        <item>）</item>
      </candidateList>
      <explain>文本全半角错误。</explain>
      <paraID>511D69D1</paraID>
      <start>28</start>
      <end>29</end>
      <status>modified</status>
      <modifiedWord>）</modifiedWord>
      <trackRevisions>false</trackRevisions>
    </reviewItem>
    <reviewItem>
      <errorID>9c6639e8-60db-4600-a030-2e41373c89f4</errorID>
      <errorWord>(</errorWord>
      <group>L1_Format</group>
      <groupName>格式问题</groupName>
      <ability>L2_HalfPunc</ability>
      <abilityName>全半角检查</abilityName>
      <candidateList>
        <item>（</item>
      </candidateList>
      <explain>文本全半角错误。</explain>
      <paraID>224C2418</paraID>
      <start>10</start>
      <end>11</end>
      <status>modified</status>
      <modifiedWord>（</modifiedWord>
      <trackRevisions>false</trackRevisions>
    </reviewItem>
    <reviewItem>
      <errorID>05c89639-0921-4276-9cea-119c948aba02</errorID>
      <errorWord>)</errorWord>
      <group>L1_Format</group>
      <groupName>格式问题</groupName>
      <ability>L2_HalfPunc</ability>
      <abilityName>全半角检查</abilityName>
      <candidateList>
        <item>）</item>
      </candidateList>
      <explain>文本全半角错误。</explain>
      <paraID>224C2418</paraID>
      <start>16</start>
      <end>17</end>
      <status>modified</status>
      <modifiedWord>）</modifiedWord>
      <trackRevisions>false</trackRevisions>
    </reviewItem>
    <reviewItem>
      <errorID>5fc4bcf1-e94d-4d87-8949-29f300fc52c2</errorID>
      <errorWord>-</errorWord>
      <group>L1_Format</group>
      <groupName>格式问题</groupName>
      <ability>L2_HalfPunc</ability>
      <abilityName>全半角检查</abilityName>
      <candidateList>
        <item>－</item>
      </candidateList>
      <explain>文本全半角错误。</explain>
      <paraID>64A92B2F</paraID>
      <start>13</start>
      <end>14</end>
      <status>modified</status>
      <modifiedWord>－</modifiedWord>
      <trackRevisions>false</trackRevisions>
    </reviewItem>
    <reviewItem>
      <errorID>679c97d3-e816-4948-a92b-999a940ee2b4</errorID>
      <errorWord>-</errorWord>
      <group>L1_Format</group>
      <groupName>格式问题</groupName>
      <ability>L2_HalfPunc</ability>
      <abilityName>全半角检查</abilityName>
      <candidateList>
        <item>－</item>
      </candidateList>
      <explain>文本全半角错误。</explain>
      <paraID>64A92B2F</paraID>
      <start>16</start>
      <end>17</end>
      <status>modified</status>
      <modifiedWord>－</modifiedWord>
      <trackRevisions>false</trackRevisions>
    </reviewItem>
    <reviewItem>
      <errorID>1c4c500a-fa45-4615-b0e4-4c463a3a6e3b</errorID>
      <errorWord>获</errorWord>
      <group>L1_Word</group>
      <groupName>字词问题</groupName>
      <ability>L2_Typo</ability>
      <abilityName>字词错误</abilityName>
      <candidateList>
        <item>获得</item>
      </candidateList>
      <explain>〈动〉取得；得到（多用于抽象事物）：～好评｜～宝贵的经验｜～显著的成绩。</explain>
      <paraID>7D13D6E0</paraID>
      <start>41</start>
      <end>43</end>
      <status>modified</status>
      <modifiedWord>获得</modifiedWord>
      <trackRevisions>false</trackRevisions>
    </reviewItem>
    <reviewItem>
      <errorID>2d0b1457-651f-4472-8e20-ad31d87410c1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131B50A</paraID>
      <start>12</start>
      <end>14</end>
      <status>modified</status>
      <modifiedWord>”“</modifiedWord>
      <trackRevisions>false</trackRevisions>
    </reviewItem>
    <reviewItem>
      <errorID>fc6233dc-7b38-479f-958e-c1b6fe0f16a6</errorID>
      <errorWord>(</errorWord>
      <group>L1_Format</group>
      <groupName>格式问题</groupName>
      <ability>L2_HalfPunc</ability>
      <abilityName>全半角检查</abilityName>
      <candidateList>
        <item>（</item>
      </candidateList>
      <explain>文本全半角错误。</explain>
      <paraID>3CA67D05</paraID>
      <start>4</start>
      <end>5</end>
      <status>modified</status>
      <modifiedWord>（</modifiedWord>
      <trackRevisions>false</trackRevisions>
    </reviewItem>
    <reviewItem>
      <errorID>678a6223-f774-4f2b-bcf4-843247f3842b</errorID>
      <errorWord>)</errorWord>
      <group>L1_Format</group>
      <groupName>格式问题</groupName>
      <ability>L2_HalfPunc</ability>
      <abilityName>全半角检查</abilityName>
      <candidateList>
        <item>）</item>
      </candidateList>
      <explain>文本全半角错误。</explain>
      <paraID>3CA67D05</paraID>
      <start>10</start>
      <end>11</end>
      <status>modified</status>
      <modifiedWord>）</modifiedWord>
      <trackRevisions>false</trackRevisions>
    </reviewItem>
    <reviewItem>
      <errorID>8df114e4-5dc5-45f5-9646-552656922077</errorID>
      <errorWord>(</errorWord>
      <group>L1_Format</group>
      <groupName>格式问题</groupName>
      <ability>L2_HalfPunc</ability>
      <abilityName>全半角检查</abilityName>
      <candidateList>
        <item>（</item>
      </candidateList>
      <explain>文本全半角错误。</explain>
      <paraID>63273799</paraID>
      <start>6</start>
      <end>7</end>
      <status>modified</status>
      <modifiedWord>（</modifiedWord>
      <trackRevisions>false</trackRevisions>
    </reviewItem>
    <reviewItem>
      <errorID>cba6863b-aab2-4c31-8ee8-d05d1c386f46</errorID>
      <errorWord>)</errorWord>
      <group>L1_Format</group>
      <groupName>格式问题</groupName>
      <ability>L2_HalfPunc</ability>
      <abilityName>全半角检查</abilityName>
      <candidateList>
        <item>）</item>
      </candidateList>
      <explain>文本全半角错误。</explain>
      <paraID>63273799</paraID>
      <start>16</start>
      <end>17</end>
      <status>modified</status>
      <modifiedWord>）</modifiedWord>
      <trackRevisions>false</trackRevisions>
    </reviewItem>
    <reviewItem>
      <errorID>4362ae85-74bf-4026-8422-bbefbb04b050</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209EB27A</paraID>
      <start>0</start>
      <end>2</end>
      <status>modified</status>
      <modifiedWord>a）</modifiedWord>
      <trackRevisions>false</trackRevisions>
    </reviewItem>
    <reviewItem>
      <errorID>b6eea256-d8d5-4210-8894-54eb416b5657</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331B828</paraID>
      <start>0</start>
      <end>2</end>
      <status>modified</status>
      <modifiedWord>b）</modifiedWord>
      <trackRevisions>false</trackRevisions>
    </reviewItem>
    <reviewItem>
      <errorID>bddab4c2-dde5-467b-9699-9ac1ff98a264</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25729519</paraID>
      <start>0</start>
      <end>2</end>
      <status>modified</status>
      <modifiedWord>c）</modifiedWord>
      <trackRevisions>false</trackRevisions>
    </reviewItem>
    <reviewItem>
      <errorID>e2547fbe-9cd4-4651-a770-c46c9a858c56</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54D80DB7</paraID>
      <start>0</start>
      <end>2</end>
      <status>modified</status>
      <modifiedWord>a）</modifiedWord>
      <trackRevisions>false</trackRevisions>
    </reviewItem>
    <reviewItem>
      <errorID>d18c4f35-f83e-4225-bb2a-2312909b19fa</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7F92FBDF</paraID>
      <start>0</start>
      <end>2</end>
      <status>modified</status>
      <modifiedWord>b）</modifiedWord>
      <trackRevisions>false</trackRevisions>
    </reviewItem>
    <reviewItem>
      <errorID>38bf249b-125a-42ea-b896-ce20db3ea593</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44D58469</paraID>
      <start>0</start>
      <end>2</end>
      <status>modified</status>
      <modifiedWord>c）</modifiedWord>
      <trackRevisions>false</trackRevisions>
    </reviewItem>
    <reviewItem>
      <errorID>0da17243-3d3a-40db-9b7b-4a9fa92d7845</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4E458749</paraID>
      <start>0</start>
      <end>2</end>
      <status>modified</status>
      <modifiedWord>d）</modifiedWord>
      <trackRevisions>false</trackRevisions>
    </reviewItem>
    <reviewItem>
      <errorID>e7dce44c-f306-4e2b-ab70-10020380248b</errorID>
      <errorWord>（</errorWord>
      <group>L1_Punc</group>
      <groupName>标点问题</groupName>
      <ability>L2_Punc</ability>
      <abilityName>标点符号检查</abilityName>
      <candidateList/>
      <explain/>
      <paraID>1722FB8F</paraID>
      <start>10</start>
      <end>11</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d6b411-e609-48c8-8f48-4b4a80dd036c}">
  <ds:schemaRefs/>
</ds:datastoreItem>
</file>

<file path=docProps/app.xml><?xml version="1.0" encoding="utf-8"?>
<Properties xmlns="http://schemas.openxmlformats.org/officeDocument/2006/extended-properties" xmlns:vt="http://schemas.openxmlformats.org/officeDocument/2006/docPropsVTypes">
  <Template>Normal.dotm</Template>
  <Pages>41</Pages>
  <Words>8402</Words>
  <Characters>9504</Characters>
  <Lines>218</Lines>
  <Paragraphs>61</Paragraphs>
  <TotalTime>36</TotalTime>
  <ScaleCrop>false</ScaleCrop>
  <LinksUpToDate>false</LinksUpToDate>
  <CharactersWithSpaces>9909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2025-11-22T23:58:00Z</dcterms:created>
  <dc:creator>文荣</dc:creator>
  <cp:lastModifiedBy>Administrator</cp:lastModifiedBy>
  <dcterms:modified xsi:type="dcterms:W3CDTF">2026-01-28T03:10:31Z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DDA7589455934447B07879E70EDF4B86_13</vt:lpwstr>
  </property>
  <property fmtid="{D5CDD505-2E9C-101B-9397-08002B2CF9AE}" pid="4" name="KSOTemplateDocerSaveRecord">
    <vt:lpwstr>eyJoZGlkIjoiOTc3M2Y5NzIzMDFlZjAyY2Q4Njk5ODkyYjFjNzBiNTQiLCJ1c2VySWQiOiIxMjE3MjM3MzY3In0=</vt:lpwstr>
  </property>
</Properties>
</file>