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21.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21.020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J 1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J 10</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03"/>
            </w:textInput>
          </w:ffData>
        </w:fldChar>
      </w:r>
      <w:bookmarkStart w:id="6" w:name="NSTD_CODE_F"/>
      <w:r>
        <w:instrText xml:space="preserve"> FORMTEXT </w:instrText>
      </w:r>
      <w:r>
        <w:fldChar w:fldCharType="separate"/>
      </w:r>
      <w:r>
        <w:t>0203</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特种设备检验检测数据管理规范"/>
            </w:textInput>
          </w:ffData>
        </w:fldChar>
      </w:r>
      <w:bookmarkStart w:id="9" w:name="CSTD_NAME"/>
      <w:r>
        <w:instrText xml:space="preserve"> FORMTEXT </w:instrText>
      </w:r>
      <w:r>
        <w:fldChar w:fldCharType="separate"/>
      </w:r>
      <w:r>
        <w:t>特种设备检验检测数据管理规范</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inspection and testing data management of special equipment"/>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inspection and testing data management of special equipment</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B0E8703">
      <w:pPr>
        <w:pStyle w:val="91"/>
        <w:spacing w:after="360"/>
      </w:pPr>
      <w:bookmarkStart w:id="21" w:name="BookMark1"/>
      <w:r>
        <w:rPr>
          <w:rFonts w:hint="eastAsia"/>
          <w:spacing w:val="320"/>
        </w:rPr>
        <w:t>目</w:t>
      </w:r>
      <w:r>
        <w:rPr>
          <w:rFonts w:hint="eastAsia"/>
        </w:rPr>
        <w:t>次</w:t>
      </w:r>
    </w:p>
    <w:p w14:paraId="60F112B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"_Toc220230179"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_Toc220230179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B68D85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"_Toc220230180"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_Toc220230180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04163B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"_Toc220230181"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_Toc220230181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79B4DF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"_Toc220230182"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_Toc220230182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C0A67C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"_Toc220230183"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_Toc220230183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63B0FF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"_Toc220230184"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_Toc220230184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2E10B4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"_Toc220230185" </w:instrText>
      </w:r>
      <w:r>
        <w:fldChar w:fldCharType="separate"/>
      </w:r>
      <w:r>
        <w:rPr>
          <w:rStyle w:val="32"/>
          <w:rFonts w:hint="eastAsia"/>
        </w:rPr>
        <w:t>5</w:t>
      </w:r>
      <w:r>
        <w:rPr>
          <w:rStyle w:val="32"/>
        </w:rPr>
        <w:t xml:space="preserve"> </w:t>
      </w:r>
      <w:r>
        <w:rPr>
          <w:rStyle w:val="32"/>
          <w:rFonts w:hint="eastAsia"/>
        </w:rPr>
        <w:t xml:space="preserve"> 数据标准化与编码规则</w:t>
      </w:r>
      <w:r>
        <w:rPr>
          <w:rFonts w:hint="eastAsia"/>
        </w:rPr>
        <w:tab/>
      </w:r>
      <w:r>
        <w:rPr>
          <w:rFonts w:hint="eastAsia"/>
        </w:rPr>
        <w:fldChar w:fldCharType="begin"/>
      </w:r>
      <w:r>
        <w:rPr>
          <w:rFonts w:hint="eastAsia"/>
        </w:rPr>
        <w:instrText xml:space="preserve"> </w:instrText>
      </w:r>
      <w:r>
        <w:instrText xml:space="preserve">PAGEREF _Toc220230185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E7B006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"_Toc220230186" </w:instrText>
      </w:r>
      <w:r>
        <w:fldChar w:fldCharType="separate"/>
      </w:r>
      <w:r>
        <w:rPr>
          <w:rStyle w:val="32"/>
          <w:rFonts w:hint="eastAsia"/>
        </w:rPr>
        <w:t>6</w:t>
      </w:r>
      <w:r>
        <w:rPr>
          <w:rStyle w:val="32"/>
        </w:rPr>
        <w:t xml:space="preserve"> </w:t>
      </w:r>
      <w:r>
        <w:rPr>
          <w:rStyle w:val="32"/>
          <w:rFonts w:hint="eastAsia"/>
        </w:rPr>
        <w:t xml:space="preserve"> 数据采集与质量控制</w:t>
      </w:r>
      <w:r>
        <w:rPr>
          <w:rFonts w:hint="eastAsia"/>
        </w:rPr>
        <w:tab/>
      </w:r>
      <w:r>
        <w:rPr>
          <w:rFonts w:hint="eastAsia"/>
        </w:rPr>
        <w:fldChar w:fldCharType="begin"/>
      </w:r>
      <w:r>
        <w:rPr>
          <w:rFonts w:hint="eastAsia"/>
        </w:rPr>
        <w:instrText xml:space="preserve"> </w:instrText>
      </w:r>
      <w:r>
        <w:instrText xml:space="preserve">PAGEREF _Toc220230186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FCC610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"_Toc220230187" </w:instrText>
      </w:r>
      <w:r>
        <w:fldChar w:fldCharType="separate"/>
      </w:r>
      <w:r>
        <w:rPr>
          <w:rStyle w:val="32"/>
          <w:rFonts w:hint="eastAsia"/>
        </w:rPr>
        <w:t>7</w:t>
      </w:r>
      <w:r>
        <w:rPr>
          <w:rStyle w:val="32"/>
        </w:rPr>
        <w:t xml:space="preserve"> </w:t>
      </w:r>
      <w:r>
        <w:rPr>
          <w:rStyle w:val="32"/>
          <w:rFonts w:hint="eastAsia"/>
        </w:rPr>
        <w:t xml:space="preserve"> 数据存储与恢复</w:t>
      </w:r>
      <w:r>
        <w:rPr>
          <w:rFonts w:hint="eastAsia"/>
        </w:rPr>
        <w:tab/>
      </w:r>
      <w:r>
        <w:rPr>
          <w:rFonts w:hint="eastAsia"/>
        </w:rPr>
        <w:fldChar w:fldCharType="begin"/>
      </w:r>
      <w:r>
        <w:rPr>
          <w:rFonts w:hint="eastAsia"/>
        </w:rPr>
        <w:instrText xml:space="preserve"> </w:instrText>
      </w:r>
      <w:r>
        <w:instrText xml:space="preserve">PAGEREF _Toc220230187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EB3AEB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"_Toc220230188" </w:instrText>
      </w:r>
      <w:r>
        <w:fldChar w:fldCharType="separate"/>
      </w:r>
      <w:r>
        <w:rPr>
          <w:rStyle w:val="32"/>
          <w:rFonts w:hint="eastAsia"/>
        </w:rPr>
        <w:t>8</w:t>
      </w:r>
      <w:r>
        <w:rPr>
          <w:rStyle w:val="32"/>
        </w:rPr>
        <w:t xml:space="preserve"> </w:t>
      </w:r>
      <w:r>
        <w:rPr>
          <w:rStyle w:val="32"/>
          <w:rFonts w:hint="eastAsia"/>
        </w:rPr>
        <w:t xml:space="preserve"> 数据共享交换与接口管理</w:t>
      </w:r>
      <w:r>
        <w:rPr>
          <w:rFonts w:hint="eastAsia"/>
        </w:rPr>
        <w:tab/>
      </w:r>
      <w:r>
        <w:rPr>
          <w:rFonts w:hint="eastAsia"/>
        </w:rPr>
        <w:fldChar w:fldCharType="begin"/>
      </w:r>
      <w:r>
        <w:rPr>
          <w:rFonts w:hint="eastAsia"/>
        </w:rPr>
        <w:instrText xml:space="preserve"> </w:instrText>
      </w:r>
      <w:r>
        <w:instrText xml:space="preserve">PAGEREF _Toc220230188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4E43C7B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"_Toc220230189" </w:instrText>
      </w:r>
      <w:r>
        <w:fldChar w:fldCharType="separate"/>
      </w:r>
      <w:r>
        <w:rPr>
          <w:rStyle w:val="32"/>
          <w:rFonts w:hint="eastAsia"/>
        </w:rPr>
        <w:t>9</w:t>
      </w:r>
      <w:r>
        <w:rPr>
          <w:rStyle w:val="32"/>
        </w:rPr>
        <w:t xml:space="preserve"> </w:t>
      </w:r>
      <w:r>
        <w:rPr>
          <w:rStyle w:val="32"/>
          <w:rFonts w:hint="eastAsia"/>
        </w:rPr>
        <w:t xml:space="preserve"> 数据安全与权限控制</w:t>
      </w:r>
      <w:r>
        <w:rPr>
          <w:rFonts w:hint="eastAsia"/>
        </w:rPr>
        <w:tab/>
      </w:r>
      <w:r>
        <w:rPr>
          <w:rFonts w:hint="eastAsia"/>
        </w:rPr>
        <w:fldChar w:fldCharType="begin"/>
      </w:r>
      <w:r>
        <w:rPr>
          <w:rFonts w:hint="eastAsia"/>
        </w:rPr>
        <w:instrText xml:space="preserve"> </w:instrText>
      </w:r>
      <w:r>
        <w:instrText xml:space="preserve">PAGEREF _Toc220230189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19520B9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"_Toc220230190" </w:instrText>
      </w:r>
      <w:r>
        <w:fldChar w:fldCharType="separate"/>
      </w:r>
      <w:r>
        <w:rPr>
          <w:rStyle w:val="32"/>
          <w:rFonts w:hint="eastAsia"/>
        </w:rPr>
        <w:t>10</w:t>
      </w:r>
      <w:r>
        <w:rPr>
          <w:rStyle w:val="32"/>
        </w:rPr>
        <w:t xml:space="preserve"> </w:t>
      </w:r>
      <w:r>
        <w:rPr>
          <w:rStyle w:val="32"/>
          <w:rFonts w:hint="eastAsia"/>
        </w:rPr>
        <w:t xml:space="preserve"> 日志审计与证据链固化</w:t>
      </w:r>
      <w:r>
        <w:rPr>
          <w:rFonts w:hint="eastAsia"/>
        </w:rPr>
        <w:tab/>
      </w:r>
      <w:r>
        <w:rPr>
          <w:rFonts w:hint="eastAsia"/>
        </w:rPr>
        <w:fldChar w:fldCharType="begin"/>
      </w:r>
      <w:r>
        <w:rPr>
          <w:rFonts w:hint="eastAsia"/>
        </w:rPr>
        <w:instrText xml:space="preserve"> </w:instrText>
      </w:r>
      <w:r>
        <w:instrText xml:space="preserve">PAGEREF _Toc220230190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B93F56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"_Toc220230191" </w:instrText>
      </w:r>
      <w:r>
        <w:fldChar w:fldCharType="separate"/>
      </w:r>
      <w:r>
        <w:rPr>
          <w:rStyle w:val="32"/>
          <w:rFonts w:hint="eastAsia"/>
        </w:rPr>
        <w:t>11</w:t>
      </w:r>
      <w:r>
        <w:rPr>
          <w:rStyle w:val="32"/>
        </w:rPr>
        <w:t xml:space="preserve"> </w:t>
      </w:r>
      <w:r>
        <w:rPr>
          <w:rStyle w:val="32"/>
          <w:rFonts w:hint="eastAsia"/>
        </w:rPr>
        <w:t xml:space="preserve"> 数据归档与销毁</w:t>
      </w:r>
      <w:r>
        <w:rPr>
          <w:rFonts w:hint="eastAsia"/>
        </w:rPr>
        <w:tab/>
      </w:r>
      <w:r>
        <w:rPr>
          <w:rFonts w:hint="eastAsia"/>
        </w:rPr>
        <w:fldChar w:fldCharType="begin"/>
      </w:r>
      <w:r>
        <w:rPr>
          <w:rFonts w:hint="eastAsia"/>
        </w:rPr>
        <w:instrText xml:space="preserve"> </w:instrText>
      </w:r>
      <w:r>
        <w:instrText xml:space="preserve">PAGEREF _Toc220230191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763A3DD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"_Toc220230192" </w:instrText>
      </w:r>
      <w:r>
        <w:fldChar w:fldCharType="separate"/>
      </w:r>
      <w:r>
        <w:rPr>
          <w:rStyle w:val="32"/>
          <w:rFonts w:hint="eastAsia"/>
        </w:rPr>
        <w:t>12</w:t>
      </w:r>
      <w:r>
        <w:rPr>
          <w:rStyle w:val="32"/>
        </w:rPr>
        <w:t xml:space="preserve"> </w:t>
      </w:r>
      <w:r>
        <w:rPr>
          <w:rStyle w:val="32"/>
          <w:rFonts w:hint="eastAsia"/>
        </w:rPr>
        <w:t xml:space="preserve"> 数据质量评价与持续改进</w:t>
      </w:r>
      <w:r>
        <w:rPr>
          <w:rFonts w:hint="eastAsia"/>
        </w:rPr>
        <w:tab/>
      </w:r>
      <w:r>
        <w:rPr>
          <w:rFonts w:hint="eastAsia"/>
        </w:rPr>
        <w:fldChar w:fldCharType="begin"/>
      </w:r>
      <w:r>
        <w:rPr>
          <w:rFonts w:hint="eastAsia"/>
        </w:rPr>
        <w:instrText xml:space="preserve"> </w:instrText>
      </w:r>
      <w:r>
        <w:instrText xml:space="preserve">PAGEREF _Toc220230192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266DC726">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0230179"/>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223909DE">
      <w:pPr>
        <w:pStyle w:val="56"/>
        <w:spacing w:line="360" w:lineRule="auto"/>
        <w:ind w:firstLine="420"/>
      </w:pPr>
      <w:r>
        <w:rPr>
          <w:rFonts w:hint="eastAsia"/>
        </w:rPr>
        <w:t>本文件起草单位：淄博市特种设备检验研究院</w:t>
      </w:r>
      <w:bookmarkStart w:id="61" w:name="_GoBack"/>
      <w:bookmarkEnd w:id="61"/>
      <w:r>
        <w:rPr>
          <w:rFonts w:hint="eastAsia"/>
        </w:rPr>
        <w:t>。</w:t>
      </w:r>
    </w:p>
    <w:p w14:paraId="55F4A5D1">
      <w:pPr>
        <w:pStyle w:val="56"/>
        <w:spacing w:line="360" w:lineRule="auto"/>
        <w:ind w:firstLine="420"/>
      </w:pPr>
      <w:r>
        <w:rPr>
          <w:rFonts w:hint="eastAsia"/>
        </w:rPr>
        <w:t>本文件主要起草人：宫艳斌。</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0230180"/>
      <w:bookmarkStart w:id="25" w:name="BookMark3"/>
      <w:r>
        <w:rPr>
          <w:spacing w:val="320"/>
        </w:rPr>
        <w:t>引</w:t>
      </w:r>
      <w:r>
        <w:t>言</w:t>
      </w:r>
      <w:bookmarkEnd w:id="24"/>
    </w:p>
    <w:p w14:paraId="4199312E">
      <w:pPr>
        <w:pStyle w:val="56"/>
        <w:spacing w:line="360" w:lineRule="auto"/>
        <w:ind w:firstLine="420"/>
      </w:pPr>
      <w:r>
        <w:rPr>
          <w:rFonts w:hint="eastAsia"/>
        </w:rPr>
        <w:t>特种设备（如锅炉、压力容器、压力管道、电梯、起重机械、客运索道、大型游乐设施等）具有高风险、高后果的安全属性，其检验检测活动贯穿设备设计制造、安装改造修理、使用运行、维护保养直至报废的全生命周期。检验检测数据作为判定设备安全状况、支撑风险评估、形成监察决策、落实主体责任与追溯问责的关键证据，其完整性、真实性、可追溯性与安全性直接关系到公共安全与产业高质量发展。</w:t>
      </w:r>
    </w:p>
    <w:p w14:paraId="0A80402E">
      <w:pPr>
        <w:pStyle w:val="56"/>
        <w:spacing w:line="360" w:lineRule="auto"/>
        <w:ind w:firstLine="420"/>
      </w:pPr>
      <w:r>
        <w:rPr>
          <w:rFonts w:hint="eastAsia"/>
        </w:rPr>
        <w:t>随着检验检测业务数字化、远程化与智能化水平不断提升，特种设备检验检测数据的来源、结构与规模呈现显著变化：一方面，检验报告、原始记录、设备台账、校准与溯源记录等传统结构化数据持续增长；另一方面，无损检测图像/波形、视频影像、声学/振动信号、在线监测时序数据、物联网采集数据、移动端取证数据等非结构化与半结构化数据快速扩展。同时，检验机构业务系统、监管平台、企业设备管理系统、第三方监测平台等多主体协同与多系统并行使得数据流转链条变长、共享需求增加，数据治理复杂度显著提高。</w:t>
      </w:r>
    </w:p>
    <w:p w14:paraId="7F4A69FE">
      <w:pPr>
        <w:pStyle w:val="56"/>
        <w:spacing w:line="360" w:lineRule="auto"/>
        <w:ind w:firstLine="420"/>
      </w:pPr>
      <w:r>
        <w:rPr>
          <w:rFonts w:hint="eastAsia"/>
        </w:rPr>
        <w:t>在现阶段实践中，特种设备检验检测数据管理仍普遍存在以下问题：数据分类分级标准不统一、元数据与编码规则不完善；采集环节质量控制不足，导致数据缺失、口径不一致或不可复现；数据交换接口不规范，跨系统共享效率低且易产生“多版本”；数据存储介质与归档策略不一致，长期保存与可读性保障不足；数据安全与权限管理薄弱，存在泄露、篡改、越权访问等风险；对数据的审计追踪、证据链固化、备份恢复与灾备演练落实不充分。上述问题将削弱检验检测结论的可信度与监管治理的有效性，也制约检验检测机构数字化转型与服务能力提升。</w:t>
      </w:r>
    </w:p>
    <w:p w14:paraId="6D81A8F3">
      <w:pPr>
        <w:pStyle w:val="56"/>
        <w:spacing w:line="360" w:lineRule="auto"/>
        <w:ind w:firstLine="420"/>
      </w:pPr>
      <w:r>
        <w:rPr>
          <w:rFonts w:hint="eastAsia"/>
        </w:rPr>
        <w:t>为提升特种设备检验检测数据治理水平，规范数据全生命周期管理过程，确保数据“可采、可信、可管、可用、可审、可追”，本文件从数据管理总体框架出发，围绕数据分类分级、采集与校验、存储与备份、共享与交换、权限与安全防护、日志审计与追溯、归档与保存、质量评价与持续改进等方面提出统一要求，并强调与检验检测业务流程、人员岗位责任、信息系统控制措施的协同衔接。</w:t>
      </w:r>
    </w:p>
    <w:p w14:paraId="41C59179">
      <w:pPr>
        <w:pStyle w:val="56"/>
        <w:spacing w:line="360" w:lineRule="auto"/>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特种设备检验检测数据管理规范</w:t>
          </w:r>
        </w:p>
      </w:sdtContent>
    </w:sdt>
    <w:bookmarkEnd w:id="27"/>
    <w:p w14:paraId="3DB22445">
      <w:pPr>
        <w:pStyle w:val="104"/>
        <w:spacing w:before="240" w:after="240" w:line="360" w:lineRule="auto"/>
      </w:pPr>
      <w:bookmarkStart w:id="28" w:name="_Toc17233325"/>
      <w:bookmarkStart w:id="29" w:name="_Toc24884211"/>
      <w:bookmarkStart w:id="30" w:name="_Toc97192964"/>
      <w:bookmarkStart w:id="31" w:name="_Toc24884218"/>
      <w:bookmarkStart w:id="32" w:name="_Toc17233333"/>
      <w:bookmarkStart w:id="33" w:name="_Toc26718930"/>
      <w:bookmarkStart w:id="34" w:name="_Toc26986771"/>
      <w:bookmarkStart w:id="35" w:name="_Toc26648465"/>
      <w:bookmarkStart w:id="36" w:name="_Toc220230181"/>
      <w:bookmarkStart w:id="37" w:name="_Toc26986530"/>
      <w:r>
        <w:rPr>
          <w:rFonts w:hint="eastAsia"/>
        </w:rPr>
        <w:t>范围</w:t>
      </w:r>
      <w:bookmarkEnd w:id="28"/>
      <w:bookmarkEnd w:id="29"/>
      <w:bookmarkEnd w:id="30"/>
      <w:bookmarkEnd w:id="31"/>
      <w:bookmarkEnd w:id="32"/>
      <w:bookmarkEnd w:id="33"/>
      <w:bookmarkEnd w:id="34"/>
      <w:bookmarkEnd w:id="35"/>
      <w:bookmarkEnd w:id="36"/>
      <w:bookmarkEnd w:id="37"/>
    </w:p>
    <w:p w14:paraId="4285835E">
      <w:pPr>
        <w:pStyle w:val="56"/>
        <w:spacing w:line="360" w:lineRule="auto"/>
        <w:ind w:firstLine="420"/>
      </w:pPr>
      <w:bookmarkStart w:id="38" w:name="_Toc24884212"/>
      <w:bookmarkStart w:id="39" w:name="_Toc26648466"/>
      <w:bookmarkStart w:id="40" w:name="_Toc24884219"/>
      <w:bookmarkStart w:id="41" w:name="_Toc17233334"/>
      <w:bookmarkStart w:id="42" w:name="_Toc17233326"/>
      <w:r>
        <w:rPr>
          <w:rFonts w:hint="eastAsia"/>
        </w:rPr>
        <w:t>本文件规定了特种设备检验检测数据管理的总体要求、数据标准化与编码规则、数据采集与质量控制、数据存储与恢复、数据共享交换与接口管理、数据安全与权限控制、日志审计与证据链固化、数据归档与销毁、数据质量评价与持续改进等内容。</w:t>
      </w:r>
    </w:p>
    <w:p w14:paraId="76265264">
      <w:pPr>
        <w:pStyle w:val="56"/>
        <w:spacing w:line="360" w:lineRule="auto"/>
        <w:ind w:firstLine="420"/>
      </w:pPr>
      <w:r>
        <w:rPr>
          <w:rFonts w:hint="eastAsia"/>
        </w:rPr>
        <w:t>本文件适用于特种设备检验检测机构在开展法定检验、监督检验、定期检验、型式试验、委托检验、无损检测及相关技术服务过程中形成与使用的数据管理，也适用于使用单位、维保单位、监测平台运维单位等相关方在与检验检测数据交互、接收、保存与使用过程中的管理活动。</w:t>
      </w:r>
    </w:p>
    <w:p w14:paraId="3733B2AD">
      <w:pPr>
        <w:pStyle w:val="104"/>
        <w:spacing w:before="240" w:after="240" w:line="360" w:lineRule="auto"/>
      </w:pPr>
      <w:bookmarkStart w:id="43" w:name="_Toc26986531"/>
      <w:bookmarkStart w:id="44" w:name="_Toc26718931"/>
      <w:bookmarkStart w:id="45" w:name="_Toc26986772"/>
      <w:bookmarkStart w:id="46" w:name="_Toc97192965"/>
      <w:bookmarkStart w:id="47" w:name="_Toc22023018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5EB9F1">
      <w:pPr>
        <w:pStyle w:val="56"/>
        <w:spacing w:line="360" w:lineRule="auto"/>
        <w:ind w:firstLine="420"/>
      </w:pPr>
      <w:r>
        <w:rPr>
          <w:rFonts w:hint="eastAsia"/>
        </w:rPr>
        <w:t>GB/T 1.1—2</w:t>
      </w:r>
      <w:r>
        <w:t>020</w:t>
      </w:r>
      <w:r>
        <w:rPr>
          <w:rFonts w:hint="eastAsia"/>
        </w:rPr>
        <w:t xml:space="preserve"> 标准化工作导则 </w:t>
      </w:r>
      <w:r>
        <w:t xml:space="preserve"> </w:t>
      </w:r>
      <w:r>
        <w:rPr>
          <w:rFonts w:hint="eastAsia"/>
        </w:rPr>
        <w:t>第1部分：标准化文件的结构和起草规则</w:t>
      </w:r>
    </w:p>
    <w:p w14:paraId="0FA09F14">
      <w:pPr>
        <w:pStyle w:val="56"/>
        <w:spacing w:line="360" w:lineRule="auto"/>
        <w:ind w:firstLine="420"/>
      </w:pPr>
      <w:r>
        <w:rPr>
          <w:rFonts w:hint="eastAsia"/>
        </w:rPr>
        <w:t>GB/T 7408 数据元和交换格式  信息交换  日期和时间表示法</w:t>
      </w:r>
    </w:p>
    <w:p w14:paraId="60CD0537">
      <w:pPr>
        <w:pStyle w:val="56"/>
        <w:spacing w:line="360" w:lineRule="auto"/>
        <w:ind w:firstLine="420"/>
      </w:pPr>
      <w:r>
        <w:rPr>
          <w:rFonts w:hint="eastAsia"/>
        </w:rPr>
        <w:t>GB/T 19001 质量管理体系  要求</w:t>
      </w:r>
    </w:p>
    <w:p w14:paraId="63151421">
      <w:pPr>
        <w:pStyle w:val="56"/>
        <w:spacing w:line="360" w:lineRule="auto"/>
        <w:ind w:firstLine="420"/>
      </w:pPr>
      <w:r>
        <w:rPr>
          <w:rFonts w:hint="eastAsia"/>
        </w:rPr>
        <w:t>GB/T 20271 信息安全技术  信息系统通用安全技术要求</w:t>
      </w:r>
    </w:p>
    <w:p w14:paraId="51F02A4E">
      <w:pPr>
        <w:pStyle w:val="104"/>
        <w:spacing w:before="240" w:after="240" w:line="360" w:lineRule="auto"/>
      </w:pPr>
      <w:bookmarkStart w:id="48" w:name="_Toc97192966"/>
      <w:bookmarkStart w:id="49" w:name="_Toc220230183"/>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1F30A5A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检验检测数据 inspection and test data</w:t>
      </w:r>
    </w:p>
    <w:p w14:paraId="784D542C">
      <w:pPr>
        <w:pStyle w:val="56"/>
        <w:spacing w:line="360" w:lineRule="auto"/>
        <w:ind w:firstLine="420"/>
      </w:pPr>
      <w:r>
        <w:rPr>
          <w:rFonts w:hint="eastAsia"/>
        </w:rPr>
        <w:t>在特种设备检验检测活动中形成、采集、传输、处理、存储、交换、展示与归档的各类数据及其载体信息，包括结构化数据、半结构化数据与非结构化数据。</w:t>
      </w:r>
    </w:p>
    <w:p w14:paraId="129F820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原始记录数据 raw record data</w:t>
      </w:r>
    </w:p>
    <w:p w14:paraId="7D0DED03">
      <w:pPr>
        <w:pStyle w:val="56"/>
        <w:spacing w:line="360" w:lineRule="auto"/>
        <w:ind w:firstLine="420"/>
      </w:pPr>
      <w:r>
        <w:rPr>
          <w:rFonts w:hint="eastAsia"/>
        </w:rPr>
        <w:t>为支撑检验检测结论而在现场或实验室环节直接形成的原始证据数据，包括但不限于测量读数、试验记录、无损检测波形或图像、现场影像、取样信息、设备运行参数快照等。</w:t>
      </w:r>
    </w:p>
    <w:p w14:paraId="3B08B2F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结果数据 result data</w:t>
      </w:r>
    </w:p>
    <w:p w14:paraId="1F338694">
      <w:pPr>
        <w:pStyle w:val="56"/>
        <w:spacing w:line="360" w:lineRule="auto"/>
        <w:ind w:firstLine="420"/>
      </w:pPr>
      <w:r>
        <w:rPr>
          <w:rFonts w:hint="eastAsia"/>
        </w:rPr>
        <w:t>经计算、判定或汇总后形成的检验检测结论性数据，包括判定结果、指标值、缺陷评价、风险等级、处置建议及相关报告要素数据等。</w:t>
      </w:r>
    </w:p>
    <w:p w14:paraId="2B47442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元数据 metadata</w:t>
      </w:r>
    </w:p>
    <w:p w14:paraId="6A2CCB54">
      <w:pPr>
        <w:pStyle w:val="56"/>
        <w:spacing w:line="360" w:lineRule="auto"/>
        <w:ind w:firstLine="420"/>
      </w:pPr>
      <w:r>
        <w:rPr>
          <w:rFonts w:hint="eastAsia"/>
        </w:rPr>
        <w:t>用于描述数据内容、结构、来源、时空属性、责任主体、权限与生命周期状态等信息的数据，通常用于支持数据检索、共享交换、审计追溯与质量控制。</w:t>
      </w:r>
    </w:p>
    <w:p w14:paraId="2421214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数据字典 data dictionary</w:t>
      </w:r>
    </w:p>
    <w:p w14:paraId="3629FEE3">
      <w:pPr>
        <w:pStyle w:val="56"/>
        <w:spacing w:line="360" w:lineRule="auto"/>
        <w:ind w:firstLine="420"/>
      </w:pPr>
      <w:r>
        <w:rPr>
          <w:rFonts w:hint="eastAsia"/>
        </w:rPr>
        <w:t>对数据项名称、定义、类型、取值范围、单位、精度、编码规则、校验规则及其关系进行统一规定的集合，用于确保跨系统、跨机构数据口径一致。</w:t>
      </w:r>
    </w:p>
    <w:p w14:paraId="774A104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数据分类分级 data classification and grading</w:t>
      </w:r>
    </w:p>
    <w:p w14:paraId="1E05481D">
      <w:pPr>
        <w:pStyle w:val="56"/>
        <w:spacing w:line="360" w:lineRule="auto"/>
        <w:ind w:firstLine="420"/>
      </w:pPr>
      <w:r>
        <w:rPr>
          <w:rFonts w:hint="eastAsia"/>
        </w:rPr>
        <w:t>依据数据对安全生产、公共安全、商业利益、个人权益、法律合规与业务连续性的影响程度，对数据进行类别划分与等级确定的过程。</w:t>
      </w:r>
    </w:p>
    <w:p w14:paraId="2BF77ED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数据完整性 data integrity</w:t>
      </w:r>
    </w:p>
    <w:p w14:paraId="083B195C">
      <w:pPr>
        <w:pStyle w:val="56"/>
        <w:spacing w:line="360" w:lineRule="auto"/>
        <w:ind w:firstLine="420"/>
      </w:pPr>
      <w:r>
        <w:rPr>
          <w:rFonts w:hint="eastAsia"/>
        </w:rPr>
        <w:t>数据在全生命周期内保持准确、完整、未被未授权更改且可验证的属性，包括内容完整性、结构完整性、关系完整性与过程完整性。</w:t>
      </w:r>
    </w:p>
    <w:p w14:paraId="2070FD7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可追溯性 traceability</w:t>
      </w:r>
    </w:p>
    <w:p w14:paraId="2F7439BD">
      <w:pPr>
        <w:pStyle w:val="56"/>
        <w:spacing w:line="360" w:lineRule="auto"/>
        <w:ind w:firstLine="420"/>
      </w:pPr>
      <w:r>
        <w:rPr>
          <w:rFonts w:hint="eastAsia"/>
        </w:rPr>
        <w:t>能够基于唯一标识与证据链信息，追踪数据的来源、形成过程、处理轨迹、责任主体、版本演进与使用去向的能力。</w:t>
      </w:r>
    </w:p>
    <w:p w14:paraId="2BA54C2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数据共享交换 data sharing and exchange</w:t>
      </w:r>
    </w:p>
    <w:p w14:paraId="587C4B94">
      <w:pPr>
        <w:pStyle w:val="56"/>
        <w:spacing w:line="360" w:lineRule="auto"/>
        <w:ind w:firstLine="420"/>
      </w:pPr>
      <w:r>
        <w:rPr>
          <w:rFonts w:hint="eastAsia"/>
        </w:rPr>
        <w:t>在授权与合规前提下，不同主体或不同信息系统之间以约定的数据模型、接口与协议实现的数据提供、获取、同步或订阅分发活动。</w:t>
      </w:r>
    </w:p>
    <w:p w14:paraId="5D7B675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证据链 evidence chain</w:t>
      </w:r>
    </w:p>
    <w:p w14:paraId="3F21D1D4">
      <w:pPr>
        <w:pStyle w:val="56"/>
        <w:spacing w:line="360" w:lineRule="auto"/>
        <w:ind w:firstLine="420"/>
      </w:pPr>
      <w:r>
        <w:rPr>
          <w:rFonts w:hint="eastAsia"/>
        </w:rPr>
        <w:t>为证明数据真实有效而形成的连续记录集合，通常包含采集主体、时间戳、位置或环境信息、设备或仪器标识、签名或校验值、流转记录与审计日志等要素。</w:t>
      </w:r>
    </w:p>
    <w:p w14:paraId="31490602">
      <w:pPr>
        <w:pStyle w:val="104"/>
        <w:spacing w:before="240" w:after="240" w:line="360" w:lineRule="auto"/>
      </w:pPr>
      <w:bookmarkStart w:id="51" w:name="_Toc220230184"/>
      <w:r>
        <w:rPr>
          <w:rFonts w:hint="eastAsia"/>
        </w:rPr>
        <w:t>总体要求</w:t>
      </w:r>
      <w:bookmarkEnd w:id="51"/>
    </w:p>
    <w:p w14:paraId="0E52C908">
      <w:pPr>
        <w:pStyle w:val="105"/>
        <w:spacing w:before="120" w:after="120" w:line="360" w:lineRule="auto"/>
      </w:pPr>
      <w:r>
        <w:rPr>
          <w:rFonts w:hint="eastAsia"/>
        </w:rPr>
        <w:t>管理目标</w:t>
      </w:r>
    </w:p>
    <w:p w14:paraId="43276745">
      <w:pPr>
        <w:pStyle w:val="56"/>
        <w:spacing w:line="360" w:lineRule="auto"/>
        <w:ind w:firstLine="420"/>
      </w:pPr>
      <w:r>
        <w:rPr>
          <w:rFonts w:hint="eastAsia"/>
        </w:rPr>
        <w:t>特种设备检验检测数据管理应实现以下目标：</w:t>
      </w:r>
    </w:p>
    <w:p w14:paraId="59B1A665">
      <w:pPr>
        <w:pStyle w:val="56"/>
        <w:spacing w:line="360" w:lineRule="auto"/>
        <w:ind w:firstLine="420"/>
      </w:pPr>
      <w:r>
        <w:rPr>
          <w:rFonts w:hint="eastAsia"/>
        </w:rPr>
        <w:t>a) 数据真实可信，过程可验证；</w:t>
      </w:r>
    </w:p>
    <w:p w14:paraId="0F4952DA">
      <w:pPr>
        <w:pStyle w:val="56"/>
        <w:spacing w:line="360" w:lineRule="auto"/>
        <w:ind w:firstLine="420"/>
      </w:pPr>
      <w:r>
        <w:rPr>
          <w:rFonts w:hint="eastAsia"/>
        </w:rPr>
        <w:t>b) 数据完整可用，结论可复现；</w:t>
      </w:r>
    </w:p>
    <w:p w14:paraId="0AFC26BA">
      <w:pPr>
        <w:pStyle w:val="56"/>
        <w:spacing w:line="360" w:lineRule="auto"/>
        <w:ind w:firstLine="420"/>
      </w:pPr>
      <w:r>
        <w:rPr>
          <w:rFonts w:hint="eastAsia"/>
        </w:rPr>
        <w:t>c) 数据权限受控，访问可审计；</w:t>
      </w:r>
    </w:p>
    <w:p w14:paraId="06666386">
      <w:pPr>
        <w:pStyle w:val="56"/>
        <w:spacing w:line="360" w:lineRule="auto"/>
        <w:ind w:firstLine="420"/>
      </w:pPr>
      <w:r>
        <w:rPr>
          <w:rFonts w:hint="eastAsia"/>
        </w:rPr>
        <w:t>d) 数据共享有序，口径一致；</w:t>
      </w:r>
    </w:p>
    <w:p w14:paraId="2104B6C4">
      <w:pPr>
        <w:pStyle w:val="56"/>
        <w:spacing w:line="360" w:lineRule="auto"/>
        <w:ind w:firstLine="420"/>
      </w:pPr>
      <w:r>
        <w:rPr>
          <w:rFonts w:hint="eastAsia"/>
        </w:rPr>
        <w:t>e) 数据长期可读，保存可追溯；</w:t>
      </w:r>
    </w:p>
    <w:p w14:paraId="54ED120C">
      <w:pPr>
        <w:pStyle w:val="56"/>
        <w:spacing w:line="360" w:lineRule="auto"/>
        <w:ind w:firstLine="420"/>
      </w:pPr>
      <w:r>
        <w:rPr>
          <w:rFonts w:hint="eastAsia"/>
        </w:rPr>
        <w:t>f) 数据风险可控，安全合规。</w:t>
      </w:r>
    </w:p>
    <w:p w14:paraId="3F74DAD2">
      <w:pPr>
        <w:pStyle w:val="105"/>
        <w:spacing w:before="120" w:after="120" w:line="360" w:lineRule="auto"/>
      </w:pPr>
      <w:r>
        <w:rPr>
          <w:rFonts w:hint="eastAsia"/>
        </w:rPr>
        <w:t>管理原则</w:t>
      </w:r>
    </w:p>
    <w:p w14:paraId="53950783">
      <w:pPr>
        <w:pStyle w:val="56"/>
        <w:spacing w:line="360" w:lineRule="auto"/>
        <w:ind w:firstLine="420"/>
      </w:pPr>
      <w:r>
        <w:rPr>
          <w:rFonts w:hint="eastAsia"/>
        </w:rPr>
        <w:t>数据管理应遵循以下原则：</w:t>
      </w:r>
    </w:p>
    <w:p w14:paraId="174E21DB">
      <w:pPr>
        <w:pStyle w:val="56"/>
        <w:spacing w:line="360" w:lineRule="auto"/>
        <w:ind w:firstLine="420"/>
      </w:pPr>
      <w:r>
        <w:rPr>
          <w:rFonts w:hint="eastAsia"/>
        </w:rPr>
        <w:t>a) 全生命周期原则：覆盖数据规划、采集、处理、存储、交换、归档、保全与销毁全过程；</w:t>
      </w:r>
    </w:p>
    <w:p w14:paraId="2B758C4D">
      <w:pPr>
        <w:pStyle w:val="56"/>
        <w:spacing w:line="360" w:lineRule="auto"/>
        <w:ind w:firstLine="420"/>
      </w:pPr>
      <w:r>
        <w:rPr>
          <w:rFonts w:hint="eastAsia"/>
        </w:rPr>
        <w:t>b) 最小必要原则：采集、共享与展示应满足业务与合规的最小必要范围；</w:t>
      </w:r>
    </w:p>
    <w:p w14:paraId="57943339">
      <w:pPr>
        <w:pStyle w:val="56"/>
        <w:spacing w:line="360" w:lineRule="auto"/>
        <w:ind w:firstLine="420"/>
      </w:pPr>
      <w:r>
        <w:rPr>
          <w:rFonts w:hint="eastAsia"/>
        </w:rPr>
        <w:t>c) 分级防护原则：依据分类分级结果配置安全控制强度与审批流程；</w:t>
      </w:r>
    </w:p>
    <w:p w14:paraId="6B7DF5F5">
      <w:pPr>
        <w:pStyle w:val="56"/>
        <w:spacing w:line="360" w:lineRule="auto"/>
        <w:ind w:firstLine="420"/>
      </w:pPr>
      <w:r>
        <w:rPr>
          <w:rFonts w:hint="eastAsia"/>
        </w:rPr>
        <w:t>d) 责任到岗原则：明确数据所有者、数据管理员、系统管理员、审核人、授权人等岗位职责；</w:t>
      </w:r>
    </w:p>
    <w:p w14:paraId="5A51B98E">
      <w:pPr>
        <w:pStyle w:val="56"/>
        <w:spacing w:line="360" w:lineRule="auto"/>
        <w:ind w:firstLine="420"/>
      </w:pPr>
      <w:r>
        <w:rPr>
          <w:rFonts w:hint="eastAsia"/>
        </w:rPr>
        <w:t>e) 过程留痕原则：关键环节（采集、修改、审批、共享、导出、归档、销毁）应记录可审计日志；</w:t>
      </w:r>
    </w:p>
    <w:p w14:paraId="495C9670">
      <w:pPr>
        <w:pStyle w:val="56"/>
        <w:spacing w:line="360" w:lineRule="auto"/>
        <w:ind w:firstLine="420"/>
      </w:pPr>
      <w:r>
        <w:rPr>
          <w:rFonts w:hint="eastAsia"/>
        </w:rPr>
        <w:t>f) 标准统一原则：统一数据模型、编码规则、数据字典与接口规范，避免多口径与多版本。</w:t>
      </w:r>
    </w:p>
    <w:p w14:paraId="3C911373">
      <w:pPr>
        <w:pStyle w:val="105"/>
        <w:spacing w:before="120" w:after="120" w:line="360" w:lineRule="auto"/>
      </w:pPr>
      <w:r>
        <w:rPr>
          <w:rFonts w:hint="eastAsia"/>
        </w:rPr>
        <w:t>管理体系与职责</w:t>
      </w:r>
    </w:p>
    <w:p w14:paraId="4521F5E8">
      <w:pPr>
        <w:pStyle w:val="56"/>
        <w:spacing w:line="360" w:lineRule="auto"/>
        <w:ind w:firstLine="420"/>
      </w:pPr>
      <w:r>
        <w:rPr>
          <w:rFonts w:hint="eastAsia"/>
        </w:rPr>
        <w:t>检验检测机构应建立覆盖数据管理的制度体系，至少包括数据分类分级制度、数据质量控制制度、数据安全管理制度、共享交换管理制度、备份与恢复制度、归档与保存制度、异常事件处置制度等。</w:t>
      </w:r>
    </w:p>
    <w:p w14:paraId="42E39AD9">
      <w:pPr>
        <w:pStyle w:val="56"/>
        <w:spacing w:line="360" w:lineRule="auto"/>
        <w:ind w:firstLine="420"/>
      </w:pPr>
      <w:r>
        <w:rPr>
          <w:rFonts w:hint="eastAsia"/>
        </w:rPr>
        <w:t>并应按岗位明确职责分工，至少包括：</w:t>
      </w:r>
    </w:p>
    <w:p w14:paraId="30B8614E">
      <w:pPr>
        <w:pStyle w:val="56"/>
        <w:spacing w:line="360" w:lineRule="auto"/>
        <w:ind w:firstLine="420"/>
      </w:pPr>
      <w:r>
        <w:rPr>
          <w:rFonts w:hint="eastAsia"/>
        </w:rPr>
        <w:t>a) 数据所有者：对业务数据的真实性、完整性与使用合规性负责；</w:t>
      </w:r>
    </w:p>
    <w:p w14:paraId="2C79CB73">
      <w:pPr>
        <w:pStyle w:val="56"/>
        <w:spacing w:line="360" w:lineRule="auto"/>
        <w:ind w:firstLine="420"/>
      </w:pPr>
      <w:r>
        <w:rPr>
          <w:rFonts w:hint="eastAsia"/>
        </w:rPr>
        <w:t>b) 数据管理员：负责数据字典维护、质量检查、归档移交、共享申请受理等；</w:t>
      </w:r>
    </w:p>
    <w:p w14:paraId="577EB3A6">
      <w:pPr>
        <w:pStyle w:val="56"/>
        <w:spacing w:line="360" w:lineRule="auto"/>
        <w:ind w:firstLine="420"/>
      </w:pPr>
      <w:r>
        <w:rPr>
          <w:rFonts w:hint="eastAsia"/>
        </w:rPr>
        <w:t>c) 系统管理员：负责系统账号权限、配置管理、备份恢复、日志留存与安全加固；</w:t>
      </w:r>
    </w:p>
    <w:p w14:paraId="32BEBBFA">
      <w:pPr>
        <w:pStyle w:val="56"/>
        <w:spacing w:line="360" w:lineRule="auto"/>
        <w:ind w:firstLine="420"/>
      </w:pPr>
      <w:r>
        <w:rPr>
          <w:rFonts w:hint="eastAsia"/>
        </w:rPr>
        <w:t>d) 审核人或批准人：对数据更正、数据共享、数据导出、数据销毁等关键操作进行审批；</w:t>
      </w:r>
    </w:p>
    <w:p w14:paraId="43AEA6F5">
      <w:pPr>
        <w:pStyle w:val="56"/>
        <w:spacing w:line="360" w:lineRule="auto"/>
        <w:ind w:firstLine="420"/>
      </w:pPr>
      <w:r>
        <w:rPr>
          <w:rFonts w:hint="eastAsia"/>
        </w:rPr>
        <w:t>e) 安全负责人：组织开展风险评估、安全事件响应、等级保护或等效安全管理工作。</w:t>
      </w:r>
    </w:p>
    <w:p w14:paraId="4448ACA5">
      <w:pPr>
        <w:pStyle w:val="105"/>
        <w:spacing w:before="120" w:after="120" w:line="360" w:lineRule="auto"/>
      </w:pPr>
      <w:r>
        <w:rPr>
          <w:rFonts w:hint="eastAsia"/>
        </w:rPr>
        <w:t>数据管理流程框架</w:t>
      </w:r>
    </w:p>
    <w:p w14:paraId="11ED0D72">
      <w:pPr>
        <w:pStyle w:val="56"/>
        <w:ind w:firstLine="420"/>
      </w:pPr>
      <w:r>
        <w:rPr>
          <w:rFonts w:hint="eastAsia"/>
        </w:rPr>
        <w:t>本文件将检验检测数据管理划分为“形成与采集—校验与处理—存储与备份—共享与交换—归档与保存—审计与追溯—持续改进”的闭环流程，流程关系见图1。</w:t>
      </w:r>
    </w:p>
    <w:p w14:paraId="4E298868">
      <w:pPr>
        <w:pStyle w:val="56"/>
        <w:ind w:firstLine="0" w:firstLineChars="0"/>
      </w:pPr>
      <w:r>
        <w:drawing>
          <wp:inline distT="0" distB="0" distL="0" distR="0">
            <wp:extent cx="5939790" cy="1397000"/>
            <wp:effectExtent l="0" t="0" r="3810" b="0"/>
            <wp:docPr id="16379121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12195" name="图片 1"/>
                    <pic:cNvPicPr>
                      <a:picLocks noChangeAspect="1" noChangeArrowheads="1"/>
                    </pic:cNvPicPr>
                  </pic:nvPicPr>
                  <pic:blipFill>
                    <a:blip r:embed="rId31">
                      <a:extLst>
                        <a:ext uri="{28A0092B-C50C-407E-A947-70E740481C1C}">
                          <a14:useLocalDpi xmlns:a14="http://schemas.microsoft.com/office/drawing/2010/main" val="0"/>
                        </a:ext>
                      </a:extLst>
                    </a:blip>
                    <a:srcRect t="32836" b="32600"/>
                    <a:stretch>
                      <a:fillRect/>
                    </a:stretch>
                  </pic:blipFill>
                  <pic:spPr>
                    <a:xfrm>
                      <a:off x="0" y="0"/>
                      <a:ext cx="5939790" cy="1397000"/>
                    </a:xfrm>
                    <a:prstGeom prst="rect">
                      <a:avLst/>
                    </a:prstGeom>
                    <a:noFill/>
                    <a:ln>
                      <a:noFill/>
                    </a:ln>
                  </pic:spPr>
                </pic:pic>
              </a:graphicData>
            </a:graphic>
          </wp:inline>
        </w:drawing>
      </w:r>
    </w:p>
    <w:p w14:paraId="2A62EE40">
      <w:pPr>
        <w:pStyle w:val="114"/>
        <w:spacing w:before="120" w:after="120" w:line="360" w:lineRule="auto"/>
      </w:pPr>
      <w:r>
        <w:rPr>
          <w:rFonts w:hint="eastAsia"/>
        </w:rPr>
        <w:t>数据全生命周期管理闭环框架</w:t>
      </w:r>
    </w:p>
    <w:p w14:paraId="21D6D28A">
      <w:pPr>
        <w:pStyle w:val="105"/>
        <w:spacing w:before="120" w:after="120" w:line="360" w:lineRule="auto"/>
      </w:pPr>
      <w:r>
        <w:rPr>
          <w:rFonts w:hint="eastAsia"/>
        </w:rPr>
        <w:t>数据分类分级基本要求</w:t>
      </w:r>
    </w:p>
    <w:p w14:paraId="77755A44">
      <w:pPr>
        <w:pStyle w:val="56"/>
        <w:spacing w:line="360" w:lineRule="auto"/>
        <w:ind w:firstLine="420"/>
      </w:pPr>
      <w:r>
        <w:rPr>
          <w:rFonts w:hint="eastAsia"/>
        </w:rPr>
        <w:t>应基于风险与影响开展数据分类分级，形成分类分级清单并动态维护。分类分级至少应考虑：</w:t>
      </w:r>
    </w:p>
    <w:p w14:paraId="6C14D0B2">
      <w:pPr>
        <w:pStyle w:val="56"/>
        <w:spacing w:line="360" w:lineRule="auto"/>
        <w:ind w:firstLine="420"/>
      </w:pPr>
      <w:r>
        <w:rPr>
          <w:rFonts w:hint="eastAsia"/>
        </w:rPr>
        <w:t>a) 对特种设备安全运行与事故处置的影响；</w:t>
      </w:r>
    </w:p>
    <w:p w14:paraId="75972F60">
      <w:pPr>
        <w:pStyle w:val="56"/>
        <w:spacing w:line="360" w:lineRule="auto"/>
        <w:ind w:firstLine="420"/>
      </w:pPr>
      <w:r>
        <w:rPr>
          <w:rFonts w:hint="eastAsia"/>
        </w:rPr>
        <w:t>b) 对检验检测结论可信度与可追溯性的影响；</w:t>
      </w:r>
    </w:p>
    <w:p w14:paraId="440179AD">
      <w:pPr>
        <w:pStyle w:val="56"/>
        <w:spacing w:line="360" w:lineRule="auto"/>
        <w:ind w:firstLine="420"/>
      </w:pPr>
      <w:r>
        <w:rPr>
          <w:rFonts w:hint="eastAsia"/>
        </w:rPr>
        <w:t>c) 对使用单位商业秘密与知识产权的影响；</w:t>
      </w:r>
    </w:p>
    <w:p w14:paraId="07A5A8CF">
      <w:pPr>
        <w:pStyle w:val="56"/>
        <w:spacing w:line="360" w:lineRule="auto"/>
        <w:ind w:firstLine="420"/>
      </w:pPr>
      <w:r>
        <w:rPr>
          <w:rFonts w:hint="eastAsia"/>
        </w:rPr>
        <w:t>d) 对个人信息与隐私权益的影响；</w:t>
      </w:r>
    </w:p>
    <w:p w14:paraId="46DA6941">
      <w:pPr>
        <w:pStyle w:val="56"/>
        <w:spacing w:line="360" w:lineRule="auto"/>
        <w:ind w:firstLine="420"/>
      </w:pPr>
      <w:r>
        <w:rPr>
          <w:rFonts w:hint="eastAsia"/>
        </w:rPr>
        <w:t>e) 法律法规与监管要求。</w:t>
      </w:r>
    </w:p>
    <w:p w14:paraId="305AD961">
      <w:pPr>
        <w:pStyle w:val="56"/>
        <w:spacing w:line="360" w:lineRule="auto"/>
        <w:ind w:firstLine="420"/>
      </w:pPr>
      <w:r>
        <w:rPr>
          <w:rFonts w:hint="eastAsia"/>
        </w:rPr>
        <w:t>分类分级结果应与权限控制、加密强度、脱敏策略、共享审批、备份频率、留存期限、审计强度等控制措施联动配置。检验检测数据类别与分级管理示例见表1。</w:t>
      </w:r>
    </w:p>
    <w:p w14:paraId="3ECA8AED">
      <w:pPr>
        <w:pStyle w:val="112"/>
        <w:spacing w:before="120" w:after="120" w:line="360" w:lineRule="auto"/>
      </w:pPr>
      <w:r>
        <w:rPr>
          <w:rFonts w:hint="eastAsia"/>
        </w:rPr>
        <w:t>检验检测数据类别与分级管理示例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693"/>
        <w:gridCol w:w="992"/>
        <w:gridCol w:w="2127"/>
        <w:gridCol w:w="2114"/>
      </w:tblGrid>
      <w:tr w14:paraId="525C3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vAlign w:val="center"/>
          </w:tcPr>
          <w:p w14:paraId="74D82202">
            <w:pPr>
              <w:pStyle w:val="178"/>
            </w:pPr>
            <w:r>
              <w:rPr>
                <w:rFonts w:hint="eastAsia"/>
              </w:rPr>
              <w:t>数据类别</w:t>
            </w:r>
          </w:p>
        </w:tc>
        <w:tc>
          <w:tcPr>
            <w:tcW w:w="2693" w:type="dxa"/>
            <w:tcBorders>
              <w:top w:val="single" w:color="auto" w:sz="8" w:space="0"/>
              <w:bottom w:val="single" w:color="auto" w:sz="8" w:space="0"/>
            </w:tcBorders>
            <w:vAlign w:val="center"/>
          </w:tcPr>
          <w:p w14:paraId="229DAF2C">
            <w:pPr>
              <w:pStyle w:val="178"/>
            </w:pPr>
            <w:r>
              <w:rPr>
                <w:rFonts w:hint="eastAsia"/>
              </w:rPr>
              <w:t>典型数据项示例</w:t>
            </w:r>
          </w:p>
        </w:tc>
        <w:tc>
          <w:tcPr>
            <w:tcW w:w="992" w:type="dxa"/>
            <w:tcBorders>
              <w:top w:val="single" w:color="auto" w:sz="8" w:space="0"/>
              <w:bottom w:val="single" w:color="auto" w:sz="8" w:space="0"/>
            </w:tcBorders>
            <w:vAlign w:val="center"/>
          </w:tcPr>
          <w:p w14:paraId="1655FBFC">
            <w:pPr>
              <w:pStyle w:val="178"/>
            </w:pPr>
            <w:r>
              <w:rPr>
                <w:rFonts w:hint="eastAsia"/>
              </w:rPr>
              <w:t>建议等级</w:t>
            </w:r>
          </w:p>
        </w:tc>
        <w:tc>
          <w:tcPr>
            <w:tcW w:w="2127" w:type="dxa"/>
            <w:tcBorders>
              <w:top w:val="single" w:color="auto" w:sz="8" w:space="0"/>
              <w:bottom w:val="single" w:color="auto" w:sz="8" w:space="0"/>
            </w:tcBorders>
            <w:vAlign w:val="center"/>
          </w:tcPr>
          <w:p w14:paraId="7BB0B395">
            <w:pPr>
              <w:pStyle w:val="178"/>
            </w:pPr>
            <w:r>
              <w:rPr>
                <w:rFonts w:hint="eastAsia"/>
              </w:rPr>
              <w:t>主要风险</w:t>
            </w:r>
          </w:p>
        </w:tc>
        <w:tc>
          <w:tcPr>
            <w:tcW w:w="2114" w:type="dxa"/>
            <w:tcBorders>
              <w:top w:val="single" w:color="auto" w:sz="8" w:space="0"/>
              <w:bottom w:val="single" w:color="auto" w:sz="8" w:space="0"/>
            </w:tcBorders>
            <w:vAlign w:val="center"/>
          </w:tcPr>
          <w:p w14:paraId="44E64E72">
            <w:pPr>
              <w:pStyle w:val="178"/>
            </w:pPr>
            <w:r>
              <w:rPr>
                <w:rFonts w:hint="eastAsia"/>
              </w:rPr>
              <w:t>管控要点</w:t>
            </w:r>
          </w:p>
        </w:tc>
      </w:tr>
      <w:tr w14:paraId="6B117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vAlign w:val="center"/>
          </w:tcPr>
          <w:p w14:paraId="363EBE4A">
            <w:pPr>
              <w:pStyle w:val="178"/>
            </w:pPr>
            <w:r>
              <w:rPr>
                <w:rFonts w:hint="eastAsia"/>
              </w:rPr>
              <w:t>基础标识类数据</w:t>
            </w:r>
          </w:p>
        </w:tc>
        <w:tc>
          <w:tcPr>
            <w:tcW w:w="2693" w:type="dxa"/>
            <w:tcBorders>
              <w:top w:val="single" w:color="auto" w:sz="8" w:space="0"/>
            </w:tcBorders>
            <w:vAlign w:val="center"/>
          </w:tcPr>
          <w:p w14:paraId="37962356">
            <w:pPr>
              <w:pStyle w:val="178"/>
            </w:pPr>
            <w:r>
              <w:rPr>
                <w:rFonts w:hint="eastAsia"/>
              </w:rPr>
              <w:t>设备代码、使用登记信息、</w:t>
            </w:r>
          </w:p>
          <w:p w14:paraId="2016F347">
            <w:pPr>
              <w:pStyle w:val="178"/>
            </w:pPr>
            <w:r>
              <w:rPr>
                <w:rFonts w:hint="eastAsia"/>
              </w:rPr>
              <w:t>制造编号、检验机构编号</w:t>
            </w:r>
          </w:p>
        </w:tc>
        <w:tc>
          <w:tcPr>
            <w:tcW w:w="992" w:type="dxa"/>
            <w:tcBorders>
              <w:top w:val="single" w:color="auto" w:sz="8" w:space="0"/>
            </w:tcBorders>
            <w:vAlign w:val="center"/>
          </w:tcPr>
          <w:p w14:paraId="2B7FAED4">
            <w:pPr>
              <w:pStyle w:val="178"/>
            </w:pPr>
            <w:r>
              <w:rPr>
                <w:rFonts w:hint="eastAsia"/>
              </w:rPr>
              <w:t>一般</w:t>
            </w:r>
          </w:p>
        </w:tc>
        <w:tc>
          <w:tcPr>
            <w:tcW w:w="2127" w:type="dxa"/>
            <w:tcBorders>
              <w:top w:val="single" w:color="auto" w:sz="8" w:space="0"/>
            </w:tcBorders>
            <w:vAlign w:val="center"/>
          </w:tcPr>
          <w:p w14:paraId="5C62D228">
            <w:pPr>
              <w:pStyle w:val="178"/>
            </w:pPr>
            <w:r>
              <w:rPr>
                <w:rFonts w:hint="eastAsia"/>
              </w:rPr>
              <w:t>口径不一致导致追溯困难</w:t>
            </w:r>
          </w:p>
        </w:tc>
        <w:tc>
          <w:tcPr>
            <w:tcW w:w="2114" w:type="dxa"/>
            <w:tcBorders>
              <w:top w:val="single" w:color="auto" w:sz="8" w:space="0"/>
            </w:tcBorders>
            <w:vAlign w:val="center"/>
          </w:tcPr>
          <w:p w14:paraId="56252BE3">
            <w:pPr>
              <w:pStyle w:val="178"/>
            </w:pPr>
            <w:r>
              <w:rPr>
                <w:rFonts w:hint="eastAsia"/>
              </w:rPr>
              <w:t>统一编码规则与校验规则，强制唯一标识</w:t>
            </w:r>
          </w:p>
        </w:tc>
      </w:tr>
      <w:tr w14:paraId="606AE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182C3495">
            <w:pPr>
              <w:pStyle w:val="178"/>
            </w:pPr>
            <w:r>
              <w:rPr>
                <w:rFonts w:hint="eastAsia"/>
              </w:rPr>
              <w:t>过程证据类数据</w:t>
            </w:r>
          </w:p>
        </w:tc>
        <w:tc>
          <w:tcPr>
            <w:tcW w:w="2693" w:type="dxa"/>
            <w:vAlign w:val="center"/>
          </w:tcPr>
          <w:p w14:paraId="19CE025C">
            <w:pPr>
              <w:pStyle w:val="178"/>
            </w:pPr>
            <w:r>
              <w:rPr>
                <w:rFonts w:hint="eastAsia"/>
              </w:rPr>
              <w:t>原始记录、现场影像、</w:t>
            </w:r>
          </w:p>
          <w:p w14:paraId="72E9E934">
            <w:pPr>
              <w:pStyle w:val="178"/>
            </w:pPr>
            <w:r>
              <w:rPr>
                <w:rFonts w:hint="eastAsia"/>
              </w:rPr>
              <w:t>无损检测波形或图像、取样记录</w:t>
            </w:r>
          </w:p>
        </w:tc>
        <w:tc>
          <w:tcPr>
            <w:tcW w:w="992" w:type="dxa"/>
            <w:vAlign w:val="center"/>
          </w:tcPr>
          <w:p w14:paraId="12A46F1F">
            <w:pPr>
              <w:pStyle w:val="178"/>
            </w:pPr>
            <w:r>
              <w:rPr>
                <w:rFonts w:hint="eastAsia"/>
              </w:rPr>
              <w:t>重要</w:t>
            </w:r>
          </w:p>
        </w:tc>
        <w:tc>
          <w:tcPr>
            <w:tcW w:w="2127" w:type="dxa"/>
            <w:vAlign w:val="center"/>
          </w:tcPr>
          <w:p w14:paraId="181D0B90">
            <w:pPr>
              <w:pStyle w:val="178"/>
            </w:pPr>
            <w:r>
              <w:rPr>
                <w:rFonts w:hint="eastAsia"/>
              </w:rPr>
              <w:t>缺失或篡改影响结论</w:t>
            </w:r>
          </w:p>
          <w:p w14:paraId="4947BC39">
            <w:pPr>
              <w:pStyle w:val="178"/>
            </w:pPr>
            <w:r>
              <w:rPr>
                <w:rFonts w:hint="eastAsia"/>
              </w:rPr>
              <w:t>证据力</w:t>
            </w:r>
          </w:p>
        </w:tc>
        <w:tc>
          <w:tcPr>
            <w:tcW w:w="2114" w:type="dxa"/>
            <w:vAlign w:val="center"/>
          </w:tcPr>
          <w:p w14:paraId="600CA6E1">
            <w:pPr>
              <w:pStyle w:val="178"/>
            </w:pPr>
            <w:r>
              <w:rPr>
                <w:rFonts w:hint="eastAsia"/>
              </w:rPr>
              <w:t>采集留痕、校验值固化、版本控制、只读保全</w:t>
            </w:r>
          </w:p>
        </w:tc>
      </w:tr>
      <w:tr w14:paraId="23C9A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011B2AE8">
            <w:pPr>
              <w:pStyle w:val="178"/>
            </w:pPr>
            <w:r>
              <w:rPr>
                <w:rFonts w:hint="eastAsia"/>
              </w:rPr>
              <w:t>结论报告类数据</w:t>
            </w:r>
          </w:p>
        </w:tc>
        <w:tc>
          <w:tcPr>
            <w:tcW w:w="2693" w:type="dxa"/>
            <w:vAlign w:val="center"/>
          </w:tcPr>
          <w:p w14:paraId="18990E08">
            <w:pPr>
              <w:pStyle w:val="178"/>
            </w:pPr>
            <w:r>
              <w:rPr>
                <w:rFonts w:hint="eastAsia"/>
              </w:rPr>
              <w:t>检验报告要素、判定结论、</w:t>
            </w:r>
          </w:p>
          <w:p w14:paraId="0A49A42E">
            <w:pPr>
              <w:pStyle w:val="178"/>
            </w:pPr>
            <w:r>
              <w:rPr>
                <w:rFonts w:hint="eastAsia"/>
              </w:rPr>
              <w:t>缺陷评价、处置建议</w:t>
            </w:r>
          </w:p>
        </w:tc>
        <w:tc>
          <w:tcPr>
            <w:tcW w:w="992" w:type="dxa"/>
            <w:vAlign w:val="center"/>
          </w:tcPr>
          <w:p w14:paraId="462C3E65">
            <w:pPr>
              <w:pStyle w:val="178"/>
            </w:pPr>
            <w:r>
              <w:rPr>
                <w:rFonts w:hint="eastAsia"/>
              </w:rPr>
              <w:t>重要</w:t>
            </w:r>
          </w:p>
        </w:tc>
        <w:tc>
          <w:tcPr>
            <w:tcW w:w="2127" w:type="dxa"/>
            <w:vAlign w:val="center"/>
          </w:tcPr>
          <w:p w14:paraId="72089CFF">
            <w:pPr>
              <w:pStyle w:val="178"/>
            </w:pPr>
            <w:r>
              <w:rPr>
                <w:rFonts w:hint="eastAsia"/>
              </w:rPr>
              <w:t>误传或误用引发安全</w:t>
            </w:r>
          </w:p>
          <w:p w14:paraId="2A628B30">
            <w:pPr>
              <w:pStyle w:val="178"/>
            </w:pPr>
            <w:r>
              <w:rPr>
                <w:rFonts w:hint="eastAsia"/>
              </w:rPr>
              <w:t>与责任风险</w:t>
            </w:r>
          </w:p>
        </w:tc>
        <w:tc>
          <w:tcPr>
            <w:tcW w:w="2114" w:type="dxa"/>
            <w:vAlign w:val="center"/>
          </w:tcPr>
          <w:p w14:paraId="32C31D70">
            <w:pPr>
              <w:pStyle w:val="178"/>
            </w:pPr>
            <w:r>
              <w:rPr>
                <w:rFonts w:hint="eastAsia"/>
              </w:rPr>
              <w:t>审核签发、电子签名、</w:t>
            </w:r>
          </w:p>
          <w:p w14:paraId="21826E2E">
            <w:pPr>
              <w:pStyle w:val="178"/>
            </w:pPr>
            <w:r>
              <w:rPr>
                <w:rFonts w:hint="eastAsia"/>
              </w:rPr>
              <w:t>发布受控、引用溯源</w:t>
            </w:r>
          </w:p>
        </w:tc>
      </w:tr>
      <w:tr w14:paraId="70DB2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0A3D6CA0">
            <w:pPr>
              <w:pStyle w:val="178"/>
            </w:pPr>
            <w:r>
              <w:rPr>
                <w:rFonts w:hint="eastAsia"/>
              </w:rPr>
              <w:t>个人信息类数据</w:t>
            </w:r>
          </w:p>
        </w:tc>
        <w:tc>
          <w:tcPr>
            <w:tcW w:w="2693" w:type="dxa"/>
            <w:vAlign w:val="center"/>
          </w:tcPr>
          <w:p w14:paraId="494C4A1F">
            <w:pPr>
              <w:pStyle w:val="178"/>
            </w:pPr>
            <w:r>
              <w:rPr>
                <w:rFonts w:hint="eastAsia"/>
              </w:rPr>
              <w:t>联系人信息、证件号、</w:t>
            </w:r>
          </w:p>
          <w:p w14:paraId="717CEAF2">
            <w:pPr>
              <w:pStyle w:val="178"/>
            </w:pPr>
            <w:r>
              <w:rPr>
                <w:rFonts w:hint="eastAsia"/>
              </w:rPr>
              <w:t>联系方式、影像中人脸信息</w:t>
            </w:r>
          </w:p>
        </w:tc>
        <w:tc>
          <w:tcPr>
            <w:tcW w:w="992" w:type="dxa"/>
            <w:vAlign w:val="center"/>
          </w:tcPr>
          <w:p w14:paraId="604E484A">
            <w:pPr>
              <w:pStyle w:val="178"/>
            </w:pPr>
            <w:r>
              <w:rPr>
                <w:rFonts w:hint="eastAsia"/>
              </w:rPr>
              <w:t>重要或敏感</w:t>
            </w:r>
          </w:p>
        </w:tc>
        <w:tc>
          <w:tcPr>
            <w:tcW w:w="2127" w:type="dxa"/>
            <w:vAlign w:val="center"/>
          </w:tcPr>
          <w:p w14:paraId="36381AD2">
            <w:pPr>
              <w:pStyle w:val="178"/>
            </w:pPr>
            <w:r>
              <w:rPr>
                <w:rFonts w:hint="eastAsia"/>
              </w:rPr>
              <w:t>泄露侵害个人权益</w:t>
            </w:r>
          </w:p>
        </w:tc>
        <w:tc>
          <w:tcPr>
            <w:tcW w:w="2114" w:type="dxa"/>
            <w:vAlign w:val="center"/>
          </w:tcPr>
          <w:p w14:paraId="5D6813E6">
            <w:pPr>
              <w:pStyle w:val="178"/>
            </w:pPr>
            <w:r>
              <w:rPr>
                <w:rFonts w:hint="eastAsia"/>
              </w:rPr>
              <w:t>最小必要、脱敏展示、</w:t>
            </w:r>
          </w:p>
          <w:p w14:paraId="2169BF43">
            <w:pPr>
              <w:pStyle w:val="178"/>
            </w:pPr>
            <w:r>
              <w:rPr>
                <w:rFonts w:hint="eastAsia"/>
              </w:rPr>
              <w:t>访问审批、加密存储</w:t>
            </w:r>
          </w:p>
        </w:tc>
      </w:tr>
      <w:tr w14:paraId="62383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216A04E5">
            <w:pPr>
              <w:pStyle w:val="178"/>
            </w:pPr>
            <w:r>
              <w:rPr>
                <w:rFonts w:hint="eastAsia"/>
              </w:rPr>
              <w:t>系统运行类数据</w:t>
            </w:r>
          </w:p>
        </w:tc>
        <w:tc>
          <w:tcPr>
            <w:tcW w:w="2693" w:type="dxa"/>
            <w:vAlign w:val="center"/>
          </w:tcPr>
          <w:p w14:paraId="7F92AD82">
            <w:pPr>
              <w:pStyle w:val="178"/>
            </w:pPr>
            <w:r>
              <w:rPr>
                <w:rFonts w:hint="eastAsia"/>
              </w:rPr>
              <w:t>操作日志、访问日志、</w:t>
            </w:r>
          </w:p>
          <w:p w14:paraId="7B4A7B10">
            <w:pPr>
              <w:pStyle w:val="178"/>
            </w:pPr>
            <w:r>
              <w:rPr>
                <w:rFonts w:hint="eastAsia"/>
              </w:rPr>
              <w:t>导出记录、接口调用记录</w:t>
            </w:r>
          </w:p>
        </w:tc>
        <w:tc>
          <w:tcPr>
            <w:tcW w:w="992" w:type="dxa"/>
            <w:vAlign w:val="center"/>
          </w:tcPr>
          <w:p w14:paraId="736005A7">
            <w:pPr>
              <w:pStyle w:val="178"/>
            </w:pPr>
            <w:r>
              <w:rPr>
                <w:rFonts w:hint="eastAsia"/>
              </w:rPr>
              <w:t>重要</w:t>
            </w:r>
          </w:p>
        </w:tc>
        <w:tc>
          <w:tcPr>
            <w:tcW w:w="2127" w:type="dxa"/>
            <w:vAlign w:val="center"/>
          </w:tcPr>
          <w:p w14:paraId="45C5C6C9">
            <w:pPr>
              <w:pStyle w:val="178"/>
            </w:pPr>
            <w:r>
              <w:rPr>
                <w:rFonts w:hint="eastAsia"/>
              </w:rPr>
              <w:t>审计不足导致不可追责</w:t>
            </w:r>
          </w:p>
        </w:tc>
        <w:tc>
          <w:tcPr>
            <w:tcW w:w="2114" w:type="dxa"/>
            <w:vAlign w:val="center"/>
          </w:tcPr>
          <w:p w14:paraId="4F67F53F">
            <w:pPr>
              <w:pStyle w:val="178"/>
            </w:pPr>
            <w:r>
              <w:rPr>
                <w:rFonts w:hint="eastAsia"/>
              </w:rPr>
              <w:t>全量留存、防篡改存证、定期分析与告警</w:t>
            </w:r>
          </w:p>
        </w:tc>
      </w:tr>
    </w:tbl>
    <w:p w14:paraId="65388EDC">
      <w:pPr>
        <w:pStyle w:val="104"/>
        <w:spacing w:before="240" w:after="240" w:line="360" w:lineRule="auto"/>
      </w:pPr>
      <w:bookmarkStart w:id="52" w:name="_Toc220230185"/>
      <w:r>
        <w:rPr>
          <w:rFonts w:hint="eastAsia"/>
        </w:rPr>
        <w:t>数据标准化与编码规则</w:t>
      </w:r>
      <w:bookmarkEnd w:id="52"/>
    </w:p>
    <w:p w14:paraId="02F29482">
      <w:pPr>
        <w:pStyle w:val="105"/>
        <w:spacing w:before="120" w:after="120" w:line="360" w:lineRule="auto"/>
      </w:pPr>
      <w:r>
        <w:rPr>
          <w:rFonts w:hint="eastAsia"/>
        </w:rPr>
        <w:t>一般要求</w:t>
      </w:r>
    </w:p>
    <w:p w14:paraId="0C965332">
      <w:pPr>
        <w:pStyle w:val="56"/>
        <w:spacing w:line="360" w:lineRule="auto"/>
        <w:ind w:firstLine="420"/>
      </w:pPr>
      <w:r>
        <w:rPr>
          <w:rFonts w:hint="eastAsia"/>
        </w:rPr>
        <w:t>检验检测机构应建立并持续维护统一的数据标准体系，至少包括数据字典、元数据规范、编码规则、数据格式规范与接口字段口径说明，确保同一数据项在不同业务环节、不同系统间含义一致、取值一致、单位一致、精度一致。数据标准体系应满足以下要求：</w:t>
      </w:r>
    </w:p>
    <w:p w14:paraId="7E025C3C">
      <w:pPr>
        <w:pStyle w:val="56"/>
        <w:spacing w:line="360" w:lineRule="auto"/>
        <w:ind w:firstLine="420"/>
      </w:pPr>
      <w:r>
        <w:rPr>
          <w:rFonts w:hint="eastAsia"/>
        </w:rPr>
        <w:t>a) 业务可解释：数据项定义应与检验检测业务术语一致，避免同名异义或异名同义；</w:t>
      </w:r>
    </w:p>
    <w:p w14:paraId="3B99570B">
      <w:pPr>
        <w:pStyle w:val="56"/>
        <w:spacing w:line="360" w:lineRule="auto"/>
        <w:ind w:firstLine="420"/>
      </w:pPr>
      <w:r>
        <w:rPr>
          <w:rFonts w:hint="eastAsia"/>
        </w:rPr>
        <w:t>b) 可机器处理：字段类型、长度、取值范围、枚举值应明确；</w:t>
      </w:r>
    </w:p>
    <w:p w14:paraId="04AD148C">
      <w:pPr>
        <w:pStyle w:val="56"/>
        <w:spacing w:line="360" w:lineRule="auto"/>
        <w:ind w:firstLine="420"/>
      </w:pPr>
      <w:r>
        <w:rPr>
          <w:rFonts w:hint="eastAsia"/>
        </w:rPr>
        <w:t>c) 可追溯：关键字段应具备来源说明与责任主体标识；</w:t>
      </w:r>
    </w:p>
    <w:p w14:paraId="7EF9E046">
      <w:pPr>
        <w:pStyle w:val="56"/>
        <w:spacing w:line="360" w:lineRule="auto"/>
        <w:ind w:firstLine="420"/>
      </w:pPr>
      <w:r>
        <w:rPr>
          <w:rFonts w:hint="eastAsia"/>
        </w:rPr>
        <w:t>d) 可扩展：支持新增设备类别、检验类型、检测方法与新型数据载体；</w:t>
      </w:r>
    </w:p>
    <w:p w14:paraId="1169696E">
      <w:pPr>
        <w:pStyle w:val="56"/>
        <w:spacing w:line="360" w:lineRule="auto"/>
        <w:ind w:firstLine="420"/>
      </w:pPr>
      <w:r>
        <w:rPr>
          <w:rFonts w:hint="eastAsia"/>
        </w:rPr>
        <w:t>e) 可治理：数据标准变更应纳入版本控制与发布管理，并形成变更记录。</w:t>
      </w:r>
    </w:p>
    <w:p w14:paraId="1E8443AA">
      <w:pPr>
        <w:pStyle w:val="105"/>
        <w:spacing w:before="120" w:after="120" w:line="360" w:lineRule="auto"/>
      </w:pPr>
      <w:r>
        <w:rPr>
          <w:rFonts w:hint="eastAsia"/>
        </w:rPr>
        <w:t>数据字典要求</w:t>
      </w:r>
    </w:p>
    <w:p w14:paraId="6033CA5F">
      <w:pPr>
        <w:pStyle w:val="56"/>
        <w:spacing w:line="360" w:lineRule="auto"/>
        <w:ind w:firstLine="420"/>
      </w:pPr>
      <w:r>
        <w:rPr>
          <w:rFonts w:hint="eastAsia"/>
        </w:rPr>
        <w:t>数据字典至少应包含以下内容：</w:t>
      </w:r>
    </w:p>
    <w:p w14:paraId="3DE784CA">
      <w:pPr>
        <w:pStyle w:val="56"/>
        <w:spacing w:line="360" w:lineRule="auto"/>
        <w:ind w:firstLine="420"/>
      </w:pPr>
      <w:r>
        <w:rPr>
          <w:rFonts w:hint="eastAsia"/>
        </w:rPr>
        <w:t>a) 数据项名称、英文标识、定义、数据类型、长度与精度；</w:t>
      </w:r>
    </w:p>
    <w:p w14:paraId="75DE10E5">
      <w:pPr>
        <w:pStyle w:val="56"/>
        <w:spacing w:line="360" w:lineRule="auto"/>
        <w:ind w:firstLine="420"/>
      </w:pPr>
      <w:r>
        <w:rPr>
          <w:rFonts w:hint="eastAsia"/>
        </w:rPr>
        <w:t>b) 单位、取值范围、枚举值及其含义；</w:t>
      </w:r>
    </w:p>
    <w:p w14:paraId="633B2763">
      <w:pPr>
        <w:pStyle w:val="56"/>
        <w:spacing w:line="360" w:lineRule="auto"/>
        <w:ind w:firstLine="420"/>
      </w:pPr>
      <w:r>
        <w:rPr>
          <w:rFonts w:hint="eastAsia"/>
        </w:rPr>
        <w:t>c) 缺省值、是否必填、是否允许为空；</w:t>
      </w:r>
    </w:p>
    <w:p w14:paraId="6F62E717">
      <w:pPr>
        <w:pStyle w:val="56"/>
        <w:spacing w:line="360" w:lineRule="auto"/>
        <w:ind w:firstLine="420"/>
      </w:pPr>
      <w:r>
        <w:rPr>
          <w:rFonts w:hint="eastAsia"/>
        </w:rPr>
        <w:t>d) 校验规则（格式校验、范围校验、逻辑校验、交叉校验）；</w:t>
      </w:r>
    </w:p>
    <w:p w14:paraId="40484D4C">
      <w:pPr>
        <w:pStyle w:val="56"/>
        <w:spacing w:line="360" w:lineRule="auto"/>
        <w:ind w:firstLine="420"/>
      </w:pPr>
      <w:r>
        <w:rPr>
          <w:rFonts w:hint="eastAsia"/>
        </w:rPr>
        <w:t>e) 数据来源与生成规则（采集、计算、导入、引用）；</w:t>
      </w:r>
    </w:p>
    <w:p w14:paraId="30CA44D6">
      <w:pPr>
        <w:pStyle w:val="56"/>
        <w:spacing w:line="360" w:lineRule="auto"/>
        <w:ind w:firstLine="420"/>
      </w:pPr>
      <w:r>
        <w:rPr>
          <w:rFonts w:hint="eastAsia"/>
        </w:rPr>
        <w:t>f) 关联关系（主键、外键、关联表、引用规则）；</w:t>
      </w:r>
    </w:p>
    <w:p w14:paraId="3D33897A">
      <w:pPr>
        <w:pStyle w:val="56"/>
        <w:spacing w:line="360" w:lineRule="auto"/>
        <w:ind w:firstLine="420"/>
      </w:pPr>
      <w:r>
        <w:rPr>
          <w:rFonts w:hint="eastAsia"/>
        </w:rPr>
        <w:t>g) 安全属性（分类分级、脱敏规则、访问控制等级）。</w:t>
      </w:r>
    </w:p>
    <w:p w14:paraId="6191A987">
      <w:pPr>
        <w:pStyle w:val="56"/>
        <w:spacing w:line="360" w:lineRule="auto"/>
        <w:ind w:firstLine="420"/>
      </w:pPr>
      <w:r>
        <w:rPr>
          <w:rFonts w:hint="eastAsia"/>
        </w:rPr>
        <w:t>数据字典应至少每年复核一次；当业务规则、法规要求、系统接口或检验方法发生变化时，应及时评估并更新。</w:t>
      </w:r>
    </w:p>
    <w:p w14:paraId="1C5BD89F">
      <w:pPr>
        <w:pStyle w:val="105"/>
        <w:spacing w:before="120" w:after="120" w:line="360" w:lineRule="auto"/>
      </w:pPr>
      <w:r>
        <w:rPr>
          <w:rFonts w:hint="eastAsia"/>
        </w:rPr>
        <w:t>元数据要求</w:t>
      </w:r>
    </w:p>
    <w:p w14:paraId="692296E1">
      <w:pPr>
        <w:pStyle w:val="56"/>
        <w:spacing w:line="360" w:lineRule="auto"/>
        <w:ind w:firstLine="420"/>
      </w:pPr>
      <w:r>
        <w:rPr>
          <w:rFonts w:hint="eastAsia"/>
        </w:rPr>
        <w:t>应为检验检测数据建立元数据集合，用于支撑检索、共享、审计与证据链固化。元数据至少应覆盖：</w:t>
      </w:r>
    </w:p>
    <w:p w14:paraId="6F0333D7">
      <w:pPr>
        <w:pStyle w:val="56"/>
        <w:spacing w:line="360" w:lineRule="auto"/>
        <w:ind w:firstLine="420"/>
      </w:pPr>
      <w:r>
        <w:rPr>
          <w:rFonts w:hint="eastAsia"/>
        </w:rPr>
        <w:t>a) 来源信息：采集系统/终端、采集人、采集方式、采集地点或工况；</w:t>
      </w:r>
    </w:p>
    <w:p w14:paraId="68E8B3D7">
      <w:pPr>
        <w:pStyle w:val="56"/>
        <w:spacing w:line="360" w:lineRule="auto"/>
        <w:ind w:firstLine="420"/>
      </w:pPr>
      <w:r>
        <w:rPr>
          <w:rFonts w:hint="eastAsia"/>
        </w:rPr>
        <w:t>b) 时间信息：采集时间、上传时间、处理时间、签发时间（均应可追溯）；</w:t>
      </w:r>
    </w:p>
    <w:p w14:paraId="42483F4F">
      <w:pPr>
        <w:pStyle w:val="56"/>
        <w:spacing w:line="360" w:lineRule="auto"/>
        <w:ind w:firstLine="420"/>
      </w:pPr>
      <w:r>
        <w:rPr>
          <w:rFonts w:hint="eastAsia"/>
        </w:rPr>
        <w:t>c) 设备关联：设备唯一标识、单位内设备编号、使用单位标识；</w:t>
      </w:r>
    </w:p>
    <w:p w14:paraId="68B18B5E">
      <w:pPr>
        <w:pStyle w:val="56"/>
        <w:spacing w:line="360" w:lineRule="auto"/>
        <w:ind w:firstLine="420"/>
      </w:pPr>
      <w:r>
        <w:rPr>
          <w:rFonts w:hint="eastAsia"/>
        </w:rPr>
        <w:t>d) 版本信息：数据版本号、变更原因、变更审批信息；</w:t>
      </w:r>
    </w:p>
    <w:p w14:paraId="7E3C94E6">
      <w:pPr>
        <w:pStyle w:val="56"/>
        <w:spacing w:line="360" w:lineRule="auto"/>
        <w:ind w:firstLine="420"/>
      </w:pPr>
      <w:r>
        <w:rPr>
          <w:rFonts w:hint="eastAsia"/>
        </w:rPr>
        <w:t>e) 完整性校验：校验值、签名信息或校验记录；</w:t>
      </w:r>
    </w:p>
    <w:p w14:paraId="75293024">
      <w:pPr>
        <w:pStyle w:val="56"/>
        <w:spacing w:line="360" w:lineRule="auto"/>
        <w:ind w:firstLine="420"/>
      </w:pPr>
      <w:r>
        <w:rPr>
          <w:rFonts w:hint="eastAsia"/>
        </w:rPr>
        <w:t>f) 权限信息：数据等级、授权范围、共享状态与有效期；</w:t>
      </w:r>
    </w:p>
    <w:p w14:paraId="1D58A014">
      <w:pPr>
        <w:pStyle w:val="56"/>
        <w:spacing w:line="360" w:lineRule="auto"/>
        <w:ind w:firstLine="420"/>
      </w:pPr>
      <w:r>
        <w:rPr>
          <w:rFonts w:hint="eastAsia"/>
        </w:rPr>
        <w:t>g) 生命周期状态：草稿、待审核、已签发、已归档、已封存、已销毁等。</w:t>
      </w:r>
    </w:p>
    <w:p w14:paraId="305F46D5">
      <w:pPr>
        <w:pStyle w:val="105"/>
        <w:spacing w:before="120" w:after="120" w:line="360" w:lineRule="auto"/>
      </w:pPr>
      <w:r>
        <w:rPr>
          <w:rFonts w:hint="eastAsia"/>
        </w:rPr>
        <w:t>唯一标识与编码规则</w:t>
      </w:r>
    </w:p>
    <w:p w14:paraId="1D045470">
      <w:pPr>
        <w:pStyle w:val="65"/>
        <w:spacing w:before="120" w:after="120" w:line="360" w:lineRule="auto"/>
      </w:pPr>
      <w:r>
        <w:rPr>
          <w:rFonts w:hint="eastAsia"/>
        </w:rPr>
        <w:t>唯一标识原则</w:t>
      </w:r>
    </w:p>
    <w:p w14:paraId="4241FD9F">
      <w:pPr>
        <w:pStyle w:val="56"/>
        <w:spacing w:line="360" w:lineRule="auto"/>
        <w:ind w:firstLine="420"/>
      </w:pPr>
      <w:r>
        <w:rPr>
          <w:rFonts w:hint="eastAsia"/>
        </w:rPr>
        <w:t>应对“设备—检验任务—检验项目—数据对象（文件/记录）”建立层级化唯一标识体系，确保任意数据对象均可反向追溯到对应设备与检验任务。唯一标识应满足：</w:t>
      </w:r>
    </w:p>
    <w:p w14:paraId="78AB8224">
      <w:pPr>
        <w:pStyle w:val="56"/>
        <w:spacing w:line="360" w:lineRule="auto"/>
        <w:ind w:firstLine="420"/>
      </w:pPr>
      <w:r>
        <w:rPr>
          <w:rFonts w:hint="eastAsia"/>
        </w:rPr>
        <w:t>a) 全局唯一；</w:t>
      </w:r>
    </w:p>
    <w:p w14:paraId="66ACA6EC">
      <w:pPr>
        <w:pStyle w:val="56"/>
        <w:spacing w:line="360" w:lineRule="auto"/>
        <w:ind w:firstLine="420"/>
      </w:pPr>
      <w:r>
        <w:rPr>
          <w:rFonts w:hint="eastAsia"/>
        </w:rPr>
        <w:t>b) 可读可解析（宜分段表达含义）；</w:t>
      </w:r>
    </w:p>
    <w:p w14:paraId="088C91B7">
      <w:pPr>
        <w:pStyle w:val="56"/>
        <w:spacing w:line="360" w:lineRule="auto"/>
        <w:ind w:firstLine="420"/>
      </w:pPr>
      <w:r>
        <w:rPr>
          <w:rFonts w:hint="eastAsia"/>
        </w:rPr>
        <w:t>c) 不可随意变更（变更时应建立映射与审计记录）；</w:t>
      </w:r>
    </w:p>
    <w:p w14:paraId="000D69B9">
      <w:pPr>
        <w:pStyle w:val="56"/>
        <w:spacing w:line="360" w:lineRule="auto"/>
        <w:ind w:firstLine="420"/>
      </w:pPr>
      <w:r>
        <w:rPr>
          <w:rFonts w:hint="eastAsia"/>
        </w:rPr>
        <w:t>d) 支持校验。</w:t>
      </w:r>
    </w:p>
    <w:p w14:paraId="3DC01CB8">
      <w:pPr>
        <w:pStyle w:val="65"/>
        <w:spacing w:before="120" w:after="120" w:line="360" w:lineRule="auto"/>
      </w:pPr>
      <w:r>
        <w:rPr>
          <w:rFonts w:hint="eastAsia"/>
        </w:rPr>
        <w:t>编码构成建议</w:t>
      </w:r>
    </w:p>
    <w:p w14:paraId="2B499B4D">
      <w:pPr>
        <w:pStyle w:val="56"/>
        <w:spacing w:line="360" w:lineRule="auto"/>
        <w:ind w:firstLine="420"/>
      </w:pPr>
      <w:r>
        <w:rPr>
          <w:rFonts w:hint="eastAsia"/>
        </w:rPr>
        <w:t>编码字段宜采用“机构代码—业务类型—日期—序号—校验位”的组合，并结合设备类别与检验类型扩展段。对跨系统交换字段，应统一使用同一编码构成与长度约束。关键对象编码规则与字段口径示例见表2。</w:t>
      </w:r>
    </w:p>
    <w:p w14:paraId="285226B2">
      <w:pPr>
        <w:pStyle w:val="112"/>
        <w:spacing w:before="120" w:after="120" w:line="360" w:lineRule="auto"/>
      </w:pPr>
      <w:r>
        <w:rPr>
          <w:rFonts w:hint="eastAsia"/>
        </w:rPr>
        <w:t>关键对象编码规则与字段口径示例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992"/>
        <w:gridCol w:w="2552"/>
        <w:gridCol w:w="2657"/>
        <w:gridCol w:w="1867"/>
      </w:tblGrid>
      <w:tr w14:paraId="03F44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vAlign w:val="center"/>
          </w:tcPr>
          <w:p w14:paraId="04C3E7CC">
            <w:pPr>
              <w:pStyle w:val="178"/>
            </w:pPr>
            <w:r>
              <w:rPr>
                <w:rFonts w:hint="eastAsia"/>
              </w:rPr>
              <w:t>对象</w:t>
            </w:r>
          </w:p>
        </w:tc>
        <w:tc>
          <w:tcPr>
            <w:tcW w:w="992" w:type="dxa"/>
            <w:tcBorders>
              <w:top w:val="single" w:color="auto" w:sz="8" w:space="0"/>
              <w:bottom w:val="single" w:color="auto" w:sz="8" w:space="0"/>
            </w:tcBorders>
            <w:vAlign w:val="center"/>
          </w:tcPr>
          <w:p w14:paraId="6AA0208C">
            <w:pPr>
              <w:pStyle w:val="178"/>
            </w:pPr>
            <w:r>
              <w:rPr>
                <w:rFonts w:hint="eastAsia"/>
              </w:rPr>
              <w:t>编码字段</w:t>
            </w:r>
          </w:p>
        </w:tc>
        <w:tc>
          <w:tcPr>
            <w:tcW w:w="2552" w:type="dxa"/>
            <w:tcBorders>
              <w:top w:val="single" w:color="auto" w:sz="8" w:space="0"/>
              <w:bottom w:val="single" w:color="auto" w:sz="8" w:space="0"/>
            </w:tcBorders>
            <w:vAlign w:val="center"/>
          </w:tcPr>
          <w:p w14:paraId="1C0D97D8">
            <w:pPr>
              <w:pStyle w:val="178"/>
            </w:pPr>
            <w:r>
              <w:rPr>
                <w:rFonts w:hint="eastAsia"/>
              </w:rPr>
              <w:t>构成建议</w:t>
            </w:r>
          </w:p>
        </w:tc>
        <w:tc>
          <w:tcPr>
            <w:tcW w:w="2657" w:type="dxa"/>
            <w:tcBorders>
              <w:top w:val="single" w:color="auto" w:sz="8" w:space="0"/>
              <w:bottom w:val="single" w:color="auto" w:sz="8" w:space="0"/>
            </w:tcBorders>
            <w:vAlign w:val="center"/>
          </w:tcPr>
          <w:p w14:paraId="5086EC0B">
            <w:pPr>
              <w:pStyle w:val="178"/>
            </w:pPr>
            <w:r>
              <w:rPr>
                <w:rFonts w:hint="eastAsia"/>
              </w:rPr>
              <w:t>必要元数据关联</w:t>
            </w:r>
          </w:p>
        </w:tc>
        <w:tc>
          <w:tcPr>
            <w:tcW w:w="1867" w:type="dxa"/>
            <w:tcBorders>
              <w:top w:val="single" w:color="auto" w:sz="8" w:space="0"/>
              <w:bottom w:val="single" w:color="auto" w:sz="8" w:space="0"/>
            </w:tcBorders>
            <w:vAlign w:val="center"/>
          </w:tcPr>
          <w:p w14:paraId="631A5323">
            <w:pPr>
              <w:pStyle w:val="178"/>
            </w:pPr>
            <w:r>
              <w:rPr>
                <w:rFonts w:hint="eastAsia"/>
              </w:rPr>
              <w:t>管控要点</w:t>
            </w:r>
          </w:p>
        </w:tc>
      </w:tr>
      <w:tr w14:paraId="74993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vAlign w:val="center"/>
          </w:tcPr>
          <w:p w14:paraId="4DCF29E5">
            <w:pPr>
              <w:pStyle w:val="178"/>
            </w:pPr>
            <w:r>
              <w:rPr>
                <w:rFonts w:hint="eastAsia"/>
              </w:rPr>
              <w:t>设备唯一标识</w:t>
            </w:r>
          </w:p>
        </w:tc>
        <w:tc>
          <w:tcPr>
            <w:tcW w:w="992" w:type="dxa"/>
            <w:tcBorders>
              <w:top w:val="single" w:color="auto" w:sz="8" w:space="0"/>
            </w:tcBorders>
            <w:vAlign w:val="center"/>
          </w:tcPr>
          <w:p w14:paraId="1F8705D8">
            <w:pPr>
              <w:pStyle w:val="178"/>
            </w:pPr>
            <w:r>
              <w:rPr>
                <w:rFonts w:hint="eastAsia"/>
              </w:rPr>
              <w:t>EQUIP_ID</w:t>
            </w:r>
          </w:p>
        </w:tc>
        <w:tc>
          <w:tcPr>
            <w:tcW w:w="2552" w:type="dxa"/>
            <w:tcBorders>
              <w:top w:val="single" w:color="auto" w:sz="8" w:space="0"/>
            </w:tcBorders>
            <w:vAlign w:val="center"/>
          </w:tcPr>
          <w:p w14:paraId="19F7E62B">
            <w:pPr>
              <w:pStyle w:val="178"/>
            </w:pPr>
            <w:r>
              <w:rPr>
                <w:rFonts w:hint="eastAsia"/>
              </w:rPr>
              <w:t>行政区划/机构+设备类别+制造编号/登记码</w:t>
            </w:r>
          </w:p>
        </w:tc>
        <w:tc>
          <w:tcPr>
            <w:tcW w:w="2657" w:type="dxa"/>
            <w:tcBorders>
              <w:top w:val="single" w:color="auto" w:sz="8" w:space="0"/>
            </w:tcBorders>
            <w:vAlign w:val="center"/>
          </w:tcPr>
          <w:p w14:paraId="5645CA06">
            <w:pPr>
              <w:pStyle w:val="178"/>
            </w:pPr>
            <w:r>
              <w:rPr>
                <w:rFonts w:hint="eastAsia"/>
              </w:rPr>
              <w:t>使用单位ID、登记信息版本</w:t>
            </w:r>
          </w:p>
        </w:tc>
        <w:tc>
          <w:tcPr>
            <w:tcW w:w="1867" w:type="dxa"/>
            <w:tcBorders>
              <w:top w:val="single" w:color="auto" w:sz="8" w:space="0"/>
            </w:tcBorders>
            <w:vAlign w:val="center"/>
          </w:tcPr>
          <w:p w14:paraId="4E64302E">
            <w:pPr>
              <w:pStyle w:val="178"/>
            </w:pPr>
            <w:r>
              <w:rPr>
                <w:rFonts w:hint="eastAsia"/>
              </w:rPr>
              <w:t>禁止重复；与使用登记信息绑定；变更需审批</w:t>
            </w:r>
          </w:p>
        </w:tc>
      </w:tr>
      <w:tr w14:paraId="75FAD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34482123">
            <w:pPr>
              <w:pStyle w:val="178"/>
            </w:pPr>
            <w:r>
              <w:rPr>
                <w:rFonts w:hint="eastAsia"/>
              </w:rPr>
              <w:t>检验任务编号</w:t>
            </w:r>
          </w:p>
        </w:tc>
        <w:tc>
          <w:tcPr>
            <w:tcW w:w="992" w:type="dxa"/>
            <w:vAlign w:val="center"/>
          </w:tcPr>
          <w:p w14:paraId="4E2C042C">
            <w:pPr>
              <w:pStyle w:val="178"/>
            </w:pPr>
            <w:r>
              <w:rPr>
                <w:rFonts w:hint="eastAsia"/>
              </w:rPr>
              <w:t>TASK_ID</w:t>
            </w:r>
          </w:p>
        </w:tc>
        <w:tc>
          <w:tcPr>
            <w:tcW w:w="2552" w:type="dxa"/>
            <w:vAlign w:val="center"/>
          </w:tcPr>
          <w:p w14:paraId="09A8D844">
            <w:pPr>
              <w:pStyle w:val="178"/>
            </w:pPr>
            <w:r>
              <w:rPr>
                <w:rFonts w:hint="eastAsia"/>
              </w:rPr>
              <w:t>机构代码+检验类型+YYYYMMDD+流水号</w:t>
            </w:r>
          </w:p>
        </w:tc>
        <w:tc>
          <w:tcPr>
            <w:tcW w:w="2657" w:type="dxa"/>
            <w:vAlign w:val="center"/>
          </w:tcPr>
          <w:p w14:paraId="2D7D58BC">
            <w:pPr>
              <w:pStyle w:val="178"/>
            </w:pPr>
            <w:r>
              <w:rPr>
                <w:rFonts w:hint="eastAsia"/>
              </w:rPr>
              <w:t>EQUIP_ID、受理单号、计划日期</w:t>
            </w:r>
          </w:p>
        </w:tc>
        <w:tc>
          <w:tcPr>
            <w:tcW w:w="1867" w:type="dxa"/>
            <w:vAlign w:val="center"/>
          </w:tcPr>
          <w:p w14:paraId="7970CC70">
            <w:pPr>
              <w:pStyle w:val="178"/>
            </w:pPr>
            <w:r>
              <w:rPr>
                <w:rFonts w:hint="eastAsia"/>
              </w:rPr>
              <w:t>任务全流程引用；</w:t>
            </w:r>
          </w:p>
          <w:p w14:paraId="3CC1E855">
            <w:pPr>
              <w:pStyle w:val="178"/>
            </w:pPr>
            <w:r>
              <w:rPr>
                <w:rFonts w:hint="eastAsia"/>
              </w:rPr>
              <w:t>不得复用；作废需留痕</w:t>
            </w:r>
          </w:p>
        </w:tc>
      </w:tr>
      <w:tr w14:paraId="76C3C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33D78F2C">
            <w:pPr>
              <w:pStyle w:val="178"/>
            </w:pPr>
            <w:r>
              <w:rPr>
                <w:rFonts w:hint="eastAsia"/>
              </w:rPr>
              <w:t>检验项目编号</w:t>
            </w:r>
          </w:p>
        </w:tc>
        <w:tc>
          <w:tcPr>
            <w:tcW w:w="992" w:type="dxa"/>
            <w:vAlign w:val="center"/>
          </w:tcPr>
          <w:p w14:paraId="6F9C5F6D">
            <w:pPr>
              <w:pStyle w:val="178"/>
            </w:pPr>
            <w:r>
              <w:rPr>
                <w:rFonts w:hint="eastAsia"/>
              </w:rPr>
              <w:t>ITEM_ID</w:t>
            </w:r>
          </w:p>
        </w:tc>
        <w:tc>
          <w:tcPr>
            <w:tcW w:w="2552" w:type="dxa"/>
            <w:vAlign w:val="center"/>
          </w:tcPr>
          <w:p w14:paraId="5D05CDA2">
            <w:pPr>
              <w:pStyle w:val="178"/>
            </w:pPr>
            <w:r>
              <w:rPr>
                <w:rFonts w:hint="eastAsia"/>
              </w:rPr>
              <w:t>TASK_ID+项目代码+序号</w:t>
            </w:r>
          </w:p>
        </w:tc>
        <w:tc>
          <w:tcPr>
            <w:tcW w:w="2657" w:type="dxa"/>
            <w:vAlign w:val="center"/>
          </w:tcPr>
          <w:p w14:paraId="5AC82FA4">
            <w:pPr>
              <w:pStyle w:val="178"/>
            </w:pPr>
            <w:r>
              <w:rPr>
                <w:rFonts w:hint="eastAsia"/>
              </w:rPr>
              <w:t>检验方法、判定依据、</w:t>
            </w:r>
          </w:p>
          <w:p w14:paraId="42AEB590">
            <w:pPr>
              <w:pStyle w:val="178"/>
            </w:pPr>
            <w:r>
              <w:rPr>
                <w:rFonts w:hint="eastAsia"/>
              </w:rPr>
              <w:t>人员与仪器</w:t>
            </w:r>
          </w:p>
        </w:tc>
        <w:tc>
          <w:tcPr>
            <w:tcW w:w="1867" w:type="dxa"/>
            <w:vAlign w:val="center"/>
          </w:tcPr>
          <w:p w14:paraId="43783CDD">
            <w:pPr>
              <w:pStyle w:val="178"/>
            </w:pPr>
            <w:r>
              <w:rPr>
                <w:rFonts w:hint="eastAsia"/>
              </w:rPr>
              <w:t>项目代码与数据字典一致；便于统计</w:t>
            </w:r>
          </w:p>
        </w:tc>
      </w:tr>
      <w:tr w14:paraId="74109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4F700F7C">
            <w:pPr>
              <w:pStyle w:val="178"/>
            </w:pPr>
            <w:r>
              <w:rPr>
                <w:rFonts w:hint="eastAsia"/>
              </w:rPr>
              <w:t>数据对象编号</w:t>
            </w:r>
          </w:p>
        </w:tc>
        <w:tc>
          <w:tcPr>
            <w:tcW w:w="992" w:type="dxa"/>
            <w:vAlign w:val="center"/>
          </w:tcPr>
          <w:p w14:paraId="190EF479">
            <w:pPr>
              <w:pStyle w:val="178"/>
            </w:pPr>
            <w:r>
              <w:rPr>
                <w:rFonts w:hint="eastAsia"/>
              </w:rPr>
              <w:t>DATA_ID</w:t>
            </w:r>
          </w:p>
        </w:tc>
        <w:tc>
          <w:tcPr>
            <w:tcW w:w="2552" w:type="dxa"/>
            <w:vAlign w:val="center"/>
          </w:tcPr>
          <w:p w14:paraId="6DC57310">
            <w:pPr>
              <w:pStyle w:val="178"/>
            </w:pPr>
            <w:r>
              <w:rPr>
                <w:rFonts w:hint="eastAsia"/>
              </w:rPr>
              <w:t>ITEM_ID+数据类型+序号</w:t>
            </w:r>
          </w:p>
        </w:tc>
        <w:tc>
          <w:tcPr>
            <w:tcW w:w="2657" w:type="dxa"/>
            <w:vAlign w:val="center"/>
          </w:tcPr>
          <w:p w14:paraId="4ADC13FD">
            <w:pPr>
              <w:pStyle w:val="178"/>
            </w:pPr>
            <w:r>
              <w:rPr>
                <w:rFonts w:hint="eastAsia"/>
              </w:rPr>
              <w:t>文件HASH、采集时间、采集终端</w:t>
            </w:r>
          </w:p>
        </w:tc>
        <w:tc>
          <w:tcPr>
            <w:tcW w:w="1867" w:type="dxa"/>
            <w:vAlign w:val="center"/>
          </w:tcPr>
          <w:p w14:paraId="798ABB07">
            <w:pPr>
              <w:pStyle w:val="178"/>
            </w:pPr>
            <w:r>
              <w:rPr>
                <w:rFonts w:hint="eastAsia"/>
              </w:rPr>
              <w:t>支持证据链固化；</w:t>
            </w:r>
          </w:p>
          <w:p w14:paraId="77F7AF64">
            <w:pPr>
              <w:pStyle w:val="178"/>
            </w:pPr>
            <w:r>
              <w:rPr>
                <w:rFonts w:hint="eastAsia"/>
              </w:rPr>
              <w:t>导出需审计</w:t>
            </w:r>
          </w:p>
        </w:tc>
      </w:tr>
      <w:tr w14:paraId="735F2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3AA702D8">
            <w:pPr>
              <w:pStyle w:val="178"/>
            </w:pPr>
            <w:r>
              <w:rPr>
                <w:rFonts w:hint="eastAsia"/>
              </w:rPr>
              <w:t>报告编号</w:t>
            </w:r>
          </w:p>
        </w:tc>
        <w:tc>
          <w:tcPr>
            <w:tcW w:w="992" w:type="dxa"/>
            <w:vAlign w:val="center"/>
          </w:tcPr>
          <w:p w14:paraId="3424FDFF">
            <w:pPr>
              <w:pStyle w:val="178"/>
            </w:pPr>
            <w:r>
              <w:rPr>
                <w:rFonts w:hint="eastAsia"/>
              </w:rPr>
              <w:t>REPORT_ID</w:t>
            </w:r>
          </w:p>
        </w:tc>
        <w:tc>
          <w:tcPr>
            <w:tcW w:w="2552" w:type="dxa"/>
            <w:vAlign w:val="center"/>
          </w:tcPr>
          <w:p w14:paraId="0A30FE33">
            <w:pPr>
              <w:pStyle w:val="178"/>
            </w:pPr>
            <w:r>
              <w:rPr>
                <w:rFonts w:hint="eastAsia"/>
              </w:rPr>
              <w:t>机构代码+报告类型+年度+序号</w:t>
            </w:r>
          </w:p>
        </w:tc>
        <w:tc>
          <w:tcPr>
            <w:tcW w:w="2657" w:type="dxa"/>
            <w:vAlign w:val="center"/>
          </w:tcPr>
          <w:p w14:paraId="1494A6D9">
            <w:pPr>
              <w:pStyle w:val="178"/>
            </w:pPr>
            <w:r>
              <w:rPr>
                <w:rFonts w:hint="eastAsia"/>
              </w:rPr>
              <w:t>审核人、批准人、签章信息</w:t>
            </w:r>
          </w:p>
        </w:tc>
        <w:tc>
          <w:tcPr>
            <w:tcW w:w="1867" w:type="dxa"/>
            <w:vAlign w:val="center"/>
          </w:tcPr>
          <w:p w14:paraId="41636175">
            <w:pPr>
              <w:pStyle w:val="178"/>
            </w:pPr>
            <w:r>
              <w:rPr>
                <w:rFonts w:hint="eastAsia"/>
              </w:rPr>
              <w:t>签发后只读封存；</w:t>
            </w:r>
          </w:p>
          <w:p w14:paraId="25D18EC7">
            <w:pPr>
              <w:pStyle w:val="178"/>
            </w:pPr>
            <w:r>
              <w:rPr>
                <w:rFonts w:hint="eastAsia"/>
              </w:rPr>
              <w:t>更正走变更流程</w:t>
            </w:r>
          </w:p>
        </w:tc>
      </w:tr>
    </w:tbl>
    <w:p w14:paraId="0AC5A94F">
      <w:pPr>
        <w:pStyle w:val="105"/>
        <w:spacing w:before="120" w:after="120" w:line="360" w:lineRule="auto"/>
      </w:pPr>
      <w:r>
        <w:rPr>
          <w:rFonts w:hint="eastAsia"/>
        </w:rPr>
        <w:t>数据格式、单位与时间表达</w:t>
      </w:r>
    </w:p>
    <w:p w14:paraId="2764C02E">
      <w:pPr>
        <w:pStyle w:val="56"/>
        <w:spacing w:line="360" w:lineRule="auto"/>
        <w:ind w:firstLine="420"/>
      </w:pPr>
      <w:r>
        <w:rPr>
          <w:rFonts w:hint="eastAsia"/>
        </w:rPr>
        <w:t>数据格式、单位与时间表达中，应满足：</w:t>
      </w:r>
    </w:p>
    <w:p w14:paraId="226E4412">
      <w:pPr>
        <w:pStyle w:val="56"/>
        <w:spacing w:line="360" w:lineRule="auto"/>
        <w:ind w:firstLine="420"/>
      </w:pPr>
      <w:r>
        <w:rPr>
          <w:rFonts w:hint="eastAsia"/>
        </w:rPr>
        <w:t>a) 日期与时间表达应采用统一格式，宜使用“YYYY-MM-DD”与“hh:mm:ss”，并明确时区；涉及跨系统对时的，应采用统一时钟源并记录校时信息；</w:t>
      </w:r>
    </w:p>
    <w:p w14:paraId="7B362673">
      <w:pPr>
        <w:pStyle w:val="56"/>
        <w:spacing w:line="360" w:lineRule="auto"/>
        <w:ind w:firstLine="420"/>
      </w:pPr>
      <w:r>
        <w:rPr>
          <w:rFonts w:hint="eastAsia"/>
        </w:rPr>
        <w:t>b) 数值数据应统一单位与精度，同一指标不得出现多单位并存；必要时应提供换算规则与换算来源；</w:t>
      </w:r>
    </w:p>
    <w:p w14:paraId="676E07A8">
      <w:pPr>
        <w:pStyle w:val="56"/>
        <w:spacing w:line="360" w:lineRule="auto"/>
        <w:ind w:firstLine="420"/>
      </w:pPr>
      <w:r>
        <w:rPr>
          <w:rFonts w:hint="eastAsia"/>
        </w:rPr>
        <w:t>c) 坐标、长度、压力、温度等应明确计量单位与量纲；</w:t>
      </w:r>
    </w:p>
    <w:p w14:paraId="032897DE">
      <w:pPr>
        <w:pStyle w:val="56"/>
        <w:spacing w:line="360" w:lineRule="auto"/>
        <w:ind w:firstLine="420"/>
      </w:pPr>
      <w:r>
        <w:rPr>
          <w:rFonts w:hint="eastAsia"/>
        </w:rPr>
        <w:t>d) 非结构化数据（图片、视频、波形）应规定文件格式、分辨率/采样率、压缩方式与命名规则，并与DATA_ID绑定；</w:t>
      </w:r>
    </w:p>
    <w:p w14:paraId="0FC1366C">
      <w:pPr>
        <w:pStyle w:val="56"/>
        <w:spacing w:line="360" w:lineRule="auto"/>
        <w:ind w:firstLine="420"/>
      </w:pPr>
      <w:r>
        <w:rPr>
          <w:rFonts w:hint="eastAsia"/>
        </w:rPr>
        <w:t>e) 对扫描件、照片等取证类数据，应保留原始文件，并单独生成展示用副本（如加水印、降分辨率），原件应封存。</w:t>
      </w:r>
    </w:p>
    <w:p w14:paraId="0C591111">
      <w:pPr>
        <w:pStyle w:val="105"/>
        <w:spacing w:before="120" w:after="120" w:line="360" w:lineRule="auto"/>
      </w:pPr>
      <w:r>
        <w:rPr>
          <w:rFonts w:hint="eastAsia"/>
        </w:rPr>
        <w:t>版本管理与变更控制</w:t>
      </w:r>
    </w:p>
    <w:p w14:paraId="6993B471">
      <w:pPr>
        <w:pStyle w:val="56"/>
        <w:spacing w:line="360" w:lineRule="auto"/>
        <w:ind w:firstLine="420"/>
      </w:pPr>
      <w:r>
        <w:rPr>
          <w:rFonts w:hint="eastAsia"/>
        </w:rPr>
        <w:t>在版本管理与变更中，应满足：</w:t>
      </w:r>
    </w:p>
    <w:p w14:paraId="3802A967">
      <w:pPr>
        <w:pStyle w:val="56"/>
        <w:spacing w:line="360" w:lineRule="auto"/>
        <w:ind w:firstLine="420"/>
      </w:pPr>
      <w:r>
        <w:rPr>
          <w:rFonts w:hint="eastAsia"/>
        </w:rPr>
        <w:t>a) 对数据字典、接口规范、编码规则、检验报告模板与关键算法参数实施版本管理；</w:t>
      </w:r>
    </w:p>
    <w:p w14:paraId="5929B1A1">
      <w:pPr>
        <w:pStyle w:val="56"/>
        <w:spacing w:line="360" w:lineRule="auto"/>
        <w:ind w:firstLine="420"/>
      </w:pPr>
      <w:r>
        <w:rPr>
          <w:rFonts w:hint="eastAsia"/>
        </w:rPr>
        <w:t>b) 对已签发或已归档数据的更正，应采用“更正单/补充记录”方式，不得直接覆盖原始数据；</w:t>
      </w:r>
    </w:p>
    <w:p w14:paraId="2F9045D4">
      <w:pPr>
        <w:pStyle w:val="56"/>
        <w:spacing w:line="360" w:lineRule="auto"/>
        <w:ind w:firstLine="420"/>
      </w:pPr>
      <w:r>
        <w:rPr>
          <w:rFonts w:hint="eastAsia"/>
        </w:rPr>
        <w:t>c) 任何数据变更均应记录变更人、变更时间、变更原因、审批人、变更前后内容摘要，并保留可比对痕迹；</w:t>
      </w:r>
    </w:p>
    <w:p w14:paraId="57D550B1">
      <w:pPr>
        <w:pStyle w:val="56"/>
        <w:spacing w:line="360" w:lineRule="auto"/>
        <w:ind w:firstLine="420"/>
      </w:pPr>
      <w:r>
        <w:rPr>
          <w:rFonts w:hint="eastAsia"/>
        </w:rPr>
        <w:t>d) 关键证据数据（原始记录、无损检测原始文件、签发报告）应实施只读保护或等效防篡改措施。</w:t>
      </w:r>
    </w:p>
    <w:p w14:paraId="181E03FD">
      <w:pPr>
        <w:pStyle w:val="56"/>
        <w:spacing w:line="360" w:lineRule="auto"/>
        <w:ind w:firstLine="420"/>
      </w:pPr>
    </w:p>
    <w:p w14:paraId="73FDFC2F">
      <w:pPr>
        <w:pStyle w:val="104"/>
        <w:spacing w:before="240" w:after="240" w:line="360" w:lineRule="auto"/>
      </w:pPr>
      <w:bookmarkStart w:id="53" w:name="_Toc220230186"/>
      <w:r>
        <w:rPr>
          <w:rFonts w:hint="eastAsia"/>
        </w:rPr>
        <w:t>数据采集与质量控制</w:t>
      </w:r>
      <w:bookmarkEnd w:id="53"/>
    </w:p>
    <w:p w14:paraId="747677E0">
      <w:pPr>
        <w:pStyle w:val="105"/>
        <w:spacing w:before="120" w:after="120" w:line="360" w:lineRule="auto"/>
      </w:pPr>
      <w:r>
        <w:rPr>
          <w:rFonts w:hint="eastAsia"/>
        </w:rPr>
        <w:t>采集总体要求</w:t>
      </w:r>
    </w:p>
    <w:p w14:paraId="6BE61C4E">
      <w:pPr>
        <w:pStyle w:val="56"/>
        <w:spacing w:line="360" w:lineRule="auto"/>
        <w:ind w:firstLine="420"/>
      </w:pPr>
      <w:r>
        <w:rPr>
          <w:rFonts w:hint="eastAsia"/>
        </w:rPr>
        <w:t>检验检测数据采集应坚持“原始性、同步性、完整性、可复现性”的要求，形成从现场/实验室到系统入库的受控流程。采集活动至少应满足：</w:t>
      </w:r>
    </w:p>
    <w:p w14:paraId="75D8BA98">
      <w:pPr>
        <w:pStyle w:val="56"/>
        <w:spacing w:line="360" w:lineRule="auto"/>
        <w:ind w:firstLine="420"/>
      </w:pPr>
      <w:r>
        <w:rPr>
          <w:rFonts w:hint="eastAsia"/>
        </w:rPr>
        <w:t>a) 采集前准备：明确检验任务、适用依据、采集清单、必填字段、仪器设备与人员资质；</w:t>
      </w:r>
    </w:p>
    <w:p w14:paraId="167B51EE">
      <w:pPr>
        <w:pStyle w:val="56"/>
        <w:spacing w:line="360" w:lineRule="auto"/>
        <w:ind w:firstLine="420"/>
      </w:pPr>
      <w:r>
        <w:rPr>
          <w:rFonts w:hint="eastAsia"/>
        </w:rPr>
        <w:t>b) 采集中控制：按规定方法采集并即时校验，关键步骤留痕；</w:t>
      </w:r>
    </w:p>
    <w:p w14:paraId="1402E2EB">
      <w:pPr>
        <w:pStyle w:val="56"/>
        <w:spacing w:line="360" w:lineRule="auto"/>
        <w:ind w:firstLine="420"/>
      </w:pPr>
      <w:r>
        <w:rPr>
          <w:rFonts w:hint="eastAsia"/>
        </w:rPr>
        <w:t>c) 采集后核对：对完整性、逻辑一致性与关联关系进行复核；</w:t>
      </w:r>
    </w:p>
    <w:p w14:paraId="4DC80179">
      <w:pPr>
        <w:pStyle w:val="56"/>
        <w:spacing w:line="360" w:lineRule="auto"/>
        <w:ind w:firstLine="420"/>
      </w:pPr>
      <w:r>
        <w:rPr>
          <w:rFonts w:hint="eastAsia"/>
        </w:rPr>
        <w:t>d) 入库与封存：对关键证据数据生成校验值并固化元数据；</w:t>
      </w:r>
    </w:p>
    <w:p w14:paraId="125893A0">
      <w:pPr>
        <w:pStyle w:val="56"/>
        <w:spacing w:line="360" w:lineRule="auto"/>
        <w:ind w:firstLine="420"/>
      </w:pPr>
      <w:r>
        <w:rPr>
          <w:rFonts w:hint="eastAsia"/>
        </w:rPr>
        <w:t>e) 异常处理：对缺失、异常、疑似篡改等情况按程序处置并记录。</w:t>
      </w:r>
    </w:p>
    <w:p w14:paraId="62AA2471">
      <w:pPr>
        <w:pStyle w:val="105"/>
        <w:spacing w:before="120" w:after="120" w:line="360" w:lineRule="auto"/>
      </w:pPr>
      <w:r>
        <w:rPr>
          <w:rFonts w:hint="eastAsia"/>
        </w:rPr>
        <w:t>采集清单与字段完整性控制</w:t>
      </w:r>
    </w:p>
    <w:p w14:paraId="6D9C0B1B">
      <w:pPr>
        <w:pStyle w:val="56"/>
        <w:spacing w:line="360" w:lineRule="auto"/>
        <w:ind w:firstLine="420"/>
      </w:pPr>
      <w:r>
        <w:rPr>
          <w:rFonts w:hint="eastAsia"/>
        </w:rPr>
        <w:t>检验检测机构应根据设备类别与检验类型建立“数据采集清单”，至少包括设备标识信息、工况信息、检验项目数据、原始记录与证据材料、人员与仪器信息等。</w:t>
      </w:r>
    </w:p>
    <w:p w14:paraId="16630A7D">
      <w:pPr>
        <w:pStyle w:val="56"/>
        <w:spacing w:line="360" w:lineRule="auto"/>
        <w:ind w:firstLine="420"/>
      </w:pPr>
      <w:r>
        <w:rPr>
          <w:rFonts w:hint="eastAsia"/>
        </w:rPr>
        <w:t>a) 对必填字段应实施系统强制校验（未填不得提交）；</w:t>
      </w:r>
    </w:p>
    <w:p w14:paraId="709624AA">
      <w:pPr>
        <w:pStyle w:val="56"/>
        <w:spacing w:line="360" w:lineRule="auto"/>
        <w:ind w:firstLine="420"/>
      </w:pPr>
      <w:r>
        <w:rPr>
          <w:rFonts w:hint="eastAsia"/>
        </w:rPr>
        <w:t>b) 对关键字段（EQUIP_ID、TASK_ID、检验日期、检验结论、判定依据等）应实施格式校验与交叉校验；</w:t>
      </w:r>
    </w:p>
    <w:p w14:paraId="4B0983FF">
      <w:pPr>
        <w:pStyle w:val="56"/>
        <w:spacing w:line="360" w:lineRule="auto"/>
        <w:ind w:firstLine="420"/>
      </w:pPr>
      <w:r>
        <w:rPr>
          <w:rFonts w:hint="eastAsia"/>
        </w:rPr>
        <w:t>c) 对可选字段应明确适用条件，避免“可填可不填”导致口径漂移；</w:t>
      </w:r>
    </w:p>
    <w:p w14:paraId="54DA3A76">
      <w:pPr>
        <w:pStyle w:val="56"/>
        <w:spacing w:line="360" w:lineRule="auto"/>
        <w:ind w:firstLine="420"/>
      </w:pPr>
      <w:r>
        <w:rPr>
          <w:rFonts w:hint="eastAsia"/>
        </w:rPr>
        <w:t>d) 对外部导入数据应进行字段映射校验与差异报告输出。</w:t>
      </w:r>
    </w:p>
    <w:p w14:paraId="73EE5A37">
      <w:pPr>
        <w:pStyle w:val="105"/>
        <w:spacing w:before="120" w:after="120" w:line="360" w:lineRule="auto"/>
      </w:pPr>
      <w:r>
        <w:rPr>
          <w:rFonts w:hint="eastAsia"/>
        </w:rPr>
        <w:t>现场采集控制要求</w:t>
      </w:r>
    </w:p>
    <w:p w14:paraId="7E23343C">
      <w:pPr>
        <w:pStyle w:val="65"/>
        <w:spacing w:before="120" w:after="120" w:line="360" w:lineRule="auto"/>
      </w:pPr>
      <w:r>
        <w:rPr>
          <w:rFonts w:hint="eastAsia"/>
        </w:rPr>
        <w:t>人员与终端要求</w:t>
      </w:r>
    </w:p>
    <w:p w14:paraId="26B3D6E0">
      <w:pPr>
        <w:pStyle w:val="56"/>
        <w:spacing w:line="360" w:lineRule="auto"/>
        <w:ind w:firstLine="420"/>
      </w:pPr>
      <w:r>
        <w:rPr>
          <w:rFonts w:hint="eastAsia"/>
        </w:rPr>
        <w:t>人员与终端要求如下：</w:t>
      </w:r>
    </w:p>
    <w:p w14:paraId="2AEC768A">
      <w:pPr>
        <w:pStyle w:val="56"/>
        <w:spacing w:line="360" w:lineRule="auto"/>
        <w:ind w:firstLine="420"/>
      </w:pPr>
      <w:r>
        <w:rPr>
          <w:rFonts w:hint="eastAsia"/>
        </w:rPr>
        <w:t>a) 采集人员应具备相应资质或授权，账号实行实名制与分角色权限；</w:t>
      </w:r>
    </w:p>
    <w:p w14:paraId="4C8C661F">
      <w:pPr>
        <w:pStyle w:val="56"/>
        <w:spacing w:line="360" w:lineRule="auto"/>
        <w:ind w:firstLine="420"/>
      </w:pPr>
      <w:r>
        <w:rPr>
          <w:rFonts w:hint="eastAsia"/>
        </w:rPr>
        <w:t>b) 移动终端采集应具备身份认证、数据加密、离线缓存与安全擦除能力；</w:t>
      </w:r>
    </w:p>
    <w:p w14:paraId="413692DF">
      <w:pPr>
        <w:pStyle w:val="56"/>
        <w:spacing w:line="360" w:lineRule="auto"/>
        <w:ind w:firstLine="420"/>
      </w:pPr>
      <w:r>
        <w:rPr>
          <w:rFonts w:hint="eastAsia"/>
        </w:rPr>
        <w:t>c) 终端应具备时间同步机制，离线采集后上线同步时应记录“采集时间”与“上传时间”；</w:t>
      </w:r>
    </w:p>
    <w:p w14:paraId="0880EEDB">
      <w:pPr>
        <w:pStyle w:val="56"/>
        <w:spacing w:line="360" w:lineRule="auto"/>
        <w:ind w:firstLine="420"/>
      </w:pPr>
      <w:r>
        <w:rPr>
          <w:rFonts w:hint="eastAsia"/>
        </w:rPr>
        <w:t>d) 现场影像采集应开启防篡改策略（如原图保全、自动写入时间与任务号水印/元数据）。</w:t>
      </w:r>
    </w:p>
    <w:p w14:paraId="29D38AA0">
      <w:pPr>
        <w:pStyle w:val="65"/>
        <w:spacing w:before="120" w:after="120" w:line="360" w:lineRule="auto"/>
      </w:pPr>
      <w:r>
        <w:rPr>
          <w:rFonts w:hint="eastAsia"/>
        </w:rPr>
        <w:t>现场环境与工况记录</w:t>
      </w:r>
    </w:p>
    <w:p w14:paraId="67FAC09E">
      <w:pPr>
        <w:pStyle w:val="56"/>
        <w:spacing w:line="360" w:lineRule="auto"/>
        <w:ind w:firstLine="420"/>
      </w:pPr>
      <w:r>
        <w:rPr>
          <w:rFonts w:hint="eastAsia"/>
        </w:rPr>
        <w:t>对可能影响检测结果的环境与工况应记录并入库，至少包括：温度、湿度、介质状态、载荷/运行状态、停机/带压条件、现场安全措施与限制条件等。对关键工况信息缺失的，应在报告或结论数据中体现限制性说明。</w:t>
      </w:r>
    </w:p>
    <w:p w14:paraId="0EA29CB4">
      <w:pPr>
        <w:pStyle w:val="56"/>
        <w:spacing w:line="360" w:lineRule="auto"/>
        <w:ind w:firstLine="420"/>
      </w:pPr>
    </w:p>
    <w:p w14:paraId="5EDC1C8C">
      <w:pPr>
        <w:pStyle w:val="56"/>
        <w:spacing w:line="360" w:lineRule="auto"/>
        <w:ind w:firstLine="420"/>
      </w:pPr>
    </w:p>
    <w:p w14:paraId="69C04167">
      <w:pPr>
        <w:pStyle w:val="105"/>
        <w:spacing w:before="120" w:after="120" w:line="360" w:lineRule="auto"/>
      </w:pPr>
      <w:r>
        <w:rPr>
          <w:rFonts w:hint="eastAsia"/>
        </w:rPr>
        <w:t>仪器设备与计量溯源数据要求</w:t>
      </w:r>
    </w:p>
    <w:p w14:paraId="5BC73B54">
      <w:pPr>
        <w:pStyle w:val="56"/>
        <w:spacing w:line="360" w:lineRule="auto"/>
        <w:ind w:firstLine="420"/>
      </w:pPr>
      <w:r>
        <w:rPr>
          <w:rFonts w:hint="eastAsia"/>
        </w:rPr>
        <w:t>仪器设备与计量溯源数据要求如下：</w:t>
      </w:r>
    </w:p>
    <w:p w14:paraId="638F7B2E">
      <w:pPr>
        <w:pStyle w:val="56"/>
        <w:spacing w:line="360" w:lineRule="auto"/>
        <w:ind w:firstLine="420"/>
      </w:pPr>
      <w:r>
        <w:rPr>
          <w:rFonts w:hint="eastAsia"/>
        </w:rPr>
        <w:t>a) 采集所用仪器设备应与检验项目绑定记录，至少包含仪器编号、型号规格、校准/检定状态、有效期与证书编号；</w:t>
      </w:r>
    </w:p>
    <w:p w14:paraId="12757558">
      <w:pPr>
        <w:pStyle w:val="56"/>
        <w:spacing w:line="360" w:lineRule="auto"/>
        <w:ind w:firstLine="420"/>
      </w:pPr>
      <w:r>
        <w:rPr>
          <w:rFonts w:hint="eastAsia"/>
        </w:rPr>
        <w:t>b) 超期、停用或状态异常的仪器不得用于数据采集；如因特殊情况使用，应经批准并采取补救措施，形成记录；</w:t>
      </w:r>
    </w:p>
    <w:p w14:paraId="3F237E72">
      <w:pPr>
        <w:pStyle w:val="56"/>
        <w:spacing w:line="360" w:lineRule="auto"/>
        <w:ind w:firstLine="420"/>
      </w:pPr>
      <w:r>
        <w:rPr>
          <w:rFonts w:hint="eastAsia"/>
        </w:rPr>
        <w:t>c) 对自动采集或在线监测数据，应记录采样频率、采样策略、量程与报警阈值配置版本；</w:t>
      </w:r>
    </w:p>
    <w:p w14:paraId="23396911">
      <w:pPr>
        <w:pStyle w:val="56"/>
        <w:spacing w:line="360" w:lineRule="auto"/>
        <w:ind w:firstLine="420"/>
      </w:pPr>
      <w:r>
        <w:rPr>
          <w:rFonts w:hint="eastAsia"/>
        </w:rPr>
        <w:t>d) 对软件计算结果应记录软件版本、算法参数与关键输入数据引用，确保结论可复现。</w:t>
      </w:r>
    </w:p>
    <w:p w14:paraId="168236BF">
      <w:pPr>
        <w:pStyle w:val="105"/>
        <w:spacing w:before="120" w:after="120" w:line="360" w:lineRule="auto"/>
      </w:pPr>
      <w:r>
        <w:rPr>
          <w:rFonts w:hint="eastAsia"/>
        </w:rPr>
        <w:t>无损检测与多媒体证据数据采集要求</w:t>
      </w:r>
    </w:p>
    <w:p w14:paraId="60A6E259">
      <w:pPr>
        <w:pStyle w:val="56"/>
        <w:spacing w:line="360" w:lineRule="auto"/>
        <w:ind w:firstLine="420"/>
      </w:pPr>
      <w:r>
        <w:rPr>
          <w:rFonts w:hint="eastAsia"/>
        </w:rPr>
        <w:t>无损检测与多媒体证据数据采集要求如下：</w:t>
      </w:r>
    </w:p>
    <w:p w14:paraId="28FC5B15">
      <w:pPr>
        <w:pStyle w:val="56"/>
        <w:spacing w:line="360" w:lineRule="auto"/>
        <w:ind w:firstLine="420"/>
      </w:pPr>
      <w:r>
        <w:rPr>
          <w:rFonts w:hint="eastAsia"/>
        </w:rPr>
        <w:t>a) 无损检测原始数据（波形、底片/数字射线、相控阵数据、磁粉/渗透影像等）应以原始格式保存并与DATA_ID绑定；</w:t>
      </w:r>
    </w:p>
    <w:p w14:paraId="743EECF9">
      <w:pPr>
        <w:pStyle w:val="56"/>
        <w:spacing w:line="360" w:lineRule="auto"/>
        <w:ind w:firstLine="420"/>
      </w:pPr>
      <w:r>
        <w:rPr>
          <w:rFonts w:hint="eastAsia"/>
        </w:rPr>
        <w:t>b) 应保留关键采集参数（探头型号、频率、增益、扫描路径、曝光参数等），并作为元数据入库；</w:t>
      </w:r>
    </w:p>
    <w:p w14:paraId="2D15FD13">
      <w:pPr>
        <w:pStyle w:val="56"/>
        <w:spacing w:line="360" w:lineRule="auto"/>
        <w:ind w:firstLine="420"/>
      </w:pPr>
      <w:r>
        <w:rPr>
          <w:rFonts w:hint="eastAsia"/>
        </w:rPr>
        <w:t>c) 对影像类数据应要求清晰可辨识、具备尺度或标识参照；必要时应同时保存“原始文件”与“标注解释文件”；</w:t>
      </w:r>
    </w:p>
    <w:p w14:paraId="3F9A9C0B">
      <w:pPr>
        <w:pStyle w:val="56"/>
        <w:spacing w:line="360" w:lineRule="auto"/>
        <w:ind w:firstLine="420"/>
      </w:pPr>
      <w:r>
        <w:rPr>
          <w:rFonts w:hint="eastAsia"/>
        </w:rPr>
        <w:t>d) 对视频类数据应记录拍摄位置、时长、帧率、关键片段索引；</w:t>
      </w:r>
    </w:p>
    <w:p w14:paraId="33C1DC98">
      <w:pPr>
        <w:pStyle w:val="56"/>
        <w:spacing w:line="360" w:lineRule="auto"/>
        <w:ind w:firstLine="420"/>
      </w:pPr>
      <w:r>
        <w:rPr>
          <w:rFonts w:hint="eastAsia"/>
        </w:rPr>
        <w:t>e) 禁止以截图、二次压缩替代原始文件；如需压缩传输，应保留原件并记录压缩策略与校验值。</w:t>
      </w:r>
    </w:p>
    <w:p w14:paraId="30A9F720">
      <w:pPr>
        <w:pStyle w:val="105"/>
        <w:spacing w:before="120" w:after="120" w:line="360" w:lineRule="auto"/>
      </w:pPr>
      <w:r>
        <w:rPr>
          <w:rFonts w:hint="eastAsia"/>
        </w:rPr>
        <w:t>数据校验与质量控制规则</w:t>
      </w:r>
    </w:p>
    <w:p w14:paraId="28A7BD31">
      <w:pPr>
        <w:pStyle w:val="65"/>
        <w:spacing w:before="120" w:after="120" w:line="360" w:lineRule="auto"/>
      </w:pPr>
      <w:r>
        <w:rPr>
          <w:rFonts w:hint="eastAsia"/>
        </w:rPr>
        <w:t>自动校验</w:t>
      </w:r>
    </w:p>
    <w:p w14:paraId="3E7F9E6B">
      <w:pPr>
        <w:pStyle w:val="56"/>
        <w:spacing w:line="360" w:lineRule="auto"/>
        <w:ind w:firstLine="420"/>
      </w:pPr>
      <w:r>
        <w:rPr>
          <w:rFonts w:hint="eastAsia"/>
        </w:rPr>
        <w:t>信息系统应至少具备以下自动校验能力：</w:t>
      </w:r>
    </w:p>
    <w:p w14:paraId="40ED49AF">
      <w:pPr>
        <w:pStyle w:val="56"/>
        <w:spacing w:line="360" w:lineRule="auto"/>
        <w:ind w:firstLine="420"/>
      </w:pPr>
      <w:r>
        <w:rPr>
          <w:rFonts w:hint="eastAsia"/>
        </w:rPr>
        <w:t>a) 格式校验：日期格式、编码长度、数值类型、单位一致性；</w:t>
      </w:r>
    </w:p>
    <w:p w14:paraId="6A309E1B">
      <w:pPr>
        <w:pStyle w:val="56"/>
        <w:spacing w:line="360" w:lineRule="auto"/>
        <w:ind w:firstLine="420"/>
      </w:pPr>
      <w:r>
        <w:rPr>
          <w:rFonts w:hint="eastAsia"/>
        </w:rPr>
        <w:t>b) 范围校验：厚度、压力、温度等指标的合理区间；</w:t>
      </w:r>
    </w:p>
    <w:p w14:paraId="662E6259">
      <w:pPr>
        <w:pStyle w:val="56"/>
        <w:spacing w:line="360" w:lineRule="auto"/>
        <w:ind w:firstLine="420"/>
      </w:pPr>
      <w:r>
        <w:rPr>
          <w:rFonts w:hint="eastAsia"/>
        </w:rPr>
        <w:t>c) 逻辑校验：检验类型与项目集合匹配、结论与缺陷等级匹配、停机条件与方法适用性匹配；</w:t>
      </w:r>
    </w:p>
    <w:p w14:paraId="1C7FE9CB">
      <w:pPr>
        <w:pStyle w:val="56"/>
        <w:spacing w:line="360" w:lineRule="auto"/>
        <w:ind w:firstLine="420"/>
      </w:pPr>
      <w:r>
        <w:rPr>
          <w:rFonts w:hint="eastAsia"/>
        </w:rPr>
        <w:t>d) 关联校验：TASK_ID必须关联EQUIP_ID，ITEM_ID必须关联TASK_ID；</w:t>
      </w:r>
    </w:p>
    <w:p w14:paraId="7238D514">
      <w:pPr>
        <w:pStyle w:val="56"/>
        <w:spacing w:line="360" w:lineRule="auto"/>
        <w:ind w:firstLine="420"/>
      </w:pPr>
      <w:r>
        <w:rPr>
          <w:rFonts w:hint="eastAsia"/>
        </w:rPr>
        <w:t>e) 重复校验：同任务同项目重复录入提示与合并策略；</w:t>
      </w:r>
    </w:p>
    <w:p w14:paraId="31A8092C">
      <w:pPr>
        <w:pStyle w:val="56"/>
        <w:spacing w:line="360" w:lineRule="auto"/>
        <w:ind w:firstLine="420"/>
      </w:pPr>
      <w:r>
        <w:rPr>
          <w:rFonts w:hint="eastAsia"/>
        </w:rPr>
        <w:t>f) 完整性校验：对证据文件生成HASH并在上传/下载/归档时校验一致性。</w:t>
      </w:r>
    </w:p>
    <w:p w14:paraId="1371B28A">
      <w:pPr>
        <w:pStyle w:val="65"/>
        <w:spacing w:before="120" w:after="120" w:line="360" w:lineRule="auto"/>
      </w:pPr>
      <w:r>
        <w:rPr>
          <w:rFonts w:hint="eastAsia"/>
        </w:rPr>
        <w:t>人工复核</w:t>
      </w:r>
    </w:p>
    <w:p w14:paraId="48EE97ED">
      <w:pPr>
        <w:pStyle w:val="56"/>
        <w:spacing w:line="360" w:lineRule="auto"/>
        <w:ind w:firstLine="420"/>
      </w:pPr>
      <w:r>
        <w:rPr>
          <w:rFonts w:hint="eastAsia"/>
        </w:rPr>
        <w:t>对关键结果数据与证据链数据应实施人工复核，复核要点包括：</w:t>
      </w:r>
    </w:p>
    <w:p w14:paraId="04473BF0">
      <w:pPr>
        <w:pStyle w:val="56"/>
        <w:spacing w:line="360" w:lineRule="auto"/>
        <w:ind w:firstLine="420"/>
      </w:pPr>
      <w:r>
        <w:rPr>
          <w:rFonts w:hint="eastAsia"/>
        </w:rPr>
        <w:t>a) 原始记录与结果数据一致性；</w:t>
      </w:r>
    </w:p>
    <w:p w14:paraId="3BD31BB0">
      <w:pPr>
        <w:pStyle w:val="56"/>
        <w:spacing w:line="360" w:lineRule="auto"/>
        <w:ind w:firstLine="420"/>
      </w:pPr>
      <w:r>
        <w:rPr>
          <w:rFonts w:hint="eastAsia"/>
        </w:rPr>
        <w:t>b) 关键照片/波形与缺陷描述一致性；</w:t>
      </w:r>
    </w:p>
    <w:p w14:paraId="2CD9FCF0">
      <w:pPr>
        <w:pStyle w:val="56"/>
        <w:spacing w:line="360" w:lineRule="auto"/>
        <w:ind w:firstLine="420"/>
      </w:pPr>
      <w:r>
        <w:rPr>
          <w:rFonts w:hint="eastAsia"/>
        </w:rPr>
        <w:t>c) 仪器状态与采集时间在有效期内；</w:t>
      </w:r>
    </w:p>
    <w:p w14:paraId="41C96066">
      <w:pPr>
        <w:pStyle w:val="56"/>
        <w:spacing w:line="360" w:lineRule="auto"/>
        <w:ind w:firstLine="420"/>
      </w:pPr>
      <w:r>
        <w:rPr>
          <w:rFonts w:hint="eastAsia"/>
        </w:rPr>
        <w:t>d) 结论判定依据引用准确；</w:t>
      </w:r>
    </w:p>
    <w:p w14:paraId="65840165">
      <w:pPr>
        <w:pStyle w:val="56"/>
        <w:spacing w:line="360" w:lineRule="auto"/>
        <w:ind w:firstLine="420"/>
      </w:pPr>
      <w:r>
        <w:rPr>
          <w:rFonts w:hint="eastAsia"/>
        </w:rPr>
        <w:t>e) 更正、补录、异常说明符合程序。</w:t>
      </w:r>
    </w:p>
    <w:p w14:paraId="6DBAECF2">
      <w:pPr>
        <w:pStyle w:val="56"/>
        <w:spacing w:line="360" w:lineRule="auto"/>
        <w:ind w:firstLine="420"/>
      </w:pPr>
      <w:r>
        <w:rPr>
          <w:rFonts w:hint="eastAsia"/>
        </w:rPr>
        <w:t>人工复核应记录复核人、复核时间、复核意见与处置结果。</w:t>
      </w:r>
    </w:p>
    <w:p w14:paraId="043CFC9F">
      <w:pPr>
        <w:pStyle w:val="105"/>
        <w:spacing w:before="120" w:after="120" w:line="360" w:lineRule="auto"/>
      </w:pPr>
      <w:r>
        <w:rPr>
          <w:rFonts w:hint="eastAsia"/>
        </w:rPr>
        <w:t>异常数据处置与纠错机制</w:t>
      </w:r>
    </w:p>
    <w:p w14:paraId="3F5B94E1">
      <w:pPr>
        <w:pStyle w:val="165"/>
        <w:spacing w:line="360" w:lineRule="auto"/>
      </w:pPr>
      <w:r>
        <w:rPr>
          <w:rFonts w:hint="eastAsia"/>
        </w:rPr>
        <w:t>对缺失、异常、矛盾或疑似篡改的数据，应触发异常流程，暂停签发或共享，必要时重新采集。</w:t>
      </w:r>
    </w:p>
    <w:p w14:paraId="376B5D85">
      <w:pPr>
        <w:pStyle w:val="165"/>
        <w:spacing w:line="360" w:lineRule="auto"/>
      </w:pPr>
      <w:r>
        <w:rPr>
          <w:rFonts w:hint="eastAsia"/>
        </w:rPr>
        <w:t>对因录入错误导致的数据问题，应通过更正单或补充记录纠错，不得直接覆盖原记录。</w:t>
      </w:r>
    </w:p>
    <w:p w14:paraId="2CEF92BB">
      <w:pPr>
        <w:pStyle w:val="165"/>
        <w:spacing w:line="360" w:lineRule="auto"/>
      </w:pPr>
      <w:r>
        <w:rPr>
          <w:rFonts w:hint="eastAsia"/>
        </w:rPr>
        <w:t>对无法补齐的关键数据，应在结果数据或报告中明确“不确定性来源与影响范围”。</w:t>
      </w:r>
    </w:p>
    <w:p w14:paraId="460AB5CD">
      <w:pPr>
        <w:pStyle w:val="165"/>
        <w:spacing w:line="360" w:lineRule="auto"/>
      </w:pPr>
      <w:r>
        <w:rPr>
          <w:rFonts w:hint="eastAsia"/>
        </w:rPr>
        <w:t>异常处置应形成闭环：发现—登记—分析—纠正—验证—归档，并纳入质量改进。</w:t>
      </w:r>
    </w:p>
    <w:p w14:paraId="3C95B315">
      <w:pPr>
        <w:pStyle w:val="104"/>
        <w:spacing w:before="240" w:after="240" w:line="360" w:lineRule="auto"/>
      </w:pPr>
      <w:bookmarkStart w:id="54" w:name="_Toc220230187"/>
      <w:r>
        <w:rPr>
          <w:rFonts w:hint="eastAsia"/>
        </w:rPr>
        <w:t>数据存储与恢复</w:t>
      </w:r>
      <w:bookmarkEnd w:id="54"/>
    </w:p>
    <w:p w14:paraId="3F8F9123">
      <w:pPr>
        <w:pStyle w:val="105"/>
        <w:spacing w:before="120" w:after="120" w:line="360" w:lineRule="auto"/>
      </w:pPr>
      <w:r>
        <w:rPr>
          <w:rFonts w:hint="eastAsia"/>
        </w:rPr>
        <w:t>存储总体要求</w:t>
      </w:r>
    </w:p>
    <w:p w14:paraId="7B343468">
      <w:pPr>
        <w:pStyle w:val="56"/>
        <w:spacing w:line="360" w:lineRule="auto"/>
        <w:ind w:firstLine="420"/>
      </w:pPr>
      <w:r>
        <w:rPr>
          <w:rFonts w:hint="eastAsia"/>
        </w:rPr>
        <w:t>检验检测机构应建立与数据分类分级相匹配的存储体系，确保数据安全、可靠、可用、可扩展，并满足长期保存与证据链固化要求。存储管理应至少满足：</w:t>
      </w:r>
    </w:p>
    <w:p w14:paraId="1CCB738B">
      <w:pPr>
        <w:pStyle w:val="56"/>
        <w:spacing w:line="360" w:lineRule="auto"/>
        <w:ind w:firstLine="420"/>
      </w:pPr>
      <w:r>
        <w:rPr>
          <w:rFonts w:hint="eastAsia"/>
        </w:rPr>
        <w:t>a) 分区分域：生产库、备份库、归档库、测试库应逻辑隔离，必要时物理隔离；</w:t>
      </w:r>
    </w:p>
    <w:p w14:paraId="441C556A">
      <w:pPr>
        <w:pStyle w:val="56"/>
        <w:spacing w:line="360" w:lineRule="auto"/>
        <w:ind w:firstLine="420"/>
      </w:pPr>
      <w:r>
        <w:rPr>
          <w:rFonts w:hint="eastAsia"/>
        </w:rPr>
        <w:t>b) 分级存储：重要及以上数据应采用更高可靠性存储介质与冗余策略；</w:t>
      </w:r>
    </w:p>
    <w:p w14:paraId="0E05AD03">
      <w:pPr>
        <w:pStyle w:val="56"/>
        <w:spacing w:line="360" w:lineRule="auto"/>
        <w:ind w:firstLine="420"/>
      </w:pPr>
      <w:r>
        <w:rPr>
          <w:rFonts w:hint="eastAsia"/>
        </w:rPr>
        <w:t>c) 一致性保障：结构化数据与关联的非结构化文件应保持映射关系一致，禁止“库有记录、文件丢失”或“文件存在、库无索引”；</w:t>
      </w:r>
    </w:p>
    <w:p w14:paraId="0ACAF5FA">
      <w:pPr>
        <w:pStyle w:val="56"/>
        <w:spacing w:line="360" w:lineRule="auto"/>
        <w:ind w:firstLine="420"/>
      </w:pPr>
      <w:r>
        <w:rPr>
          <w:rFonts w:hint="eastAsia"/>
        </w:rPr>
        <w:t>d) 可读性保障：对长期保存数据应考虑格式演进与介质更新，避免因软件停用或格式过时导致不可读；</w:t>
      </w:r>
    </w:p>
    <w:p w14:paraId="343313F5">
      <w:pPr>
        <w:pStyle w:val="56"/>
        <w:spacing w:line="360" w:lineRule="auto"/>
        <w:ind w:firstLine="420"/>
      </w:pPr>
      <w:r>
        <w:rPr>
          <w:rFonts w:hint="eastAsia"/>
        </w:rPr>
        <w:t>e) 防篡改要求：对签发后报告、原始记录、关键证据文件与审计日志应实施只读封存或等效防篡改技术措施。</w:t>
      </w:r>
    </w:p>
    <w:p w14:paraId="35F19F2C">
      <w:pPr>
        <w:pStyle w:val="105"/>
        <w:spacing w:before="120" w:after="120" w:line="360" w:lineRule="auto"/>
      </w:pPr>
      <w:r>
        <w:rPr>
          <w:rFonts w:hint="eastAsia"/>
        </w:rPr>
        <w:t>存储架构与环境要求</w:t>
      </w:r>
    </w:p>
    <w:p w14:paraId="4165964B">
      <w:pPr>
        <w:pStyle w:val="165"/>
        <w:spacing w:line="360" w:lineRule="auto"/>
      </w:pPr>
      <w:r>
        <w:rPr>
          <w:rFonts w:hint="eastAsia"/>
        </w:rPr>
        <w:t>信息系统应明确存储架构（本地、私有云、政务云或混合部署），并形成配置基线。</w:t>
      </w:r>
    </w:p>
    <w:p w14:paraId="71439981">
      <w:pPr>
        <w:pStyle w:val="165"/>
        <w:spacing w:line="360" w:lineRule="auto"/>
      </w:pPr>
      <w:r>
        <w:rPr>
          <w:rFonts w:hint="eastAsia"/>
        </w:rPr>
        <w:t>存储环境应具备访问控制、加密支持、资源监控、容量预警与故障告警能力。</w:t>
      </w:r>
    </w:p>
    <w:p w14:paraId="4964D709">
      <w:pPr>
        <w:pStyle w:val="165"/>
        <w:spacing w:line="360" w:lineRule="auto"/>
      </w:pPr>
      <w:r>
        <w:rPr>
          <w:rFonts w:hint="eastAsia"/>
        </w:rPr>
        <w:t>对承载重要及以上数据的服务器、存储阵列与数据库，应配置冗余电源、UPS与必要的环境监测。</w:t>
      </w:r>
    </w:p>
    <w:p w14:paraId="3C9A40C6">
      <w:pPr>
        <w:pStyle w:val="165"/>
        <w:spacing w:line="360" w:lineRule="auto"/>
      </w:pPr>
      <w:r>
        <w:rPr>
          <w:rFonts w:hint="eastAsia"/>
        </w:rPr>
        <w:t>应采取补丁管理、基线加固、弱口令治理与安全审计等措施，满足相应网络安全要求。</w:t>
      </w:r>
    </w:p>
    <w:p w14:paraId="2DF983EB">
      <w:pPr>
        <w:pStyle w:val="165"/>
        <w:spacing w:line="360" w:lineRule="auto"/>
      </w:pPr>
      <w:r>
        <w:rPr>
          <w:rFonts w:hint="eastAsia"/>
        </w:rPr>
        <w:t>存储系统变更（扩容、迁移、升级、替换）应经过风险评估与验证，并保留变更记录与回退方案。</w:t>
      </w:r>
    </w:p>
    <w:p w14:paraId="26ECD11B">
      <w:pPr>
        <w:pStyle w:val="105"/>
        <w:spacing w:before="120" w:after="120" w:line="360" w:lineRule="auto"/>
      </w:pPr>
      <w:r>
        <w:rPr>
          <w:rFonts w:hint="eastAsia"/>
        </w:rPr>
        <w:t>数据加密与密钥管理</w:t>
      </w:r>
    </w:p>
    <w:p w14:paraId="25860F66">
      <w:pPr>
        <w:pStyle w:val="165"/>
        <w:spacing w:line="360" w:lineRule="auto"/>
      </w:pPr>
      <w:r>
        <w:rPr>
          <w:rFonts w:hint="eastAsia"/>
        </w:rPr>
        <w:t>对重要及以上数据在存储与传输过程中宜采用加密措施；对涉及个人信息、商业秘密或敏感数据应强制加密存储。</w:t>
      </w:r>
    </w:p>
    <w:p w14:paraId="23098124">
      <w:pPr>
        <w:pStyle w:val="165"/>
        <w:spacing w:line="360" w:lineRule="auto"/>
      </w:pPr>
      <w:r>
        <w:rPr>
          <w:rFonts w:hint="eastAsia"/>
        </w:rPr>
        <w:t>加密策略应与分类分级结果一致，并明确适用范围（数据库字段、文件、备份介质）。</w:t>
      </w:r>
    </w:p>
    <w:p w14:paraId="3EAC07B0">
      <w:pPr>
        <w:pStyle w:val="165"/>
        <w:spacing w:line="360" w:lineRule="auto"/>
      </w:pPr>
      <w:r>
        <w:rPr>
          <w:rFonts w:hint="eastAsia"/>
        </w:rPr>
        <w:t>密钥应由专人或专用模块管理，避免密钥与密文同域存放。</w:t>
      </w:r>
    </w:p>
    <w:p w14:paraId="4425A2C6">
      <w:pPr>
        <w:pStyle w:val="165"/>
        <w:spacing w:line="360" w:lineRule="auto"/>
      </w:pPr>
      <w:r>
        <w:rPr>
          <w:rFonts w:hint="eastAsia"/>
        </w:rPr>
        <w:t>密钥生命周期（生成、分发、轮换、吊销、备份）应受控，轮换周期与访问授权应形成制度化要求。加密与解密操作应纳入审计日志，支持追溯。</w:t>
      </w:r>
    </w:p>
    <w:p w14:paraId="72BD0C02">
      <w:pPr>
        <w:pStyle w:val="105"/>
        <w:spacing w:before="120" w:after="120" w:line="360" w:lineRule="auto"/>
      </w:pPr>
      <w:r>
        <w:rPr>
          <w:rFonts w:hint="eastAsia"/>
        </w:rPr>
        <w:t>备份策略</w:t>
      </w:r>
    </w:p>
    <w:p w14:paraId="1685087F">
      <w:pPr>
        <w:pStyle w:val="56"/>
        <w:spacing w:line="360" w:lineRule="auto"/>
        <w:ind w:firstLine="420"/>
      </w:pPr>
      <w:r>
        <w:rPr>
          <w:rFonts w:hint="eastAsia"/>
        </w:rPr>
        <w:t>检验检测机构应制定备份策略并形成备份清单，至少覆盖数据库、文件存储、配置文件、接口证书、日志与关键业务系统。备份策略应满足：</w:t>
      </w:r>
    </w:p>
    <w:p w14:paraId="08A39B73">
      <w:pPr>
        <w:pStyle w:val="56"/>
        <w:spacing w:line="360" w:lineRule="auto"/>
        <w:ind w:firstLine="420"/>
      </w:pPr>
      <w:r>
        <w:rPr>
          <w:rFonts w:hint="eastAsia"/>
        </w:rPr>
        <w:t>a) 分级备份：依据数据等级确定备份频率、保留周期与介质；</w:t>
      </w:r>
    </w:p>
    <w:p w14:paraId="078F3DCF">
      <w:pPr>
        <w:pStyle w:val="56"/>
        <w:spacing w:line="360" w:lineRule="auto"/>
        <w:ind w:firstLine="420"/>
      </w:pPr>
      <w:r>
        <w:rPr>
          <w:rFonts w:hint="eastAsia"/>
        </w:rPr>
        <w:t>b) 多副本原则：至少保留两份以上副本，重要数据宜满足“异机、异介质、异地”；</w:t>
      </w:r>
    </w:p>
    <w:p w14:paraId="1D42D610">
      <w:pPr>
        <w:pStyle w:val="56"/>
        <w:spacing w:line="360" w:lineRule="auto"/>
        <w:ind w:firstLine="420"/>
      </w:pPr>
      <w:r>
        <w:rPr>
          <w:rFonts w:hint="eastAsia"/>
        </w:rPr>
        <w:t>c) 自动化与可验证：备份应尽量自动化执行，备份结果应可校验（如校验值或一致性检查）；</w:t>
      </w:r>
    </w:p>
    <w:p w14:paraId="281AEF91">
      <w:pPr>
        <w:pStyle w:val="56"/>
        <w:spacing w:line="360" w:lineRule="auto"/>
        <w:ind w:firstLine="420"/>
      </w:pPr>
      <w:r>
        <w:rPr>
          <w:rFonts w:hint="eastAsia"/>
        </w:rPr>
        <w:t>d) 备份隔离：备份库与生产库应隔离，防止勒索软件或误操作扩散；</w:t>
      </w:r>
    </w:p>
    <w:p w14:paraId="059478D5">
      <w:pPr>
        <w:pStyle w:val="56"/>
        <w:spacing w:line="360" w:lineRule="auto"/>
        <w:ind w:firstLine="420"/>
      </w:pPr>
      <w:r>
        <w:rPr>
          <w:rFonts w:hint="eastAsia"/>
        </w:rPr>
        <w:t>e) 最小权限：备份账号权限最小化，备份介质访问应审批与登记。</w:t>
      </w:r>
    </w:p>
    <w:p w14:paraId="271D67C9">
      <w:pPr>
        <w:pStyle w:val="56"/>
        <w:spacing w:line="360" w:lineRule="auto"/>
        <w:ind w:firstLine="420"/>
      </w:pPr>
      <w:r>
        <w:rPr>
          <w:rFonts w:hint="eastAsia"/>
        </w:rPr>
        <w:t>备份与恢复管理要求示例见表3。</w:t>
      </w:r>
    </w:p>
    <w:p w14:paraId="1E667A96">
      <w:pPr>
        <w:pStyle w:val="112"/>
        <w:spacing w:before="120" w:after="120" w:line="360" w:lineRule="auto"/>
      </w:pPr>
      <w:r>
        <w:rPr>
          <w:rFonts w:hint="eastAsia"/>
        </w:rPr>
        <w:t>备份与恢复管理要求示例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559"/>
        <w:gridCol w:w="1598"/>
        <w:gridCol w:w="954"/>
        <w:gridCol w:w="1417"/>
        <w:gridCol w:w="1418"/>
        <w:gridCol w:w="1547"/>
      </w:tblGrid>
      <w:tr w14:paraId="6299E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69D4BEA1">
            <w:pPr>
              <w:pStyle w:val="178"/>
            </w:pPr>
            <w:r>
              <w:rPr>
                <w:rFonts w:hint="eastAsia"/>
              </w:rPr>
              <w:t>数据等级</w:t>
            </w:r>
          </w:p>
        </w:tc>
        <w:tc>
          <w:tcPr>
            <w:tcW w:w="1559" w:type="dxa"/>
            <w:tcBorders>
              <w:top w:val="single" w:color="auto" w:sz="8" w:space="0"/>
              <w:bottom w:val="single" w:color="auto" w:sz="8" w:space="0"/>
            </w:tcBorders>
            <w:vAlign w:val="center"/>
          </w:tcPr>
          <w:p w14:paraId="21A20F2A">
            <w:pPr>
              <w:pStyle w:val="178"/>
            </w:pPr>
            <w:r>
              <w:rPr>
                <w:rFonts w:hint="eastAsia"/>
              </w:rPr>
              <w:t>备份对象</w:t>
            </w:r>
          </w:p>
        </w:tc>
        <w:tc>
          <w:tcPr>
            <w:tcW w:w="1598" w:type="dxa"/>
            <w:tcBorders>
              <w:top w:val="single" w:color="auto" w:sz="8" w:space="0"/>
              <w:bottom w:val="single" w:color="auto" w:sz="8" w:space="0"/>
            </w:tcBorders>
            <w:vAlign w:val="center"/>
          </w:tcPr>
          <w:p w14:paraId="612C8E94">
            <w:pPr>
              <w:pStyle w:val="178"/>
            </w:pPr>
            <w:r>
              <w:rPr>
                <w:rFonts w:hint="eastAsia"/>
              </w:rPr>
              <w:t>备份频率</w:t>
            </w:r>
          </w:p>
        </w:tc>
        <w:tc>
          <w:tcPr>
            <w:tcW w:w="954" w:type="dxa"/>
            <w:tcBorders>
              <w:top w:val="single" w:color="auto" w:sz="8" w:space="0"/>
              <w:bottom w:val="single" w:color="auto" w:sz="8" w:space="0"/>
            </w:tcBorders>
            <w:vAlign w:val="center"/>
          </w:tcPr>
          <w:p w14:paraId="0566B92F">
            <w:pPr>
              <w:pStyle w:val="178"/>
            </w:pPr>
            <w:r>
              <w:rPr>
                <w:rFonts w:hint="eastAsia"/>
              </w:rPr>
              <w:t>保留周期</w:t>
            </w:r>
          </w:p>
        </w:tc>
        <w:tc>
          <w:tcPr>
            <w:tcW w:w="1417" w:type="dxa"/>
            <w:tcBorders>
              <w:top w:val="single" w:color="auto" w:sz="8" w:space="0"/>
              <w:bottom w:val="single" w:color="auto" w:sz="8" w:space="0"/>
            </w:tcBorders>
            <w:vAlign w:val="center"/>
          </w:tcPr>
          <w:p w14:paraId="50DAE563">
            <w:pPr>
              <w:pStyle w:val="178"/>
            </w:pPr>
            <w:r>
              <w:rPr>
                <w:rFonts w:hint="eastAsia"/>
              </w:rPr>
              <w:t>介质与位置</w:t>
            </w:r>
          </w:p>
        </w:tc>
        <w:tc>
          <w:tcPr>
            <w:tcW w:w="1418" w:type="dxa"/>
            <w:tcBorders>
              <w:top w:val="single" w:color="auto" w:sz="8" w:space="0"/>
              <w:bottom w:val="single" w:color="auto" w:sz="8" w:space="0"/>
            </w:tcBorders>
            <w:vAlign w:val="center"/>
          </w:tcPr>
          <w:p w14:paraId="789EF255">
            <w:pPr>
              <w:pStyle w:val="178"/>
            </w:pPr>
            <w:r>
              <w:rPr>
                <w:rFonts w:hint="eastAsia"/>
              </w:rPr>
              <w:t>恢复目标</w:t>
            </w:r>
          </w:p>
        </w:tc>
        <w:tc>
          <w:tcPr>
            <w:tcW w:w="1547" w:type="dxa"/>
            <w:tcBorders>
              <w:top w:val="single" w:color="auto" w:sz="8" w:space="0"/>
              <w:bottom w:val="single" w:color="auto" w:sz="8" w:space="0"/>
            </w:tcBorders>
            <w:vAlign w:val="center"/>
          </w:tcPr>
          <w:p w14:paraId="04C3B240">
            <w:pPr>
              <w:pStyle w:val="178"/>
            </w:pPr>
            <w:r>
              <w:rPr>
                <w:rFonts w:hint="eastAsia"/>
              </w:rPr>
              <w:t>关键控制点</w:t>
            </w:r>
          </w:p>
        </w:tc>
      </w:tr>
      <w:tr w14:paraId="28031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4673DF12">
            <w:pPr>
              <w:pStyle w:val="178"/>
            </w:pPr>
            <w:r>
              <w:rPr>
                <w:rFonts w:hint="eastAsia"/>
              </w:rPr>
              <w:t>一般</w:t>
            </w:r>
          </w:p>
        </w:tc>
        <w:tc>
          <w:tcPr>
            <w:tcW w:w="1559" w:type="dxa"/>
            <w:tcBorders>
              <w:top w:val="single" w:color="auto" w:sz="8" w:space="0"/>
            </w:tcBorders>
            <w:vAlign w:val="center"/>
          </w:tcPr>
          <w:p w14:paraId="66419538">
            <w:pPr>
              <w:pStyle w:val="178"/>
            </w:pPr>
            <w:r>
              <w:rPr>
                <w:rFonts w:hint="eastAsia"/>
              </w:rPr>
              <w:t>常规业务数据、统计数据</w:t>
            </w:r>
          </w:p>
        </w:tc>
        <w:tc>
          <w:tcPr>
            <w:tcW w:w="1598" w:type="dxa"/>
            <w:tcBorders>
              <w:top w:val="single" w:color="auto" w:sz="8" w:space="0"/>
            </w:tcBorders>
            <w:vAlign w:val="center"/>
          </w:tcPr>
          <w:p w14:paraId="7D0683D2">
            <w:pPr>
              <w:pStyle w:val="178"/>
            </w:pPr>
            <w:r>
              <w:rPr>
                <w:rFonts w:hint="eastAsia"/>
              </w:rPr>
              <w:t>每周全量</w:t>
            </w:r>
          </w:p>
        </w:tc>
        <w:tc>
          <w:tcPr>
            <w:tcW w:w="954" w:type="dxa"/>
            <w:tcBorders>
              <w:top w:val="single" w:color="auto" w:sz="8" w:space="0"/>
            </w:tcBorders>
            <w:vAlign w:val="center"/>
          </w:tcPr>
          <w:p w14:paraId="7DFC0081">
            <w:pPr>
              <w:pStyle w:val="178"/>
            </w:pPr>
            <w:r>
              <w:rPr>
                <w:rFonts w:hint="eastAsia"/>
              </w:rPr>
              <w:t>≥6个月</w:t>
            </w:r>
          </w:p>
        </w:tc>
        <w:tc>
          <w:tcPr>
            <w:tcW w:w="1417" w:type="dxa"/>
            <w:tcBorders>
              <w:top w:val="single" w:color="auto" w:sz="8" w:space="0"/>
            </w:tcBorders>
            <w:vAlign w:val="center"/>
          </w:tcPr>
          <w:p w14:paraId="47AC4063">
            <w:pPr>
              <w:pStyle w:val="178"/>
            </w:pPr>
            <w:r>
              <w:rPr>
                <w:rFonts w:hint="eastAsia"/>
              </w:rPr>
              <w:t>本地备份库</w:t>
            </w:r>
          </w:p>
        </w:tc>
        <w:tc>
          <w:tcPr>
            <w:tcW w:w="1418" w:type="dxa"/>
            <w:tcBorders>
              <w:top w:val="single" w:color="auto" w:sz="8" w:space="0"/>
            </w:tcBorders>
            <w:vAlign w:val="center"/>
          </w:tcPr>
          <w:p w14:paraId="362EE29E">
            <w:pPr>
              <w:pStyle w:val="178"/>
            </w:pPr>
            <w:r>
              <w:rPr>
                <w:rFonts w:hint="eastAsia"/>
              </w:rPr>
              <w:t>3个工作日内恢复</w:t>
            </w:r>
          </w:p>
        </w:tc>
        <w:tc>
          <w:tcPr>
            <w:tcW w:w="1547" w:type="dxa"/>
            <w:tcBorders>
              <w:top w:val="single" w:color="auto" w:sz="8" w:space="0"/>
            </w:tcBorders>
            <w:vAlign w:val="center"/>
          </w:tcPr>
          <w:p w14:paraId="3FB89A45">
            <w:pPr>
              <w:pStyle w:val="178"/>
            </w:pPr>
            <w:r>
              <w:rPr>
                <w:rFonts w:hint="eastAsia"/>
              </w:rPr>
              <w:t>定期抽检可恢复性</w:t>
            </w:r>
          </w:p>
        </w:tc>
      </w:tr>
      <w:tr w14:paraId="5486F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1AC3B6F0">
            <w:pPr>
              <w:pStyle w:val="178"/>
            </w:pPr>
            <w:r>
              <w:rPr>
                <w:rFonts w:hint="eastAsia"/>
              </w:rPr>
              <w:t>重要</w:t>
            </w:r>
          </w:p>
        </w:tc>
        <w:tc>
          <w:tcPr>
            <w:tcW w:w="1559" w:type="dxa"/>
            <w:vAlign w:val="center"/>
          </w:tcPr>
          <w:p w14:paraId="614DE6EF">
            <w:pPr>
              <w:pStyle w:val="178"/>
            </w:pPr>
            <w:r>
              <w:rPr>
                <w:rFonts w:hint="eastAsia"/>
              </w:rPr>
              <w:t>原始记录、报告要素库、关键索引</w:t>
            </w:r>
          </w:p>
        </w:tc>
        <w:tc>
          <w:tcPr>
            <w:tcW w:w="1598" w:type="dxa"/>
            <w:vAlign w:val="center"/>
          </w:tcPr>
          <w:p w14:paraId="04A13F30">
            <w:pPr>
              <w:pStyle w:val="178"/>
            </w:pPr>
            <w:r>
              <w:rPr>
                <w:rFonts w:hint="eastAsia"/>
              </w:rPr>
              <w:t>每日增量+每周全量</w:t>
            </w:r>
          </w:p>
        </w:tc>
        <w:tc>
          <w:tcPr>
            <w:tcW w:w="954" w:type="dxa"/>
            <w:vAlign w:val="center"/>
          </w:tcPr>
          <w:p w14:paraId="3901B82E">
            <w:pPr>
              <w:pStyle w:val="178"/>
            </w:pPr>
            <w:r>
              <w:rPr>
                <w:rFonts w:hint="eastAsia"/>
              </w:rPr>
              <w:t>≥2年</w:t>
            </w:r>
          </w:p>
        </w:tc>
        <w:tc>
          <w:tcPr>
            <w:tcW w:w="1417" w:type="dxa"/>
            <w:vAlign w:val="center"/>
          </w:tcPr>
          <w:p w14:paraId="120388D7">
            <w:pPr>
              <w:pStyle w:val="178"/>
            </w:pPr>
            <w:r>
              <w:rPr>
                <w:rFonts w:hint="eastAsia"/>
              </w:rPr>
              <w:t>异机备份+异介质</w:t>
            </w:r>
          </w:p>
        </w:tc>
        <w:tc>
          <w:tcPr>
            <w:tcW w:w="1418" w:type="dxa"/>
            <w:vAlign w:val="center"/>
          </w:tcPr>
          <w:p w14:paraId="2CA56890">
            <w:pPr>
              <w:pStyle w:val="178"/>
            </w:pPr>
            <w:r>
              <w:rPr>
                <w:rFonts w:hint="eastAsia"/>
              </w:rPr>
              <w:t>24小时内恢复关键业务</w:t>
            </w:r>
          </w:p>
        </w:tc>
        <w:tc>
          <w:tcPr>
            <w:tcW w:w="1547" w:type="dxa"/>
            <w:vAlign w:val="center"/>
          </w:tcPr>
          <w:p w14:paraId="5BB1B9D6">
            <w:pPr>
              <w:pStyle w:val="178"/>
            </w:pPr>
            <w:r>
              <w:rPr>
                <w:rFonts w:hint="eastAsia"/>
              </w:rPr>
              <w:t>备份隔离、</w:t>
            </w:r>
          </w:p>
          <w:p w14:paraId="60A92896">
            <w:pPr>
              <w:pStyle w:val="178"/>
            </w:pPr>
            <w:r>
              <w:rPr>
                <w:rFonts w:hint="eastAsia"/>
              </w:rPr>
              <w:t>校验值核对</w:t>
            </w:r>
          </w:p>
        </w:tc>
      </w:tr>
      <w:tr w14:paraId="21B6A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bottom w:val="single" w:color="auto" w:sz="8" w:space="0"/>
            </w:tcBorders>
            <w:vAlign w:val="center"/>
          </w:tcPr>
          <w:p w14:paraId="59FAFE49">
            <w:pPr>
              <w:pStyle w:val="178"/>
            </w:pPr>
            <w:r>
              <w:rPr>
                <w:rFonts w:hint="eastAsia"/>
              </w:rPr>
              <w:t>敏感/重要（高）</w:t>
            </w:r>
          </w:p>
        </w:tc>
        <w:tc>
          <w:tcPr>
            <w:tcW w:w="1559" w:type="dxa"/>
            <w:tcBorders>
              <w:bottom w:val="single" w:color="auto" w:sz="8" w:space="0"/>
            </w:tcBorders>
            <w:vAlign w:val="center"/>
          </w:tcPr>
          <w:p w14:paraId="0CFA0DAA">
            <w:pPr>
              <w:pStyle w:val="178"/>
            </w:pPr>
            <w:r>
              <w:rPr>
                <w:rFonts w:hint="eastAsia"/>
              </w:rPr>
              <w:t>关键证据文件、审计日志、签章数据</w:t>
            </w:r>
          </w:p>
        </w:tc>
        <w:tc>
          <w:tcPr>
            <w:tcW w:w="1598" w:type="dxa"/>
            <w:tcBorders>
              <w:bottom w:val="single" w:color="auto" w:sz="8" w:space="0"/>
            </w:tcBorders>
            <w:vAlign w:val="center"/>
          </w:tcPr>
          <w:p w14:paraId="6FEAEFBF">
            <w:pPr>
              <w:pStyle w:val="178"/>
            </w:pPr>
            <w:r>
              <w:rPr>
                <w:rFonts w:hint="eastAsia"/>
              </w:rPr>
              <w:t>每日增量+每月封存</w:t>
            </w:r>
          </w:p>
        </w:tc>
        <w:tc>
          <w:tcPr>
            <w:tcW w:w="954" w:type="dxa"/>
            <w:tcBorders>
              <w:bottom w:val="single" w:color="auto" w:sz="8" w:space="0"/>
            </w:tcBorders>
            <w:vAlign w:val="center"/>
          </w:tcPr>
          <w:p w14:paraId="22FC6D0C">
            <w:pPr>
              <w:pStyle w:val="178"/>
            </w:pPr>
            <w:r>
              <w:rPr>
                <w:rFonts w:hint="eastAsia"/>
              </w:rPr>
              <w:t>≥法定/约定期限</w:t>
            </w:r>
          </w:p>
        </w:tc>
        <w:tc>
          <w:tcPr>
            <w:tcW w:w="1417" w:type="dxa"/>
            <w:tcBorders>
              <w:bottom w:val="single" w:color="auto" w:sz="8" w:space="0"/>
            </w:tcBorders>
            <w:vAlign w:val="center"/>
          </w:tcPr>
          <w:p w14:paraId="48F0262C">
            <w:pPr>
              <w:pStyle w:val="178"/>
            </w:pPr>
            <w:r>
              <w:rPr>
                <w:rFonts w:hint="eastAsia"/>
              </w:rPr>
              <w:t>异地灾备或离线介质</w:t>
            </w:r>
          </w:p>
        </w:tc>
        <w:tc>
          <w:tcPr>
            <w:tcW w:w="1418" w:type="dxa"/>
            <w:tcBorders>
              <w:bottom w:val="single" w:color="auto" w:sz="8" w:space="0"/>
            </w:tcBorders>
            <w:vAlign w:val="center"/>
          </w:tcPr>
          <w:p w14:paraId="3FF54465">
            <w:pPr>
              <w:pStyle w:val="178"/>
            </w:pPr>
            <w:r>
              <w:rPr>
                <w:rFonts w:hint="eastAsia"/>
              </w:rPr>
              <w:t>12小时内恢复核心证据链</w:t>
            </w:r>
          </w:p>
        </w:tc>
        <w:tc>
          <w:tcPr>
            <w:tcW w:w="1547" w:type="dxa"/>
            <w:tcBorders>
              <w:bottom w:val="single" w:color="auto" w:sz="8" w:space="0"/>
            </w:tcBorders>
            <w:vAlign w:val="center"/>
          </w:tcPr>
          <w:p w14:paraId="3F4DAB70">
            <w:pPr>
              <w:pStyle w:val="178"/>
            </w:pPr>
            <w:r>
              <w:rPr>
                <w:rFonts w:hint="eastAsia"/>
              </w:rPr>
              <w:t>防篡改封存、访问审批、离线保管</w:t>
            </w:r>
          </w:p>
        </w:tc>
      </w:tr>
      <w:tr w14:paraId="4945B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vAlign w:val="center"/>
          </w:tcPr>
          <w:p w14:paraId="3B8DC830">
            <w:pPr>
              <w:pStyle w:val="179"/>
            </w:pPr>
            <w:r>
              <w:rPr>
                <w:rFonts w:hint="eastAsia"/>
              </w:rPr>
              <w:t>恢复目标仅为示例，可结合机构业务连续性要求确定RPO/RTO指标并形成正式文件。</w:t>
            </w:r>
          </w:p>
        </w:tc>
      </w:tr>
    </w:tbl>
    <w:p w14:paraId="1E6073FC">
      <w:pPr>
        <w:pStyle w:val="105"/>
        <w:spacing w:before="120" w:after="120" w:line="360" w:lineRule="auto"/>
      </w:pPr>
      <w:r>
        <w:rPr>
          <w:rFonts w:hint="eastAsia"/>
        </w:rPr>
        <w:t>恢复与灾难恢复管理</w:t>
      </w:r>
    </w:p>
    <w:p w14:paraId="54662038">
      <w:pPr>
        <w:pStyle w:val="165"/>
        <w:spacing w:line="360" w:lineRule="auto"/>
      </w:pPr>
      <w:r>
        <w:rPr>
          <w:rFonts w:hint="eastAsia"/>
        </w:rPr>
        <w:t>应建立数据恢复流程，明确触发条件、责任人、审批人、恢复步骤、验证方法与回退方案。</w:t>
      </w:r>
    </w:p>
    <w:p w14:paraId="6CEEEAEB">
      <w:pPr>
        <w:pStyle w:val="165"/>
        <w:spacing w:line="360" w:lineRule="auto"/>
      </w:pPr>
      <w:r>
        <w:rPr>
          <w:rFonts w:hint="eastAsia"/>
        </w:rPr>
        <w:t>应至少每年组织一次恢复演练，对重要及以上数据的恢复过程进行记录与评估。</w:t>
      </w:r>
    </w:p>
    <w:p w14:paraId="24B72CC3">
      <w:pPr>
        <w:pStyle w:val="165"/>
        <w:spacing w:line="360" w:lineRule="auto"/>
      </w:pPr>
      <w:r>
        <w:rPr>
          <w:rFonts w:hint="eastAsia"/>
        </w:rPr>
        <w:t>应建立灾难恢复预案，明确灾害场景及应对措施。</w:t>
      </w:r>
    </w:p>
    <w:p w14:paraId="223D0431">
      <w:pPr>
        <w:pStyle w:val="165"/>
        <w:spacing w:line="360" w:lineRule="auto"/>
      </w:pPr>
      <w:r>
        <w:rPr>
          <w:rFonts w:hint="eastAsia"/>
        </w:rPr>
        <w:t>灾备环境应保持可用性验证，关键配置与脚本应纳入版本管理。</w:t>
      </w:r>
    </w:p>
    <w:p w14:paraId="58ECF87A">
      <w:pPr>
        <w:pStyle w:val="165"/>
        <w:spacing w:line="360" w:lineRule="auto"/>
      </w:pPr>
      <w:r>
        <w:rPr>
          <w:rFonts w:hint="eastAsia"/>
        </w:rPr>
        <w:t>恢复完成后应进行数据一致性验证，确保结构化数据与证据文件映射关系完整。</w:t>
      </w:r>
    </w:p>
    <w:p w14:paraId="61448C30">
      <w:pPr>
        <w:pStyle w:val="105"/>
        <w:spacing w:before="120" w:after="120" w:line="360" w:lineRule="auto"/>
      </w:pPr>
      <w:r>
        <w:rPr>
          <w:rFonts w:hint="eastAsia"/>
        </w:rPr>
        <w:t>长期保存与介质更新</w:t>
      </w:r>
    </w:p>
    <w:p w14:paraId="7701BD30">
      <w:pPr>
        <w:pStyle w:val="165"/>
        <w:spacing w:line="360" w:lineRule="auto"/>
      </w:pPr>
      <w:r>
        <w:rPr>
          <w:rFonts w:hint="eastAsia"/>
        </w:rPr>
        <w:t>对需长期保存的数据，应明确保存期限、保存格式、介质类型与迁移策略。</w:t>
      </w:r>
    </w:p>
    <w:p w14:paraId="18C3C19E">
      <w:pPr>
        <w:pStyle w:val="165"/>
        <w:spacing w:line="360" w:lineRule="auto"/>
      </w:pPr>
      <w:r>
        <w:rPr>
          <w:rFonts w:hint="eastAsia"/>
        </w:rPr>
        <w:t>对可能出现格式淘汰的软件专有文件，应建立“格式转换与验证”机制，保留原始文件与转换后文件，并记录转换工具版本与校验值。</w:t>
      </w:r>
    </w:p>
    <w:p w14:paraId="28E79973">
      <w:pPr>
        <w:pStyle w:val="165"/>
        <w:spacing w:line="360" w:lineRule="auto"/>
      </w:pPr>
      <w:r>
        <w:rPr>
          <w:rFonts w:hint="eastAsia"/>
        </w:rPr>
        <w:t>应定期对归档介质进行健康检查，必要时进行介质更新与数据迁移。</w:t>
      </w:r>
    </w:p>
    <w:p w14:paraId="57F69C74">
      <w:pPr>
        <w:pStyle w:val="165"/>
        <w:spacing w:line="360" w:lineRule="auto"/>
      </w:pPr>
      <w:r>
        <w:rPr>
          <w:rFonts w:hint="eastAsia"/>
        </w:rPr>
        <w:t>归档数据应具备检索目录与索引，支持按设备、任务、报告、日期、项目等条件快速定位。</w:t>
      </w:r>
    </w:p>
    <w:p w14:paraId="5929A0B9">
      <w:pPr>
        <w:pStyle w:val="165"/>
        <w:spacing w:line="360" w:lineRule="auto"/>
      </w:pPr>
      <w:r>
        <w:rPr>
          <w:rFonts w:hint="eastAsia"/>
        </w:rPr>
        <w:t>对封存证据数据应避免频繁解封与复制，确需调阅时应按程序审批并记录调阅用途与范围。</w:t>
      </w:r>
    </w:p>
    <w:p w14:paraId="5C2CCA5D">
      <w:pPr>
        <w:pStyle w:val="104"/>
        <w:spacing w:before="240" w:after="240" w:line="360" w:lineRule="auto"/>
      </w:pPr>
      <w:bookmarkStart w:id="55" w:name="_Toc220230188"/>
      <w:r>
        <w:rPr>
          <w:rFonts w:hint="eastAsia"/>
        </w:rPr>
        <w:t>数据共享交换与接口管理</w:t>
      </w:r>
      <w:bookmarkEnd w:id="55"/>
    </w:p>
    <w:p w14:paraId="1C979795">
      <w:pPr>
        <w:pStyle w:val="105"/>
        <w:spacing w:before="120" w:after="120" w:line="360" w:lineRule="auto"/>
      </w:pPr>
      <w:r>
        <w:rPr>
          <w:rFonts w:hint="eastAsia"/>
        </w:rPr>
        <w:t>共享交换基本原则</w:t>
      </w:r>
    </w:p>
    <w:p w14:paraId="49949E60">
      <w:pPr>
        <w:pStyle w:val="56"/>
        <w:spacing w:line="360" w:lineRule="auto"/>
        <w:ind w:firstLine="420"/>
      </w:pPr>
      <w:r>
        <w:rPr>
          <w:rFonts w:hint="eastAsia"/>
        </w:rPr>
        <w:t>数据共享交换应在合法合规、授权明确、用途受控、最小必要与可审计的前提下开展。共享交换应满足：</w:t>
      </w:r>
    </w:p>
    <w:p w14:paraId="658C941A">
      <w:pPr>
        <w:pStyle w:val="56"/>
        <w:spacing w:line="360" w:lineRule="auto"/>
        <w:ind w:firstLine="420"/>
      </w:pPr>
      <w:r>
        <w:rPr>
          <w:rFonts w:hint="eastAsia"/>
        </w:rPr>
        <w:t>a) 权责清晰：明确数据提供方、接收方、管理方及其责任边界；</w:t>
      </w:r>
    </w:p>
    <w:p w14:paraId="5D1A915F">
      <w:pPr>
        <w:pStyle w:val="56"/>
        <w:spacing w:line="360" w:lineRule="auto"/>
        <w:ind w:firstLine="420"/>
      </w:pPr>
      <w:r>
        <w:rPr>
          <w:rFonts w:hint="eastAsia"/>
        </w:rPr>
        <w:t>b) 口径一致：共享字段应基于统一数据字典与编码规则；</w:t>
      </w:r>
    </w:p>
    <w:p w14:paraId="5F47C0E0">
      <w:pPr>
        <w:pStyle w:val="56"/>
        <w:spacing w:line="360" w:lineRule="auto"/>
        <w:ind w:firstLine="420"/>
      </w:pPr>
      <w:r>
        <w:rPr>
          <w:rFonts w:hint="eastAsia"/>
        </w:rPr>
        <w:t>c) 用途限定：数据使用目的、范围、期限与再分发规则应明确；</w:t>
      </w:r>
    </w:p>
    <w:p w14:paraId="5EBF49A2">
      <w:pPr>
        <w:pStyle w:val="56"/>
        <w:spacing w:line="360" w:lineRule="auto"/>
        <w:ind w:firstLine="420"/>
      </w:pPr>
      <w:r>
        <w:rPr>
          <w:rFonts w:hint="eastAsia"/>
        </w:rPr>
        <w:t>d) 分级管控：依据分类分级实施差异化审批、脱敏与加密；</w:t>
      </w:r>
    </w:p>
    <w:p w14:paraId="3519AFEC">
      <w:pPr>
        <w:pStyle w:val="56"/>
        <w:spacing w:line="360" w:lineRule="auto"/>
        <w:ind w:firstLine="420"/>
      </w:pPr>
      <w:r>
        <w:rPr>
          <w:rFonts w:hint="eastAsia"/>
        </w:rPr>
        <w:t>e) 可追溯：共享全过程留痕，支持事后审计与责任追溯。</w:t>
      </w:r>
    </w:p>
    <w:p w14:paraId="5CACB562">
      <w:pPr>
        <w:pStyle w:val="105"/>
        <w:spacing w:before="120" w:after="120" w:line="360" w:lineRule="auto"/>
      </w:pPr>
      <w:r>
        <w:rPr>
          <w:rFonts w:hint="eastAsia"/>
        </w:rPr>
        <w:t>共享审批与授权管理</w:t>
      </w:r>
    </w:p>
    <w:p w14:paraId="0EE9E0FB">
      <w:pPr>
        <w:pStyle w:val="165"/>
        <w:spacing w:line="360" w:lineRule="auto"/>
      </w:pPr>
      <w:r>
        <w:rPr>
          <w:rFonts w:hint="eastAsia"/>
        </w:rPr>
        <w:t>应建立数据共享申请与审批流程，至少包含申请人、申请目的、数据范围、数据等级、共享方式、共享期限、接收方信息与安全承诺。</w:t>
      </w:r>
    </w:p>
    <w:p w14:paraId="3D68BF45">
      <w:pPr>
        <w:pStyle w:val="165"/>
        <w:spacing w:line="360" w:lineRule="auto"/>
      </w:pPr>
      <w:r>
        <w:rPr>
          <w:rFonts w:hint="eastAsia"/>
        </w:rPr>
        <w:t>对重要及以上数据共享，应至少由数据所有者与安全负责人（或授权人）审批。</w:t>
      </w:r>
    </w:p>
    <w:p w14:paraId="767E9BD8">
      <w:pPr>
        <w:pStyle w:val="165"/>
        <w:spacing w:line="360" w:lineRule="auto"/>
      </w:pPr>
      <w:r>
        <w:rPr>
          <w:rFonts w:hint="eastAsia"/>
        </w:rPr>
        <w:t>对涉及个人信息或商业秘密的数据共享，应明确法律依据或授权证明，并采取脱敏或匿名化措施。</w:t>
      </w:r>
    </w:p>
    <w:p w14:paraId="722DAF3E">
      <w:pPr>
        <w:pStyle w:val="165"/>
        <w:spacing w:line="360" w:lineRule="auto"/>
      </w:pPr>
      <w:r>
        <w:rPr>
          <w:rFonts w:hint="eastAsia"/>
        </w:rPr>
        <w:t>共享到期应自动失效或触发复审；对长期共享应设置定期复审机制。</w:t>
      </w:r>
    </w:p>
    <w:p w14:paraId="5C30D164">
      <w:pPr>
        <w:pStyle w:val="165"/>
        <w:spacing w:line="360" w:lineRule="auto"/>
      </w:pPr>
      <w:r>
        <w:rPr>
          <w:rFonts w:hint="eastAsia"/>
        </w:rPr>
        <w:t>对外部主体共享应签订数据使用协议，明确保密义务、数据安全措施、违约责任与销毁要求。</w:t>
      </w:r>
    </w:p>
    <w:p w14:paraId="74FEF2FA">
      <w:pPr>
        <w:pStyle w:val="105"/>
        <w:spacing w:before="120" w:after="120" w:line="360" w:lineRule="auto"/>
      </w:pPr>
      <w:r>
        <w:rPr>
          <w:rFonts w:hint="eastAsia"/>
        </w:rPr>
        <w:t>脱敏与最小化交付要求</w:t>
      </w:r>
    </w:p>
    <w:p w14:paraId="47C7DA7A">
      <w:pPr>
        <w:pStyle w:val="165"/>
        <w:spacing w:line="360" w:lineRule="auto"/>
      </w:pPr>
      <w:r>
        <w:rPr>
          <w:rFonts w:hint="eastAsia"/>
        </w:rPr>
        <w:t>共享数据应采用“字段级最小化”策略，仅交付业务必要字段。</w:t>
      </w:r>
    </w:p>
    <w:p w14:paraId="591558A7">
      <w:pPr>
        <w:pStyle w:val="165"/>
        <w:spacing w:line="360" w:lineRule="auto"/>
      </w:pPr>
      <w:r>
        <w:rPr>
          <w:rFonts w:hint="eastAsia"/>
        </w:rPr>
        <w:t>对个人信息应优先采用脱敏展示或匿名化。</w:t>
      </w:r>
    </w:p>
    <w:p w14:paraId="22F6F2CF">
      <w:pPr>
        <w:pStyle w:val="165"/>
        <w:spacing w:line="360" w:lineRule="auto"/>
      </w:pPr>
      <w:r>
        <w:rPr>
          <w:rFonts w:hint="eastAsia"/>
        </w:rPr>
        <w:t>对现场影像、无损检测图像等包含敏感信息的，应评估是否需要打码、水印或裁剪，并保留原始文件在受控域内。</w:t>
      </w:r>
    </w:p>
    <w:p w14:paraId="76CDB781">
      <w:pPr>
        <w:pStyle w:val="165"/>
        <w:spacing w:line="360" w:lineRule="auto"/>
      </w:pPr>
      <w:r>
        <w:rPr>
          <w:rFonts w:hint="eastAsia"/>
        </w:rPr>
        <w:t>对报告类数据共享宜以“签发版本”为准，避免共享草稿或未经审批数据。</w:t>
      </w:r>
    </w:p>
    <w:p w14:paraId="190BE129">
      <w:pPr>
        <w:pStyle w:val="165"/>
        <w:spacing w:line="360" w:lineRule="auto"/>
      </w:pPr>
      <w:r>
        <w:rPr>
          <w:rFonts w:hint="eastAsia"/>
        </w:rPr>
        <w:t>对共享数据应附带元数据说明（口径、单位、版本、时间范围、限制条款）。</w:t>
      </w:r>
    </w:p>
    <w:p w14:paraId="0AEFF523">
      <w:pPr>
        <w:pStyle w:val="105"/>
        <w:spacing w:before="120" w:after="120" w:line="360" w:lineRule="auto"/>
      </w:pPr>
      <w:r>
        <w:rPr>
          <w:rFonts w:hint="eastAsia"/>
        </w:rPr>
        <w:t>交换方式与接口规范要求</w:t>
      </w:r>
    </w:p>
    <w:p w14:paraId="7ADB02E5">
      <w:pPr>
        <w:pStyle w:val="165"/>
        <w:spacing w:line="360" w:lineRule="auto"/>
      </w:pPr>
      <w:r>
        <w:rPr>
          <w:rFonts w:hint="eastAsia"/>
        </w:rPr>
        <w:t>交换方式可包括在线接口（API）、文件批量交付、消息订阅/推送等；应明确接口协议、字段映射、编码规则与错误处理机制。</w:t>
      </w:r>
    </w:p>
    <w:p w14:paraId="3F0AFA03">
      <w:pPr>
        <w:pStyle w:val="165"/>
        <w:spacing w:line="360" w:lineRule="auto"/>
      </w:pPr>
      <w:r>
        <w:rPr>
          <w:rFonts w:hint="eastAsia"/>
        </w:rPr>
        <w:t>接口应进行身份认证与授权控制，重要及以上数据交换应启用加密传输。</w:t>
      </w:r>
    </w:p>
    <w:p w14:paraId="23261172">
      <w:pPr>
        <w:pStyle w:val="165"/>
        <w:spacing w:line="360" w:lineRule="auto"/>
      </w:pPr>
      <w:r>
        <w:rPr>
          <w:rFonts w:hint="eastAsia"/>
        </w:rPr>
        <w:t>应设置接口调用频控、异常告警与防重放机制，防止滥用与攻击。</w:t>
      </w:r>
    </w:p>
    <w:p w14:paraId="0677F96A">
      <w:pPr>
        <w:pStyle w:val="165"/>
        <w:spacing w:line="360" w:lineRule="auto"/>
      </w:pPr>
      <w:r>
        <w:rPr>
          <w:rFonts w:hint="eastAsia"/>
        </w:rPr>
        <w:t>应对接口输入输出进行校验，确保字段完整性与取值合法性。</w:t>
      </w:r>
    </w:p>
    <w:p w14:paraId="2365F521">
      <w:pPr>
        <w:pStyle w:val="165"/>
        <w:spacing w:line="360" w:lineRule="auto"/>
      </w:pPr>
      <w:r>
        <w:rPr>
          <w:rFonts w:hint="eastAsia"/>
        </w:rPr>
        <w:t>接口变更应纳入版本管理，至少提前发布变更通知，并提供兼容期策略。</w:t>
      </w:r>
    </w:p>
    <w:p w14:paraId="6FDEFC41">
      <w:pPr>
        <w:pStyle w:val="105"/>
        <w:spacing w:before="120" w:after="120" w:line="360" w:lineRule="auto"/>
      </w:pPr>
      <w:r>
        <w:rPr>
          <w:rFonts w:hint="eastAsia"/>
        </w:rPr>
        <w:t>共享交换过程控制与审计追溯</w:t>
      </w:r>
    </w:p>
    <w:p w14:paraId="2DDCD5F8">
      <w:pPr>
        <w:pStyle w:val="56"/>
        <w:spacing w:line="360" w:lineRule="auto"/>
        <w:ind w:firstLine="420"/>
      </w:pPr>
      <w:r>
        <w:rPr>
          <w:rFonts w:hint="eastAsia"/>
        </w:rPr>
        <w:t>为确保共享交换安全可控，应对关键控制点进行约束，数据共享交换与审计追溯控制点见图2。</w:t>
      </w:r>
    </w:p>
    <w:p w14:paraId="726FE6F7">
      <w:pPr>
        <w:pStyle w:val="56"/>
        <w:ind w:firstLine="0" w:firstLineChars="0"/>
        <w:jc w:val="center"/>
      </w:pPr>
      <w:r>
        <w:drawing>
          <wp:inline distT="0" distB="0" distL="0" distR="0">
            <wp:extent cx="5939790" cy="3251200"/>
            <wp:effectExtent l="0" t="0" r="3810" b="6350"/>
            <wp:docPr id="1349072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7213" name="图片 2"/>
                    <pic:cNvPicPr>
                      <a:picLocks noChangeAspect="1" noChangeArrowheads="1"/>
                    </pic:cNvPicPr>
                  </pic:nvPicPr>
                  <pic:blipFill>
                    <a:blip r:embed="rId32">
                      <a:extLst>
                        <a:ext uri="{28A0092B-C50C-407E-A947-70E740481C1C}">
                          <a14:useLocalDpi xmlns:a14="http://schemas.microsoft.com/office/drawing/2010/main" val="0"/>
                        </a:ext>
                      </a:extLst>
                    </a:blip>
                    <a:srcRect t="9746" b="9776"/>
                    <a:stretch>
                      <a:fillRect/>
                    </a:stretch>
                  </pic:blipFill>
                  <pic:spPr>
                    <a:xfrm>
                      <a:off x="0" y="0"/>
                      <a:ext cx="5939790" cy="3251200"/>
                    </a:xfrm>
                    <a:prstGeom prst="rect">
                      <a:avLst/>
                    </a:prstGeom>
                    <a:noFill/>
                    <a:ln>
                      <a:noFill/>
                    </a:ln>
                  </pic:spPr>
                </pic:pic>
              </a:graphicData>
            </a:graphic>
          </wp:inline>
        </w:drawing>
      </w:r>
    </w:p>
    <w:p w14:paraId="25EAE852">
      <w:pPr>
        <w:pStyle w:val="114"/>
        <w:spacing w:before="120" w:after="120" w:line="360" w:lineRule="auto"/>
      </w:pPr>
      <w:r>
        <w:rPr>
          <w:rFonts w:hint="eastAsia"/>
        </w:rPr>
        <w:t>数据共享交换与审计追溯控制点</w:t>
      </w:r>
    </w:p>
    <w:p w14:paraId="4C40ACD0">
      <w:pPr>
        <w:pStyle w:val="105"/>
        <w:spacing w:before="120" w:after="120" w:line="360" w:lineRule="auto"/>
      </w:pPr>
      <w:r>
        <w:rPr>
          <w:rFonts w:hint="eastAsia"/>
        </w:rPr>
        <w:t>数据交付与接收验证</w:t>
      </w:r>
    </w:p>
    <w:p w14:paraId="13673644">
      <w:pPr>
        <w:pStyle w:val="165"/>
        <w:spacing w:line="360" w:lineRule="auto"/>
      </w:pPr>
      <w:r>
        <w:rPr>
          <w:rFonts w:hint="eastAsia"/>
        </w:rPr>
        <w:t>文件交付应提供交付清单、数据字典说明、校验值与版本信息。</w:t>
      </w:r>
    </w:p>
    <w:p w14:paraId="79997DAE">
      <w:pPr>
        <w:pStyle w:val="165"/>
        <w:spacing w:line="360" w:lineRule="auto"/>
      </w:pPr>
      <w:r>
        <w:rPr>
          <w:rFonts w:hint="eastAsia"/>
        </w:rPr>
        <w:t>接收方应进行完整性验证（校验值核对）、字段口径核对与范围核对。</w:t>
      </w:r>
    </w:p>
    <w:p w14:paraId="10777825">
      <w:pPr>
        <w:pStyle w:val="165"/>
        <w:spacing w:line="360" w:lineRule="auto"/>
      </w:pPr>
      <w:r>
        <w:rPr>
          <w:rFonts w:hint="eastAsia"/>
        </w:rPr>
        <w:t>对发现差异或缺失的，应按问题单机制反馈并形成处理闭环。</w:t>
      </w:r>
    </w:p>
    <w:p w14:paraId="5248E7B3">
      <w:pPr>
        <w:pStyle w:val="165"/>
        <w:spacing w:line="360" w:lineRule="auto"/>
      </w:pPr>
      <w:r>
        <w:rPr>
          <w:rFonts w:hint="eastAsia"/>
        </w:rPr>
        <w:t>对重要及以上数据交付，宜要求接收方提供接收确认与安全保管承诺。</w:t>
      </w:r>
    </w:p>
    <w:p w14:paraId="2052F2FB">
      <w:pPr>
        <w:pStyle w:val="165"/>
        <w:spacing w:line="360" w:lineRule="auto"/>
      </w:pPr>
      <w:r>
        <w:rPr>
          <w:rFonts w:hint="eastAsia"/>
        </w:rPr>
        <w:t>接收方对数据的再分发、二次加工与对外披露应受协议与授权约束。</w:t>
      </w:r>
    </w:p>
    <w:p w14:paraId="12D6B876">
      <w:pPr>
        <w:pStyle w:val="104"/>
        <w:spacing w:before="240" w:after="240" w:line="360" w:lineRule="auto"/>
      </w:pPr>
      <w:bookmarkStart w:id="56" w:name="_Toc220230189"/>
      <w:r>
        <w:rPr>
          <w:rFonts w:hint="eastAsia"/>
        </w:rPr>
        <w:t>数据安全与权限控制</w:t>
      </w:r>
      <w:bookmarkEnd w:id="56"/>
    </w:p>
    <w:p w14:paraId="72595815">
      <w:pPr>
        <w:pStyle w:val="105"/>
        <w:spacing w:before="120" w:after="120" w:line="360" w:lineRule="auto"/>
      </w:pPr>
      <w:r>
        <w:rPr>
          <w:rFonts w:hint="eastAsia"/>
        </w:rPr>
        <w:t>总体要求</w:t>
      </w:r>
    </w:p>
    <w:p w14:paraId="393C41DB">
      <w:pPr>
        <w:pStyle w:val="56"/>
        <w:spacing w:line="360" w:lineRule="auto"/>
        <w:ind w:firstLine="420"/>
      </w:pPr>
      <w:r>
        <w:rPr>
          <w:rFonts w:hint="eastAsia"/>
        </w:rPr>
        <w:t>检验检测机构应基于数据分类分级结果，建立覆盖“身份认证—权限授权—访问控制—数据防护—安全监测—事件处置”的数据安全控制体系，确保数据在采集、传输、处理、存储、共享、归档与销毁全过程安全可控。数据安全控制应与业务流程、岗位职责与信息系统控制点同步设计，避免“制度与系统脱节”。</w:t>
      </w:r>
    </w:p>
    <w:p w14:paraId="2DDCDD2B">
      <w:pPr>
        <w:pStyle w:val="105"/>
        <w:spacing w:before="120" w:after="120" w:line="360" w:lineRule="auto"/>
      </w:pPr>
      <w:r>
        <w:rPr>
          <w:rFonts w:hint="eastAsia"/>
        </w:rPr>
        <w:t>身份认证与账号管理</w:t>
      </w:r>
    </w:p>
    <w:p w14:paraId="6026AD67">
      <w:pPr>
        <w:pStyle w:val="165"/>
        <w:spacing w:line="360" w:lineRule="auto"/>
      </w:pPr>
      <w:r>
        <w:rPr>
          <w:rFonts w:hint="eastAsia"/>
        </w:rPr>
        <w:t>应实行账号实名制管理，禁止多人共用账号。应采用强身份认证措施，重要岗位（审核、批准、系统管理、安全管理）宜采用多因素认证。</w:t>
      </w:r>
    </w:p>
    <w:p w14:paraId="46780D94">
      <w:pPr>
        <w:pStyle w:val="165"/>
        <w:spacing w:line="360" w:lineRule="auto"/>
      </w:pPr>
      <w:r>
        <w:rPr>
          <w:rFonts w:hint="eastAsia"/>
        </w:rPr>
        <w:t>账号开通、变更、停用与注销应执行审批流程，并保留记录。离岗、调岗、外包人员退出等情形应及时回收权限与介质。</w:t>
      </w:r>
    </w:p>
    <w:p w14:paraId="3F34CE50">
      <w:pPr>
        <w:pStyle w:val="165"/>
        <w:spacing w:line="360" w:lineRule="auto"/>
      </w:pPr>
      <w:r>
        <w:rPr>
          <w:rFonts w:hint="eastAsia"/>
        </w:rPr>
        <w:t>应设置密码复杂度、有效期与错误尝试锁定策略，禁止使用弱口令。对接口调用账号、系统服务账号应独立管理，权限最小化，并限制登录方式与来源地址。</w:t>
      </w:r>
    </w:p>
    <w:p w14:paraId="6FB62069">
      <w:pPr>
        <w:pStyle w:val="105"/>
        <w:spacing w:before="120" w:after="120" w:line="360" w:lineRule="auto"/>
      </w:pPr>
      <w:r>
        <w:rPr>
          <w:rFonts w:hint="eastAsia"/>
        </w:rPr>
        <w:t>角色权限模型与最小权限</w:t>
      </w:r>
    </w:p>
    <w:p w14:paraId="6CFF683C">
      <w:pPr>
        <w:pStyle w:val="165"/>
        <w:spacing w:line="360" w:lineRule="auto"/>
      </w:pPr>
      <w:r>
        <w:rPr>
          <w:rFonts w:hint="eastAsia"/>
        </w:rPr>
        <w:t>应建立基于角色的访问控制模型（RBAC），并与岗位职责对应。权限授予应遵循最小权限原则与职责分离原则（如“录入—复核—审核—批准”相互制衡）。</w:t>
      </w:r>
    </w:p>
    <w:p w14:paraId="6F29211C">
      <w:pPr>
        <w:pStyle w:val="165"/>
        <w:spacing w:line="360" w:lineRule="auto"/>
      </w:pPr>
      <w:r>
        <w:rPr>
          <w:rFonts w:hint="eastAsia"/>
        </w:rPr>
        <w:t>应区分数据访问权限（查询/下载/导出）、数据处理权限（编辑/更正/作废）、管理权限（授权/审批/配置）等。对重要及以上数据应实施细粒度控制。</w:t>
      </w:r>
    </w:p>
    <w:p w14:paraId="3FF2A377">
      <w:pPr>
        <w:pStyle w:val="165"/>
        <w:spacing w:line="360" w:lineRule="auto"/>
      </w:pPr>
      <w:r>
        <w:rPr>
          <w:rFonts w:hint="eastAsia"/>
        </w:rPr>
        <w:t>应对临时授权设置有效期，到期自动回收。权限矩阵与授权记录应可追溯，至少记录授权人、授权依据、授权范围、有效期与变更历史。</w:t>
      </w:r>
    </w:p>
    <w:p w14:paraId="7A6696EB">
      <w:pPr>
        <w:pStyle w:val="105"/>
        <w:spacing w:before="120" w:after="120" w:line="360" w:lineRule="auto"/>
      </w:pPr>
      <w:r>
        <w:rPr>
          <w:rFonts w:hint="eastAsia"/>
        </w:rPr>
        <w:t>数据访问控制与导出管理</w:t>
      </w:r>
    </w:p>
    <w:p w14:paraId="67155F81">
      <w:pPr>
        <w:pStyle w:val="165"/>
        <w:spacing w:line="360" w:lineRule="auto"/>
      </w:pPr>
      <w:r>
        <w:rPr>
          <w:rFonts w:hint="eastAsia"/>
        </w:rPr>
        <w:t>应对系统内浏览、下载、导出、接口调用、批量查询等行为实施策略控制与审计。对重要及以上数据导出应实施审批或双人复核机制，并支持按目的限制导出范围。</w:t>
      </w:r>
    </w:p>
    <w:p w14:paraId="5A0099BA">
      <w:pPr>
        <w:pStyle w:val="165"/>
        <w:spacing w:line="360" w:lineRule="auto"/>
      </w:pPr>
      <w:r>
        <w:rPr>
          <w:rFonts w:hint="eastAsia"/>
        </w:rPr>
        <w:t>导出文件宜自动加水印（含导出人、时间、用途、任务号），并记录校验值。应限制高风险导出方式，确需使用时应采取加密、审批与登记。</w:t>
      </w:r>
    </w:p>
    <w:p w14:paraId="66F4E4BC">
      <w:pPr>
        <w:pStyle w:val="165"/>
        <w:spacing w:line="360" w:lineRule="auto"/>
      </w:pPr>
      <w:r>
        <w:rPr>
          <w:rFonts w:hint="eastAsia"/>
        </w:rPr>
        <w:t>对批量导出或异常访问（高频、越权、跨范围）应触发告警并可自动阻断。应对数据打印（纸质输出）建立管理机制，重要数据打印应登记并回收或封存。</w:t>
      </w:r>
    </w:p>
    <w:p w14:paraId="4FFC50ED">
      <w:pPr>
        <w:pStyle w:val="105"/>
        <w:spacing w:before="120" w:after="120" w:line="360" w:lineRule="auto"/>
      </w:pPr>
      <w:r>
        <w:rPr>
          <w:rFonts w:hint="eastAsia"/>
        </w:rPr>
        <w:t>数据传输安全</w:t>
      </w:r>
    </w:p>
    <w:p w14:paraId="67041154">
      <w:pPr>
        <w:pStyle w:val="165"/>
        <w:spacing w:line="360" w:lineRule="auto"/>
      </w:pPr>
      <w:r>
        <w:rPr>
          <w:rFonts w:hint="eastAsia"/>
        </w:rPr>
        <w:t>系统间传输应采用安全协议并进行身份认证；涉及重要及以上数据应启用加密传输。应建立接口访问白名单与证书管理机制，接口密钥应定期轮换。</w:t>
      </w:r>
    </w:p>
    <w:p w14:paraId="4F797268">
      <w:pPr>
        <w:pStyle w:val="165"/>
        <w:spacing w:line="360" w:lineRule="auto"/>
      </w:pPr>
      <w:r>
        <w:rPr>
          <w:rFonts w:hint="eastAsia"/>
        </w:rPr>
        <w:t>对离线传输（介质交付）应进行加密与校验值封装，并严格登记交接。对移动终端离线采集数据，应启用本地加密存储与远程擦除能力。</w:t>
      </w:r>
    </w:p>
    <w:p w14:paraId="708721A8">
      <w:pPr>
        <w:pStyle w:val="165"/>
        <w:spacing w:line="360" w:lineRule="auto"/>
      </w:pPr>
      <w:r>
        <w:rPr>
          <w:rFonts w:hint="eastAsia"/>
        </w:rPr>
        <w:t>传输过程应记录发起方、接收方、时间、数据范围、传输方式、成功/失败状态与错误原因。</w:t>
      </w:r>
    </w:p>
    <w:p w14:paraId="14C05801">
      <w:pPr>
        <w:pStyle w:val="56"/>
        <w:spacing w:line="360" w:lineRule="auto"/>
        <w:ind w:firstLine="420"/>
      </w:pPr>
    </w:p>
    <w:p w14:paraId="5AB9E3ED">
      <w:pPr>
        <w:pStyle w:val="105"/>
        <w:spacing w:before="120" w:after="120" w:line="360" w:lineRule="auto"/>
      </w:pPr>
      <w:r>
        <w:rPr>
          <w:rFonts w:hint="eastAsia"/>
        </w:rPr>
        <w:t>电子签名、电子印章与签发控制</w:t>
      </w:r>
    </w:p>
    <w:p w14:paraId="26539617">
      <w:pPr>
        <w:pStyle w:val="165"/>
        <w:spacing w:line="360" w:lineRule="auto"/>
      </w:pPr>
      <w:r>
        <w:rPr>
          <w:rFonts w:hint="eastAsia"/>
        </w:rPr>
        <w:t>检验报告签发应采用受控的签章流程，确保“审核—批准—签发”链条完整。</w:t>
      </w:r>
    </w:p>
    <w:p w14:paraId="6FB1BD61">
      <w:pPr>
        <w:pStyle w:val="165"/>
        <w:spacing w:line="360" w:lineRule="auto"/>
      </w:pPr>
      <w:r>
        <w:rPr>
          <w:rFonts w:hint="eastAsia"/>
        </w:rPr>
        <w:t>电子签名/电子印章的生成、保管、使用、授权与吊销应受控，禁止私自复制或外借。</w:t>
      </w:r>
    </w:p>
    <w:p w14:paraId="10BB27F4">
      <w:pPr>
        <w:pStyle w:val="165"/>
        <w:spacing w:line="360" w:lineRule="auto"/>
      </w:pPr>
      <w:r>
        <w:rPr>
          <w:rFonts w:hint="eastAsia"/>
        </w:rPr>
        <w:t>签发后的报告及关键结论数据应只读封存，任何更正应通过更正单或补充记录，不得覆盖原件。</w:t>
      </w:r>
    </w:p>
    <w:p w14:paraId="76F87CE6">
      <w:pPr>
        <w:pStyle w:val="165"/>
        <w:spacing w:line="360" w:lineRule="auto"/>
      </w:pPr>
      <w:r>
        <w:rPr>
          <w:rFonts w:hint="eastAsia"/>
        </w:rPr>
        <w:t>签章信息应与报告编号、版本号、签发时间、签发人绑定，并可校验真伪。</w:t>
      </w:r>
    </w:p>
    <w:p w14:paraId="7FE6E3AC">
      <w:pPr>
        <w:pStyle w:val="165"/>
        <w:spacing w:line="360" w:lineRule="auto"/>
      </w:pPr>
      <w:r>
        <w:rPr>
          <w:rFonts w:hint="eastAsia"/>
        </w:rPr>
        <w:t>签章与签发过程日志应纳入审计，满足追溯与举证需要。</w:t>
      </w:r>
    </w:p>
    <w:p w14:paraId="7A9422AE">
      <w:pPr>
        <w:pStyle w:val="105"/>
        <w:spacing w:before="120" w:after="120" w:line="360" w:lineRule="auto"/>
      </w:pPr>
      <w:r>
        <w:rPr>
          <w:rFonts w:hint="eastAsia"/>
        </w:rPr>
        <w:t>安全监测与漏洞管理</w:t>
      </w:r>
    </w:p>
    <w:p w14:paraId="277192F8">
      <w:pPr>
        <w:pStyle w:val="165"/>
        <w:spacing w:line="360" w:lineRule="auto"/>
      </w:pPr>
      <w:r>
        <w:rPr>
          <w:rFonts w:hint="eastAsia"/>
        </w:rPr>
        <w:t>应开展安全监测，至少覆盖异常登录、越权访问、异常导出、接口异常调用、恶意文件上传等。</w:t>
      </w:r>
    </w:p>
    <w:p w14:paraId="4B200D55">
      <w:pPr>
        <w:pStyle w:val="165"/>
        <w:spacing w:line="360" w:lineRule="auto"/>
      </w:pPr>
      <w:r>
        <w:rPr>
          <w:rFonts w:hint="eastAsia"/>
        </w:rPr>
        <w:t>应建立漏洞管理与补丁管理机制，重要系统应按风险等级确定修复时限。</w:t>
      </w:r>
    </w:p>
    <w:p w14:paraId="1A66A167">
      <w:pPr>
        <w:pStyle w:val="165"/>
        <w:spacing w:line="360" w:lineRule="auto"/>
      </w:pPr>
      <w:r>
        <w:rPr>
          <w:rFonts w:hint="eastAsia"/>
        </w:rPr>
        <w:t>应定期开展权限复核、账号清理与日志抽查。对第三方组件与外包运维应明确安全责任与访问边界。</w:t>
      </w:r>
    </w:p>
    <w:p w14:paraId="3F32E5B3">
      <w:pPr>
        <w:pStyle w:val="165"/>
        <w:spacing w:line="360" w:lineRule="auto"/>
      </w:pPr>
      <w:r>
        <w:rPr>
          <w:rFonts w:hint="eastAsia"/>
        </w:rPr>
        <w:t>应定期组织安全培训，提高人员的数据安全意识与合规能力。</w:t>
      </w:r>
    </w:p>
    <w:p w14:paraId="693A7E6A">
      <w:pPr>
        <w:pStyle w:val="105"/>
        <w:spacing w:before="120" w:after="120" w:line="360" w:lineRule="auto"/>
      </w:pPr>
      <w:r>
        <w:rPr>
          <w:rFonts w:hint="eastAsia"/>
        </w:rPr>
        <w:t>安全事件响应与处置</w:t>
      </w:r>
    </w:p>
    <w:p w14:paraId="3C271585">
      <w:pPr>
        <w:pStyle w:val="165"/>
        <w:spacing w:line="360" w:lineRule="auto"/>
      </w:pPr>
      <w:r>
        <w:rPr>
          <w:rFonts w:hint="eastAsia"/>
        </w:rPr>
        <w:t>应建立数据安全事件分级与响应流程，至少包括识别、隔离、止损、取证、通报、恢复与复盘。</w:t>
      </w:r>
    </w:p>
    <w:p w14:paraId="4271518E">
      <w:pPr>
        <w:pStyle w:val="165"/>
        <w:spacing w:line="360" w:lineRule="auto"/>
      </w:pPr>
      <w:r>
        <w:rPr>
          <w:rFonts w:hint="eastAsia"/>
        </w:rPr>
        <w:t>对疑似泄露、篡改、勒索攻击、恶意删除等事件应立即启动应急响应。</w:t>
      </w:r>
    </w:p>
    <w:p w14:paraId="10527DF2">
      <w:pPr>
        <w:pStyle w:val="165"/>
        <w:spacing w:line="360" w:lineRule="auto"/>
      </w:pPr>
      <w:r>
        <w:rPr>
          <w:rFonts w:hint="eastAsia"/>
        </w:rPr>
        <w:t>事件处置过程中应保全证据，确保可追责。</w:t>
      </w:r>
    </w:p>
    <w:p w14:paraId="09C1325C">
      <w:pPr>
        <w:pStyle w:val="165"/>
        <w:spacing w:line="360" w:lineRule="auto"/>
      </w:pPr>
      <w:r>
        <w:rPr>
          <w:rFonts w:hint="eastAsia"/>
        </w:rPr>
        <w:t>事件处置完成后应形成报告并推动制度或技术整改，纳入持续改进。</w:t>
      </w:r>
    </w:p>
    <w:p w14:paraId="51513F1F">
      <w:pPr>
        <w:pStyle w:val="104"/>
        <w:spacing w:before="240" w:after="240" w:line="360" w:lineRule="auto"/>
      </w:pPr>
      <w:bookmarkStart w:id="57" w:name="_Toc220230190"/>
      <w:r>
        <w:rPr>
          <w:rFonts w:hint="eastAsia"/>
        </w:rPr>
        <w:t>日志审计与证据链固化</w:t>
      </w:r>
      <w:bookmarkEnd w:id="57"/>
    </w:p>
    <w:p w14:paraId="7AC237DF">
      <w:pPr>
        <w:pStyle w:val="105"/>
        <w:spacing w:before="120" w:after="120" w:line="360" w:lineRule="auto"/>
      </w:pPr>
      <w:r>
        <w:rPr>
          <w:rFonts w:hint="eastAsia"/>
        </w:rPr>
        <w:t>审计范围与总体要求</w:t>
      </w:r>
    </w:p>
    <w:p w14:paraId="6C675EE8">
      <w:pPr>
        <w:pStyle w:val="56"/>
        <w:spacing w:line="360" w:lineRule="auto"/>
        <w:ind w:firstLine="420"/>
      </w:pPr>
      <w:r>
        <w:rPr>
          <w:rFonts w:hint="eastAsia"/>
        </w:rPr>
        <w:t>检验检测机构应建立覆盖业务与系统的审计机制，确保关键操作可追溯、关键证据可验证、关键责任可定位。审计至少应覆盖：</w:t>
      </w:r>
    </w:p>
    <w:p w14:paraId="54B0E443">
      <w:pPr>
        <w:pStyle w:val="56"/>
        <w:spacing w:line="360" w:lineRule="auto"/>
        <w:ind w:firstLine="420"/>
      </w:pPr>
      <w:r>
        <w:rPr>
          <w:rFonts w:hint="eastAsia"/>
        </w:rPr>
        <w:t>a) 账号登录与认证事件；</w:t>
      </w:r>
    </w:p>
    <w:p w14:paraId="2131D374">
      <w:pPr>
        <w:pStyle w:val="56"/>
        <w:spacing w:line="360" w:lineRule="auto"/>
        <w:ind w:firstLine="420"/>
      </w:pPr>
      <w:r>
        <w:rPr>
          <w:rFonts w:hint="eastAsia"/>
        </w:rPr>
        <w:t>b) 数据新增、修改、更正、作废与版本变更；</w:t>
      </w:r>
    </w:p>
    <w:p w14:paraId="0F89DF50">
      <w:pPr>
        <w:pStyle w:val="56"/>
        <w:spacing w:line="360" w:lineRule="auto"/>
        <w:ind w:firstLine="420"/>
      </w:pPr>
      <w:r>
        <w:rPr>
          <w:rFonts w:hint="eastAsia"/>
        </w:rPr>
        <w:t>c) 报告审核、批准、签发与撤销；</w:t>
      </w:r>
    </w:p>
    <w:p w14:paraId="3748AF31">
      <w:pPr>
        <w:pStyle w:val="56"/>
        <w:spacing w:line="360" w:lineRule="auto"/>
        <w:ind w:firstLine="420"/>
      </w:pPr>
      <w:r>
        <w:rPr>
          <w:rFonts w:hint="eastAsia"/>
        </w:rPr>
        <w:t>d) 数据查询、下载、导出、共享与接口调用；</w:t>
      </w:r>
    </w:p>
    <w:p w14:paraId="7A75CE4D">
      <w:pPr>
        <w:pStyle w:val="56"/>
        <w:spacing w:line="360" w:lineRule="auto"/>
        <w:ind w:firstLine="420"/>
      </w:pPr>
      <w:r>
        <w:rPr>
          <w:rFonts w:hint="eastAsia"/>
        </w:rPr>
        <w:t>e) 权限授权、变更、回收与策略调整；</w:t>
      </w:r>
    </w:p>
    <w:p w14:paraId="14786892">
      <w:pPr>
        <w:pStyle w:val="56"/>
        <w:spacing w:line="360" w:lineRule="auto"/>
        <w:ind w:firstLine="420"/>
      </w:pPr>
      <w:r>
        <w:rPr>
          <w:rFonts w:hint="eastAsia"/>
        </w:rPr>
        <w:t>f) 备份执行、恢复操作与灾备切换；</w:t>
      </w:r>
    </w:p>
    <w:p w14:paraId="2A319D15">
      <w:pPr>
        <w:pStyle w:val="56"/>
        <w:spacing w:line="360" w:lineRule="auto"/>
        <w:ind w:firstLine="420"/>
      </w:pPr>
      <w:r>
        <w:rPr>
          <w:rFonts w:hint="eastAsia"/>
        </w:rPr>
        <w:t>g) 系统配置变更、补丁升级与异常告警处置。</w:t>
      </w:r>
    </w:p>
    <w:p w14:paraId="19388A89">
      <w:pPr>
        <w:pStyle w:val="56"/>
        <w:spacing w:line="360" w:lineRule="auto"/>
        <w:ind w:firstLine="420"/>
      </w:pPr>
    </w:p>
    <w:p w14:paraId="2F16F138">
      <w:pPr>
        <w:pStyle w:val="56"/>
        <w:spacing w:line="360" w:lineRule="auto"/>
        <w:ind w:firstLine="420"/>
      </w:pPr>
    </w:p>
    <w:p w14:paraId="2F6D1167">
      <w:pPr>
        <w:pStyle w:val="105"/>
        <w:spacing w:before="120" w:after="120" w:line="360" w:lineRule="auto"/>
      </w:pPr>
      <w:r>
        <w:rPr>
          <w:rFonts w:hint="eastAsia"/>
        </w:rPr>
        <w:t>日志内容与要素要求</w:t>
      </w:r>
    </w:p>
    <w:p w14:paraId="3662278E">
      <w:pPr>
        <w:pStyle w:val="56"/>
        <w:spacing w:line="360" w:lineRule="auto"/>
        <w:ind w:firstLine="420"/>
      </w:pPr>
      <w:r>
        <w:rPr>
          <w:rFonts w:hint="eastAsia"/>
        </w:rPr>
        <w:t>日志记录应具备可用性、完整性与一致性，至少包含以下要素：</w:t>
      </w:r>
    </w:p>
    <w:p w14:paraId="6E9450D8">
      <w:pPr>
        <w:pStyle w:val="56"/>
        <w:spacing w:line="360" w:lineRule="auto"/>
        <w:ind w:firstLine="420"/>
      </w:pPr>
      <w:r>
        <w:rPr>
          <w:rFonts w:hint="eastAsia"/>
        </w:rPr>
        <w:t>a) 主体要素：操作者账号、姓名/工号、角色、来源IP/终端标识；</w:t>
      </w:r>
    </w:p>
    <w:p w14:paraId="4AEE72A4">
      <w:pPr>
        <w:pStyle w:val="56"/>
        <w:spacing w:line="360" w:lineRule="auto"/>
        <w:ind w:firstLine="420"/>
      </w:pPr>
      <w:r>
        <w:rPr>
          <w:rFonts w:hint="eastAsia"/>
        </w:rPr>
        <w:t>b) 客体要素：EQUIP_ID、TASK_ID、ITEM_ID、DATA_ID、REPORT_ID等对象标识；</w:t>
      </w:r>
    </w:p>
    <w:p w14:paraId="38B0E74D">
      <w:pPr>
        <w:pStyle w:val="56"/>
        <w:spacing w:line="360" w:lineRule="auto"/>
        <w:ind w:firstLine="420"/>
      </w:pPr>
      <w:r>
        <w:rPr>
          <w:rFonts w:hint="eastAsia"/>
        </w:rPr>
        <w:t>c) 行为要素：操作类型（新增/更正/导出/签发等）、操作结果（成功/失败）、失败原因；</w:t>
      </w:r>
    </w:p>
    <w:p w14:paraId="75A65A1F">
      <w:pPr>
        <w:pStyle w:val="56"/>
        <w:spacing w:line="360" w:lineRule="auto"/>
        <w:ind w:firstLine="420"/>
      </w:pPr>
      <w:r>
        <w:rPr>
          <w:rFonts w:hint="eastAsia"/>
        </w:rPr>
        <w:t>d) 时序要素：操作时间（与统一时钟源一致）、持续时间；</w:t>
      </w:r>
    </w:p>
    <w:p w14:paraId="09DC5FB6">
      <w:pPr>
        <w:pStyle w:val="56"/>
        <w:spacing w:line="360" w:lineRule="auto"/>
        <w:ind w:firstLine="420"/>
      </w:pPr>
      <w:r>
        <w:rPr>
          <w:rFonts w:hint="eastAsia"/>
        </w:rPr>
        <w:t>e) 范围要素：数据范围（字段/记录数/文件数）、共享去向或导出介质；</w:t>
      </w:r>
    </w:p>
    <w:p w14:paraId="180977A9">
      <w:pPr>
        <w:pStyle w:val="56"/>
        <w:spacing w:line="360" w:lineRule="auto"/>
        <w:ind w:firstLine="420"/>
      </w:pPr>
      <w:r>
        <w:rPr>
          <w:rFonts w:hint="eastAsia"/>
        </w:rPr>
        <w:t>f) 校验要素：关键文件HASH、签名校验结果。</w:t>
      </w:r>
    </w:p>
    <w:p w14:paraId="4400649B">
      <w:pPr>
        <w:pStyle w:val="56"/>
        <w:spacing w:line="360" w:lineRule="auto"/>
        <w:ind w:firstLine="420"/>
      </w:pPr>
      <w:r>
        <w:rPr>
          <w:rFonts w:hint="eastAsia"/>
        </w:rPr>
        <w:t>日志格式应便于机器分析与检索，宜采用结构化日志，并与业务系统日志进行关联。</w:t>
      </w:r>
    </w:p>
    <w:p w14:paraId="1948CE02">
      <w:pPr>
        <w:pStyle w:val="105"/>
        <w:spacing w:before="120" w:after="120" w:line="360" w:lineRule="auto"/>
      </w:pPr>
      <w:r>
        <w:rPr>
          <w:rFonts w:hint="eastAsia"/>
        </w:rPr>
        <w:t>日志留存期限与分级管理</w:t>
      </w:r>
    </w:p>
    <w:p w14:paraId="2336113F">
      <w:pPr>
        <w:pStyle w:val="165"/>
        <w:spacing w:line="360" w:lineRule="auto"/>
      </w:pPr>
      <w:r>
        <w:rPr>
          <w:rFonts w:hint="eastAsia"/>
        </w:rPr>
        <w:t>日志留存期限应与业务风险、法规监管要求及数据等级相匹配。涉及报告签发、数据共享、关键证据文件操作的日志应提高留存期限并实施防篡改。</w:t>
      </w:r>
    </w:p>
    <w:p w14:paraId="2CE74E35">
      <w:pPr>
        <w:pStyle w:val="165"/>
        <w:spacing w:line="360" w:lineRule="auto"/>
      </w:pPr>
      <w:r>
        <w:rPr>
          <w:rFonts w:hint="eastAsia"/>
        </w:rPr>
        <w:t>日志存储应与生产系统隔离，避免被同一权限篡改或删除。日志归档应可检索，支持按人、设备、任务、时间、操作类型查询。</w:t>
      </w:r>
    </w:p>
    <w:p w14:paraId="3B04802A">
      <w:pPr>
        <w:pStyle w:val="105"/>
        <w:spacing w:before="120" w:after="120" w:line="360" w:lineRule="auto"/>
      </w:pPr>
      <w:r>
        <w:rPr>
          <w:rFonts w:hint="eastAsia"/>
        </w:rPr>
        <w:t>防篡改与存证要求</w:t>
      </w:r>
    </w:p>
    <w:p w14:paraId="796A3EB4">
      <w:pPr>
        <w:pStyle w:val="165"/>
        <w:spacing w:line="360" w:lineRule="auto"/>
      </w:pPr>
      <w:r>
        <w:rPr>
          <w:rFonts w:hint="eastAsia"/>
        </w:rPr>
        <w:t>对关键审计日志与关键证据数据的校验值应采用防篡改措施。</w:t>
      </w:r>
    </w:p>
    <w:p w14:paraId="7BF4716E">
      <w:pPr>
        <w:pStyle w:val="165"/>
        <w:spacing w:line="360" w:lineRule="auto"/>
      </w:pPr>
      <w:r>
        <w:rPr>
          <w:rFonts w:hint="eastAsia"/>
        </w:rPr>
        <w:t>证据数据（原始记录、无损检测原始文件、签发报告）应生成并固化校验值，校验值应与DATA_ID/REPORT_ID绑定。</w:t>
      </w:r>
    </w:p>
    <w:p w14:paraId="7263180D">
      <w:pPr>
        <w:pStyle w:val="165"/>
        <w:spacing w:line="360" w:lineRule="auto"/>
      </w:pPr>
      <w:r>
        <w:rPr>
          <w:rFonts w:hint="eastAsia"/>
        </w:rPr>
        <w:t>证据链应能证明数据“何时由谁以何种方式生成、是否被修改、流转到何处”。对跨系统共享数据，应保留交付包清单与接收确认记录，形成闭环证据。</w:t>
      </w:r>
    </w:p>
    <w:p w14:paraId="07AB7C4D">
      <w:pPr>
        <w:pStyle w:val="105"/>
        <w:spacing w:before="120" w:after="120" w:line="360" w:lineRule="auto"/>
      </w:pPr>
      <w:r>
        <w:rPr>
          <w:rFonts w:hint="eastAsia"/>
        </w:rPr>
        <w:t>审计分析与抽查机制</w:t>
      </w:r>
    </w:p>
    <w:p w14:paraId="0308180C">
      <w:pPr>
        <w:pStyle w:val="165"/>
        <w:spacing w:line="360" w:lineRule="auto"/>
      </w:pPr>
      <w:r>
        <w:rPr>
          <w:rFonts w:hint="eastAsia"/>
        </w:rPr>
        <w:t>应建立审计分析机制，对异常行为进行识别。</w:t>
      </w:r>
    </w:p>
    <w:p w14:paraId="688F3715">
      <w:pPr>
        <w:pStyle w:val="165"/>
        <w:spacing w:line="360" w:lineRule="auto"/>
      </w:pPr>
      <w:r>
        <w:rPr>
          <w:rFonts w:hint="eastAsia"/>
        </w:rPr>
        <w:t>应设置审计抽查制度，至少每季度对报告签发、数据更正与共享导出进行抽查。</w:t>
      </w:r>
    </w:p>
    <w:p w14:paraId="2EB7C322">
      <w:pPr>
        <w:pStyle w:val="165"/>
        <w:spacing w:line="360" w:lineRule="auto"/>
      </w:pPr>
      <w:r>
        <w:rPr>
          <w:rFonts w:hint="eastAsia"/>
        </w:rPr>
        <w:t>抽查发现问题应形成整改闭环，并纳入质量管理体系评价。对重大异常应及时上报并启动安全事件响应。</w:t>
      </w:r>
    </w:p>
    <w:p w14:paraId="0EA09128">
      <w:pPr>
        <w:pStyle w:val="104"/>
        <w:spacing w:before="240" w:after="240" w:line="360" w:lineRule="auto"/>
      </w:pPr>
      <w:bookmarkStart w:id="58" w:name="_Toc220230191"/>
      <w:r>
        <w:rPr>
          <w:rFonts w:hint="eastAsia"/>
        </w:rPr>
        <w:t>数据归档与销毁</w:t>
      </w:r>
      <w:bookmarkEnd w:id="58"/>
    </w:p>
    <w:p w14:paraId="6FE118B0">
      <w:pPr>
        <w:pStyle w:val="105"/>
        <w:spacing w:before="120" w:after="120" w:line="360" w:lineRule="auto"/>
      </w:pPr>
      <w:r>
        <w:rPr>
          <w:rFonts w:hint="eastAsia"/>
        </w:rPr>
        <w:t>归档范围与归档包要求</w:t>
      </w:r>
    </w:p>
    <w:p w14:paraId="34F04702">
      <w:pPr>
        <w:pStyle w:val="165"/>
        <w:spacing w:line="360" w:lineRule="auto"/>
      </w:pPr>
      <w:r>
        <w:rPr>
          <w:rFonts w:hint="eastAsia"/>
        </w:rPr>
        <w:t>归档范围应覆盖检验检测活动形成的关键数据与证据材料，至少包括：受理与任务信息、原始记录、证据文件、检验结论与报告、审核批准记录、仪器溯源信息、异常处置记录、共享交付记录。</w:t>
      </w:r>
    </w:p>
    <w:p w14:paraId="00E0E788">
      <w:pPr>
        <w:pStyle w:val="165"/>
        <w:spacing w:line="360" w:lineRule="auto"/>
      </w:pPr>
      <w:r>
        <w:rPr>
          <w:rFonts w:hint="eastAsia"/>
        </w:rPr>
        <w:t>应形成标准化“归档包”，归档包至少包含：目录清单、元数据文件、数据文件、校验值文件、签章与签名验证信息。</w:t>
      </w:r>
    </w:p>
    <w:p w14:paraId="4F1EEAAD">
      <w:pPr>
        <w:pStyle w:val="165"/>
        <w:spacing w:line="360" w:lineRule="auto"/>
      </w:pPr>
      <w:r>
        <w:rPr>
          <w:rFonts w:hint="eastAsia"/>
        </w:rPr>
        <w:t>归档包应与EQUIP_ID、TASK_ID、REPORT_ID等标识绑定，支持快速检索与调阅。</w:t>
      </w:r>
    </w:p>
    <w:p w14:paraId="3C0EB1B0">
      <w:pPr>
        <w:pStyle w:val="165"/>
        <w:spacing w:line="360" w:lineRule="auto"/>
      </w:pPr>
      <w:r>
        <w:rPr>
          <w:rFonts w:hint="eastAsia"/>
        </w:rPr>
        <w:t>归档包生成后应进行完整性验证，验证通过后方可入库封存。</w:t>
      </w:r>
    </w:p>
    <w:p w14:paraId="5B83618A">
      <w:pPr>
        <w:pStyle w:val="105"/>
        <w:spacing w:before="120" w:after="120" w:line="360" w:lineRule="auto"/>
      </w:pPr>
      <w:r>
        <w:rPr>
          <w:rFonts w:hint="eastAsia"/>
        </w:rPr>
        <w:t>归档流程与责任分工</w:t>
      </w:r>
    </w:p>
    <w:p w14:paraId="07AE0102">
      <w:pPr>
        <w:pStyle w:val="165"/>
        <w:spacing w:line="360" w:lineRule="auto"/>
      </w:pPr>
      <w:r>
        <w:rPr>
          <w:rFonts w:hint="eastAsia"/>
        </w:rPr>
        <w:t>应明确归档触发条件。归档流程至少包括：归档准备—完整性检查—复核确认—入库封存—归档登记。</w:t>
      </w:r>
    </w:p>
    <w:p w14:paraId="3969678B">
      <w:pPr>
        <w:pStyle w:val="165"/>
        <w:spacing w:line="360" w:lineRule="auto"/>
      </w:pPr>
      <w:r>
        <w:rPr>
          <w:rFonts w:hint="eastAsia"/>
        </w:rPr>
        <w:t>归档责任应落实到岗：数据管理员负责归档组织与目录管理，业务部门负责内容完整性确认，系统管理员负责介质与权限配置。</w:t>
      </w:r>
    </w:p>
    <w:p w14:paraId="2A2B1F3D">
      <w:pPr>
        <w:pStyle w:val="165"/>
        <w:spacing w:line="360" w:lineRule="auto"/>
      </w:pPr>
      <w:r>
        <w:rPr>
          <w:rFonts w:hint="eastAsia"/>
        </w:rPr>
        <w:t>归档移交应形成记录，记录应包含归档范围、归档时间、经办人、复核人、存放位置与校验结果。</w:t>
      </w:r>
    </w:p>
    <w:p w14:paraId="4857105A">
      <w:pPr>
        <w:pStyle w:val="105"/>
        <w:spacing w:before="120" w:after="120" w:line="360" w:lineRule="auto"/>
      </w:pPr>
      <w:r>
        <w:rPr>
          <w:rFonts w:hint="eastAsia"/>
        </w:rPr>
        <w:t>保存期限与调阅管理</w:t>
      </w:r>
    </w:p>
    <w:p w14:paraId="78D17F3B">
      <w:pPr>
        <w:pStyle w:val="165"/>
        <w:spacing w:line="360" w:lineRule="auto"/>
      </w:pPr>
      <w:r>
        <w:rPr>
          <w:rFonts w:hint="eastAsia"/>
        </w:rPr>
        <w:t>数据保存期限应依据法规监管要求、合同约定与机构管理制度确定；对无法明确期限的，应按风险较高原则确定最低保存期限。</w:t>
      </w:r>
    </w:p>
    <w:p w14:paraId="180AF7A4">
      <w:pPr>
        <w:pStyle w:val="165"/>
        <w:spacing w:line="360" w:lineRule="auto"/>
      </w:pPr>
      <w:r>
        <w:rPr>
          <w:rFonts w:hint="eastAsia"/>
        </w:rPr>
        <w:t>对封存证据数据的调阅应执行审批与登记，记录调阅目的、范围、时间、经办人、批准人。</w:t>
      </w:r>
    </w:p>
    <w:p w14:paraId="77CB1622">
      <w:pPr>
        <w:pStyle w:val="165"/>
        <w:spacing w:line="360" w:lineRule="auto"/>
      </w:pPr>
      <w:r>
        <w:rPr>
          <w:rFonts w:hint="eastAsia"/>
        </w:rPr>
        <w:t>调阅应尽量在受控环境中进行，必要时提供脱敏副本或只读副本。</w:t>
      </w:r>
    </w:p>
    <w:p w14:paraId="61D86DF6">
      <w:pPr>
        <w:pStyle w:val="165"/>
        <w:spacing w:line="360" w:lineRule="auto"/>
      </w:pPr>
      <w:r>
        <w:rPr>
          <w:rFonts w:hint="eastAsia"/>
        </w:rPr>
        <w:t>调阅过程中产生的复制件应纳入受控管理，到期应回收或销毁并记录。</w:t>
      </w:r>
    </w:p>
    <w:p w14:paraId="5074BC38">
      <w:pPr>
        <w:pStyle w:val="105"/>
        <w:spacing w:before="120" w:after="120" w:line="360" w:lineRule="auto"/>
      </w:pPr>
      <w:r>
        <w:rPr>
          <w:rFonts w:hint="eastAsia"/>
        </w:rPr>
        <w:t>销毁条件与销毁流程</w:t>
      </w:r>
    </w:p>
    <w:p w14:paraId="1EF9CF4D">
      <w:pPr>
        <w:pStyle w:val="165"/>
        <w:spacing w:line="360" w:lineRule="auto"/>
      </w:pPr>
      <w:r>
        <w:rPr>
          <w:rFonts w:hint="eastAsia"/>
        </w:rPr>
        <w:t>数据达到保存期限且无继续保存必要时，可按程序销毁；涉及事故调查、争议处理、行政执法、司法取证等情形的，应暂停销毁。</w:t>
      </w:r>
    </w:p>
    <w:p w14:paraId="709273BE">
      <w:pPr>
        <w:pStyle w:val="165"/>
        <w:spacing w:line="360" w:lineRule="auto"/>
      </w:pPr>
      <w:r>
        <w:rPr>
          <w:rFonts w:hint="eastAsia"/>
        </w:rPr>
        <w:t>销毁流程至少包括：销毁申请—合规核查—审批—销毁执行—销毁验证—销毁记录归档。</w:t>
      </w:r>
    </w:p>
    <w:p w14:paraId="3D6F4343">
      <w:pPr>
        <w:pStyle w:val="165"/>
        <w:spacing w:line="360" w:lineRule="auto"/>
      </w:pPr>
      <w:r>
        <w:rPr>
          <w:rFonts w:hint="eastAsia"/>
        </w:rPr>
        <w:t>销毁应确保不可恢复（包括备份副本），并形成销毁证明。</w:t>
      </w:r>
    </w:p>
    <w:p w14:paraId="70742D8A">
      <w:pPr>
        <w:pStyle w:val="165"/>
        <w:spacing w:line="360" w:lineRule="auto"/>
      </w:pPr>
      <w:r>
        <w:rPr>
          <w:rFonts w:hint="eastAsia"/>
        </w:rPr>
        <w:t>对含敏感信息的数据销毁应提高审批级别并加强现场监督。</w:t>
      </w:r>
    </w:p>
    <w:p w14:paraId="3A9ABA68">
      <w:pPr>
        <w:pStyle w:val="165"/>
        <w:spacing w:line="360" w:lineRule="auto"/>
      </w:pPr>
      <w:r>
        <w:rPr>
          <w:rFonts w:hint="eastAsia"/>
        </w:rPr>
        <w:t>销毁记录应长期留存，至少包含销毁对象标识、范围、原因、时间、方式、经办人、监督人、验证结果。</w:t>
      </w:r>
    </w:p>
    <w:p w14:paraId="6D574E98">
      <w:pPr>
        <w:pStyle w:val="104"/>
        <w:spacing w:before="240" w:after="240" w:line="360" w:lineRule="auto"/>
      </w:pPr>
      <w:bookmarkStart w:id="59" w:name="_Toc220230192"/>
      <w:r>
        <w:rPr>
          <w:rFonts w:hint="eastAsia"/>
        </w:rPr>
        <w:t>数据质量评价与持续改进</w:t>
      </w:r>
      <w:bookmarkEnd w:id="59"/>
    </w:p>
    <w:p w14:paraId="309EAF7F">
      <w:pPr>
        <w:pStyle w:val="105"/>
        <w:spacing w:before="120" w:after="120" w:line="360" w:lineRule="auto"/>
      </w:pPr>
      <w:r>
        <w:rPr>
          <w:rFonts w:hint="eastAsia"/>
        </w:rPr>
        <w:t>质量评价指标</w:t>
      </w:r>
    </w:p>
    <w:p w14:paraId="7D6A737E">
      <w:pPr>
        <w:pStyle w:val="56"/>
        <w:spacing w:line="360" w:lineRule="auto"/>
        <w:ind w:firstLine="420"/>
      </w:pPr>
      <w:r>
        <w:rPr>
          <w:rFonts w:hint="eastAsia"/>
        </w:rPr>
        <w:t>检验检测机构应建立数据质量评价机制，评价维度宜包括：</w:t>
      </w:r>
    </w:p>
    <w:p w14:paraId="77DDB410">
      <w:pPr>
        <w:pStyle w:val="56"/>
        <w:spacing w:line="360" w:lineRule="auto"/>
        <w:ind w:firstLine="420"/>
      </w:pPr>
      <w:r>
        <w:rPr>
          <w:rFonts w:hint="eastAsia"/>
        </w:rPr>
        <w:t>a) 完整性：必填字段缺失率、证据文件缺失率；</w:t>
      </w:r>
    </w:p>
    <w:p w14:paraId="0F51BD6E">
      <w:pPr>
        <w:pStyle w:val="56"/>
        <w:spacing w:line="360" w:lineRule="auto"/>
        <w:ind w:firstLine="420"/>
      </w:pPr>
      <w:r>
        <w:rPr>
          <w:rFonts w:hint="eastAsia"/>
        </w:rPr>
        <w:t>b) 准确性：逻辑一致性错误率、单位/精度错误率；</w:t>
      </w:r>
    </w:p>
    <w:p w14:paraId="4DDCE2ED">
      <w:pPr>
        <w:pStyle w:val="56"/>
        <w:spacing w:line="360" w:lineRule="auto"/>
        <w:ind w:firstLine="420"/>
      </w:pPr>
      <w:r>
        <w:rPr>
          <w:rFonts w:hint="eastAsia"/>
        </w:rPr>
        <w:t>c) 一致性：跨系统口径一致率、版本一致率；</w:t>
      </w:r>
    </w:p>
    <w:p w14:paraId="2DFA8041">
      <w:pPr>
        <w:pStyle w:val="56"/>
        <w:spacing w:line="360" w:lineRule="auto"/>
        <w:ind w:firstLine="420"/>
      </w:pPr>
      <w:r>
        <w:rPr>
          <w:rFonts w:hint="eastAsia"/>
        </w:rPr>
        <w:t>d) 及时性：采集到入库时延、签发后归档时延；</w:t>
      </w:r>
    </w:p>
    <w:p w14:paraId="7E171580">
      <w:pPr>
        <w:pStyle w:val="56"/>
        <w:spacing w:line="360" w:lineRule="auto"/>
        <w:ind w:firstLine="420"/>
      </w:pPr>
      <w:r>
        <w:rPr>
          <w:rFonts w:hint="eastAsia"/>
        </w:rPr>
        <w:t>e) 可追溯性：关键对象标识覆盖率、审计日志覆盖率；</w:t>
      </w:r>
    </w:p>
    <w:p w14:paraId="1508D73B">
      <w:pPr>
        <w:pStyle w:val="56"/>
        <w:spacing w:line="360" w:lineRule="auto"/>
        <w:ind w:firstLine="420"/>
      </w:pPr>
      <w:r>
        <w:rPr>
          <w:rFonts w:hint="eastAsia"/>
        </w:rPr>
        <w:t>f) 安全性：越权访问告警次数、数据泄露事件数等。</w:t>
      </w:r>
    </w:p>
    <w:p w14:paraId="179DD3A8">
      <w:pPr>
        <w:pStyle w:val="56"/>
        <w:spacing w:line="360" w:lineRule="auto"/>
        <w:ind w:firstLine="420"/>
      </w:pPr>
      <w:r>
        <w:rPr>
          <w:rFonts w:hint="eastAsia"/>
        </w:rPr>
        <w:t>评价指标应量化、可统计，并与质量管理体系考核相衔接。</w:t>
      </w:r>
    </w:p>
    <w:p w14:paraId="15472738">
      <w:pPr>
        <w:pStyle w:val="105"/>
        <w:spacing w:before="120" w:after="120" w:line="360" w:lineRule="auto"/>
      </w:pPr>
      <w:r>
        <w:rPr>
          <w:rFonts w:hint="eastAsia"/>
        </w:rPr>
        <w:t>评价频次与改进机制</w:t>
      </w:r>
    </w:p>
    <w:p w14:paraId="0712F655">
      <w:pPr>
        <w:pStyle w:val="165"/>
        <w:spacing w:line="360" w:lineRule="auto"/>
      </w:pPr>
      <w:r>
        <w:rPr>
          <w:rFonts w:hint="eastAsia"/>
        </w:rPr>
        <w:t>应至少每半年开展一次数据质量评价；对重点业务或问题多发环节可提高频次。</w:t>
      </w:r>
    </w:p>
    <w:p w14:paraId="7D80BC5E">
      <w:pPr>
        <w:pStyle w:val="165"/>
        <w:spacing w:line="360" w:lineRule="auto"/>
      </w:pPr>
      <w:r>
        <w:rPr>
          <w:rFonts w:hint="eastAsia"/>
        </w:rPr>
        <w:t>对评价发现的问题应建立问题台账，明确责任人、整改期限与验证方式。</w:t>
      </w:r>
    </w:p>
    <w:p w14:paraId="4EC769C5">
      <w:pPr>
        <w:pStyle w:val="165"/>
        <w:spacing w:line="360" w:lineRule="auto"/>
      </w:pPr>
      <w:r>
        <w:rPr>
          <w:rFonts w:hint="eastAsia"/>
        </w:rPr>
        <w:t>应将数据质量问题与业务流程、系统功能、人员培训等原因关联分析，形成改进措施。</w:t>
      </w:r>
    </w:p>
    <w:p w14:paraId="53317BB7">
      <w:pPr>
        <w:pStyle w:val="165"/>
        <w:spacing w:line="360" w:lineRule="auto"/>
      </w:pPr>
      <w:r>
        <w:rPr>
          <w:rFonts w:hint="eastAsia"/>
        </w:rPr>
        <w:t>改进措施实施后应复评验证，形成闭环。</w:t>
      </w:r>
    </w:p>
    <w:p w14:paraId="670752F7">
      <w:pPr>
        <w:pStyle w:val="165"/>
        <w:spacing w:line="360" w:lineRule="auto"/>
      </w:pPr>
      <w:r>
        <w:rPr>
          <w:rFonts w:hint="eastAsia"/>
        </w:rPr>
        <w:t>对重大问题应开展管理评审，必要时修订数据字典、制度或系统控制策略。</w:t>
      </w:r>
    </w:p>
    <w:bookmarkEnd w:id="26"/>
    <w:p w14:paraId="538A8C49">
      <w:pPr>
        <w:pStyle w:val="56"/>
        <w:spacing w:line="360" w:lineRule="auto"/>
        <w:ind w:firstLine="0" w:firstLineChars="0"/>
        <w:jc w:val="center"/>
      </w:pPr>
      <w:bookmarkStart w:id="60" w:name="BookMark8"/>
      <w:r>
        <w:rPr>
          <w:rFonts w:hint="eastAsia"/>
        </w:rPr>
        <w:drawing>
          <wp:inline distT="0" distB="0" distL="0" distR="0">
            <wp:extent cx="1485900" cy="317500"/>
            <wp:effectExtent l="0" t="0" r="0" b="6350"/>
            <wp:docPr id="1894171954" name="图片 3"/>
            <wp:cNvGraphicFramePr/>
            <a:graphic xmlns:a="http://schemas.openxmlformats.org/drawingml/2006/main">
              <a:graphicData uri="http://schemas.openxmlformats.org/drawingml/2006/picture">
                <pic:pic xmlns:pic="http://schemas.openxmlformats.org/drawingml/2006/picture">
                  <pic:nvPicPr>
                    <pic:cNvPr id="1894171954"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612D5">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BCD70">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93F04">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0BCE7">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9793">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DEE4">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B5ABB">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FA9A6">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AC7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0203—2026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02046">
    <w:pPr>
      <w:pStyle w:val="61"/>
    </w:pPr>
    <w:r>
      <w:fldChar w:fldCharType="begin"/>
    </w:r>
    <w:r>
      <w:instrText xml:space="preserve"> STYLEREF  标准文件_文件编号  \* MERGEFORMAT </w:instrText>
    </w:r>
    <w:r>
      <w:fldChar w:fldCharType="separate"/>
    </w:r>
    <w:r>
      <w:t>T/XJBX 0203—2026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DBB6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0203—2026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3E6E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0203—2026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0203—2026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EA04">
    <w:pPr>
      <w:pStyle w:val="61"/>
    </w:pPr>
    <w:r>
      <w:fldChar w:fldCharType="begin"/>
    </w:r>
    <w:r>
      <w:instrText xml:space="preserve"> STYLEREF  标准文件_文件编号  \* MERGEFORMAT </w:instrText>
    </w:r>
    <w:r>
      <w:fldChar w:fldCharType="separate"/>
    </w:r>
    <w:r>
      <w:t>T/XJBX 0203—2026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6DBB">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0203—2026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F85B1">
    <w:pPr>
      <w:pStyle w:val="61"/>
    </w:pPr>
    <w:r>
      <w:fldChar w:fldCharType="begin"/>
    </w:r>
    <w:r>
      <w:instrText xml:space="preserve"> STYLEREF  标准文件_文件编号  \* MERGEFORMAT </w:instrText>
    </w:r>
    <w:r>
      <w:fldChar w:fldCharType="separate"/>
    </w:r>
    <w:r>
      <w:t>T/XJBX 0203—2026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5955"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26C4"/>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991"/>
    <w:rsid w:val="00202AA4"/>
    <w:rsid w:val="002031F7"/>
    <w:rsid w:val="002037FE"/>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061"/>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6A24"/>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B86"/>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2F84"/>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460"/>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327"/>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FDB"/>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66A"/>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DAA"/>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328"/>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35A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5E3E"/>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ECF"/>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7E24"/>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7F4"/>
    <w:rsid w:val="00EB4D3D"/>
    <w:rsid w:val="00EB5EDF"/>
    <w:rsid w:val="00EB60FE"/>
    <w:rsid w:val="00EB74DB"/>
    <w:rsid w:val="00EC5359"/>
    <w:rsid w:val="00EC562A"/>
    <w:rsid w:val="00ED067A"/>
    <w:rsid w:val="00ED2B50"/>
    <w:rsid w:val="00EE0350"/>
    <w:rsid w:val="00EE0719"/>
    <w:rsid w:val="00EE0E80"/>
    <w:rsid w:val="00EE2333"/>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4EB"/>
    <w:rsid w:val="00FF3E7D"/>
    <w:rsid w:val="00FF5B99"/>
    <w:rsid w:val="00FF730C"/>
    <w:rsid w:val="00FF73F4"/>
    <w:rsid w:val="00FF7CE4"/>
    <w:rsid w:val="00FF7E39"/>
    <w:rsid w:val="238D0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5.jpeg"/><Relationship Id="rId32" Type="http://schemas.openxmlformats.org/officeDocument/2006/relationships/image" Target="media/image4.png"/><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06AD1A7D">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63048BE">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41E1349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376A24"/>
    <w:rsid w:val="005E6634"/>
    <w:rsid w:val="006A2F84"/>
    <w:rsid w:val="007146E1"/>
    <w:rsid w:val="00865984"/>
    <w:rsid w:val="00865DA8"/>
    <w:rsid w:val="009835D6"/>
    <w:rsid w:val="009A165A"/>
    <w:rsid w:val="00AE1DC6"/>
    <w:rsid w:val="00E51851"/>
    <w:rsid w:val="00EA3F2A"/>
    <w:rsid w:val="00F35A8C"/>
    <w:rsid w:val="00F75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25</Pages>
  <Words>4758</Words>
  <Characters>5087</Characters>
  <Lines>110</Lines>
  <Paragraphs>30</Paragraphs>
  <TotalTime>704</TotalTime>
  <ScaleCrop>false</ScaleCrop>
  <LinksUpToDate>false</LinksUpToDate>
  <CharactersWithSpaces>5241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2026-01-27T09:05:13Z</dcterms:modified>
  <dc:title>团体标准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F7BD6F81373F4C56BA7CEE758D0BBA4E_12</vt:lpwstr>
  </property>
</Properties>
</file>