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11.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11.020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C 04"/>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C 04</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02"/>
            </w:textInput>
          </w:ffData>
        </w:fldChar>
      </w:r>
      <w:bookmarkStart w:id="6" w:name="NSTD_CODE_F"/>
      <w:r>
        <w:instrText xml:space="preserve"> FORMTEXT </w:instrText>
      </w:r>
      <w:r>
        <w:fldChar w:fldCharType="separate"/>
      </w:r>
      <w:r>
        <w:t>0202</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鼻内镜术后术腔精准护理管理指南"/>
            </w:textInput>
          </w:ffData>
        </w:fldChar>
      </w:r>
      <w:bookmarkStart w:id="9" w:name="CSTD_NAME"/>
      <w:r>
        <w:instrText xml:space="preserve"> FORMTEXT </w:instrText>
      </w:r>
      <w:r>
        <w:fldChar w:fldCharType="separate"/>
      </w:r>
      <w:r>
        <w:t>鼻内镜术后术腔精准护理管理指南</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precise postoperative cavity nursing management after nasal endoscopy"/>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precise postoperative cavity nursing management after nasal endoscopy</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30A0A513">
      <w:pPr>
        <w:pStyle w:val="91"/>
        <w:spacing w:after="360"/>
      </w:pPr>
      <w:bookmarkStart w:id="21" w:name="BookMark1"/>
      <w:r>
        <w:rPr>
          <w:rFonts w:hint="eastAsia"/>
          <w:spacing w:val="320"/>
        </w:rPr>
        <w:t>目</w:t>
      </w:r>
      <w:r>
        <w:rPr>
          <w:rFonts w:hint="eastAsia"/>
        </w:rPr>
        <w:t>次</w:t>
      </w:r>
    </w:p>
    <w:p w14:paraId="208DCA18">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"_Toc220098779" </w:instrText>
      </w:r>
      <w:r>
        <w:fldChar w:fldCharType="separate"/>
      </w:r>
      <w:r>
        <w:rPr>
          <w:rStyle w:val="32"/>
        </w:rPr>
        <w:t>前言</w:t>
      </w:r>
      <w:r>
        <w:tab/>
      </w:r>
      <w:r>
        <w:fldChar w:fldCharType="begin"/>
      </w:r>
      <w:r>
        <w:instrText xml:space="preserve"> PAGEREF _Toc220098779 \h </w:instrText>
      </w:r>
      <w:r>
        <w:fldChar w:fldCharType="separate"/>
      </w:r>
      <w:r>
        <w:t>III</w:t>
      </w:r>
      <w:r>
        <w:fldChar w:fldCharType="end"/>
      </w:r>
      <w:r>
        <w:fldChar w:fldCharType="end"/>
      </w:r>
    </w:p>
    <w:p w14:paraId="7A8ECC63">
      <w:pPr>
        <w:pStyle w:val="19"/>
        <w:tabs>
          <w:tab w:val="right" w:leader="dot" w:pos="9344"/>
        </w:tabs>
        <w:rPr>
          <w:rFonts w:asciiTheme="minorHAnsi" w:hAnsiTheme="minorHAnsi" w:eastAsiaTheme="minorEastAsia" w:cstheme="minorBidi"/>
          <w:szCs w:val="22"/>
        </w:rPr>
      </w:pPr>
      <w:r>
        <w:fldChar w:fldCharType="begin"/>
      </w:r>
      <w:r>
        <w:instrText xml:space="preserve"> HYPERLINK \l "_Toc220098780" </w:instrText>
      </w:r>
      <w:r>
        <w:fldChar w:fldCharType="separate"/>
      </w:r>
      <w:r>
        <w:rPr>
          <w:rStyle w:val="32"/>
        </w:rPr>
        <w:t>引言</w:t>
      </w:r>
      <w:r>
        <w:tab/>
      </w:r>
      <w:r>
        <w:fldChar w:fldCharType="begin"/>
      </w:r>
      <w:r>
        <w:instrText xml:space="preserve"> PAGEREF _Toc220098780 \h </w:instrText>
      </w:r>
      <w:r>
        <w:fldChar w:fldCharType="separate"/>
      </w:r>
      <w:r>
        <w:t>V</w:t>
      </w:r>
      <w:r>
        <w:fldChar w:fldCharType="end"/>
      </w:r>
      <w:r>
        <w:fldChar w:fldCharType="end"/>
      </w:r>
    </w:p>
    <w:p w14:paraId="5343F1B7">
      <w:pPr>
        <w:pStyle w:val="19"/>
        <w:tabs>
          <w:tab w:val="right" w:leader="dot" w:pos="9344"/>
        </w:tabs>
        <w:rPr>
          <w:rFonts w:asciiTheme="minorHAnsi" w:hAnsiTheme="minorHAnsi" w:eastAsiaTheme="minorEastAsia" w:cstheme="minorBidi"/>
          <w:szCs w:val="22"/>
        </w:rPr>
      </w:pPr>
      <w:r>
        <w:fldChar w:fldCharType="begin"/>
      </w:r>
      <w:r>
        <w:instrText xml:space="preserve"> HYPERLINK \l "_Toc220098781" </w:instrText>
      </w:r>
      <w:r>
        <w:fldChar w:fldCharType="separate"/>
      </w:r>
      <w:r>
        <w:rPr>
          <w:rStyle w:val="32"/>
        </w:rPr>
        <w:t>1  范围</w:t>
      </w:r>
      <w:r>
        <w:tab/>
      </w:r>
      <w:r>
        <w:fldChar w:fldCharType="begin"/>
      </w:r>
      <w:r>
        <w:instrText xml:space="preserve"> PAGEREF _Toc220098781 \h </w:instrText>
      </w:r>
      <w:r>
        <w:fldChar w:fldCharType="separate"/>
      </w:r>
      <w:r>
        <w:t>1</w:t>
      </w:r>
      <w:r>
        <w:fldChar w:fldCharType="end"/>
      </w:r>
      <w:r>
        <w:fldChar w:fldCharType="end"/>
      </w:r>
    </w:p>
    <w:p w14:paraId="709CEE24">
      <w:pPr>
        <w:pStyle w:val="19"/>
        <w:tabs>
          <w:tab w:val="right" w:leader="dot" w:pos="9344"/>
        </w:tabs>
        <w:rPr>
          <w:rFonts w:asciiTheme="minorHAnsi" w:hAnsiTheme="minorHAnsi" w:eastAsiaTheme="minorEastAsia" w:cstheme="minorBidi"/>
          <w:szCs w:val="22"/>
        </w:rPr>
      </w:pPr>
      <w:r>
        <w:fldChar w:fldCharType="begin"/>
      </w:r>
      <w:r>
        <w:instrText xml:space="preserve"> HYPERLINK \l "_Toc220098782" </w:instrText>
      </w:r>
      <w:r>
        <w:fldChar w:fldCharType="separate"/>
      </w:r>
      <w:r>
        <w:rPr>
          <w:rStyle w:val="32"/>
        </w:rPr>
        <w:t>2  规范性引用文件</w:t>
      </w:r>
      <w:r>
        <w:tab/>
      </w:r>
      <w:r>
        <w:fldChar w:fldCharType="begin"/>
      </w:r>
      <w:r>
        <w:instrText xml:space="preserve"> PAGEREF _Toc220098782 \h </w:instrText>
      </w:r>
      <w:r>
        <w:fldChar w:fldCharType="separate"/>
      </w:r>
      <w:r>
        <w:t>1</w:t>
      </w:r>
      <w:r>
        <w:fldChar w:fldCharType="end"/>
      </w:r>
      <w:r>
        <w:fldChar w:fldCharType="end"/>
      </w:r>
    </w:p>
    <w:p w14:paraId="4F68D429">
      <w:pPr>
        <w:pStyle w:val="19"/>
        <w:tabs>
          <w:tab w:val="right" w:leader="dot" w:pos="9344"/>
        </w:tabs>
        <w:rPr>
          <w:rFonts w:asciiTheme="minorHAnsi" w:hAnsiTheme="minorHAnsi" w:eastAsiaTheme="minorEastAsia" w:cstheme="minorBidi"/>
          <w:szCs w:val="22"/>
        </w:rPr>
      </w:pPr>
      <w:r>
        <w:fldChar w:fldCharType="begin"/>
      </w:r>
      <w:r>
        <w:instrText xml:space="preserve"> HYPERLINK \l "_Toc220098783" </w:instrText>
      </w:r>
      <w:r>
        <w:fldChar w:fldCharType="separate"/>
      </w:r>
      <w:r>
        <w:rPr>
          <w:rStyle w:val="32"/>
        </w:rPr>
        <w:t>3  术语和定义</w:t>
      </w:r>
      <w:r>
        <w:tab/>
      </w:r>
      <w:r>
        <w:fldChar w:fldCharType="begin"/>
      </w:r>
      <w:r>
        <w:instrText xml:space="preserve"> PAGEREF _Toc220098783 \h </w:instrText>
      </w:r>
      <w:r>
        <w:fldChar w:fldCharType="separate"/>
      </w:r>
      <w:r>
        <w:t>1</w:t>
      </w:r>
      <w:r>
        <w:fldChar w:fldCharType="end"/>
      </w:r>
      <w:r>
        <w:fldChar w:fldCharType="end"/>
      </w:r>
    </w:p>
    <w:p w14:paraId="03A0171E">
      <w:pPr>
        <w:pStyle w:val="19"/>
        <w:tabs>
          <w:tab w:val="right" w:leader="dot" w:pos="9344"/>
        </w:tabs>
        <w:rPr>
          <w:rFonts w:asciiTheme="minorHAnsi" w:hAnsiTheme="minorHAnsi" w:eastAsiaTheme="minorEastAsia" w:cstheme="minorBidi"/>
          <w:szCs w:val="22"/>
        </w:rPr>
      </w:pPr>
      <w:r>
        <w:fldChar w:fldCharType="begin"/>
      </w:r>
      <w:r>
        <w:instrText xml:space="preserve"> HYPERLINK \l "_Toc220098784" </w:instrText>
      </w:r>
      <w:r>
        <w:fldChar w:fldCharType="separate"/>
      </w:r>
      <w:r>
        <w:rPr>
          <w:rStyle w:val="32"/>
        </w:rPr>
        <w:t>4  总体原则</w:t>
      </w:r>
      <w:r>
        <w:tab/>
      </w:r>
      <w:r>
        <w:fldChar w:fldCharType="begin"/>
      </w:r>
      <w:r>
        <w:instrText xml:space="preserve"> PAGEREF _Toc220098784 \h </w:instrText>
      </w:r>
      <w:r>
        <w:fldChar w:fldCharType="separate"/>
      </w:r>
      <w:r>
        <w:t>2</w:t>
      </w:r>
      <w:r>
        <w:fldChar w:fldCharType="end"/>
      </w:r>
      <w:r>
        <w:fldChar w:fldCharType="end"/>
      </w:r>
    </w:p>
    <w:p w14:paraId="2FA394CB">
      <w:pPr>
        <w:pStyle w:val="19"/>
        <w:tabs>
          <w:tab w:val="right" w:leader="dot" w:pos="9344"/>
        </w:tabs>
        <w:rPr>
          <w:rFonts w:asciiTheme="minorHAnsi" w:hAnsiTheme="minorHAnsi" w:eastAsiaTheme="minorEastAsia" w:cstheme="minorBidi"/>
          <w:szCs w:val="22"/>
        </w:rPr>
      </w:pPr>
      <w:r>
        <w:fldChar w:fldCharType="begin"/>
      </w:r>
      <w:r>
        <w:instrText xml:space="preserve"> HYPERLINK \l "_Toc220098785" </w:instrText>
      </w:r>
      <w:r>
        <w:fldChar w:fldCharType="separate"/>
      </w:r>
      <w:r>
        <w:rPr>
          <w:rStyle w:val="32"/>
        </w:rPr>
        <w:t>5  评估与分层</w:t>
      </w:r>
      <w:r>
        <w:tab/>
      </w:r>
      <w:r>
        <w:fldChar w:fldCharType="begin"/>
      </w:r>
      <w:r>
        <w:instrText xml:space="preserve"> PAGEREF _Toc220098785 \h </w:instrText>
      </w:r>
      <w:r>
        <w:fldChar w:fldCharType="separate"/>
      </w:r>
      <w:r>
        <w:t>3</w:t>
      </w:r>
      <w:r>
        <w:fldChar w:fldCharType="end"/>
      </w:r>
      <w:r>
        <w:fldChar w:fldCharType="end"/>
      </w:r>
    </w:p>
    <w:p w14:paraId="319000BF">
      <w:pPr>
        <w:pStyle w:val="19"/>
        <w:tabs>
          <w:tab w:val="right" w:leader="dot" w:pos="9344"/>
        </w:tabs>
        <w:rPr>
          <w:rFonts w:asciiTheme="minorHAnsi" w:hAnsiTheme="minorHAnsi" w:eastAsiaTheme="minorEastAsia" w:cstheme="minorBidi"/>
          <w:szCs w:val="22"/>
        </w:rPr>
      </w:pPr>
      <w:r>
        <w:fldChar w:fldCharType="begin"/>
      </w:r>
      <w:r>
        <w:instrText xml:space="preserve"> HYPERLINK \l "_Toc220098786" </w:instrText>
      </w:r>
      <w:r>
        <w:fldChar w:fldCharType="separate"/>
      </w:r>
      <w:r>
        <w:rPr>
          <w:rStyle w:val="32"/>
        </w:rPr>
        <w:t>6  护理路径</w:t>
      </w:r>
      <w:r>
        <w:tab/>
      </w:r>
      <w:r>
        <w:fldChar w:fldCharType="begin"/>
      </w:r>
      <w:r>
        <w:instrText xml:space="preserve"> PAGEREF _Toc220098786 \h </w:instrText>
      </w:r>
      <w:r>
        <w:fldChar w:fldCharType="separate"/>
      </w:r>
      <w:r>
        <w:t>5</w:t>
      </w:r>
      <w:r>
        <w:fldChar w:fldCharType="end"/>
      </w:r>
      <w:r>
        <w:fldChar w:fldCharType="end"/>
      </w:r>
    </w:p>
    <w:p w14:paraId="7C79606C">
      <w:pPr>
        <w:pStyle w:val="19"/>
        <w:tabs>
          <w:tab w:val="right" w:leader="dot" w:pos="9344"/>
        </w:tabs>
        <w:rPr>
          <w:rFonts w:asciiTheme="minorHAnsi" w:hAnsiTheme="minorHAnsi" w:eastAsiaTheme="minorEastAsia" w:cstheme="minorBidi"/>
          <w:szCs w:val="22"/>
        </w:rPr>
      </w:pPr>
      <w:r>
        <w:fldChar w:fldCharType="begin"/>
      </w:r>
      <w:r>
        <w:instrText xml:space="preserve"> HYPERLINK \l "_Toc220098787" </w:instrText>
      </w:r>
      <w:r>
        <w:fldChar w:fldCharType="separate"/>
      </w:r>
      <w:r>
        <w:rPr>
          <w:rStyle w:val="32"/>
        </w:rPr>
        <w:t>7  门诊清理要点</w:t>
      </w:r>
      <w:r>
        <w:tab/>
      </w:r>
      <w:r>
        <w:fldChar w:fldCharType="begin"/>
      </w:r>
      <w:r>
        <w:instrText xml:space="preserve"> PAGEREF _Toc220098787 \h </w:instrText>
      </w:r>
      <w:r>
        <w:fldChar w:fldCharType="separate"/>
      </w:r>
      <w:r>
        <w:t>7</w:t>
      </w:r>
      <w:r>
        <w:fldChar w:fldCharType="end"/>
      </w:r>
      <w:r>
        <w:fldChar w:fldCharType="end"/>
      </w:r>
    </w:p>
    <w:p w14:paraId="5775028C">
      <w:pPr>
        <w:pStyle w:val="19"/>
        <w:tabs>
          <w:tab w:val="right" w:leader="dot" w:pos="9344"/>
        </w:tabs>
        <w:rPr>
          <w:rFonts w:asciiTheme="minorHAnsi" w:hAnsiTheme="minorHAnsi" w:eastAsiaTheme="minorEastAsia" w:cstheme="minorBidi"/>
          <w:szCs w:val="22"/>
        </w:rPr>
      </w:pPr>
      <w:r>
        <w:fldChar w:fldCharType="begin"/>
      </w:r>
      <w:r>
        <w:instrText xml:space="preserve"> HYPERLINK \l "_Toc220098788" </w:instrText>
      </w:r>
      <w:r>
        <w:fldChar w:fldCharType="separate"/>
      </w:r>
      <w:r>
        <w:rPr>
          <w:rStyle w:val="32"/>
        </w:rPr>
        <w:t>8  冲洗用药管理</w:t>
      </w:r>
      <w:r>
        <w:tab/>
      </w:r>
      <w:r>
        <w:fldChar w:fldCharType="begin"/>
      </w:r>
      <w:r>
        <w:instrText xml:space="preserve"> PAGEREF _Toc220098788 \h </w:instrText>
      </w:r>
      <w:r>
        <w:fldChar w:fldCharType="separate"/>
      </w:r>
      <w:r>
        <w:t>9</w:t>
      </w:r>
      <w:r>
        <w:fldChar w:fldCharType="end"/>
      </w:r>
      <w:r>
        <w:fldChar w:fldCharType="end"/>
      </w:r>
    </w:p>
    <w:p w14:paraId="3EEFA3AE">
      <w:pPr>
        <w:pStyle w:val="19"/>
        <w:tabs>
          <w:tab w:val="right" w:leader="dot" w:pos="9344"/>
        </w:tabs>
        <w:rPr>
          <w:rFonts w:asciiTheme="minorHAnsi" w:hAnsiTheme="minorHAnsi" w:eastAsiaTheme="minorEastAsia" w:cstheme="minorBidi"/>
          <w:szCs w:val="22"/>
        </w:rPr>
      </w:pPr>
      <w:r>
        <w:fldChar w:fldCharType="begin"/>
      </w:r>
      <w:r>
        <w:instrText xml:space="preserve"> HYPERLINK \l "_Toc220098789" </w:instrText>
      </w:r>
      <w:r>
        <w:fldChar w:fldCharType="separate"/>
      </w:r>
      <w:r>
        <w:rPr>
          <w:rStyle w:val="32"/>
        </w:rPr>
        <w:t>9  预警处置</w:t>
      </w:r>
      <w:r>
        <w:tab/>
      </w:r>
      <w:r>
        <w:fldChar w:fldCharType="begin"/>
      </w:r>
      <w:r>
        <w:instrText xml:space="preserve"> PAGEREF _Toc220098789 \h </w:instrText>
      </w:r>
      <w:r>
        <w:fldChar w:fldCharType="separate"/>
      </w:r>
      <w:r>
        <w:t>12</w:t>
      </w:r>
      <w:r>
        <w:fldChar w:fldCharType="end"/>
      </w:r>
      <w:r>
        <w:fldChar w:fldCharType="end"/>
      </w:r>
    </w:p>
    <w:p w14:paraId="0A67167E">
      <w:pPr>
        <w:pStyle w:val="19"/>
        <w:tabs>
          <w:tab w:val="right" w:leader="dot" w:pos="9344"/>
        </w:tabs>
        <w:rPr>
          <w:rFonts w:asciiTheme="minorHAnsi" w:hAnsiTheme="minorHAnsi" w:eastAsiaTheme="minorEastAsia" w:cstheme="minorBidi"/>
          <w:szCs w:val="22"/>
        </w:rPr>
      </w:pPr>
      <w:r>
        <w:fldChar w:fldCharType="begin"/>
      </w:r>
      <w:r>
        <w:instrText xml:space="preserve"> HYPERLINK \l "_Toc220098790" </w:instrText>
      </w:r>
      <w:r>
        <w:fldChar w:fldCharType="separate"/>
      </w:r>
      <w:r>
        <w:rPr>
          <w:rStyle w:val="32"/>
        </w:rPr>
        <w:t>10  记录质控评价</w:t>
      </w:r>
      <w:r>
        <w:tab/>
      </w:r>
      <w:r>
        <w:fldChar w:fldCharType="begin"/>
      </w:r>
      <w:r>
        <w:instrText xml:space="preserve"> PAGEREF _Toc220098790 \h </w:instrText>
      </w:r>
      <w:r>
        <w:fldChar w:fldCharType="separate"/>
      </w:r>
      <w:r>
        <w:t>13</w:t>
      </w:r>
      <w:r>
        <w:fldChar w:fldCharType="end"/>
      </w:r>
      <w:r>
        <w:fldChar w:fldCharType="end"/>
      </w:r>
    </w:p>
    <w:p w14:paraId="7E48B2CA">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0098779"/>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EBFDFC9">
      <w:pPr>
        <w:pStyle w:val="56"/>
        <w:spacing w:line="360" w:lineRule="auto"/>
        <w:ind w:firstLine="420"/>
      </w:pPr>
      <w:r>
        <w:rPr>
          <w:rFonts w:hint="eastAsia"/>
        </w:rPr>
        <w:t>本文件起草单位：广西医科大学第一附属医院</w:t>
      </w:r>
      <w:bookmarkStart w:id="59" w:name="_GoBack"/>
      <w:bookmarkEnd w:id="59"/>
      <w:r>
        <w:rPr>
          <w:rFonts w:hint="eastAsia"/>
        </w:rPr>
        <w:t>。</w:t>
      </w:r>
    </w:p>
    <w:p w14:paraId="55F4A5D1">
      <w:pPr>
        <w:pStyle w:val="56"/>
        <w:spacing w:line="360" w:lineRule="auto"/>
        <w:ind w:firstLine="420"/>
      </w:pPr>
      <w:r>
        <w:rPr>
          <w:rFonts w:hint="eastAsia"/>
        </w:rPr>
        <w:t>本文件主要起草人：吴婷。</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0098780"/>
      <w:bookmarkStart w:id="25" w:name="BookMark3"/>
      <w:r>
        <w:rPr>
          <w:spacing w:val="320"/>
        </w:rPr>
        <w:t>引</w:t>
      </w:r>
      <w:r>
        <w:t>言</w:t>
      </w:r>
      <w:bookmarkEnd w:id="24"/>
    </w:p>
    <w:p w14:paraId="460811E8">
      <w:pPr>
        <w:pStyle w:val="56"/>
        <w:spacing w:line="360" w:lineRule="auto"/>
        <w:ind w:firstLine="420"/>
      </w:pPr>
      <w:r>
        <w:rPr>
          <w:rFonts w:hint="eastAsia"/>
        </w:rPr>
        <w:t>鼻内镜手术（如功能性鼻内镜鼻窦手术、鼻息肉切除、鼻中隔矫正相关内镜操作等）已成为鼻腔鼻窦疾病治疗的重要方式。与传统开放手术相比，鼻内镜手术具有创伤相对可控、可视化程度高、结构保留性强等优势，但其术后恢复高度依赖术腔局部微环境的稳定与黏膜再上皮化过程的顺利推进。术腔在术后早期常出现黏膜水肿、渗血结痂、分泌物潴留、纤维素样附着物形成；在中期则可能出现粘连、狭窄、肉芽增生、感染或炎症持续；在后期可能表现为黏膜化延迟、窦口通气引流不良、复发风险增加等。若术后护理缺乏精细化管理，易导致复诊清理不充分或过度损伤、冲洗不规范、药物使用不当、患者依从性差、并发症早期信号漏识别等问题，从而影响疗效稳定性与长期预后。</w:t>
      </w:r>
    </w:p>
    <w:p w14:paraId="2A52D15A">
      <w:pPr>
        <w:pStyle w:val="56"/>
        <w:spacing w:line="360" w:lineRule="auto"/>
        <w:ind w:firstLine="420"/>
      </w:pPr>
      <w:r>
        <w:rPr>
          <w:rFonts w:hint="eastAsia"/>
        </w:rPr>
        <w:t>术腔护理的核心任务并非单一的“清理分泌物”，而是以精准评估为基础，围绕“止血与黏膜保护、结痂与分泌物管理、炎症控制、窦口通畅维护、黏膜再生促进、并发症预警与处置、患者自我管理能力建设”开展系统化、阶段化干预。不同病种、不同术式、不同术腔形态及患者基础状态会显著影响术后修复轨迹与风险谱，决定了术腔护理必须从“同质化流程”升级为“分层管理与个体化方案”。同时，精准护理管理需要将门诊随访清理、家庭冲洗与用药、数字化随访与依从性管理、质量指标监测与持续改进等纳入同一闭环，形成可操作、可审计、可推广的标准化体系。</w:t>
      </w:r>
    </w:p>
    <w:p w14:paraId="296B0039">
      <w:pPr>
        <w:pStyle w:val="56"/>
        <w:spacing w:line="360" w:lineRule="auto"/>
        <w:ind w:firstLine="420"/>
      </w:pPr>
      <w:r>
        <w:rPr>
          <w:rFonts w:hint="eastAsia"/>
        </w:rPr>
        <w:t>目前临床实践中，鼻内镜术后术腔护理仍存在护理评估指标不统一、清理操作要点不一致、冲洗与局部用药方案差异大、随访时点与频次缺乏分层依据、并发症识别阈值不清晰、记录与追溯不足等情况，导致护理质量难以量化，患者教育难以标准化，疗效差异难以归因。为提升鼻内镜术后术腔护理的规范化与精准化水平，有必要建立统一的管理指南，明确评估方法、护理路径、操作要点、风险分层、质量评价与持续改进要求。</w:t>
      </w:r>
    </w:p>
    <w:p w14:paraId="7F4A69FE">
      <w:pPr>
        <w:pStyle w:val="56"/>
        <w:spacing w:line="360" w:lineRule="auto"/>
        <w:ind w:firstLine="420"/>
      </w:pPr>
      <w:r>
        <w:rPr>
          <w:rFonts w:hint="eastAsia"/>
        </w:rPr>
        <w:t>本文件旨在规定鼻内镜术后术腔精准护理管理的基本原则、评估与分层、护理路径与时点、门诊清理与家庭护理技术要点、用药与冲洗管理、并发症预警与处置、记录与质量控制、指标评价与持续改进等内容，为医疗机构耳鼻咽喉头颈外科门诊与病房护理团队、专科护士、随访管理人员以及信息化支持部门提供统一依据。通过本文件实施，可提高术腔护理的规范性与可重复性，降低可预防并发症发生率，促进黏膜修复与窦口通畅，提升患者自我管理能力与满意度，从而改善长期疗效稳定性与生活质量。</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line="240" w:lineRule="auto"/>
          </w:pPr>
          <w:bookmarkStart w:id="27" w:name="NEW_STAND_NAME"/>
          <w:r>
            <w:rPr>
              <w:rFonts w:hint="eastAsia"/>
            </w:rPr>
            <w:t>鼻内镜术后术腔精准护理管理指南</w:t>
          </w:r>
        </w:p>
      </w:sdtContent>
    </w:sdt>
    <w:bookmarkEnd w:id="27"/>
    <w:p w14:paraId="3DB22445">
      <w:pPr>
        <w:pStyle w:val="104"/>
        <w:spacing w:before="240" w:after="240" w:line="360" w:lineRule="auto"/>
      </w:pPr>
      <w:bookmarkStart w:id="28" w:name="_Toc97192964"/>
      <w:bookmarkStart w:id="29" w:name="_Toc17233325"/>
      <w:bookmarkStart w:id="30" w:name="_Toc24884211"/>
      <w:bookmarkStart w:id="31" w:name="_Toc26986530"/>
      <w:bookmarkStart w:id="32" w:name="_Toc24884218"/>
      <w:bookmarkStart w:id="33" w:name="_Toc26986771"/>
      <w:bookmarkStart w:id="34" w:name="_Toc26648465"/>
      <w:bookmarkStart w:id="35" w:name="_Toc220098781"/>
      <w:bookmarkStart w:id="36" w:name="_Toc26718930"/>
      <w:bookmarkStart w:id="37" w:name="_Toc17233333"/>
      <w:r>
        <w:rPr>
          <w:rFonts w:hint="eastAsia"/>
        </w:rPr>
        <w:t>范围</w:t>
      </w:r>
      <w:bookmarkEnd w:id="28"/>
      <w:bookmarkEnd w:id="29"/>
      <w:bookmarkEnd w:id="30"/>
      <w:bookmarkEnd w:id="31"/>
      <w:bookmarkEnd w:id="32"/>
      <w:bookmarkEnd w:id="33"/>
      <w:bookmarkEnd w:id="34"/>
      <w:bookmarkEnd w:id="35"/>
      <w:bookmarkEnd w:id="36"/>
      <w:bookmarkEnd w:id="37"/>
    </w:p>
    <w:p w14:paraId="0A44CB0A">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本文件规定了鼻内镜术后术腔精准护理管理的总体原则、评估与分层、护理路径、门诊清理要点、冲洗用药管理、预警处置、记录质控评价等要求。</w:t>
      </w:r>
    </w:p>
    <w:p w14:paraId="76265264">
      <w:pPr>
        <w:pStyle w:val="56"/>
        <w:spacing w:line="360" w:lineRule="auto"/>
        <w:ind w:firstLine="420"/>
      </w:pPr>
      <w:r>
        <w:rPr>
          <w:rFonts w:hint="eastAsia"/>
        </w:rPr>
        <w:t>本文件适用于开展鼻内镜相关手术后的患者术腔护理管理，包括但不限于功能性鼻内镜鼻窦手术、鼻息肉相关内镜手术、鼻中隔矫正相关内镜操作及其他以内镜方式进入鼻腔鼻窦的手术。</w:t>
      </w:r>
    </w:p>
    <w:p w14:paraId="3733B2AD">
      <w:pPr>
        <w:pStyle w:val="104"/>
        <w:spacing w:before="240" w:after="240" w:line="360" w:lineRule="auto"/>
      </w:pPr>
      <w:bookmarkStart w:id="43" w:name="_Toc97192965"/>
      <w:bookmarkStart w:id="44" w:name="_Toc26718931"/>
      <w:bookmarkStart w:id="45" w:name="_Toc220098782"/>
      <w:bookmarkStart w:id="46" w:name="_Toc26986531"/>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73B79B0">
      <w:pPr>
        <w:pStyle w:val="56"/>
        <w:spacing w:line="360" w:lineRule="auto"/>
        <w:ind w:firstLine="420"/>
      </w:pPr>
      <w:r>
        <w:rPr>
          <w:rFonts w:hint="eastAsia"/>
        </w:rPr>
        <w:t>GB/T 1.1—2</w:t>
      </w:r>
      <w:r>
        <w:t>020</w:t>
      </w:r>
      <w:r>
        <w:rPr>
          <w:rFonts w:hint="eastAsia"/>
        </w:rPr>
        <w:t xml:space="preserve"> 标准化工作导则  第1部分：标准化文件的结构和起草规则</w:t>
      </w:r>
    </w:p>
    <w:p w14:paraId="07A7F860">
      <w:pPr>
        <w:pStyle w:val="56"/>
        <w:spacing w:line="360" w:lineRule="auto"/>
        <w:ind w:firstLine="420"/>
      </w:pPr>
      <w:r>
        <w:rPr>
          <w:rFonts w:hint="eastAsia"/>
        </w:rPr>
        <w:t>GB/T 35273 信息安全技术  个人信息安全规范</w:t>
      </w:r>
    </w:p>
    <w:p w14:paraId="0F799428">
      <w:pPr>
        <w:pStyle w:val="56"/>
        <w:spacing w:line="360" w:lineRule="auto"/>
        <w:ind w:firstLine="420"/>
      </w:pPr>
      <w:r>
        <w:t>WS/T 312</w:t>
      </w:r>
      <w:r>
        <w:rPr>
          <w:rFonts w:hint="eastAsia"/>
        </w:rPr>
        <w:t>—</w:t>
      </w:r>
      <w:r>
        <w:t>2023</w:t>
      </w:r>
      <w:r>
        <w:rPr>
          <w:rFonts w:hint="eastAsia"/>
        </w:rPr>
        <w:t xml:space="preserve"> 医院感染监测标准</w:t>
      </w:r>
    </w:p>
    <w:p w14:paraId="51F02A4E">
      <w:pPr>
        <w:pStyle w:val="104"/>
        <w:spacing w:before="240" w:after="240" w:line="360" w:lineRule="auto"/>
      </w:pPr>
      <w:bookmarkStart w:id="48" w:name="_Toc220098783"/>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19F24E1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术腔 surgical cavity</w:t>
      </w:r>
    </w:p>
    <w:p w14:paraId="7A538871">
      <w:pPr>
        <w:pStyle w:val="56"/>
        <w:spacing w:line="360" w:lineRule="auto"/>
        <w:ind w:firstLine="420"/>
      </w:pPr>
      <w:r>
        <w:rPr>
          <w:rFonts w:hint="eastAsia"/>
        </w:rPr>
        <w:t>鼻内镜手术后在鼻腔鼻窦内形成的手术区域，包括窦口扩大区、黏膜创面区、清创区及置入材料接触区等。</w:t>
      </w:r>
    </w:p>
    <w:p w14:paraId="4A70EAE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术腔精准护理 precision nursing for surgical cavity</w:t>
      </w:r>
    </w:p>
    <w:p w14:paraId="165F9F80">
      <w:pPr>
        <w:pStyle w:val="56"/>
        <w:spacing w:line="360" w:lineRule="auto"/>
        <w:ind w:firstLine="420"/>
      </w:pPr>
      <w:r>
        <w:rPr>
          <w:rFonts w:hint="eastAsia"/>
        </w:rPr>
        <w:t>基于术腔局部状态评估与风险分层，按修复阶段实施差异化护理干预，并通过记录与评价实现闭环管理的护理模式。</w:t>
      </w:r>
    </w:p>
    <w:p w14:paraId="0DCED09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术腔评估 cavity assessment</w:t>
      </w:r>
    </w:p>
    <w:p w14:paraId="7C7E52A9">
      <w:pPr>
        <w:pStyle w:val="56"/>
        <w:spacing w:line="360" w:lineRule="auto"/>
        <w:ind w:firstLine="420"/>
      </w:pPr>
      <w:r>
        <w:rPr>
          <w:rFonts w:hint="eastAsia"/>
        </w:rPr>
        <w:t>采用内镜观察与必要的量表或分级标准，对黏膜水肿、结痂、分泌物、肉芽、粘连、窦口通畅、出血与感染征象等进行系统评价的过程。</w:t>
      </w:r>
    </w:p>
    <w:p w14:paraId="6669614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术腔清理 cavity debridement</w:t>
      </w:r>
    </w:p>
    <w:p w14:paraId="571D53B5">
      <w:pPr>
        <w:pStyle w:val="56"/>
        <w:spacing w:line="360" w:lineRule="auto"/>
        <w:ind w:firstLine="420"/>
      </w:pPr>
      <w:r>
        <w:rPr>
          <w:rFonts w:hint="eastAsia"/>
        </w:rPr>
        <w:t>在内镜引导下对术腔内血痂、分泌物、纤维素样附着物、坏死组织或异物进行清除，以改善通气引流并促进黏膜修复的操作。</w:t>
      </w:r>
    </w:p>
    <w:p w14:paraId="00E6D61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鼻腔冲洗 nasal irrigation</w:t>
      </w:r>
    </w:p>
    <w:p w14:paraId="64812FA2">
      <w:pPr>
        <w:pStyle w:val="56"/>
        <w:spacing w:line="360" w:lineRule="auto"/>
        <w:ind w:firstLine="420"/>
      </w:pPr>
      <w:r>
        <w:rPr>
          <w:rFonts w:hint="eastAsia"/>
        </w:rPr>
        <w:t>使用规定的冲洗液、器具与方法，对鼻腔鼻窦进行机械性清洁与湿化，以减少分泌物潴留并改善局部微环境的措施。</w:t>
      </w:r>
    </w:p>
    <w:p w14:paraId="49505BC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局部用药 topical therapy</w:t>
      </w:r>
    </w:p>
    <w:p w14:paraId="58A98F40">
      <w:pPr>
        <w:pStyle w:val="56"/>
        <w:spacing w:line="360" w:lineRule="auto"/>
        <w:ind w:firstLine="420"/>
      </w:pPr>
      <w:r>
        <w:rPr>
          <w:rFonts w:hint="eastAsia"/>
        </w:rPr>
        <w:t>通过喷雾、滴注、雾化、药棉或置入材料等方式将药物作用于鼻腔鼻窦局部，以控制炎症、促进修复或预防复发的治疗措施。</w:t>
      </w:r>
    </w:p>
    <w:p w14:paraId="1B273BA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粘连 adhesion</w:t>
      </w:r>
    </w:p>
    <w:p w14:paraId="45B420E1">
      <w:pPr>
        <w:pStyle w:val="56"/>
        <w:spacing w:line="360" w:lineRule="auto"/>
        <w:ind w:firstLine="420"/>
      </w:pPr>
      <w:r>
        <w:rPr>
          <w:rFonts w:hint="eastAsia"/>
        </w:rPr>
        <w:t>术后鼻腔结构之间出现异常纤维连接，导致气道受限或窦口引流受阻的情况。</w:t>
      </w:r>
    </w:p>
    <w:p w14:paraId="4DB1B1D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肉芽增生 granulation</w:t>
      </w:r>
    </w:p>
    <w:p w14:paraId="79421C36">
      <w:pPr>
        <w:pStyle w:val="56"/>
        <w:spacing w:line="360" w:lineRule="auto"/>
        <w:ind w:firstLine="420"/>
      </w:pPr>
      <w:r>
        <w:rPr>
          <w:rFonts w:hint="eastAsia"/>
        </w:rPr>
        <w:t>创面修复过程中出现的肉芽组织过度生长，可能导致狭窄、出血或影响黏膜化的情况。</w:t>
      </w:r>
    </w:p>
    <w:p w14:paraId="762913B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黏膜化 mucosalization</w:t>
      </w:r>
    </w:p>
    <w:p w14:paraId="7B5D9AD3">
      <w:pPr>
        <w:pStyle w:val="56"/>
        <w:spacing w:line="360" w:lineRule="auto"/>
        <w:ind w:firstLine="420"/>
      </w:pPr>
      <w:r>
        <w:rPr>
          <w:rFonts w:hint="eastAsia"/>
        </w:rPr>
        <w:t>术腔创面由上皮覆盖并恢复黏膜表面结构与功能的过程。</w:t>
      </w:r>
    </w:p>
    <w:p w14:paraId="29883A7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红旗征象 red flag sign</w:t>
      </w:r>
    </w:p>
    <w:p w14:paraId="771DF245">
      <w:pPr>
        <w:pStyle w:val="56"/>
        <w:spacing w:line="360" w:lineRule="auto"/>
        <w:ind w:firstLine="420"/>
      </w:pPr>
      <w:r>
        <w:rPr>
          <w:rFonts w:hint="eastAsia"/>
        </w:rPr>
        <w:t>提示可能存在严重并发症或需要紧急处置的临床表现或内镜所见，如活动性出血、感染加重、视力异常提示等。</w:t>
      </w:r>
    </w:p>
    <w:p w14:paraId="6CA341BB">
      <w:pPr>
        <w:pStyle w:val="104"/>
        <w:spacing w:before="240" w:after="240" w:line="360" w:lineRule="auto"/>
      </w:pPr>
      <w:bookmarkStart w:id="51" w:name="_Toc220098784"/>
      <w:r>
        <w:rPr>
          <w:rFonts w:hint="eastAsia"/>
        </w:rPr>
        <w:t>总体原则</w:t>
      </w:r>
      <w:bookmarkEnd w:id="51"/>
    </w:p>
    <w:p w14:paraId="15B2138B">
      <w:pPr>
        <w:pStyle w:val="105"/>
        <w:spacing w:before="120" w:after="120" w:line="360" w:lineRule="auto"/>
      </w:pPr>
      <w:r>
        <w:rPr>
          <w:rFonts w:hint="eastAsia"/>
        </w:rPr>
        <w:t>安全优先</w:t>
      </w:r>
    </w:p>
    <w:p w14:paraId="1FD1A628">
      <w:pPr>
        <w:pStyle w:val="56"/>
        <w:spacing w:line="360" w:lineRule="auto"/>
        <w:ind w:firstLine="420"/>
      </w:pPr>
      <w:r>
        <w:rPr>
          <w:rFonts w:hint="eastAsia"/>
        </w:rPr>
        <w:t>术腔护理应以患者安全为底线，优先识别并处理出血、感染、严重粘连阻塞、药物不良反应等风险；对出现红旗征象者，应立即启动升级处置流程。</w:t>
      </w:r>
    </w:p>
    <w:p w14:paraId="5D334C63">
      <w:pPr>
        <w:pStyle w:val="56"/>
        <w:spacing w:line="360" w:lineRule="auto"/>
        <w:ind w:firstLine="420"/>
      </w:pPr>
    </w:p>
    <w:p w14:paraId="189B0D79">
      <w:pPr>
        <w:pStyle w:val="56"/>
        <w:spacing w:line="360" w:lineRule="auto"/>
        <w:ind w:firstLine="420"/>
      </w:pPr>
    </w:p>
    <w:p w14:paraId="54C35A85">
      <w:pPr>
        <w:pStyle w:val="105"/>
        <w:spacing w:before="120" w:after="120" w:line="360" w:lineRule="auto"/>
      </w:pPr>
      <w:r>
        <w:rPr>
          <w:rFonts w:hint="eastAsia"/>
        </w:rPr>
        <w:t>阶段管理</w:t>
      </w:r>
    </w:p>
    <w:p w14:paraId="3F2631B9">
      <w:pPr>
        <w:pStyle w:val="56"/>
        <w:spacing w:line="360" w:lineRule="auto"/>
        <w:ind w:firstLine="420"/>
      </w:pPr>
      <w:r>
        <w:rPr>
          <w:rFonts w:hint="eastAsia"/>
        </w:rPr>
        <w:t>术腔护理应按修复阶段实施分阶段目标与措施，至少覆盖：术后早期止血与黏膜保护阶段、结痂与分泌物管理阶段、黏膜化与通畅维护阶段、稳定期预防复发与长期管理阶段。各阶段应明确随访时点、清理策略、冲洗与用药方案及评估指标。</w:t>
      </w:r>
    </w:p>
    <w:p w14:paraId="5415460C">
      <w:pPr>
        <w:pStyle w:val="105"/>
        <w:spacing w:before="120" w:after="120" w:line="360" w:lineRule="auto"/>
      </w:pPr>
      <w:r>
        <w:rPr>
          <w:rFonts w:hint="eastAsia"/>
        </w:rPr>
        <w:t>评估驱动</w:t>
      </w:r>
    </w:p>
    <w:p w14:paraId="13270F44">
      <w:pPr>
        <w:pStyle w:val="56"/>
        <w:spacing w:line="360" w:lineRule="auto"/>
        <w:ind w:firstLine="420"/>
      </w:pPr>
      <w:r>
        <w:rPr>
          <w:rFonts w:hint="eastAsia"/>
        </w:rPr>
        <w:t>护理干预应建立在术腔评估基础上，做到“先评估、再干预、可记录、可复核”。评估应尽量标准化，采用统一分级或量表，保证可比性与可追溯性。</w:t>
      </w:r>
    </w:p>
    <w:p w14:paraId="6AD77BEA">
      <w:pPr>
        <w:pStyle w:val="105"/>
        <w:spacing w:before="120" w:after="120" w:line="360" w:lineRule="auto"/>
      </w:pPr>
      <w:r>
        <w:rPr>
          <w:rFonts w:hint="eastAsia"/>
        </w:rPr>
        <w:t>分层管理</w:t>
      </w:r>
    </w:p>
    <w:p w14:paraId="5735E13B">
      <w:pPr>
        <w:pStyle w:val="56"/>
        <w:spacing w:line="360" w:lineRule="auto"/>
        <w:ind w:firstLine="420"/>
      </w:pPr>
      <w:r>
        <w:rPr>
          <w:rFonts w:hint="eastAsia"/>
        </w:rPr>
        <w:t>应综合手术范围、病情严重度、伴随疾病与既往史等因素进行风险分层，制定差异化随访频次、清理强度与家庭护理方案，避免“一刀切”导致过度操作或管理不足。</w:t>
      </w:r>
    </w:p>
    <w:p w14:paraId="4CF93EF3">
      <w:pPr>
        <w:pStyle w:val="105"/>
        <w:spacing w:before="120" w:after="120" w:line="360" w:lineRule="auto"/>
      </w:pPr>
      <w:r>
        <w:rPr>
          <w:rFonts w:hint="eastAsia"/>
        </w:rPr>
        <w:t>轻创保护</w:t>
      </w:r>
    </w:p>
    <w:p w14:paraId="023E7ECA">
      <w:pPr>
        <w:pStyle w:val="56"/>
        <w:spacing w:line="360" w:lineRule="auto"/>
        <w:ind w:firstLine="420"/>
      </w:pPr>
      <w:r>
        <w:rPr>
          <w:rFonts w:hint="eastAsia"/>
        </w:rPr>
        <w:t>门诊清理与护理操作应遵循“有效清理、最小损伤”的原则，避免过度刮除导致创面扩大、出血或黏膜化延迟；必要时采用湿化、软化与分次清理策略。</w:t>
      </w:r>
    </w:p>
    <w:p w14:paraId="401E8D36">
      <w:pPr>
        <w:pStyle w:val="105"/>
        <w:spacing w:before="120" w:after="120" w:line="360" w:lineRule="auto"/>
      </w:pPr>
      <w:r>
        <w:rPr>
          <w:rFonts w:hint="eastAsia"/>
        </w:rPr>
        <w:t>连续闭环</w:t>
      </w:r>
    </w:p>
    <w:p w14:paraId="11ED0D72">
      <w:pPr>
        <w:pStyle w:val="56"/>
        <w:spacing w:line="360" w:lineRule="auto"/>
        <w:ind w:firstLine="420"/>
      </w:pPr>
      <w:r>
        <w:rPr>
          <w:rFonts w:hint="eastAsia"/>
        </w:rPr>
        <w:t>术腔护理应实现门诊清理、家庭冲洗与用药、随访监测、异常处置与质量评价的闭环管理。信息化随访与记录应加强隐私保护与权限控制。</w:t>
      </w:r>
    </w:p>
    <w:p w14:paraId="4E298868">
      <w:pPr>
        <w:pStyle w:val="104"/>
        <w:spacing w:before="240" w:after="240" w:line="360" w:lineRule="auto"/>
      </w:pPr>
      <w:bookmarkStart w:id="52" w:name="_Toc220098785"/>
      <w:r>
        <w:rPr>
          <w:rFonts w:hint="eastAsia"/>
        </w:rPr>
        <w:t>评估与分层</w:t>
      </w:r>
      <w:bookmarkEnd w:id="52"/>
    </w:p>
    <w:p w14:paraId="27A98FC3">
      <w:pPr>
        <w:pStyle w:val="105"/>
        <w:spacing w:before="120" w:after="120" w:line="360" w:lineRule="auto"/>
      </w:pPr>
      <w:r>
        <w:rPr>
          <w:rFonts w:hint="eastAsia"/>
        </w:rPr>
        <w:t>评估要素</w:t>
      </w:r>
    </w:p>
    <w:p w14:paraId="39F84B18">
      <w:pPr>
        <w:pStyle w:val="56"/>
        <w:spacing w:line="360" w:lineRule="auto"/>
        <w:ind w:firstLine="420"/>
      </w:pPr>
      <w:r>
        <w:rPr>
          <w:rFonts w:hint="eastAsia"/>
        </w:rPr>
        <w:t>术腔评估宜至少包含以下要素：</w:t>
      </w:r>
    </w:p>
    <w:p w14:paraId="2D76F45E">
      <w:pPr>
        <w:pStyle w:val="56"/>
        <w:spacing w:line="360" w:lineRule="auto"/>
        <w:ind w:firstLine="420"/>
      </w:pPr>
      <w:r>
        <w:rPr>
          <w:rFonts w:hint="eastAsia"/>
        </w:rPr>
        <w:t>a) 出血与凝血风险：活动性出血、渗血、血痂量与附着程度；</w:t>
      </w:r>
    </w:p>
    <w:p w14:paraId="47898274">
      <w:pPr>
        <w:pStyle w:val="56"/>
        <w:spacing w:line="360" w:lineRule="auto"/>
        <w:ind w:firstLine="420"/>
      </w:pPr>
      <w:r>
        <w:rPr>
          <w:rFonts w:hint="eastAsia"/>
        </w:rPr>
        <w:t>b) 黏膜水肿与炎症：黏膜颜色、肿胀程度、触碰易出血性、脓性分泌物提示；</w:t>
      </w:r>
    </w:p>
    <w:p w14:paraId="015E80D9">
      <w:pPr>
        <w:pStyle w:val="56"/>
        <w:spacing w:line="360" w:lineRule="auto"/>
        <w:ind w:firstLine="420"/>
      </w:pPr>
      <w:r>
        <w:rPr>
          <w:rFonts w:hint="eastAsia"/>
        </w:rPr>
        <w:t>c) 结痂与分泌物：结痂范围与厚度、分泌物量与性状（清亮、黏稠、脓性）、潴留部位；</w:t>
      </w:r>
    </w:p>
    <w:p w14:paraId="2181BD1B">
      <w:pPr>
        <w:pStyle w:val="56"/>
        <w:spacing w:line="360" w:lineRule="auto"/>
        <w:ind w:firstLine="420"/>
      </w:pPr>
      <w:r>
        <w:rPr>
          <w:rFonts w:hint="eastAsia"/>
        </w:rPr>
        <w:t>d) 通气引流与窦口状态：窦口扩大区通畅度、狭窄趋势、引流受阻迹象；</w:t>
      </w:r>
    </w:p>
    <w:p w14:paraId="09407819">
      <w:pPr>
        <w:pStyle w:val="56"/>
        <w:spacing w:line="360" w:lineRule="auto"/>
        <w:ind w:firstLine="420"/>
      </w:pPr>
      <w:r>
        <w:rPr>
          <w:rFonts w:hint="eastAsia"/>
        </w:rPr>
        <w:t>e) 创面修复：创面暴露范围、纤维素样附着物、黏膜化进展、上皮覆盖情况；</w:t>
      </w:r>
    </w:p>
    <w:p w14:paraId="094C1A69">
      <w:pPr>
        <w:pStyle w:val="56"/>
        <w:spacing w:line="360" w:lineRule="auto"/>
        <w:ind w:firstLine="420"/>
      </w:pPr>
      <w:r>
        <w:rPr>
          <w:rFonts w:hint="eastAsia"/>
        </w:rPr>
        <w:t>f) 组织反应：肉芽增生、粘连形成、瘢痕挛缩；</w:t>
      </w:r>
    </w:p>
    <w:p w14:paraId="479DD645">
      <w:pPr>
        <w:pStyle w:val="56"/>
        <w:spacing w:line="360" w:lineRule="auto"/>
        <w:ind w:firstLine="420"/>
      </w:pPr>
      <w:r>
        <w:rPr>
          <w:rFonts w:hint="eastAsia"/>
        </w:rPr>
        <w:t>g) 异物与置入材料：填塞物残留、药棉/支架相关反应或移位；</w:t>
      </w:r>
    </w:p>
    <w:p w14:paraId="0D31E608">
      <w:pPr>
        <w:pStyle w:val="56"/>
        <w:spacing w:line="360" w:lineRule="auto"/>
        <w:ind w:firstLine="420"/>
      </w:pPr>
      <w:r>
        <w:rPr>
          <w:rFonts w:hint="eastAsia"/>
        </w:rPr>
        <w:t>h) 症状与功能：鼻阻、嗅觉变化、疼痛、头面部胀痛、分泌物倒流、睡眠影响；</w:t>
      </w:r>
    </w:p>
    <w:p w14:paraId="2714E6BF">
      <w:pPr>
        <w:pStyle w:val="56"/>
        <w:spacing w:line="360" w:lineRule="auto"/>
        <w:ind w:firstLine="420"/>
      </w:pPr>
      <w:r>
        <w:rPr>
          <w:rFonts w:hint="eastAsia"/>
        </w:rPr>
        <w:t>i) 自我管理执行：冲洗频次与方法、局部用药依从性、环境与过敏原控制、复诊按时性。</w:t>
      </w:r>
    </w:p>
    <w:p w14:paraId="050EE5A1">
      <w:pPr>
        <w:pStyle w:val="56"/>
        <w:spacing w:line="360" w:lineRule="auto"/>
        <w:ind w:firstLine="420"/>
      </w:pPr>
    </w:p>
    <w:p w14:paraId="5687226F">
      <w:pPr>
        <w:pStyle w:val="105"/>
        <w:spacing w:before="120" w:after="120" w:line="360" w:lineRule="auto"/>
      </w:pPr>
      <w:r>
        <w:rPr>
          <w:rFonts w:hint="eastAsia"/>
        </w:rPr>
        <w:t>评估分级</w:t>
      </w:r>
    </w:p>
    <w:p w14:paraId="68678F4A">
      <w:pPr>
        <w:pStyle w:val="56"/>
        <w:spacing w:line="360" w:lineRule="auto"/>
        <w:ind w:firstLine="420"/>
      </w:pPr>
      <w:r>
        <w:rPr>
          <w:rFonts w:hint="eastAsia"/>
        </w:rPr>
        <w:t>为提高可比性，术腔状态宜采用分级管理。实施单位可使用经验证的量表或院内统一评分表；在未具备统一量表条件下，可采用“轻度/中度/重度”三级分级，并以可操作条款描述判定标准。分级判定应以内镜所见为主，症状与依从性作为调整因子。</w:t>
      </w:r>
    </w:p>
    <w:p w14:paraId="2A62EE40">
      <w:pPr>
        <w:pStyle w:val="112"/>
        <w:spacing w:before="120" w:after="120" w:line="360" w:lineRule="auto"/>
      </w:pPr>
      <w:r>
        <w:rPr>
          <w:rFonts w:hint="eastAsia"/>
        </w:rPr>
        <w:t>术腔评估分级要点与护理提示</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2126"/>
        <w:gridCol w:w="1701"/>
        <w:gridCol w:w="1985"/>
        <w:gridCol w:w="2256"/>
      </w:tblGrid>
      <w:tr w14:paraId="2F10E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vAlign w:val="center"/>
          </w:tcPr>
          <w:p w14:paraId="0275CD54">
            <w:pPr>
              <w:pStyle w:val="178"/>
            </w:pPr>
            <w:r>
              <w:rPr>
                <w:rFonts w:hint="eastAsia"/>
              </w:rPr>
              <w:t>评估维度</w:t>
            </w:r>
          </w:p>
        </w:tc>
        <w:tc>
          <w:tcPr>
            <w:tcW w:w="2126" w:type="dxa"/>
            <w:tcBorders>
              <w:top w:val="single" w:color="auto" w:sz="8" w:space="0"/>
              <w:bottom w:val="single" w:color="auto" w:sz="8" w:space="0"/>
            </w:tcBorders>
            <w:vAlign w:val="center"/>
          </w:tcPr>
          <w:p w14:paraId="7C52D412">
            <w:pPr>
              <w:pStyle w:val="178"/>
            </w:pPr>
            <w:r>
              <w:rPr>
                <w:rFonts w:hint="eastAsia"/>
              </w:rPr>
              <w:t>轻度</w:t>
            </w:r>
          </w:p>
        </w:tc>
        <w:tc>
          <w:tcPr>
            <w:tcW w:w="1701" w:type="dxa"/>
            <w:tcBorders>
              <w:top w:val="single" w:color="auto" w:sz="8" w:space="0"/>
              <w:bottom w:val="single" w:color="auto" w:sz="8" w:space="0"/>
            </w:tcBorders>
            <w:vAlign w:val="center"/>
          </w:tcPr>
          <w:p w14:paraId="109EBE77">
            <w:pPr>
              <w:pStyle w:val="178"/>
            </w:pPr>
            <w:r>
              <w:rPr>
                <w:rFonts w:hint="eastAsia"/>
              </w:rPr>
              <w:t>中度</w:t>
            </w:r>
          </w:p>
        </w:tc>
        <w:tc>
          <w:tcPr>
            <w:tcW w:w="1985" w:type="dxa"/>
            <w:tcBorders>
              <w:top w:val="single" w:color="auto" w:sz="8" w:space="0"/>
              <w:bottom w:val="single" w:color="auto" w:sz="8" w:space="0"/>
            </w:tcBorders>
            <w:vAlign w:val="center"/>
          </w:tcPr>
          <w:p w14:paraId="34FD9274">
            <w:pPr>
              <w:pStyle w:val="178"/>
            </w:pPr>
            <w:r>
              <w:rPr>
                <w:rFonts w:hint="eastAsia"/>
              </w:rPr>
              <w:t>重度</w:t>
            </w:r>
          </w:p>
        </w:tc>
        <w:tc>
          <w:tcPr>
            <w:tcW w:w="2256" w:type="dxa"/>
            <w:tcBorders>
              <w:top w:val="single" w:color="auto" w:sz="8" w:space="0"/>
              <w:bottom w:val="single" w:color="auto" w:sz="8" w:space="0"/>
            </w:tcBorders>
            <w:vAlign w:val="center"/>
          </w:tcPr>
          <w:p w14:paraId="7EE840F5">
            <w:pPr>
              <w:pStyle w:val="178"/>
            </w:pPr>
            <w:r>
              <w:rPr>
                <w:rFonts w:hint="eastAsia"/>
              </w:rPr>
              <w:t>护理提示</w:t>
            </w:r>
          </w:p>
        </w:tc>
      </w:tr>
      <w:tr w14:paraId="446261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vAlign w:val="center"/>
          </w:tcPr>
          <w:p w14:paraId="36B51759">
            <w:pPr>
              <w:pStyle w:val="178"/>
            </w:pPr>
            <w:r>
              <w:rPr>
                <w:rFonts w:hint="eastAsia"/>
              </w:rPr>
              <w:t>出血与血痂</w:t>
            </w:r>
          </w:p>
        </w:tc>
        <w:tc>
          <w:tcPr>
            <w:tcW w:w="2126" w:type="dxa"/>
            <w:tcBorders>
              <w:top w:val="single" w:color="auto" w:sz="8" w:space="0"/>
            </w:tcBorders>
            <w:vAlign w:val="center"/>
          </w:tcPr>
          <w:p w14:paraId="5C4D93C9">
            <w:pPr>
              <w:pStyle w:val="178"/>
            </w:pPr>
            <w:r>
              <w:rPr>
                <w:rFonts w:hint="eastAsia"/>
              </w:rPr>
              <w:t>少量血痂，无活动性出血</w:t>
            </w:r>
          </w:p>
        </w:tc>
        <w:tc>
          <w:tcPr>
            <w:tcW w:w="1701" w:type="dxa"/>
            <w:tcBorders>
              <w:top w:val="single" w:color="auto" w:sz="8" w:space="0"/>
            </w:tcBorders>
            <w:vAlign w:val="center"/>
          </w:tcPr>
          <w:p w14:paraId="272B79C9">
            <w:pPr>
              <w:pStyle w:val="178"/>
            </w:pPr>
            <w:r>
              <w:rPr>
                <w:rFonts w:hint="eastAsia"/>
              </w:rPr>
              <w:t>血痂较多，偶有渗血</w:t>
            </w:r>
          </w:p>
        </w:tc>
        <w:tc>
          <w:tcPr>
            <w:tcW w:w="1985" w:type="dxa"/>
            <w:tcBorders>
              <w:top w:val="single" w:color="auto" w:sz="8" w:space="0"/>
            </w:tcBorders>
            <w:vAlign w:val="center"/>
          </w:tcPr>
          <w:p w14:paraId="49EBDFD9">
            <w:pPr>
              <w:pStyle w:val="178"/>
            </w:pPr>
            <w:r>
              <w:rPr>
                <w:rFonts w:hint="eastAsia"/>
              </w:rPr>
              <w:t>活动性出血或血痂厚且紧附</w:t>
            </w:r>
          </w:p>
        </w:tc>
        <w:tc>
          <w:tcPr>
            <w:tcW w:w="2256" w:type="dxa"/>
            <w:tcBorders>
              <w:top w:val="single" w:color="auto" w:sz="8" w:space="0"/>
            </w:tcBorders>
            <w:vAlign w:val="center"/>
          </w:tcPr>
          <w:p w14:paraId="2566208A">
            <w:pPr>
              <w:pStyle w:val="178"/>
            </w:pPr>
            <w:r>
              <w:rPr>
                <w:rFonts w:hint="eastAsia"/>
              </w:rPr>
              <w:t>重度需优先止血评估，</w:t>
            </w:r>
          </w:p>
          <w:p w14:paraId="78F75AC6">
            <w:pPr>
              <w:pStyle w:val="178"/>
            </w:pPr>
            <w:r>
              <w:rPr>
                <w:rFonts w:hint="eastAsia"/>
              </w:rPr>
              <w:t>必要时医师介入</w:t>
            </w:r>
          </w:p>
        </w:tc>
      </w:tr>
      <w:tr w14:paraId="1689A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0D322B22">
            <w:pPr>
              <w:pStyle w:val="178"/>
            </w:pPr>
            <w:r>
              <w:rPr>
                <w:rFonts w:hint="eastAsia"/>
              </w:rPr>
              <w:t>黏膜水肿炎症</w:t>
            </w:r>
          </w:p>
        </w:tc>
        <w:tc>
          <w:tcPr>
            <w:tcW w:w="2126" w:type="dxa"/>
            <w:vAlign w:val="center"/>
          </w:tcPr>
          <w:p w14:paraId="2443C868">
            <w:pPr>
              <w:pStyle w:val="178"/>
            </w:pPr>
            <w:r>
              <w:rPr>
                <w:rFonts w:hint="eastAsia"/>
              </w:rPr>
              <w:t>轻度水肿，</w:t>
            </w:r>
          </w:p>
          <w:p w14:paraId="58AD710C">
            <w:pPr>
              <w:pStyle w:val="178"/>
            </w:pPr>
            <w:r>
              <w:rPr>
                <w:rFonts w:hint="eastAsia"/>
              </w:rPr>
              <w:t>无明显脓性分泌物</w:t>
            </w:r>
          </w:p>
        </w:tc>
        <w:tc>
          <w:tcPr>
            <w:tcW w:w="1701" w:type="dxa"/>
            <w:vAlign w:val="center"/>
          </w:tcPr>
          <w:p w14:paraId="3AFAABA1">
            <w:pPr>
              <w:pStyle w:val="178"/>
            </w:pPr>
            <w:r>
              <w:rPr>
                <w:rFonts w:hint="eastAsia"/>
              </w:rPr>
              <w:t>水肿明显，</w:t>
            </w:r>
          </w:p>
          <w:p w14:paraId="10D6ADF5">
            <w:pPr>
              <w:pStyle w:val="178"/>
            </w:pPr>
            <w:r>
              <w:rPr>
                <w:rFonts w:hint="eastAsia"/>
              </w:rPr>
              <w:t>分泌物增多</w:t>
            </w:r>
          </w:p>
        </w:tc>
        <w:tc>
          <w:tcPr>
            <w:tcW w:w="1985" w:type="dxa"/>
            <w:vAlign w:val="center"/>
          </w:tcPr>
          <w:p w14:paraId="5E7B375D">
            <w:pPr>
              <w:pStyle w:val="178"/>
            </w:pPr>
            <w:r>
              <w:rPr>
                <w:rFonts w:hint="eastAsia"/>
              </w:rPr>
              <w:t>明显充血肿胀，</w:t>
            </w:r>
          </w:p>
          <w:p w14:paraId="16DC4641">
            <w:pPr>
              <w:pStyle w:val="178"/>
            </w:pPr>
            <w:r>
              <w:rPr>
                <w:rFonts w:hint="eastAsia"/>
              </w:rPr>
              <w:t>脓性分泌物或恶臭</w:t>
            </w:r>
          </w:p>
        </w:tc>
        <w:tc>
          <w:tcPr>
            <w:tcW w:w="2256" w:type="dxa"/>
            <w:vAlign w:val="center"/>
          </w:tcPr>
          <w:p w14:paraId="1B7FF293">
            <w:pPr>
              <w:pStyle w:val="178"/>
            </w:pPr>
            <w:r>
              <w:rPr>
                <w:rFonts w:hint="eastAsia"/>
              </w:rPr>
              <w:t>重度提示感染或炎症持续，需强化评估与处置</w:t>
            </w:r>
          </w:p>
        </w:tc>
      </w:tr>
      <w:tr w14:paraId="07B13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399B3C81">
            <w:pPr>
              <w:pStyle w:val="178"/>
            </w:pPr>
            <w:r>
              <w:rPr>
                <w:rFonts w:hint="eastAsia"/>
              </w:rPr>
              <w:t>结痂分泌物</w:t>
            </w:r>
          </w:p>
        </w:tc>
        <w:tc>
          <w:tcPr>
            <w:tcW w:w="2126" w:type="dxa"/>
            <w:vAlign w:val="center"/>
          </w:tcPr>
          <w:p w14:paraId="136D03C6">
            <w:pPr>
              <w:pStyle w:val="178"/>
            </w:pPr>
            <w:r>
              <w:rPr>
                <w:rFonts w:hint="eastAsia"/>
              </w:rPr>
              <w:t>薄痂、分泌物少且易清理</w:t>
            </w:r>
          </w:p>
        </w:tc>
        <w:tc>
          <w:tcPr>
            <w:tcW w:w="1701" w:type="dxa"/>
            <w:vAlign w:val="center"/>
          </w:tcPr>
          <w:p w14:paraId="662608EC">
            <w:pPr>
              <w:pStyle w:val="178"/>
            </w:pPr>
            <w:r>
              <w:rPr>
                <w:rFonts w:hint="eastAsia"/>
              </w:rPr>
              <w:t>结痂范围较大，</w:t>
            </w:r>
          </w:p>
          <w:p w14:paraId="58366D6A">
            <w:pPr>
              <w:pStyle w:val="178"/>
            </w:pPr>
            <w:r>
              <w:rPr>
                <w:rFonts w:hint="eastAsia"/>
              </w:rPr>
              <w:t>分泌物黏稠</w:t>
            </w:r>
          </w:p>
        </w:tc>
        <w:tc>
          <w:tcPr>
            <w:tcW w:w="1985" w:type="dxa"/>
            <w:vAlign w:val="center"/>
          </w:tcPr>
          <w:p w14:paraId="383A90CB">
            <w:pPr>
              <w:pStyle w:val="178"/>
            </w:pPr>
            <w:r>
              <w:rPr>
                <w:rFonts w:hint="eastAsia"/>
              </w:rPr>
              <w:t>结痂厚、潴留明显，</w:t>
            </w:r>
          </w:p>
          <w:p w14:paraId="3B1054F9">
            <w:pPr>
              <w:pStyle w:val="178"/>
            </w:pPr>
            <w:r>
              <w:rPr>
                <w:rFonts w:hint="eastAsia"/>
              </w:rPr>
              <w:t>堵塞窦口</w:t>
            </w:r>
          </w:p>
        </w:tc>
        <w:tc>
          <w:tcPr>
            <w:tcW w:w="2256" w:type="dxa"/>
            <w:vAlign w:val="center"/>
          </w:tcPr>
          <w:p w14:paraId="212A6610">
            <w:pPr>
              <w:pStyle w:val="178"/>
            </w:pPr>
            <w:r>
              <w:rPr>
                <w:rFonts w:hint="eastAsia"/>
              </w:rPr>
              <w:t>重度宜先软化湿化，</w:t>
            </w:r>
          </w:p>
          <w:p w14:paraId="7C98A9A6">
            <w:pPr>
              <w:pStyle w:val="178"/>
            </w:pPr>
            <w:r>
              <w:rPr>
                <w:rFonts w:hint="eastAsia"/>
              </w:rPr>
              <w:t>分次清理，强化冲洗</w:t>
            </w:r>
          </w:p>
        </w:tc>
      </w:tr>
      <w:tr w14:paraId="42BA7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3409DD53">
            <w:pPr>
              <w:pStyle w:val="178"/>
            </w:pPr>
            <w:r>
              <w:rPr>
                <w:rFonts w:hint="eastAsia"/>
              </w:rPr>
              <w:t>通气引流窦口</w:t>
            </w:r>
          </w:p>
        </w:tc>
        <w:tc>
          <w:tcPr>
            <w:tcW w:w="2126" w:type="dxa"/>
            <w:vAlign w:val="center"/>
          </w:tcPr>
          <w:p w14:paraId="797C9683">
            <w:pPr>
              <w:pStyle w:val="178"/>
            </w:pPr>
            <w:r>
              <w:rPr>
                <w:rFonts w:hint="eastAsia"/>
              </w:rPr>
              <w:t>通畅，狭窄趋势不明显</w:t>
            </w:r>
          </w:p>
        </w:tc>
        <w:tc>
          <w:tcPr>
            <w:tcW w:w="1701" w:type="dxa"/>
            <w:vAlign w:val="center"/>
          </w:tcPr>
          <w:p w14:paraId="3BA705DE">
            <w:pPr>
              <w:pStyle w:val="178"/>
            </w:pPr>
            <w:r>
              <w:rPr>
                <w:rFonts w:hint="eastAsia"/>
              </w:rPr>
              <w:t>部分狭窄或引流受限</w:t>
            </w:r>
          </w:p>
        </w:tc>
        <w:tc>
          <w:tcPr>
            <w:tcW w:w="1985" w:type="dxa"/>
            <w:vAlign w:val="center"/>
          </w:tcPr>
          <w:p w14:paraId="403772CC">
            <w:pPr>
              <w:pStyle w:val="178"/>
            </w:pPr>
            <w:r>
              <w:rPr>
                <w:rFonts w:hint="eastAsia"/>
              </w:rPr>
              <w:t>明显阻塞或狭窄，</w:t>
            </w:r>
          </w:p>
          <w:p w14:paraId="1198ED3E">
            <w:pPr>
              <w:pStyle w:val="178"/>
            </w:pPr>
            <w:r>
              <w:rPr>
                <w:rFonts w:hint="eastAsia"/>
              </w:rPr>
              <w:t>影响通气引流</w:t>
            </w:r>
          </w:p>
        </w:tc>
        <w:tc>
          <w:tcPr>
            <w:tcW w:w="2256" w:type="dxa"/>
            <w:vAlign w:val="center"/>
          </w:tcPr>
          <w:p w14:paraId="32D223F7">
            <w:pPr>
              <w:pStyle w:val="178"/>
            </w:pPr>
            <w:r>
              <w:rPr>
                <w:rFonts w:hint="eastAsia"/>
              </w:rPr>
              <w:t>重度需重点防粘连与狭窄，必要时转诊处理</w:t>
            </w:r>
          </w:p>
        </w:tc>
      </w:tr>
      <w:tr w14:paraId="13DFC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06592AF6">
            <w:pPr>
              <w:pStyle w:val="178"/>
            </w:pPr>
            <w:r>
              <w:rPr>
                <w:rFonts w:hint="eastAsia"/>
              </w:rPr>
              <w:t>修复黏膜化</w:t>
            </w:r>
          </w:p>
        </w:tc>
        <w:tc>
          <w:tcPr>
            <w:tcW w:w="2126" w:type="dxa"/>
            <w:vAlign w:val="center"/>
          </w:tcPr>
          <w:p w14:paraId="25D1E1AE">
            <w:pPr>
              <w:pStyle w:val="178"/>
            </w:pPr>
            <w:r>
              <w:rPr>
                <w:rFonts w:hint="eastAsia"/>
              </w:rPr>
              <w:t>上皮覆盖良好或进展顺利</w:t>
            </w:r>
          </w:p>
        </w:tc>
        <w:tc>
          <w:tcPr>
            <w:tcW w:w="1701" w:type="dxa"/>
            <w:vAlign w:val="center"/>
          </w:tcPr>
          <w:p w14:paraId="7FCBA088">
            <w:pPr>
              <w:pStyle w:val="178"/>
            </w:pPr>
            <w:r>
              <w:rPr>
                <w:rFonts w:hint="eastAsia"/>
              </w:rPr>
              <w:t>局部暴露创面或黏膜化延迟</w:t>
            </w:r>
          </w:p>
        </w:tc>
        <w:tc>
          <w:tcPr>
            <w:tcW w:w="1985" w:type="dxa"/>
            <w:vAlign w:val="center"/>
          </w:tcPr>
          <w:p w14:paraId="41DA76D2">
            <w:pPr>
              <w:pStyle w:val="178"/>
            </w:pPr>
            <w:r>
              <w:rPr>
                <w:rFonts w:hint="eastAsia"/>
              </w:rPr>
              <w:t>创面暴露大、纤维素附着多或肉芽明显</w:t>
            </w:r>
          </w:p>
        </w:tc>
        <w:tc>
          <w:tcPr>
            <w:tcW w:w="2256" w:type="dxa"/>
            <w:vAlign w:val="center"/>
          </w:tcPr>
          <w:p w14:paraId="750D220A">
            <w:pPr>
              <w:pStyle w:val="178"/>
            </w:pPr>
            <w:r>
              <w:rPr>
                <w:rFonts w:hint="eastAsia"/>
              </w:rPr>
              <w:t>重度需优化局部用药与清理策略，避免过度损伤</w:t>
            </w:r>
          </w:p>
        </w:tc>
      </w:tr>
      <w:tr w14:paraId="50A8D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0BA0F07E">
            <w:pPr>
              <w:pStyle w:val="178"/>
            </w:pPr>
            <w:r>
              <w:rPr>
                <w:rFonts w:hint="eastAsia"/>
              </w:rPr>
              <w:t>肉芽粘连</w:t>
            </w:r>
          </w:p>
        </w:tc>
        <w:tc>
          <w:tcPr>
            <w:tcW w:w="2126" w:type="dxa"/>
            <w:vAlign w:val="center"/>
          </w:tcPr>
          <w:p w14:paraId="3836CDDE">
            <w:pPr>
              <w:pStyle w:val="178"/>
            </w:pPr>
            <w:r>
              <w:rPr>
                <w:rFonts w:hint="eastAsia"/>
              </w:rPr>
              <w:t>无或轻微</w:t>
            </w:r>
          </w:p>
        </w:tc>
        <w:tc>
          <w:tcPr>
            <w:tcW w:w="1701" w:type="dxa"/>
            <w:vAlign w:val="center"/>
          </w:tcPr>
          <w:p w14:paraId="29848B0D">
            <w:pPr>
              <w:pStyle w:val="178"/>
            </w:pPr>
            <w:r>
              <w:rPr>
                <w:rFonts w:hint="eastAsia"/>
              </w:rPr>
              <w:t>局部肉芽或早期粘连趋势</w:t>
            </w:r>
          </w:p>
        </w:tc>
        <w:tc>
          <w:tcPr>
            <w:tcW w:w="1985" w:type="dxa"/>
            <w:vAlign w:val="center"/>
          </w:tcPr>
          <w:p w14:paraId="5CD73D8C">
            <w:pPr>
              <w:pStyle w:val="178"/>
            </w:pPr>
            <w:r>
              <w:rPr>
                <w:rFonts w:hint="eastAsia"/>
              </w:rPr>
              <w:t>明显肉芽增生或粘连已形成</w:t>
            </w:r>
          </w:p>
        </w:tc>
        <w:tc>
          <w:tcPr>
            <w:tcW w:w="2256" w:type="dxa"/>
            <w:vAlign w:val="center"/>
          </w:tcPr>
          <w:p w14:paraId="48611D2B">
            <w:pPr>
              <w:pStyle w:val="178"/>
            </w:pPr>
            <w:r>
              <w:rPr>
                <w:rFonts w:hint="eastAsia"/>
              </w:rPr>
              <w:t>重度需规范处理并随访加密</w:t>
            </w:r>
          </w:p>
        </w:tc>
      </w:tr>
      <w:tr w14:paraId="50B037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bottom w:val="single" w:color="auto" w:sz="8" w:space="0"/>
            </w:tcBorders>
            <w:vAlign w:val="center"/>
          </w:tcPr>
          <w:p w14:paraId="785B9F7E">
            <w:pPr>
              <w:pStyle w:val="178"/>
            </w:pPr>
            <w:r>
              <w:rPr>
                <w:rFonts w:hint="eastAsia"/>
              </w:rPr>
              <w:t>症状与依从</w:t>
            </w:r>
          </w:p>
        </w:tc>
        <w:tc>
          <w:tcPr>
            <w:tcW w:w="2126" w:type="dxa"/>
            <w:tcBorders>
              <w:bottom w:val="single" w:color="auto" w:sz="8" w:space="0"/>
            </w:tcBorders>
            <w:vAlign w:val="center"/>
          </w:tcPr>
          <w:p w14:paraId="6E029D41">
            <w:pPr>
              <w:pStyle w:val="178"/>
            </w:pPr>
            <w:r>
              <w:rPr>
                <w:rFonts w:hint="eastAsia"/>
              </w:rPr>
              <w:t>症状轻，依从性好</w:t>
            </w:r>
          </w:p>
        </w:tc>
        <w:tc>
          <w:tcPr>
            <w:tcW w:w="1701" w:type="dxa"/>
            <w:tcBorders>
              <w:bottom w:val="single" w:color="auto" w:sz="8" w:space="0"/>
            </w:tcBorders>
            <w:vAlign w:val="center"/>
          </w:tcPr>
          <w:p w14:paraId="7557C9CF">
            <w:pPr>
              <w:pStyle w:val="178"/>
            </w:pPr>
            <w:r>
              <w:rPr>
                <w:rFonts w:hint="eastAsia"/>
              </w:rPr>
              <w:t>症状影响生活或依从性一般</w:t>
            </w:r>
          </w:p>
        </w:tc>
        <w:tc>
          <w:tcPr>
            <w:tcW w:w="1985" w:type="dxa"/>
            <w:tcBorders>
              <w:bottom w:val="single" w:color="auto" w:sz="8" w:space="0"/>
            </w:tcBorders>
            <w:vAlign w:val="center"/>
          </w:tcPr>
          <w:p w14:paraId="43E60C80">
            <w:pPr>
              <w:pStyle w:val="178"/>
            </w:pPr>
            <w:r>
              <w:rPr>
                <w:rFonts w:hint="eastAsia"/>
              </w:rPr>
              <w:t>症状显著或依从性差</w:t>
            </w:r>
          </w:p>
        </w:tc>
        <w:tc>
          <w:tcPr>
            <w:tcW w:w="2256" w:type="dxa"/>
            <w:tcBorders>
              <w:bottom w:val="single" w:color="auto" w:sz="8" w:space="0"/>
            </w:tcBorders>
            <w:vAlign w:val="center"/>
          </w:tcPr>
          <w:p w14:paraId="6B7A5F8B">
            <w:pPr>
              <w:pStyle w:val="178"/>
            </w:pPr>
            <w:r>
              <w:rPr>
                <w:rFonts w:hint="eastAsia"/>
              </w:rPr>
              <w:t>依从性差应强化教育与工具指导</w:t>
            </w:r>
          </w:p>
        </w:tc>
      </w:tr>
      <w:tr w14:paraId="057C25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5"/>
            <w:tcBorders>
              <w:top w:val="single" w:color="auto" w:sz="8" w:space="0"/>
              <w:bottom w:val="single" w:color="auto" w:sz="8" w:space="0"/>
            </w:tcBorders>
            <w:vAlign w:val="center"/>
          </w:tcPr>
          <w:p w14:paraId="76A07A2E">
            <w:pPr>
              <w:pStyle w:val="179"/>
            </w:pPr>
            <w:r>
              <w:rPr>
                <w:rFonts w:hint="eastAsia"/>
              </w:rPr>
              <w:t>分级仅用于护理管理决策，不替代疾病诊断与医师处置判断。</w:t>
            </w:r>
          </w:p>
        </w:tc>
      </w:tr>
    </w:tbl>
    <w:p w14:paraId="21346CAC">
      <w:pPr>
        <w:pStyle w:val="105"/>
        <w:spacing w:before="120" w:after="120" w:line="360" w:lineRule="auto"/>
      </w:pPr>
      <w:r>
        <w:rPr>
          <w:rFonts w:hint="eastAsia"/>
        </w:rPr>
        <w:t>风险分层</w:t>
      </w:r>
    </w:p>
    <w:p w14:paraId="0A289779">
      <w:pPr>
        <w:pStyle w:val="56"/>
        <w:spacing w:line="360" w:lineRule="auto"/>
        <w:ind w:firstLine="420"/>
      </w:pPr>
      <w:r>
        <w:rPr>
          <w:rFonts w:hint="eastAsia"/>
        </w:rPr>
        <w:t>风险分层用于确定随访频次、门诊清理强度、家庭护理方案与预警阈值。风险分层宜至少分为高风险、中风险、低风险三级，并结合以下因素：</w:t>
      </w:r>
    </w:p>
    <w:p w14:paraId="66C0996C">
      <w:pPr>
        <w:pStyle w:val="56"/>
        <w:spacing w:line="360" w:lineRule="auto"/>
        <w:ind w:firstLine="420"/>
      </w:pPr>
      <w:r>
        <w:rPr>
          <w:rFonts w:hint="eastAsia"/>
        </w:rPr>
        <w:t>a) 手术与病情因素：手术范围大、窦口扩大范围广、鼻息肉广泛、既往复发史；</w:t>
      </w:r>
    </w:p>
    <w:p w14:paraId="05CAA6FE">
      <w:pPr>
        <w:pStyle w:val="56"/>
        <w:spacing w:line="360" w:lineRule="auto"/>
        <w:ind w:firstLine="420"/>
      </w:pPr>
      <w:r>
        <w:rPr>
          <w:rFonts w:hint="eastAsia"/>
        </w:rPr>
        <w:t>b) 炎症表型因素：合并过敏性鼻炎、哮喘或阿司匹林不耐受相关表现；</w:t>
      </w:r>
    </w:p>
    <w:p w14:paraId="4A75212F">
      <w:pPr>
        <w:pStyle w:val="56"/>
        <w:spacing w:line="360" w:lineRule="auto"/>
        <w:ind w:firstLine="420"/>
      </w:pPr>
      <w:r>
        <w:rPr>
          <w:rFonts w:hint="eastAsia"/>
        </w:rPr>
        <w:t>c) 基础疾病因素：糖尿病、免疫抑制、凝血功能异常、吸烟；</w:t>
      </w:r>
    </w:p>
    <w:p w14:paraId="0A86E9C9">
      <w:pPr>
        <w:pStyle w:val="56"/>
        <w:spacing w:line="360" w:lineRule="auto"/>
        <w:ind w:firstLine="420"/>
      </w:pPr>
      <w:r>
        <w:rPr>
          <w:rFonts w:hint="eastAsia"/>
        </w:rPr>
        <w:t>d) 术后行为因素：冲洗与用药依从性差、复诊可达性差；</w:t>
      </w:r>
    </w:p>
    <w:p w14:paraId="20DB7FEF">
      <w:pPr>
        <w:pStyle w:val="56"/>
        <w:spacing w:line="360" w:lineRule="auto"/>
        <w:ind w:firstLine="420"/>
      </w:pPr>
      <w:r>
        <w:rPr>
          <w:rFonts w:hint="eastAsia"/>
        </w:rPr>
        <w:t>e) 既往护理风险：既往发生粘连、肉芽增生、感染或出血等并发症史。</w:t>
      </w:r>
    </w:p>
    <w:p w14:paraId="4A83B9F8">
      <w:pPr>
        <w:pStyle w:val="105"/>
        <w:spacing w:before="120" w:after="120" w:line="360" w:lineRule="auto"/>
      </w:pPr>
      <w:r>
        <w:rPr>
          <w:rFonts w:hint="eastAsia"/>
        </w:rPr>
        <w:t>分层应用要求</w:t>
      </w:r>
    </w:p>
    <w:p w14:paraId="2FAD37BF">
      <w:pPr>
        <w:pStyle w:val="165"/>
        <w:spacing w:line="360" w:lineRule="auto"/>
      </w:pPr>
      <w:r>
        <w:rPr>
          <w:rFonts w:hint="eastAsia"/>
        </w:rPr>
        <w:t>高风险患者：应加密随访，重点监测出血、感染、窦口狭窄、粘连与肉芽增生；门诊清理宜更频繁，但强调轻创分次；家庭冲洗与局部用药需强化指导并核验执行。</w:t>
      </w:r>
    </w:p>
    <w:p w14:paraId="23406877">
      <w:pPr>
        <w:pStyle w:val="165"/>
        <w:spacing w:line="360" w:lineRule="auto"/>
      </w:pPr>
      <w:r>
        <w:rPr>
          <w:rFonts w:hint="eastAsia"/>
        </w:rPr>
        <w:t>中风险患者：按标准随访路径执行，必要时在结痂与分泌物高峰期增加一次复诊；重点抓住窦口通畅维护与黏膜化进展。</w:t>
      </w:r>
    </w:p>
    <w:p w14:paraId="33755BFA">
      <w:pPr>
        <w:pStyle w:val="165"/>
        <w:spacing w:line="360" w:lineRule="auto"/>
      </w:pPr>
      <w:r>
        <w:rPr>
          <w:rFonts w:hint="eastAsia"/>
        </w:rPr>
        <w:t>低风险患者：按标准节点随访，重点巩固自我管理，防止因依从性下降导致炎症反弹。</w:t>
      </w:r>
    </w:p>
    <w:p w14:paraId="1BAE545A">
      <w:pPr>
        <w:pStyle w:val="56"/>
        <w:spacing w:line="360" w:lineRule="auto"/>
        <w:ind w:firstLine="420"/>
      </w:pPr>
    </w:p>
    <w:p w14:paraId="7A8E9A21">
      <w:pPr>
        <w:pStyle w:val="56"/>
        <w:spacing w:line="360" w:lineRule="auto"/>
        <w:ind w:firstLine="420"/>
      </w:pPr>
    </w:p>
    <w:p w14:paraId="628A001F">
      <w:pPr>
        <w:pStyle w:val="105"/>
        <w:spacing w:before="120" w:after="120" w:line="360" w:lineRule="auto"/>
      </w:pPr>
      <w:r>
        <w:rPr>
          <w:rFonts w:hint="eastAsia"/>
        </w:rPr>
        <w:t>记录要求</w:t>
      </w:r>
    </w:p>
    <w:p w14:paraId="305AD961">
      <w:pPr>
        <w:pStyle w:val="56"/>
        <w:spacing w:line="360" w:lineRule="auto"/>
        <w:ind w:firstLine="420"/>
      </w:pPr>
      <w:r>
        <w:rPr>
          <w:rFonts w:hint="eastAsia"/>
        </w:rPr>
        <w:t>评估分级与风险分层应形成结构化记录，并与护理措施、处置建议、复诊计划关联。重要所见（如明显狭窄趋势、可疑感染、活动性出血）应记录证据来源并保留内镜图片，同时遵守隐私与权限管理要求。分层等级如随访中发生变化，应记录调整原因、时间与调整后方案。</w:t>
      </w:r>
    </w:p>
    <w:p w14:paraId="0D037603">
      <w:pPr>
        <w:pStyle w:val="104"/>
        <w:spacing w:before="240" w:after="240" w:line="360" w:lineRule="auto"/>
      </w:pPr>
      <w:bookmarkStart w:id="53" w:name="_Toc220098786"/>
      <w:r>
        <w:rPr>
          <w:rFonts w:hint="eastAsia"/>
        </w:rPr>
        <w:t>护理路径</w:t>
      </w:r>
      <w:bookmarkEnd w:id="53"/>
    </w:p>
    <w:p w14:paraId="4971DC30">
      <w:pPr>
        <w:pStyle w:val="105"/>
        <w:spacing w:before="120" w:after="120" w:line="360" w:lineRule="auto"/>
      </w:pPr>
      <w:r>
        <w:rPr>
          <w:rFonts w:hint="eastAsia"/>
        </w:rPr>
        <w:t>阶段划分与目标</w:t>
      </w:r>
    </w:p>
    <w:p w14:paraId="2DE57F2B">
      <w:pPr>
        <w:pStyle w:val="65"/>
        <w:spacing w:before="120" w:after="120" w:line="360" w:lineRule="auto"/>
      </w:pPr>
      <w:r>
        <w:rPr>
          <w:rFonts w:hint="eastAsia"/>
        </w:rPr>
        <w:t>早期阶段（术后0 d～7 d）</w:t>
      </w:r>
    </w:p>
    <w:p w14:paraId="472403DD">
      <w:pPr>
        <w:pStyle w:val="56"/>
        <w:spacing w:line="360" w:lineRule="auto"/>
        <w:ind w:firstLine="420"/>
      </w:pPr>
      <w:r>
        <w:rPr>
          <w:rFonts w:hint="eastAsia"/>
        </w:rPr>
        <w:t>目标：控制出血与水肿，保护黏膜创面，减少早期感染风险，建立冲洗与用药的正确行为模式。重点在于安全评估与轻创干预，避免过度清理造成二次损伤。</w:t>
      </w:r>
    </w:p>
    <w:p w14:paraId="67591C40">
      <w:pPr>
        <w:pStyle w:val="65"/>
        <w:spacing w:before="120" w:after="120" w:line="360" w:lineRule="auto"/>
      </w:pPr>
      <w:r>
        <w:rPr>
          <w:rFonts w:hint="eastAsia"/>
        </w:rPr>
        <w:t>中期阶段（术后8 d～4周）</w:t>
      </w:r>
    </w:p>
    <w:p w14:paraId="7CA78992">
      <w:pPr>
        <w:pStyle w:val="56"/>
        <w:spacing w:line="360" w:lineRule="auto"/>
        <w:ind w:firstLine="420"/>
      </w:pPr>
      <w:r>
        <w:rPr>
          <w:rFonts w:hint="eastAsia"/>
        </w:rPr>
        <w:t>目标：有效管理结痂与分泌物潴留，维持窦口通畅，预防粘连与狭窄，促进黏膜化进展。该阶段为“结痂高峰与结构重塑”关键期，护理应强调评估驱动与分次清理策略。</w:t>
      </w:r>
    </w:p>
    <w:p w14:paraId="0252E391">
      <w:pPr>
        <w:pStyle w:val="65"/>
        <w:spacing w:before="120" w:after="120" w:line="360" w:lineRule="auto"/>
      </w:pPr>
      <w:r>
        <w:rPr>
          <w:rFonts w:hint="eastAsia"/>
        </w:rPr>
        <w:t>稳定阶段（术后5周～12周及以后）</w:t>
      </w:r>
    </w:p>
    <w:p w14:paraId="6767D1D8">
      <w:pPr>
        <w:pStyle w:val="56"/>
        <w:spacing w:line="360" w:lineRule="auto"/>
        <w:ind w:firstLine="420"/>
      </w:pPr>
      <w:r>
        <w:rPr>
          <w:rFonts w:hint="eastAsia"/>
        </w:rPr>
        <w:t>目标：巩固黏膜化与通气引流，降低炎症复燃与复发风险，建立长期管理与随访机制。该阶段重点转向依从性维护、局部用药规范化与复发预警。</w:t>
      </w:r>
    </w:p>
    <w:p w14:paraId="75E276A7">
      <w:pPr>
        <w:pStyle w:val="105"/>
        <w:spacing w:before="120" w:after="120" w:line="360" w:lineRule="auto"/>
      </w:pPr>
      <w:r>
        <w:rPr>
          <w:rFonts w:hint="eastAsia"/>
        </w:rPr>
        <w:t>随访时点与任务</w:t>
      </w:r>
    </w:p>
    <w:p w14:paraId="75AC9F5C">
      <w:pPr>
        <w:pStyle w:val="56"/>
        <w:spacing w:line="360" w:lineRule="auto"/>
        <w:ind w:firstLine="420"/>
      </w:pPr>
      <w:r>
        <w:rPr>
          <w:rFonts w:hint="eastAsia"/>
        </w:rPr>
        <w:t>随访时点可结合术式与风险分层进行配置。推荐基础时点包括：术后3 d～5 d、术后7 d～10 d、术后2周、术后4周、术后8周、术后12周；高风险患者宜增加早期与中期随访频次。鼻内镜术后术腔精准护理路径见图1。</w:t>
      </w:r>
    </w:p>
    <w:p w14:paraId="27958C68">
      <w:pPr>
        <w:pStyle w:val="56"/>
        <w:spacing w:line="360" w:lineRule="auto"/>
        <w:ind w:firstLine="0" w:firstLineChars="0"/>
        <w:jc w:val="center"/>
      </w:pPr>
      <w:r>
        <w:drawing>
          <wp:inline distT="0" distB="0" distL="0" distR="0">
            <wp:extent cx="5939790" cy="4040505"/>
            <wp:effectExtent l="0" t="0" r="3810" b="0"/>
            <wp:docPr id="7073868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86898"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939790" cy="4040505"/>
                    </a:xfrm>
                    <a:prstGeom prst="rect">
                      <a:avLst/>
                    </a:prstGeom>
                    <a:noFill/>
                    <a:ln>
                      <a:noFill/>
                    </a:ln>
                  </pic:spPr>
                </pic:pic>
              </a:graphicData>
            </a:graphic>
          </wp:inline>
        </w:drawing>
      </w:r>
    </w:p>
    <w:p w14:paraId="7EF56E1D">
      <w:pPr>
        <w:pStyle w:val="114"/>
        <w:spacing w:before="120" w:after="120" w:line="360" w:lineRule="auto"/>
      </w:pPr>
      <w:r>
        <w:rPr>
          <w:rFonts w:hint="eastAsia"/>
        </w:rPr>
        <w:t>鼻内镜术后术腔精准护理路径</w:t>
      </w:r>
    </w:p>
    <w:p w14:paraId="6545428D">
      <w:pPr>
        <w:pStyle w:val="105"/>
        <w:spacing w:before="120" w:after="120" w:line="360" w:lineRule="auto"/>
      </w:pPr>
      <w:r>
        <w:rPr>
          <w:rFonts w:hint="eastAsia"/>
        </w:rPr>
        <w:t>护理任务清单</w:t>
      </w:r>
    </w:p>
    <w:p w14:paraId="61014E44">
      <w:pPr>
        <w:pStyle w:val="65"/>
        <w:spacing w:before="120" w:after="120" w:line="360" w:lineRule="auto"/>
      </w:pPr>
      <w:r>
        <w:rPr>
          <w:rFonts w:hint="eastAsia"/>
        </w:rPr>
        <w:t>门诊任务</w:t>
      </w:r>
    </w:p>
    <w:p w14:paraId="0A247FF1">
      <w:pPr>
        <w:pStyle w:val="56"/>
        <w:spacing w:line="360" w:lineRule="auto"/>
        <w:ind w:firstLine="420"/>
      </w:pPr>
      <w:r>
        <w:rPr>
          <w:rFonts w:hint="eastAsia"/>
        </w:rPr>
        <w:t>门诊随访应完成：</w:t>
      </w:r>
    </w:p>
    <w:p w14:paraId="354CEFFB">
      <w:pPr>
        <w:pStyle w:val="56"/>
        <w:spacing w:line="360" w:lineRule="auto"/>
        <w:ind w:firstLine="420"/>
      </w:pPr>
      <w:r>
        <w:rPr>
          <w:rFonts w:hint="eastAsia"/>
        </w:rPr>
        <w:t>a) 内镜评估与分级记录；</w:t>
      </w:r>
    </w:p>
    <w:p w14:paraId="639F4932">
      <w:pPr>
        <w:pStyle w:val="56"/>
        <w:spacing w:line="360" w:lineRule="auto"/>
        <w:ind w:firstLine="420"/>
      </w:pPr>
      <w:r>
        <w:rPr>
          <w:rFonts w:hint="eastAsia"/>
        </w:rPr>
        <w:t>b) 术腔清理与必要的局部处理（软化、湿化、分次清理等）；</w:t>
      </w:r>
    </w:p>
    <w:p w14:paraId="70C7FB45">
      <w:pPr>
        <w:pStyle w:val="56"/>
        <w:spacing w:line="360" w:lineRule="auto"/>
        <w:ind w:firstLine="420"/>
      </w:pPr>
      <w:r>
        <w:rPr>
          <w:rFonts w:hint="eastAsia"/>
        </w:rPr>
        <w:t>c) 窦口通畅与粘连风险评估，必要时采取预防措施；</w:t>
      </w:r>
    </w:p>
    <w:p w14:paraId="42FF8CCA">
      <w:pPr>
        <w:pStyle w:val="56"/>
        <w:spacing w:line="360" w:lineRule="auto"/>
        <w:ind w:firstLine="420"/>
      </w:pPr>
      <w:r>
        <w:rPr>
          <w:rFonts w:hint="eastAsia"/>
        </w:rPr>
        <w:t>d) 局部用药方案评估与调整建议；</w:t>
      </w:r>
    </w:p>
    <w:p w14:paraId="60C8EBA3">
      <w:pPr>
        <w:pStyle w:val="56"/>
        <w:spacing w:line="360" w:lineRule="auto"/>
        <w:ind w:firstLine="420"/>
      </w:pPr>
      <w:r>
        <w:rPr>
          <w:rFonts w:hint="eastAsia"/>
        </w:rPr>
        <w:t>e) 家庭冲洗方法核验与纠错；</w:t>
      </w:r>
    </w:p>
    <w:p w14:paraId="1704A648">
      <w:pPr>
        <w:pStyle w:val="56"/>
        <w:spacing w:line="360" w:lineRule="auto"/>
        <w:ind w:firstLine="420"/>
      </w:pPr>
      <w:r>
        <w:rPr>
          <w:rFonts w:hint="eastAsia"/>
        </w:rPr>
        <w:t>f) 红旗征象筛查与处置触发；</w:t>
      </w:r>
    </w:p>
    <w:p w14:paraId="6528D3F5">
      <w:pPr>
        <w:pStyle w:val="56"/>
        <w:spacing w:line="360" w:lineRule="auto"/>
        <w:ind w:firstLine="420"/>
      </w:pPr>
      <w:r>
        <w:rPr>
          <w:rFonts w:hint="eastAsia"/>
        </w:rPr>
        <w:t>g) 下次随访时点确定与告知。</w:t>
      </w:r>
    </w:p>
    <w:p w14:paraId="7A6E5A7B">
      <w:pPr>
        <w:pStyle w:val="65"/>
        <w:spacing w:before="120" w:after="120" w:line="360" w:lineRule="auto"/>
      </w:pPr>
      <w:r>
        <w:rPr>
          <w:rFonts w:hint="eastAsia"/>
        </w:rPr>
        <w:t>家庭任务</w:t>
      </w:r>
    </w:p>
    <w:p w14:paraId="7692083B">
      <w:pPr>
        <w:pStyle w:val="56"/>
        <w:spacing w:line="360" w:lineRule="auto"/>
        <w:ind w:firstLine="420"/>
      </w:pPr>
      <w:r>
        <w:rPr>
          <w:rFonts w:hint="eastAsia"/>
        </w:rPr>
        <w:t>家庭护理应至少包括：</w:t>
      </w:r>
    </w:p>
    <w:p w14:paraId="5B52C0D5">
      <w:pPr>
        <w:pStyle w:val="56"/>
        <w:spacing w:line="360" w:lineRule="auto"/>
        <w:ind w:firstLine="420"/>
      </w:pPr>
      <w:r>
        <w:rPr>
          <w:rFonts w:hint="eastAsia"/>
        </w:rPr>
        <w:t>a) 规范鼻腔冲洗（频次、液体、器具、姿势与清洁维护）；</w:t>
      </w:r>
    </w:p>
    <w:p w14:paraId="10BC9FE5">
      <w:pPr>
        <w:pStyle w:val="56"/>
        <w:spacing w:line="360" w:lineRule="auto"/>
        <w:ind w:firstLine="420"/>
      </w:pPr>
      <w:r>
        <w:rPr>
          <w:rFonts w:hint="eastAsia"/>
        </w:rPr>
        <w:t>b) 按方案进行局部用药（喷雾、滴注或雾化等），并记录执行；</w:t>
      </w:r>
    </w:p>
    <w:p w14:paraId="2F4ED8FA">
      <w:pPr>
        <w:pStyle w:val="56"/>
        <w:spacing w:line="360" w:lineRule="auto"/>
        <w:ind w:firstLine="420"/>
      </w:pPr>
      <w:r>
        <w:rPr>
          <w:rFonts w:hint="eastAsia"/>
        </w:rPr>
        <w:t>c) 观察并记录关键症状变化（鼻阻、出血、疼痛、分泌物性状、嗅觉变化）；</w:t>
      </w:r>
    </w:p>
    <w:p w14:paraId="7EE6BEEA">
      <w:pPr>
        <w:pStyle w:val="56"/>
        <w:spacing w:line="360" w:lineRule="auto"/>
        <w:ind w:firstLine="420"/>
      </w:pPr>
      <w:r>
        <w:rPr>
          <w:rFonts w:hint="eastAsia"/>
        </w:rPr>
        <w:t>d) 避免诱发因素（用力擤鼻、剧烈运动、刺激性粉尘与烟草暴露等）；</w:t>
      </w:r>
    </w:p>
    <w:p w14:paraId="56B37C02">
      <w:pPr>
        <w:pStyle w:val="56"/>
        <w:spacing w:line="360" w:lineRule="auto"/>
        <w:ind w:firstLine="420"/>
      </w:pPr>
      <w:r>
        <w:rPr>
          <w:rFonts w:hint="eastAsia"/>
        </w:rPr>
        <w:t>e) 出现红旗征象时按规定联系与就医。</w:t>
      </w:r>
    </w:p>
    <w:p w14:paraId="7E6FBA8A">
      <w:pPr>
        <w:pStyle w:val="105"/>
        <w:spacing w:before="120" w:after="120" w:line="360" w:lineRule="auto"/>
      </w:pPr>
      <w:r>
        <w:rPr>
          <w:rFonts w:hint="eastAsia"/>
        </w:rPr>
        <w:t>风险分层对应的随访频次建议</w:t>
      </w:r>
    </w:p>
    <w:p w14:paraId="4A964584">
      <w:pPr>
        <w:pStyle w:val="165"/>
        <w:spacing w:line="360" w:lineRule="auto"/>
      </w:pPr>
      <w:r>
        <w:rPr>
          <w:rFonts w:hint="eastAsia"/>
        </w:rPr>
        <w:t>高风险：早期（0～7 d）至少2次随访，中期（8 d～4周）每1周～2周随访一次，必要时增加视频核验；稳定期（＞4周）每4周随访一次直至12周，并评估是否延长。</w:t>
      </w:r>
    </w:p>
    <w:p w14:paraId="01F5ACF4">
      <w:pPr>
        <w:pStyle w:val="165"/>
        <w:spacing w:line="360" w:lineRule="auto"/>
      </w:pPr>
      <w:r>
        <w:rPr>
          <w:rFonts w:hint="eastAsia"/>
        </w:rPr>
        <w:t>中风险：早期至少1次随访，中期每2周随访一次，稳定期按4周～8周随访。</w:t>
      </w:r>
    </w:p>
    <w:p w14:paraId="7D96DC06">
      <w:pPr>
        <w:pStyle w:val="165"/>
        <w:spacing w:line="360" w:lineRule="auto"/>
      </w:pPr>
      <w:r>
        <w:rPr>
          <w:rFonts w:hint="eastAsia"/>
        </w:rPr>
        <w:t>低风险：按基础时点随访，重点加强家庭执行与自我评估。</w:t>
      </w:r>
    </w:p>
    <w:p w14:paraId="1E927248">
      <w:pPr>
        <w:pStyle w:val="105"/>
        <w:spacing w:before="120" w:after="120" w:line="360" w:lineRule="auto"/>
      </w:pPr>
      <w:r>
        <w:rPr>
          <w:rFonts w:hint="eastAsia"/>
        </w:rPr>
        <w:t>异常升级与回退规则</w:t>
      </w:r>
    </w:p>
    <w:p w14:paraId="5D6228AB">
      <w:pPr>
        <w:pStyle w:val="165"/>
        <w:spacing w:line="360" w:lineRule="auto"/>
      </w:pPr>
      <w:r>
        <w:rPr>
          <w:rFonts w:hint="eastAsia"/>
        </w:rPr>
        <w:t>当评估分级由轻度升级至中度或重度，或出现窦口狭窄趋势、肉芽增生明显、粘连形成、感染征象等，应升级随访频次并强化门诊清理与局部处理策略。</w:t>
      </w:r>
    </w:p>
    <w:p w14:paraId="19BF1046">
      <w:pPr>
        <w:pStyle w:val="165"/>
        <w:spacing w:line="360" w:lineRule="auto"/>
      </w:pPr>
      <w:r>
        <w:rPr>
          <w:rFonts w:hint="eastAsia"/>
        </w:rPr>
        <w:t>当连续两次随访评估为轻度，黏膜化进展稳定，症状轻且依从性好，可逐步回退门诊清理频次，并以家庭护理为主。</w:t>
      </w:r>
    </w:p>
    <w:p w14:paraId="285226B2">
      <w:pPr>
        <w:pStyle w:val="165"/>
        <w:spacing w:line="360" w:lineRule="auto"/>
      </w:pPr>
      <w:r>
        <w:rPr>
          <w:rFonts w:hint="eastAsia"/>
        </w:rPr>
        <w:t>任何出现红旗征象者，不适用回退规则，应直接进入异常处置流程。</w:t>
      </w:r>
    </w:p>
    <w:p w14:paraId="727C8C64">
      <w:pPr>
        <w:pStyle w:val="104"/>
        <w:spacing w:before="240" w:after="240" w:line="360" w:lineRule="auto"/>
      </w:pPr>
      <w:bookmarkStart w:id="54" w:name="_Toc220098787"/>
      <w:r>
        <w:rPr>
          <w:rFonts w:hint="eastAsia"/>
        </w:rPr>
        <w:t>门诊清理要点</w:t>
      </w:r>
      <w:bookmarkEnd w:id="54"/>
    </w:p>
    <w:p w14:paraId="6FE3B108">
      <w:pPr>
        <w:pStyle w:val="105"/>
        <w:spacing w:before="120" w:after="120" w:line="360" w:lineRule="auto"/>
      </w:pPr>
      <w:r>
        <w:rPr>
          <w:rFonts w:hint="eastAsia"/>
        </w:rPr>
        <w:t>适应情形</w:t>
      </w:r>
    </w:p>
    <w:p w14:paraId="5AB73613">
      <w:pPr>
        <w:pStyle w:val="56"/>
        <w:spacing w:line="360" w:lineRule="auto"/>
        <w:ind w:firstLine="420"/>
      </w:pPr>
      <w:r>
        <w:rPr>
          <w:rFonts w:hint="eastAsia"/>
        </w:rPr>
        <w:t>出现下列任一情形，宜安排门诊清理并进行记录：</w:t>
      </w:r>
    </w:p>
    <w:p w14:paraId="41A2692B">
      <w:pPr>
        <w:pStyle w:val="56"/>
        <w:spacing w:line="360" w:lineRule="auto"/>
        <w:ind w:firstLine="420"/>
      </w:pPr>
      <w:r>
        <w:rPr>
          <w:rFonts w:hint="eastAsia"/>
        </w:rPr>
        <w:t>a) 结痂范围较大或堵塞窦口，影响通气引流；</w:t>
      </w:r>
    </w:p>
    <w:p w14:paraId="0EA9708A">
      <w:pPr>
        <w:pStyle w:val="56"/>
        <w:spacing w:line="360" w:lineRule="auto"/>
        <w:ind w:firstLine="420"/>
      </w:pPr>
      <w:r>
        <w:rPr>
          <w:rFonts w:hint="eastAsia"/>
        </w:rPr>
        <w:t>b) 分泌物潴留明显，呈黏稠或脓性，提示炎症活动；</w:t>
      </w:r>
    </w:p>
    <w:p w14:paraId="154F106A">
      <w:pPr>
        <w:pStyle w:val="56"/>
        <w:spacing w:line="360" w:lineRule="auto"/>
        <w:ind w:firstLine="420"/>
      </w:pPr>
      <w:r>
        <w:rPr>
          <w:rFonts w:hint="eastAsia"/>
        </w:rPr>
        <w:t>c) 纤维素样附着物较多，影响黏膜化；</w:t>
      </w:r>
    </w:p>
    <w:p w14:paraId="1535616A">
      <w:pPr>
        <w:pStyle w:val="56"/>
        <w:spacing w:line="360" w:lineRule="auto"/>
        <w:ind w:firstLine="420"/>
      </w:pPr>
      <w:r>
        <w:rPr>
          <w:rFonts w:hint="eastAsia"/>
        </w:rPr>
        <w:t>d) 肉芽增生或早期粘连趋势，需要干预；</w:t>
      </w:r>
    </w:p>
    <w:p w14:paraId="3BE6EE1C">
      <w:pPr>
        <w:pStyle w:val="56"/>
        <w:spacing w:line="360" w:lineRule="auto"/>
        <w:ind w:firstLine="420"/>
      </w:pPr>
      <w:r>
        <w:rPr>
          <w:rFonts w:hint="eastAsia"/>
        </w:rPr>
        <w:t>e) 患者自我冲洗执行差或冲洗难以清除深部潴留物；</w:t>
      </w:r>
    </w:p>
    <w:p w14:paraId="08BAF7E9">
      <w:pPr>
        <w:pStyle w:val="56"/>
        <w:spacing w:line="360" w:lineRule="auto"/>
        <w:ind w:firstLine="420"/>
      </w:pPr>
      <w:r>
        <w:rPr>
          <w:rFonts w:hint="eastAsia"/>
        </w:rPr>
        <w:t>f) 术腔评估为中度或重度（见表1），需要强化干预。</w:t>
      </w:r>
    </w:p>
    <w:p w14:paraId="3B011487">
      <w:pPr>
        <w:pStyle w:val="105"/>
        <w:spacing w:before="120" w:after="120" w:line="360" w:lineRule="auto"/>
      </w:pPr>
      <w:r>
        <w:rPr>
          <w:rFonts w:hint="eastAsia"/>
        </w:rPr>
        <w:t>禁忌与慎用情形</w:t>
      </w:r>
    </w:p>
    <w:p w14:paraId="18E0F470">
      <w:pPr>
        <w:pStyle w:val="65"/>
        <w:spacing w:before="120" w:after="120" w:line="360" w:lineRule="auto"/>
      </w:pPr>
      <w:r>
        <w:rPr>
          <w:rFonts w:hint="eastAsia"/>
        </w:rPr>
        <w:t>禁忌情形</w:t>
      </w:r>
    </w:p>
    <w:p w14:paraId="090E1AC6">
      <w:pPr>
        <w:pStyle w:val="56"/>
        <w:spacing w:line="360" w:lineRule="auto"/>
        <w:ind w:firstLine="420"/>
      </w:pPr>
      <w:r>
        <w:rPr>
          <w:rFonts w:hint="eastAsia"/>
        </w:rPr>
        <w:t>出现下列情形之一，应暂停常规清理或转入医师处置流程：</w:t>
      </w:r>
    </w:p>
    <w:p w14:paraId="7D25C63D">
      <w:pPr>
        <w:pStyle w:val="56"/>
        <w:spacing w:line="360" w:lineRule="auto"/>
        <w:ind w:firstLine="420"/>
      </w:pPr>
      <w:r>
        <w:rPr>
          <w:rFonts w:hint="eastAsia"/>
        </w:rPr>
        <w:t>a) 活动性大出血或出血原因未明；</w:t>
      </w:r>
    </w:p>
    <w:p w14:paraId="2D3307B9">
      <w:pPr>
        <w:pStyle w:val="56"/>
        <w:spacing w:line="360" w:lineRule="auto"/>
        <w:ind w:firstLine="420"/>
      </w:pPr>
      <w:r>
        <w:rPr>
          <w:rFonts w:hint="eastAsia"/>
        </w:rPr>
        <w:t>b) 术后早期存在明确血管损伤风险或疑似颅底相关并发症征象；</w:t>
      </w:r>
    </w:p>
    <w:p w14:paraId="19BC1DE6">
      <w:pPr>
        <w:pStyle w:val="56"/>
        <w:spacing w:line="360" w:lineRule="auto"/>
        <w:ind w:firstLine="420"/>
      </w:pPr>
      <w:r>
        <w:rPr>
          <w:rFonts w:hint="eastAsia"/>
        </w:rPr>
        <w:t>c) 患者生命体征不稳定或无法配合操作；</w:t>
      </w:r>
    </w:p>
    <w:p w14:paraId="6829E5E7">
      <w:pPr>
        <w:pStyle w:val="56"/>
        <w:spacing w:line="360" w:lineRule="auto"/>
        <w:ind w:firstLine="420"/>
      </w:pPr>
      <w:r>
        <w:rPr>
          <w:rFonts w:hint="eastAsia"/>
        </w:rPr>
        <w:t>d) 对拟用局麻药物或相关耗材存在严重过敏风险且无法替代。</w:t>
      </w:r>
    </w:p>
    <w:p w14:paraId="1B9E916E">
      <w:pPr>
        <w:pStyle w:val="65"/>
        <w:spacing w:before="120" w:after="120" w:line="360" w:lineRule="auto"/>
      </w:pPr>
      <w:r>
        <w:rPr>
          <w:rFonts w:hint="eastAsia"/>
        </w:rPr>
        <w:t>慎用情形</w:t>
      </w:r>
    </w:p>
    <w:p w14:paraId="2D3DFBC2">
      <w:pPr>
        <w:pStyle w:val="56"/>
        <w:spacing w:line="360" w:lineRule="auto"/>
        <w:ind w:firstLine="420"/>
      </w:pPr>
      <w:r>
        <w:rPr>
          <w:rFonts w:hint="eastAsia"/>
        </w:rPr>
        <w:t>出现下列情形之一，应降低清理强度并强化保护：</w:t>
      </w:r>
    </w:p>
    <w:p w14:paraId="3DF0104D">
      <w:pPr>
        <w:pStyle w:val="56"/>
        <w:spacing w:line="360" w:lineRule="auto"/>
        <w:ind w:firstLine="420"/>
      </w:pPr>
      <w:r>
        <w:rPr>
          <w:rFonts w:hint="eastAsia"/>
        </w:rPr>
        <w:t>a) 结痂紧附、创面暴露明显，剥离易致出血；</w:t>
      </w:r>
    </w:p>
    <w:p w14:paraId="3DAE371C">
      <w:pPr>
        <w:pStyle w:val="56"/>
        <w:spacing w:line="360" w:lineRule="auto"/>
        <w:ind w:firstLine="420"/>
      </w:pPr>
      <w:r>
        <w:rPr>
          <w:rFonts w:hint="eastAsia"/>
        </w:rPr>
        <w:t>b) 凝血功能异常、抗凝或抗血小板治疗未调整；</w:t>
      </w:r>
    </w:p>
    <w:p w14:paraId="5F84FE8B">
      <w:pPr>
        <w:pStyle w:val="56"/>
        <w:spacing w:line="360" w:lineRule="auto"/>
        <w:ind w:firstLine="420"/>
      </w:pPr>
      <w:r>
        <w:rPr>
          <w:rFonts w:hint="eastAsia"/>
        </w:rPr>
        <w:t>c) 糖尿病控制不佳或免疫抑制状态，创面修复能力差；</w:t>
      </w:r>
    </w:p>
    <w:p w14:paraId="1EE188C6">
      <w:pPr>
        <w:pStyle w:val="56"/>
        <w:spacing w:line="360" w:lineRule="auto"/>
        <w:ind w:firstLine="420"/>
      </w:pPr>
      <w:r>
        <w:rPr>
          <w:rFonts w:hint="eastAsia"/>
        </w:rPr>
        <w:t>d) 疼痛敏感或焦虑显著，难以耐受操作。</w:t>
      </w:r>
    </w:p>
    <w:p w14:paraId="7C365107">
      <w:pPr>
        <w:pStyle w:val="105"/>
        <w:spacing w:before="120" w:after="120" w:line="360" w:lineRule="auto"/>
      </w:pPr>
      <w:r>
        <w:rPr>
          <w:rFonts w:hint="eastAsia"/>
        </w:rPr>
        <w:t>清理准备</w:t>
      </w:r>
    </w:p>
    <w:p w14:paraId="0E901E5C">
      <w:pPr>
        <w:pStyle w:val="65"/>
        <w:spacing w:before="120" w:after="120" w:line="360" w:lineRule="auto"/>
      </w:pPr>
      <w:r>
        <w:rPr>
          <w:rFonts w:hint="eastAsia"/>
        </w:rPr>
        <w:t>信息核对与评估</w:t>
      </w:r>
    </w:p>
    <w:p w14:paraId="1361D2DD">
      <w:pPr>
        <w:pStyle w:val="56"/>
        <w:spacing w:line="360" w:lineRule="auto"/>
        <w:ind w:firstLine="420"/>
      </w:pPr>
      <w:r>
        <w:rPr>
          <w:rFonts w:hint="eastAsia"/>
        </w:rPr>
        <w:t>核对手术信息、术后天数、既往清理记录与风险分层等级。评估近期出血、疼痛、发热、视物异常等症状。完成内镜初查，明确清理目标区域与风险点。</w:t>
      </w:r>
    </w:p>
    <w:p w14:paraId="50F8BA5F">
      <w:pPr>
        <w:pStyle w:val="65"/>
        <w:spacing w:before="120" w:after="120" w:line="360" w:lineRule="auto"/>
      </w:pPr>
      <w:r>
        <w:rPr>
          <w:rFonts w:hint="eastAsia"/>
        </w:rPr>
        <w:t>环境与设备</w:t>
      </w:r>
    </w:p>
    <w:p w14:paraId="6941D041">
      <w:pPr>
        <w:pStyle w:val="56"/>
        <w:spacing w:line="360" w:lineRule="auto"/>
        <w:ind w:firstLine="420"/>
      </w:pPr>
      <w:r>
        <w:rPr>
          <w:rFonts w:hint="eastAsia"/>
        </w:rPr>
        <w:t>门诊清理应在具备内镜显示与照明条件的环境下进行。应配备负压吸引及必要的止血与急救物品。应具备污染物处置与器械消毒条件。</w:t>
      </w:r>
    </w:p>
    <w:p w14:paraId="62EC4D56">
      <w:pPr>
        <w:pStyle w:val="65"/>
        <w:spacing w:before="120" w:after="120" w:line="360" w:lineRule="auto"/>
      </w:pPr>
      <w:r>
        <w:rPr>
          <w:rFonts w:hint="eastAsia"/>
        </w:rPr>
        <w:t>镇痛与局部处理</w:t>
      </w:r>
    </w:p>
    <w:p w14:paraId="3C1E0F17">
      <w:pPr>
        <w:pStyle w:val="56"/>
        <w:spacing w:line="360" w:lineRule="auto"/>
        <w:ind w:firstLine="420"/>
      </w:pPr>
      <w:r>
        <w:rPr>
          <w:rFonts w:hint="eastAsia"/>
        </w:rPr>
        <w:t>依据机构流程进行局部麻醉或表面麻醉。清理前宜进行湿化或软化处理，降低剥离损伤。对疼痛或焦虑明显者，宜进行沟通安抚并分步告知。</w:t>
      </w:r>
    </w:p>
    <w:p w14:paraId="72F73BAF">
      <w:pPr>
        <w:pStyle w:val="105"/>
        <w:spacing w:before="120" w:after="120" w:line="360" w:lineRule="auto"/>
      </w:pPr>
      <w:r>
        <w:rPr>
          <w:rFonts w:hint="eastAsia"/>
        </w:rPr>
        <w:t>操作要点</w:t>
      </w:r>
    </w:p>
    <w:p w14:paraId="50737BCA">
      <w:pPr>
        <w:pStyle w:val="65"/>
        <w:spacing w:before="120" w:after="120" w:line="360" w:lineRule="auto"/>
      </w:pPr>
      <w:r>
        <w:rPr>
          <w:rFonts w:hint="eastAsia"/>
        </w:rPr>
        <w:t>操作顺序</w:t>
      </w:r>
    </w:p>
    <w:p w14:paraId="7960D470">
      <w:pPr>
        <w:pStyle w:val="56"/>
        <w:spacing w:line="360" w:lineRule="auto"/>
        <w:ind w:firstLine="420"/>
      </w:pPr>
      <w:r>
        <w:rPr>
          <w:rFonts w:hint="eastAsia"/>
        </w:rPr>
        <w:t>宜按“先评估、后清理、先浅后深、先松后紧、先通道后窦口”的顺序进行：</w:t>
      </w:r>
    </w:p>
    <w:p w14:paraId="12C2C7A6">
      <w:pPr>
        <w:pStyle w:val="56"/>
        <w:spacing w:line="360" w:lineRule="auto"/>
        <w:ind w:firstLine="420"/>
      </w:pPr>
      <w:r>
        <w:rPr>
          <w:rFonts w:hint="eastAsia"/>
        </w:rPr>
        <w:t>a) 优先清除松散分泌物与薄痂，建立观察通道；</w:t>
      </w:r>
    </w:p>
    <w:p w14:paraId="5571E1A0">
      <w:pPr>
        <w:pStyle w:val="56"/>
        <w:spacing w:line="360" w:lineRule="auto"/>
        <w:ind w:firstLine="420"/>
      </w:pPr>
      <w:r>
        <w:rPr>
          <w:rFonts w:hint="eastAsia"/>
        </w:rPr>
        <w:t>b) 在可视范围内分次处理厚痂与附着物；</w:t>
      </w:r>
    </w:p>
    <w:p w14:paraId="0CE9AB6B">
      <w:pPr>
        <w:pStyle w:val="56"/>
        <w:spacing w:line="360" w:lineRule="auto"/>
        <w:ind w:firstLine="420"/>
      </w:pPr>
      <w:r>
        <w:rPr>
          <w:rFonts w:hint="eastAsia"/>
        </w:rPr>
        <w:t>c) 重点维护窦口通畅区域，避免盲区粗暴牵拉；</w:t>
      </w:r>
    </w:p>
    <w:p w14:paraId="192B1BE0">
      <w:pPr>
        <w:pStyle w:val="56"/>
        <w:spacing w:line="360" w:lineRule="auto"/>
        <w:ind w:firstLine="420"/>
      </w:pPr>
      <w:r>
        <w:rPr>
          <w:rFonts w:hint="eastAsia"/>
        </w:rPr>
        <w:t>d) 对疑似粘连点，应在明确结构关系后进行分离或转医师处置。</w:t>
      </w:r>
    </w:p>
    <w:p w14:paraId="2BCDA027">
      <w:pPr>
        <w:pStyle w:val="65"/>
        <w:spacing w:before="120" w:after="120" w:line="360" w:lineRule="auto"/>
      </w:pPr>
      <w:r>
        <w:rPr>
          <w:rFonts w:hint="eastAsia"/>
        </w:rPr>
        <w:t>轻创原则</w:t>
      </w:r>
    </w:p>
    <w:p w14:paraId="1503768D">
      <w:pPr>
        <w:pStyle w:val="56"/>
        <w:spacing w:line="360" w:lineRule="auto"/>
        <w:ind w:firstLine="420"/>
      </w:pPr>
      <w:r>
        <w:rPr>
          <w:rFonts w:hint="eastAsia"/>
        </w:rPr>
        <w:t>避免大面积刮除健康黏膜；对紧附血痂或纤维素附着物，应先软化再处理。对创面暴露区，以“清除阻塞、保留保护层”为原则，避免过度去除导致出血与黏膜化延迟。必要时采取“分次完成”，在后续随访中逐步优化术腔环境。</w:t>
      </w:r>
    </w:p>
    <w:p w14:paraId="09D2946E">
      <w:pPr>
        <w:pStyle w:val="56"/>
        <w:spacing w:line="360" w:lineRule="auto"/>
        <w:ind w:firstLine="199" w:firstLineChars="95"/>
      </w:pPr>
    </w:p>
    <w:p w14:paraId="4DBE7C51">
      <w:pPr>
        <w:pStyle w:val="65"/>
        <w:spacing w:before="120" w:after="120" w:line="360" w:lineRule="auto"/>
      </w:pPr>
      <w:r>
        <w:rPr>
          <w:rFonts w:hint="eastAsia"/>
        </w:rPr>
        <w:t>出血处理</w:t>
      </w:r>
    </w:p>
    <w:p w14:paraId="134F33BF">
      <w:pPr>
        <w:pStyle w:val="56"/>
        <w:spacing w:line="360" w:lineRule="auto"/>
        <w:ind w:firstLine="420"/>
      </w:pPr>
      <w:r>
        <w:rPr>
          <w:rFonts w:hint="eastAsia"/>
        </w:rPr>
        <w:t>轻度渗血可通过局部压迫或短时观察处理。出血量增多或持续渗血，应停止进一步剥离，优先止血并评估原因。出现活动性出血、无法控制的出血或伴全身不适者，应立即启动升级处置并通知医师。</w:t>
      </w:r>
    </w:p>
    <w:p w14:paraId="79560260">
      <w:pPr>
        <w:pStyle w:val="65"/>
        <w:spacing w:before="120" w:after="120" w:line="360" w:lineRule="auto"/>
      </w:pPr>
      <w:r>
        <w:rPr>
          <w:rFonts w:hint="eastAsia"/>
        </w:rPr>
        <w:t>粘连与肉芽处理</w:t>
      </w:r>
    </w:p>
    <w:p w14:paraId="4B385930">
      <w:pPr>
        <w:pStyle w:val="56"/>
        <w:spacing w:line="360" w:lineRule="auto"/>
        <w:ind w:firstLine="420"/>
      </w:pPr>
      <w:r>
        <w:rPr>
          <w:rFonts w:hint="eastAsia"/>
        </w:rPr>
        <w:t>对早期粘连趋势，应评估其对通气引流影响程度，必要时进行轻柔分离并加强随访。对肉芽增生明显者，应评估出血风险与复发风险，按机构路径处理，并调整局部用药与冲洗方案。对反复粘连或狭窄倾向者，应纳入高风险管理并加密随访。</w:t>
      </w:r>
    </w:p>
    <w:p w14:paraId="7C2DA75D">
      <w:pPr>
        <w:pStyle w:val="105"/>
        <w:spacing w:before="120" w:after="120" w:line="360" w:lineRule="auto"/>
      </w:pPr>
      <w:r>
        <w:rPr>
          <w:rFonts w:hint="eastAsia"/>
        </w:rPr>
        <w:t>记录要求</w:t>
      </w:r>
    </w:p>
    <w:p w14:paraId="54A2BFFD">
      <w:pPr>
        <w:pStyle w:val="56"/>
        <w:spacing w:line="360" w:lineRule="auto"/>
        <w:ind w:firstLine="420"/>
      </w:pPr>
      <w:r>
        <w:rPr>
          <w:rFonts w:hint="eastAsia"/>
        </w:rPr>
        <w:t>门诊清理记录应结构化，至少包括：</w:t>
      </w:r>
    </w:p>
    <w:p w14:paraId="02AC3344">
      <w:pPr>
        <w:pStyle w:val="56"/>
        <w:spacing w:line="360" w:lineRule="auto"/>
        <w:ind w:firstLine="420"/>
      </w:pPr>
      <w:r>
        <w:rPr>
          <w:rFonts w:hint="eastAsia"/>
        </w:rPr>
        <w:t>a) 术后天数与随访时点；</w:t>
      </w:r>
    </w:p>
    <w:p w14:paraId="23376FD4">
      <w:pPr>
        <w:pStyle w:val="56"/>
        <w:spacing w:line="360" w:lineRule="auto"/>
        <w:ind w:firstLine="420"/>
      </w:pPr>
      <w:r>
        <w:rPr>
          <w:rFonts w:hint="eastAsia"/>
        </w:rPr>
        <w:t>b) 术腔评估分级与关键所见；</w:t>
      </w:r>
    </w:p>
    <w:p w14:paraId="20C9CD5F">
      <w:pPr>
        <w:pStyle w:val="56"/>
        <w:spacing w:line="360" w:lineRule="auto"/>
        <w:ind w:firstLine="420"/>
      </w:pPr>
      <w:r>
        <w:rPr>
          <w:rFonts w:hint="eastAsia"/>
        </w:rPr>
        <w:t>c) 清理范围、主要处理内容与难点；</w:t>
      </w:r>
    </w:p>
    <w:p w14:paraId="78D86636">
      <w:pPr>
        <w:pStyle w:val="56"/>
        <w:spacing w:line="360" w:lineRule="auto"/>
        <w:ind w:firstLine="420"/>
      </w:pPr>
      <w:r>
        <w:rPr>
          <w:rFonts w:hint="eastAsia"/>
        </w:rPr>
        <w:t>d) 出血情况与止血措施（如有）；</w:t>
      </w:r>
    </w:p>
    <w:p w14:paraId="20D6285F">
      <w:pPr>
        <w:pStyle w:val="56"/>
        <w:spacing w:line="360" w:lineRule="auto"/>
        <w:ind w:firstLine="420"/>
      </w:pPr>
      <w:r>
        <w:rPr>
          <w:rFonts w:hint="eastAsia"/>
        </w:rPr>
        <w:t>e) 局部用药或材料使用情况（如有）；</w:t>
      </w:r>
    </w:p>
    <w:p w14:paraId="52D776A3">
      <w:pPr>
        <w:pStyle w:val="56"/>
        <w:spacing w:line="360" w:lineRule="auto"/>
        <w:ind w:firstLine="420"/>
      </w:pPr>
      <w:r>
        <w:rPr>
          <w:rFonts w:hint="eastAsia"/>
        </w:rPr>
        <w:t>f) 患者耐受情况与不适反应；</w:t>
      </w:r>
    </w:p>
    <w:p w14:paraId="2EEF38E9">
      <w:pPr>
        <w:pStyle w:val="56"/>
        <w:spacing w:line="360" w:lineRule="auto"/>
        <w:ind w:firstLine="420"/>
      </w:pPr>
      <w:r>
        <w:rPr>
          <w:rFonts w:hint="eastAsia"/>
        </w:rPr>
        <w:t>g) 家庭护理要点再次宣教内容；</w:t>
      </w:r>
    </w:p>
    <w:p w14:paraId="4233BB3D">
      <w:pPr>
        <w:pStyle w:val="56"/>
        <w:spacing w:line="360" w:lineRule="auto"/>
        <w:ind w:firstLine="420"/>
      </w:pPr>
      <w:r>
        <w:rPr>
          <w:rFonts w:hint="eastAsia"/>
        </w:rPr>
        <w:t>h) 下次随访安排与异常联络方式。</w:t>
      </w:r>
    </w:p>
    <w:p w14:paraId="665F6B30">
      <w:pPr>
        <w:pStyle w:val="105"/>
        <w:spacing w:before="120" w:after="120" w:line="360" w:lineRule="auto"/>
      </w:pPr>
      <w:r>
        <w:rPr>
          <w:rFonts w:hint="eastAsia"/>
        </w:rPr>
        <w:t>操作后指导</w:t>
      </w:r>
    </w:p>
    <w:p w14:paraId="1F56CD2D">
      <w:pPr>
        <w:pStyle w:val="56"/>
        <w:spacing w:line="360" w:lineRule="auto"/>
        <w:ind w:firstLine="420"/>
      </w:pPr>
      <w:r>
        <w:rPr>
          <w:rFonts w:hint="eastAsia"/>
        </w:rPr>
        <w:t>清理后应向患者明确：</w:t>
      </w:r>
    </w:p>
    <w:p w14:paraId="6009EF9E">
      <w:pPr>
        <w:pStyle w:val="56"/>
        <w:spacing w:line="360" w:lineRule="auto"/>
        <w:ind w:firstLine="420"/>
      </w:pPr>
      <w:r>
        <w:rPr>
          <w:rFonts w:hint="eastAsia"/>
        </w:rPr>
        <w:t>a) 当日与次日可能出现的轻度渗血、分泌物变化与处理方法；</w:t>
      </w:r>
    </w:p>
    <w:p w14:paraId="783A6A0B">
      <w:pPr>
        <w:pStyle w:val="56"/>
        <w:spacing w:line="360" w:lineRule="auto"/>
        <w:ind w:firstLine="420"/>
      </w:pPr>
      <w:r>
        <w:rPr>
          <w:rFonts w:hint="eastAsia"/>
        </w:rPr>
        <w:t>b) 冲洗启动或调整时间点、频次与操作要点；</w:t>
      </w:r>
    </w:p>
    <w:p w14:paraId="74032C8B">
      <w:pPr>
        <w:pStyle w:val="56"/>
        <w:spacing w:line="360" w:lineRule="auto"/>
        <w:ind w:firstLine="420"/>
      </w:pPr>
      <w:r>
        <w:rPr>
          <w:rFonts w:hint="eastAsia"/>
        </w:rPr>
        <w:t>c) 局部用药方案与注意事项；</w:t>
      </w:r>
    </w:p>
    <w:p w14:paraId="38D0B6C6">
      <w:pPr>
        <w:pStyle w:val="56"/>
        <w:spacing w:line="360" w:lineRule="auto"/>
        <w:ind w:firstLine="420"/>
      </w:pPr>
      <w:r>
        <w:rPr>
          <w:rFonts w:hint="eastAsia"/>
        </w:rPr>
        <w:t>d) 红旗征象与就医路径；</w:t>
      </w:r>
    </w:p>
    <w:p w14:paraId="6890DB16">
      <w:pPr>
        <w:pStyle w:val="56"/>
        <w:spacing w:line="360" w:lineRule="auto"/>
        <w:ind w:firstLine="420"/>
      </w:pPr>
      <w:r>
        <w:rPr>
          <w:rFonts w:hint="eastAsia"/>
        </w:rPr>
        <w:t>e) 下一次复诊时间与携带材料。</w:t>
      </w:r>
    </w:p>
    <w:p w14:paraId="5544F5EB">
      <w:pPr>
        <w:pStyle w:val="104"/>
        <w:spacing w:before="240" w:after="240" w:line="360" w:lineRule="auto"/>
      </w:pPr>
      <w:bookmarkStart w:id="55" w:name="_Toc220098788"/>
      <w:r>
        <w:rPr>
          <w:rFonts w:hint="eastAsia"/>
        </w:rPr>
        <w:t>冲洗用药管理</w:t>
      </w:r>
      <w:bookmarkEnd w:id="55"/>
    </w:p>
    <w:p w14:paraId="1AF4DBDA">
      <w:pPr>
        <w:pStyle w:val="105"/>
        <w:spacing w:before="120" w:after="120" w:line="360" w:lineRule="auto"/>
      </w:pPr>
      <w:r>
        <w:rPr>
          <w:rFonts w:hint="eastAsia"/>
        </w:rPr>
        <w:t>冲洗管理</w:t>
      </w:r>
    </w:p>
    <w:p w14:paraId="46DED370">
      <w:pPr>
        <w:pStyle w:val="65"/>
        <w:spacing w:before="120" w:after="120" w:line="360" w:lineRule="auto"/>
      </w:pPr>
      <w:r>
        <w:rPr>
          <w:rFonts w:hint="eastAsia"/>
        </w:rPr>
        <w:t>冲洗液选择与配置</w:t>
      </w:r>
    </w:p>
    <w:p w14:paraId="6D62378B">
      <w:pPr>
        <w:pStyle w:val="164"/>
        <w:spacing w:line="360" w:lineRule="auto"/>
      </w:pPr>
      <w:r>
        <w:rPr>
          <w:rFonts w:hint="eastAsia"/>
        </w:rPr>
        <w:t>冲洗液宜采用符合要求的等渗或适宜渗透压的盐水；需要高效清洁或分泌物黏稠者，可在评估后采用适宜的配方方案。</w:t>
      </w:r>
    </w:p>
    <w:p w14:paraId="6BF9B0C0">
      <w:pPr>
        <w:pStyle w:val="164"/>
        <w:spacing w:line="360" w:lineRule="auto"/>
      </w:pPr>
      <w:r>
        <w:rPr>
          <w:rFonts w:hint="eastAsia"/>
        </w:rPr>
        <w:t>冲洗液配置应使用清洁安全的水源与容器，避免污染；如使用现成制剂，应按说明使用并注意有效期。</w:t>
      </w:r>
    </w:p>
    <w:p w14:paraId="0D9E38FA">
      <w:pPr>
        <w:pStyle w:val="164"/>
        <w:spacing w:line="360" w:lineRule="auto"/>
      </w:pPr>
      <w:r>
        <w:rPr>
          <w:rFonts w:hint="eastAsia"/>
        </w:rPr>
        <w:t>对鼻腔黏膜刺激明显、疼痛或出血倾向者，应避免使用可能增加刺激的配置方式，并在医护指导下调整。</w:t>
      </w:r>
    </w:p>
    <w:p w14:paraId="3B4D7202">
      <w:pPr>
        <w:pStyle w:val="65"/>
        <w:spacing w:before="120" w:after="120" w:line="360" w:lineRule="auto"/>
      </w:pPr>
      <w:r>
        <w:rPr>
          <w:rFonts w:hint="eastAsia"/>
        </w:rPr>
        <w:t>冲洗器具与维护</w:t>
      </w:r>
    </w:p>
    <w:p w14:paraId="251B7BBD">
      <w:pPr>
        <w:pStyle w:val="164"/>
        <w:spacing w:line="360" w:lineRule="auto"/>
      </w:pPr>
      <w:r>
        <w:rPr>
          <w:rFonts w:hint="eastAsia"/>
        </w:rPr>
        <w:t>冲洗器具宜选择可控压力的冲洗瓶、注射式冲洗装置或等效器具，保证冲洗方向与压力可调。</w:t>
      </w:r>
    </w:p>
    <w:p w14:paraId="2A66C04D">
      <w:pPr>
        <w:pStyle w:val="164"/>
        <w:spacing w:line="360" w:lineRule="auto"/>
      </w:pPr>
      <w:r>
        <w:rPr>
          <w:rFonts w:hint="eastAsia"/>
        </w:rPr>
        <w:t>冲洗器具应专人专用，使用前后应清洁与干燥保存，按机构建议进行定期消毒或更换。</w:t>
      </w:r>
    </w:p>
    <w:p w14:paraId="368CD5E1">
      <w:pPr>
        <w:pStyle w:val="164"/>
        <w:spacing w:line="360" w:lineRule="auto"/>
      </w:pPr>
      <w:r>
        <w:rPr>
          <w:rFonts w:hint="eastAsia"/>
        </w:rPr>
        <w:t>应指导患者避免多人共用器具、避免长时间湿置导致微生物滋生。</w:t>
      </w:r>
    </w:p>
    <w:p w14:paraId="42F5CB7F">
      <w:pPr>
        <w:pStyle w:val="65"/>
        <w:spacing w:before="120" w:after="120" w:line="360" w:lineRule="auto"/>
      </w:pPr>
      <w:r>
        <w:rPr>
          <w:rFonts w:hint="eastAsia"/>
        </w:rPr>
        <w:t>冲洗方法与姿势</w:t>
      </w:r>
    </w:p>
    <w:p w14:paraId="6A8C9F53">
      <w:pPr>
        <w:pStyle w:val="164"/>
        <w:spacing w:line="360" w:lineRule="auto"/>
      </w:pPr>
      <w:r>
        <w:rPr>
          <w:rFonts w:hint="eastAsia"/>
        </w:rPr>
        <w:t>冲洗前宜先擤出前鼻腔分泌物，但应避免用力擤鼻造成出血。</w:t>
      </w:r>
    </w:p>
    <w:p w14:paraId="2FC92B57">
      <w:pPr>
        <w:pStyle w:val="164"/>
        <w:spacing w:line="360" w:lineRule="auto"/>
      </w:pPr>
      <w:r>
        <w:rPr>
          <w:rFonts w:hint="eastAsia"/>
        </w:rPr>
        <w:t>冲洗姿势应使冲洗液能够通过鼻腔并充分接触术腔区域，避免误吸与呛咳，必要时可采用分段冲洗与调整头位的方式。</w:t>
      </w:r>
    </w:p>
    <w:p w14:paraId="1A572CBF">
      <w:pPr>
        <w:pStyle w:val="164"/>
        <w:spacing w:line="360" w:lineRule="auto"/>
      </w:pPr>
      <w:r>
        <w:rPr>
          <w:rFonts w:hint="eastAsia"/>
        </w:rPr>
        <w:t>冲洗过程中如出现明显疼痛、持续出血、眩晕或耳闷明显加重，应暂停并联系医护评估。</w:t>
      </w:r>
    </w:p>
    <w:p w14:paraId="2C55CEAF">
      <w:pPr>
        <w:pStyle w:val="65"/>
        <w:spacing w:before="120" w:after="120" w:line="360" w:lineRule="auto"/>
      </w:pPr>
      <w:r>
        <w:rPr>
          <w:rFonts w:hint="eastAsia"/>
        </w:rPr>
        <w:t>冲洗频次与时间窗</w:t>
      </w:r>
    </w:p>
    <w:p w14:paraId="72E6D481">
      <w:pPr>
        <w:pStyle w:val="164"/>
        <w:spacing w:line="360" w:lineRule="auto"/>
      </w:pPr>
      <w:r>
        <w:rPr>
          <w:rFonts w:hint="eastAsia"/>
        </w:rPr>
        <w:t>早期阶段以温和冲洗为主，频次由医护根据出血与结痂情况确定。</w:t>
      </w:r>
    </w:p>
    <w:p w14:paraId="1C735D44">
      <w:pPr>
        <w:pStyle w:val="164"/>
        <w:spacing w:line="360" w:lineRule="auto"/>
      </w:pPr>
      <w:r>
        <w:rPr>
          <w:rFonts w:hint="eastAsia"/>
        </w:rPr>
        <w:t>中期阶段为结痂与分泌物管理关键期，宜保持规律冲洗，并根据评估分级增减频次。</w:t>
      </w:r>
    </w:p>
    <w:p w14:paraId="10CDABAF">
      <w:pPr>
        <w:pStyle w:val="164"/>
        <w:spacing w:line="360" w:lineRule="auto"/>
      </w:pPr>
      <w:r>
        <w:rPr>
          <w:rFonts w:hint="eastAsia"/>
        </w:rPr>
        <w:t>稳定阶段可逐步降低冲洗频次，但对易复发或炎症表型明显者，宜维持长期规律冲洗策略。</w:t>
      </w:r>
    </w:p>
    <w:p w14:paraId="7B191122">
      <w:pPr>
        <w:pStyle w:val="164"/>
        <w:spacing w:line="360" w:lineRule="auto"/>
      </w:pPr>
      <w:r>
        <w:rPr>
          <w:rFonts w:hint="eastAsia"/>
        </w:rPr>
        <w:t>冲洗频次调整应依据门诊评估结果，不宜因症状短期缓解而过早停用。</w:t>
      </w:r>
    </w:p>
    <w:p w14:paraId="7C714971">
      <w:pPr>
        <w:pStyle w:val="65"/>
        <w:spacing w:before="120" w:after="120" w:line="360" w:lineRule="auto"/>
      </w:pPr>
      <w:r>
        <w:rPr>
          <w:rFonts w:hint="eastAsia"/>
        </w:rPr>
        <w:t>常见问题与纠错要点</w:t>
      </w:r>
    </w:p>
    <w:p w14:paraId="211B5FE0">
      <w:pPr>
        <w:pStyle w:val="164"/>
        <w:spacing w:line="360" w:lineRule="auto"/>
      </w:pPr>
      <w:r>
        <w:rPr>
          <w:rFonts w:hint="eastAsia"/>
        </w:rPr>
        <w:t>冲洗压力过大、方向不当易引发疼痛、出血或耳闷，应纠正为可控压力并按指导方向冲洗。</w:t>
      </w:r>
    </w:p>
    <w:p w14:paraId="3239D68A">
      <w:pPr>
        <w:pStyle w:val="164"/>
        <w:spacing w:line="360" w:lineRule="auto"/>
      </w:pPr>
      <w:r>
        <w:rPr>
          <w:rFonts w:hint="eastAsia"/>
        </w:rPr>
        <w:t>冲洗不足易导致深部潴留与结痂持续，应通过姿势调整与分次冲洗提高有效性。</w:t>
      </w:r>
    </w:p>
    <w:p w14:paraId="75BCDEB5">
      <w:pPr>
        <w:pStyle w:val="164"/>
        <w:spacing w:line="360" w:lineRule="auto"/>
      </w:pPr>
      <w:r>
        <w:rPr>
          <w:rFonts w:hint="eastAsia"/>
        </w:rPr>
        <w:t>冲洗后立即平卧可能导致分泌物流向咽部不适，宜在冲洗后短时直立并轻柔排出残液。</w:t>
      </w:r>
    </w:p>
    <w:p w14:paraId="71CE2B78">
      <w:pPr>
        <w:pStyle w:val="105"/>
        <w:spacing w:before="120" w:after="120" w:line="360" w:lineRule="auto"/>
      </w:pPr>
      <w:r>
        <w:rPr>
          <w:rFonts w:hint="eastAsia"/>
        </w:rPr>
        <w:t>局部用药管理</w:t>
      </w:r>
    </w:p>
    <w:p w14:paraId="585BB560">
      <w:pPr>
        <w:pStyle w:val="65"/>
        <w:spacing w:before="120" w:after="120" w:line="360" w:lineRule="auto"/>
      </w:pPr>
      <w:r>
        <w:rPr>
          <w:rFonts w:hint="eastAsia"/>
        </w:rPr>
        <w:t>用药原则</w:t>
      </w:r>
    </w:p>
    <w:p w14:paraId="514A1B03">
      <w:pPr>
        <w:pStyle w:val="164"/>
        <w:spacing w:line="360" w:lineRule="auto"/>
      </w:pPr>
      <w:r>
        <w:rPr>
          <w:rFonts w:hint="eastAsia"/>
        </w:rPr>
        <w:t>局部用药应由医师制定方案，护理团队负责规范指导、依从性管理与不良反应监测。</w:t>
      </w:r>
    </w:p>
    <w:p w14:paraId="22FB1497">
      <w:pPr>
        <w:pStyle w:val="164"/>
        <w:spacing w:line="360" w:lineRule="auto"/>
      </w:pPr>
      <w:r>
        <w:rPr>
          <w:rFonts w:hint="eastAsia"/>
        </w:rPr>
        <w:t>应明确药物名称、剂量、频次、疗程、给药方式与注意事项，并形成书面或电子清单。</w:t>
      </w:r>
    </w:p>
    <w:p w14:paraId="31031BD3">
      <w:pPr>
        <w:pStyle w:val="164"/>
        <w:spacing w:line="360" w:lineRule="auto"/>
      </w:pPr>
      <w:r>
        <w:rPr>
          <w:rFonts w:hint="eastAsia"/>
        </w:rPr>
        <w:t>应避免自行加药、随意叠加同类药物或擅自延长疗程；对合并基础疾病或特殊人群应加强用药风险提示。</w:t>
      </w:r>
    </w:p>
    <w:p w14:paraId="65DEB1DA">
      <w:pPr>
        <w:pStyle w:val="164"/>
        <w:numPr>
          <w:ilvl w:val="0"/>
          <w:numId w:val="0"/>
        </w:numPr>
        <w:spacing w:line="360" w:lineRule="auto"/>
      </w:pPr>
    </w:p>
    <w:p w14:paraId="1CDA0361">
      <w:pPr>
        <w:pStyle w:val="65"/>
        <w:spacing w:before="120" w:after="120" w:line="360" w:lineRule="auto"/>
      </w:pPr>
      <w:r>
        <w:rPr>
          <w:rFonts w:hint="eastAsia"/>
        </w:rPr>
        <w:t>给药方式要点</w:t>
      </w:r>
    </w:p>
    <w:p w14:paraId="72C06BFD">
      <w:pPr>
        <w:pStyle w:val="164"/>
        <w:spacing w:line="360" w:lineRule="auto"/>
      </w:pPr>
      <w:r>
        <w:rPr>
          <w:rFonts w:hint="eastAsia"/>
        </w:rPr>
        <w:t>喷雾：适用于日常维持，强调喷头清洁、方向与吸气配合，避免喷向鼻中隔造成刺激。</w:t>
      </w:r>
    </w:p>
    <w:p w14:paraId="5AFBBB40">
      <w:pPr>
        <w:pStyle w:val="164"/>
        <w:spacing w:line="360" w:lineRule="auto"/>
      </w:pPr>
      <w:r>
        <w:rPr>
          <w:rFonts w:hint="eastAsia"/>
        </w:rPr>
        <w:t>滴注：适用于需要药液更深入覆盖术腔的情形，应按指导头位执行并控制量，避免误吸。</w:t>
      </w:r>
    </w:p>
    <w:p w14:paraId="064B6749">
      <w:pPr>
        <w:pStyle w:val="164"/>
        <w:spacing w:line="360" w:lineRule="auto"/>
      </w:pPr>
      <w:r>
        <w:rPr>
          <w:rFonts w:hint="eastAsia"/>
        </w:rPr>
        <w:t>雾化：适用于黏膜炎症明显或分泌物黏稠者，需按设备规范操作并清洁维护。</w:t>
      </w:r>
    </w:p>
    <w:p w14:paraId="7E76A9F4">
      <w:pPr>
        <w:pStyle w:val="164"/>
        <w:spacing w:line="360" w:lineRule="auto"/>
      </w:pPr>
      <w:r>
        <w:rPr>
          <w:rFonts w:hint="eastAsia"/>
        </w:rPr>
        <w:t>药棉或局部置入：应由医护人员实施或明确家庭是否可操作；涉及置入材料者应强调无菌与取出时点。</w:t>
      </w:r>
    </w:p>
    <w:p w14:paraId="5C4B2783">
      <w:pPr>
        <w:pStyle w:val="65"/>
        <w:spacing w:before="120" w:after="120" w:line="360" w:lineRule="auto"/>
      </w:pPr>
      <w:r>
        <w:rPr>
          <w:rFonts w:hint="eastAsia"/>
        </w:rPr>
        <w:t>用药时序</w:t>
      </w:r>
    </w:p>
    <w:p w14:paraId="51E62F04">
      <w:pPr>
        <w:pStyle w:val="56"/>
        <w:spacing w:line="360" w:lineRule="auto"/>
        <w:ind w:firstLine="420"/>
      </w:pPr>
      <w:r>
        <w:rPr>
          <w:rFonts w:hint="eastAsia"/>
        </w:rPr>
        <w:t>一般建议先冲洗清洁，再进行局部用药，以提高药物与黏膜接触与有效性。如需多种局部药物联合使用，应明确先后顺序与间隔时间，避免相互稀释或影响吸收。门诊清理当日如存在渗血或明显创面暴露，应遵循医护建议调整用药类型与时点。</w:t>
      </w:r>
    </w:p>
    <w:p w14:paraId="505AC77B">
      <w:pPr>
        <w:pStyle w:val="65"/>
        <w:spacing w:before="120" w:after="120" w:line="360" w:lineRule="auto"/>
      </w:pPr>
      <w:r>
        <w:rPr>
          <w:rFonts w:hint="eastAsia"/>
        </w:rPr>
        <w:t>不良反应监测</w:t>
      </w:r>
    </w:p>
    <w:p w14:paraId="3C5869FB">
      <w:pPr>
        <w:pStyle w:val="56"/>
        <w:spacing w:line="360" w:lineRule="auto"/>
        <w:ind w:firstLine="420"/>
      </w:pPr>
      <w:r>
        <w:rPr>
          <w:rFonts w:hint="eastAsia"/>
        </w:rPr>
        <w:t>关注局部刺激、鼻出血增加、黏膜干燥灼痛、头痛、心悸等反应，并按严重程度分级处理。出现过敏反应或严重不适，应立即停用并联系医护评估。长期用药者应按随访计划复评疗效与风险，防止不规范使用。</w:t>
      </w:r>
    </w:p>
    <w:p w14:paraId="770DCE95">
      <w:pPr>
        <w:pStyle w:val="105"/>
        <w:spacing w:before="120" w:after="120" w:line="360" w:lineRule="auto"/>
      </w:pPr>
      <w:r>
        <w:rPr>
          <w:rFonts w:hint="eastAsia"/>
        </w:rPr>
        <w:t>依从性管理</w:t>
      </w:r>
    </w:p>
    <w:p w14:paraId="7FB21E1B">
      <w:pPr>
        <w:pStyle w:val="56"/>
        <w:spacing w:line="360" w:lineRule="auto"/>
        <w:ind w:firstLine="420"/>
      </w:pPr>
      <w:r>
        <w:rPr>
          <w:rFonts w:hint="eastAsia"/>
        </w:rPr>
        <w:t>应建立冲洗与用药执行记录，可采用纸质打卡表、手机打卡或随访平台记录。对高风险或中重度评估者，宜在关键阶段进行视频核验，纠正操作错误。对依从性差者，应分析原因（工具不适、操作困难、时间安排、症状误判等），提供针对性支持与简化方案。</w:t>
      </w:r>
    </w:p>
    <w:p w14:paraId="66995FBB">
      <w:pPr>
        <w:pStyle w:val="112"/>
        <w:spacing w:before="120" w:after="120" w:line="360" w:lineRule="auto"/>
      </w:pPr>
      <w:r>
        <w:rPr>
          <w:rFonts w:hint="eastAsia"/>
        </w:rPr>
        <w:t>不同阶段与分层的冲洗用药建议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2410"/>
        <w:gridCol w:w="2268"/>
        <w:gridCol w:w="2398"/>
      </w:tblGrid>
      <w:tr w14:paraId="2BE1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58" w:type="dxa"/>
            <w:tcBorders>
              <w:top w:val="single" w:color="auto" w:sz="8" w:space="0"/>
              <w:bottom w:val="single" w:color="auto" w:sz="8" w:space="0"/>
            </w:tcBorders>
            <w:vAlign w:val="center"/>
          </w:tcPr>
          <w:p w14:paraId="5EE2DD78">
            <w:pPr>
              <w:pStyle w:val="178"/>
            </w:pPr>
            <w:r>
              <w:rPr>
                <w:rFonts w:hint="eastAsia"/>
              </w:rPr>
              <w:t>阶段与对象</w:t>
            </w:r>
          </w:p>
        </w:tc>
        <w:tc>
          <w:tcPr>
            <w:tcW w:w="2410" w:type="dxa"/>
            <w:tcBorders>
              <w:top w:val="single" w:color="auto" w:sz="8" w:space="0"/>
              <w:bottom w:val="single" w:color="auto" w:sz="8" w:space="0"/>
            </w:tcBorders>
            <w:vAlign w:val="center"/>
          </w:tcPr>
          <w:p w14:paraId="40571CDC">
            <w:pPr>
              <w:pStyle w:val="178"/>
            </w:pPr>
            <w:r>
              <w:rPr>
                <w:rFonts w:hint="eastAsia"/>
              </w:rPr>
              <w:t>冲洗目标与频次建议</w:t>
            </w:r>
          </w:p>
        </w:tc>
        <w:tc>
          <w:tcPr>
            <w:tcW w:w="2268" w:type="dxa"/>
            <w:tcBorders>
              <w:top w:val="single" w:color="auto" w:sz="8" w:space="0"/>
              <w:bottom w:val="single" w:color="auto" w:sz="8" w:space="0"/>
            </w:tcBorders>
            <w:vAlign w:val="center"/>
          </w:tcPr>
          <w:p w14:paraId="68FAFCB6">
            <w:pPr>
              <w:pStyle w:val="178"/>
            </w:pPr>
            <w:r>
              <w:rPr>
                <w:rFonts w:hint="eastAsia"/>
              </w:rPr>
              <w:t>用药目标与要点</w:t>
            </w:r>
          </w:p>
        </w:tc>
        <w:tc>
          <w:tcPr>
            <w:tcW w:w="2398" w:type="dxa"/>
            <w:tcBorders>
              <w:top w:val="single" w:color="auto" w:sz="8" w:space="0"/>
              <w:bottom w:val="single" w:color="auto" w:sz="8" w:space="0"/>
            </w:tcBorders>
            <w:vAlign w:val="center"/>
          </w:tcPr>
          <w:p w14:paraId="7FBDB552">
            <w:pPr>
              <w:pStyle w:val="178"/>
            </w:pPr>
            <w:r>
              <w:rPr>
                <w:rFonts w:hint="eastAsia"/>
              </w:rPr>
              <w:t>护理随访重点</w:t>
            </w:r>
          </w:p>
        </w:tc>
      </w:tr>
      <w:tr w14:paraId="731B8D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vAlign w:val="center"/>
          </w:tcPr>
          <w:p w14:paraId="16E125A6">
            <w:pPr>
              <w:pStyle w:val="178"/>
            </w:pPr>
            <w:r>
              <w:rPr>
                <w:rFonts w:hint="eastAsia"/>
              </w:rPr>
              <w:t>早期 低风险 轻度</w:t>
            </w:r>
          </w:p>
        </w:tc>
        <w:tc>
          <w:tcPr>
            <w:tcW w:w="2410" w:type="dxa"/>
            <w:tcBorders>
              <w:top w:val="single" w:color="auto" w:sz="8" w:space="0"/>
            </w:tcBorders>
            <w:vAlign w:val="center"/>
          </w:tcPr>
          <w:p w14:paraId="566E089A">
            <w:pPr>
              <w:pStyle w:val="178"/>
            </w:pPr>
            <w:r>
              <w:rPr>
                <w:rFonts w:hint="eastAsia"/>
              </w:rPr>
              <w:t>以湿化清洁为主，按医嘱规律冲洗，避免过强压力</w:t>
            </w:r>
          </w:p>
        </w:tc>
        <w:tc>
          <w:tcPr>
            <w:tcW w:w="2268" w:type="dxa"/>
            <w:tcBorders>
              <w:top w:val="single" w:color="auto" w:sz="8" w:space="0"/>
            </w:tcBorders>
            <w:vAlign w:val="center"/>
          </w:tcPr>
          <w:p w14:paraId="564CD7BB">
            <w:pPr>
              <w:pStyle w:val="178"/>
            </w:pPr>
            <w:r>
              <w:rPr>
                <w:rFonts w:hint="eastAsia"/>
              </w:rPr>
              <w:t>以黏膜保护与炎症控制为主，强调正确给药方式</w:t>
            </w:r>
          </w:p>
        </w:tc>
        <w:tc>
          <w:tcPr>
            <w:tcW w:w="2398" w:type="dxa"/>
            <w:tcBorders>
              <w:top w:val="single" w:color="auto" w:sz="8" w:space="0"/>
            </w:tcBorders>
            <w:vAlign w:val="center"/>
          </w:tcPr>
          <w:p w14:paraId="19BEFF62">
            <w:pPr>
              <w:pStyle w:val="178"/>
            </w:pPr>
            <w:r>
              <w:rPr>
                <w:rFonts w:hint="eastAsia"/>
              </w:rPr>
              <w:t>出血与疼痛监测，</w:t>
            </w:r>
          </w:p>
          <w:p w14:paraId="5CFD0E54">
            <w:pPr>
              <w:pStyle w:val="178"/>
            </w:pPr>
            <w:r>
              <w:rPr>
                <w:rFonts w:hint="eastAsia"/>
              </w:rPr>
              <w:t>纠正冲洗姿势</w:t>
            </w:r>
          </w:p>
        </w:tc>
      </w:tr>
      <w:tr w14:paraId="635966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vAlign w:val="center"/>
          </w:tcPr>
          <w:p w14:paraId="031D95CD">
            <w:pPr>
              <w:pStyle w:val="178"/>
            </w:pPr>
            <w:r>
              <w:rPr>
                <w:rFonts w:hint="eastAsia"/>
              </w:rPr>
              <w:t>早期 高风险 中重度</w:t>
            </w:r>
          </w:p>
        </w:tc>
        <w:tc>
          <w:tcPr>
            <w:tcW w:w="2410" w:type="dxa"/>
            <w:vAlign w:val="center"/>
          </w:tcPr>
          <w:p w14:paraId="2108968B">
            <w:pPr>
              <w:pStyle w:val="178"/>
            </w:pPr>
            <w:r>
              <w:rPr>
                <w:rFonts w:hint="eastAsia"/>
              </w:rPr>
              <w:t>可加密冲洗但强调温和分次，必要时先软化再冲洗</w:t>
            </w:r>
          </w:p>
        </w:tc>
        <w:tc>
          <w:tcPr>
            <w:tcW w:w="2268" w:type="dxa"/>
            <w:vAlign w:val="center"/>
          </w:tcPr>
          <w:p w14:paraId="61840765">
            <w:pPr>
              <w:pStyle w:val="178"/>
            </w:pPr>
            <w:r>
              <w:rPr>
                <w:rFonts w:hint="eastAsia"/>
              </w:rPr>
              <w:t>强调止血风险评估与不良反应监测，必要时调整方案</w:t>
            </w:r>
          </w:p>
        </w:tc>
        <w:tc>
          <w:tcPr>
            <w:tcW w:w="2398" w:type="dxa"/>
            <w:vAlign w:val="center"/>
          </w:tcPr>
          <w:p w14:paraId="0C53FB1A">
            <w:pPr>
              <w:pStyle w:val="178"/>
            </w:pPr>
            <w:r>
              <w:rPr>
                <w:rFonts w:hint="eastAsia"/>
              </w:rPr>
              <w:t>红旗征象筛查，</w:t>
            </w:r>
          </w:p>
          <w:p w14:paraId="211CA7AD">
            <w:pPr>
              <w:pStyle w:val="178"/>
            </w:pPr>
            <w:r>
              <w:rPr>
                <w:rFonts w:hint="eastAsia"/>
              </w:rPr>
              <w:t>视频核验与加密随访</w:t>
            </w:r>
          </w:p>
        </w:tc>
      </w:tr>
      <w:tr w14:paraId="0F6F3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vAlign w:val="center"/>
          </w:tcPr>
          <w:p w14:paraId="77C1D1BF">
            <w:pPr>
              <w:pStyle w:val="178"/>
            </w:pPr>
            <w:r>
              <w:rPr>
                <w:rFonts w:hint="eastAsia"/>
              </w:rPr>
              <w:t>中期 低风险 轻度</w:t>
            </w:r>
          </w:p>
        </w:tc>
        <w:tc>
          <w:tcPr>
            <w:tcW w:w="2410" w:type="dxa"/>
            <w:vAlign w:val="center"/>
          </w:tcPr>
          <w:p w14:paraId="6198883E">
            <w:pPr>
              <w:pStyle w:val="178"/>
            </w:pPr>
            <w:r>
              <w:rPr>
                <w:rFonts w:hint="eastAsia"/>
              </w:rPr>
              <w:t>维持规律冲洗，提升深部清洁有效性</w:t>
            </w:r>
          </w:p>
        </w:tc>
        <w:tc>
          <w:tcPr>
            <w:tcW w:w="2268" w:type="dxa"/>
            <w:vAlign w:val="center"/>
          </w:tcPr>
          <w:p w14:paraId="70919044">
            <w:pPr>
              <w:pStyle w:val="178"/>
            </w:pPr>
            <w:r>
              <w:rPr>
                <w:rFonts w:hint="eastAsia"/>
              </w:rPr>
              <w:t>促进黏膜化与控制炎症，</w:t>
            </w:r>
          </w:p>
          <w:p w14:paraId="33AF961B">
            <w:pPr>
              <w:pStyle w:val="178"/>
            </w:pPr>
            <w:r>
              <w:rPr>
                <w:rFonts w:hint="eastAsia"/>
              </w:rPr>
              <w:t>按方案持续执行</w:t>
            </w:r>
          </w:p>
        </w:tc>
        <w:tc>
          <w:tcPr>
            <w:tcW w:w="2398" w:type="dxa"/>
            <w:vAlign w:val="center"/>
          </w:tcPr>
          <w:p w14:paraId="764BEE32">
            <w:pPr>
              <w:pStyle w:val="178"/>
            </w:pPr>
            <w:r>
              <w:rPr>
                <w:rFonts w:hint="eastAsia"/>
              </w:rPr>
              <w:t>结痂与分泌物变化，</w:t>
            </w:r>
          </w:p>
          <w:p w14:paraId="721E4CA4">
            <w:pPr>
              <w:pStyle w:val="178"/>
            </w:pPr>
            <w:r>
              <w:rPr>
                <w:rFonts w:hint="eastAsia"/>
              </w:rPr>
              <w:t>窦口通畅提示</w:t>
            </w:r>
          </w:p>
        </w:tc>
      </w:tr>
      <w:tr w14:paraId="7BBE0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vAlign w:val="center"/>
          </w:tcPr>
          <w:p w14:paraId="37AB5BDA">
            <w:pPr>
              <w:pStyle w:val="178"/>
            </w:pPr>
            <w:r>
              <w:rPr>
                <w:rFonts w:hint="eastAsia"/>
              </w:rPr>
              <w:t>中期 高风险 中重度</w:t>
            </w:r>
          </w:p>
        </w:tc>
        <w:tc>
          <w:tcPr>
            <w:tcW w:w="2410" w:type="dxa"/>
            <w:vAlign w:val="center"/>
          </w:tcPr>
          <w:p w14:paraId="43EF8F77">
            <w:pPr>
              <w:pStyle w:val="178"/>
            </w:pPr>
            <w:r>
              <w:rPr>
                <w:rFonts w:hint="eastAsia"/>
              </w:rPr>
              <w:t>加密冲洗并配合门诊分次清理，重点减少潴留</w:t>
            </w:r>
          </w:p>
        </w:tc>
        <w:tc>
          <w:tcPr>
            <w:tcW w:w="2268" w:type="dxa"/>
            <w:vAlign w:val="center"/>
          </w:tcPr>
          <w:p w14:paraId="2AA73940">
            <w:pPr>
              <w:pStyle w:val="178"/>
            </w:pPr>
            <w:r>
              <w:rPr>
                <w:rFonts w:hint="eastAsia"/>
              </w:rPr>
              <w:t>加强抗炎与防粘连策略，</w:t>
            </w:r>
          </w:p>
          <w:p w14:paraId="585F96D4">
            <w:pPr>
              <w:pStyle w:val="178"/>
            </w:pPr>
            <w:r>
              <w:rPr>
                <w:rFonts w:hint="eastAsia"/>
              </w:rPr>
              <w:t>明确时序与间隔</w:t>
            </w:r>
          </w:p>
        </w:tc>
        <w:tc>
          <w:tcPr>
            <w:tcW w:w="2398" w:type="dxa"/>
            <w:vAlign w:val="center"/>
          </w:tcPr>
          <w:p w14:paraId="662A319C">
            <w:pPr>
              <w:pStyle w:val="178"/>
            </w:pPr>
            <w:r>
              <w:rPr>
                <w:rFonts w:hint="eastAsia"/>
              </w:rPr>
              <w:t>粘连肉芽早识别，依从性强化</w:t>
            </w:r>
          </w:p>
        </w:tc>
      </w:tr>
      <w:tr w14:paraId="13355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vAlign w:val="center"/>
          </w:tcPr>
          <w:p w14:paraId="44C87789">
            <w:pPr>
              <w:pStyle w:val="178"/>
            </w:pPr>
            <w:r>
              <w:rPr>
                <w:rFonts w:hint="eastAsia"/>
              </w:rPr>
              <w:t>稳定期 低风险 轻度</w:t>
            </w:r>
          </w:p>
        </w:tc>
        <w:tc>
          <w:tcPr>
            <w:tcW w:w="2410" w:type="dxa"/>
            <w:vAlign w:val="center"/>
          </w:tcPr>
          <w:p w14:paraId="599EAC31">
            <w:pPr>
              <w:pStyle w:val="178"/>
            </w:pPr>
            <w:r>
              <w:rPr>
                <w:rFonts w:hint="eastAsia"/>
              </w:rPr>
              <w:t>可逐步降低频次，但保持长期规律习惯</w:t>
            </w:r>
          </w:p>
        </w:tc>
        <w:tc>
          <w:tcPr>
            <w:tcW w:w="2268" w:type="dxa"/>
            <w:vAlign w:val="center"/>
          </w:tcPr>
          <w:p w14:paraId="7017A92B">
            <w:pPr>
              <w:pStyle w:val="178"/>
            </w:pPr>
            <w:r>
              <w:rPr>
                <w:rFonts w:hint="eastAsia"/>
              </w:rPr>
              <w:t>维持与预防复燃，</w:t>
            </w:r>
          </w:p>
          <w:p w14:paraId="3740C372">
            <w:pPr>
              <w:pStyle w:val="178"/>
            </w:pPr>
            <w:r>
              <w:rPr>
                <w:rFonts w:hint="eastAsia"/>
              </w:rPr>
              <w:t>避免自行停药或叠加</w:t>
            </w:r>
          </w:p>
        </w:tc>
        <w:tc>
          <w:tcPr>
            <w:tcW w:w="2398" w:type="dxa"/>
            <w:vAlign w:val="center"/>
          </w:tcPr>
          <w:p w14:paraId="4A96B89E">
            <w:pPr>
              <w:pStyle w:val="178"/>
            </w:pPr>
            <w:r>
              <w:rPr>
                <w:rFonts w:hint="eastAsia"/>
              </w:rPr>
              <w:t>复发风险教育，长期随访提示</w:t>
            </w:r>
          </w:p>
        </w:tc>
      </w:tr>
      <w:tr w14:paraId="42B7F0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bottom w:val="single" w:color="auto" w:sz="8" w:space="0"/>
            </w:tcBorders>
            <w:vAlign w:val="center"/>
          </w:tcPr>
          <w:p w14:paraId="0003EAD0">
            <w:pPr>
              <w:pStyle w:val="178"/>
            </w:pPr>
            <w:r>
              <w:rPr>
                <w:rFonts w:hint="eastAsia"/>
              </w:rPr>
              <w:t>稳定期 高风险 或复发倾向</w:t>
            </w:r>
          </w:p>
        </w:tc>
        <w:tc>
          <w:tcPr>
            <w:tcW w:w="2410" w:type="dxa"/>
            <w:tcBorders>
              <w:bottom w:val="single" w:color="auto" w:sz="8" w:space="0"/>
            </w:tcBorders>
            <w:vAlign w:val="center"/>
          </w:tcPr>
          <w:p w14:paraId="3153DDF8">
            <w:pPr>
              <w:pStyle w:val="178"/>
            </w:pPr>
            <w:r>
              <w:rPr>
                <w:rFonts w:hint="eastAsia"/>
              </w:rPr>
              <w:t>维持长期规律冲洗，作为基础管理措施</w:t>
            </w:r>
          </w:p>
        </w:tc>
        <w:tc>
          <w:tcPr>
            <w:tcW w:w="2268" w:type="dxa"/>
            <w:tcBorders>
              <w:bottom w:val="single" w:color="auto" w:sz="8" w:space="0"/>
            </w:tcBorders>
            <w:vAlign w:val="center"/>
          </w:tcPr>
          <w:p w14:paraId="7977339B">
            <w:pPr>
              <w:pStyle w:val="178"/>
            </w:pPr>
            <w:r>
              <w:rPr>
                <w:rFonts w:hint="eastAsia"/>
              </w:rPr>
              <w:t>长期方案需定期复评与调整，监测不良反应</w:t>
            </w:r>
          </w:p>
        </w:tc>
        <w:tc>
          <w:tcPr>
            <w:tcW w:w="2398" w:type="dxa"/>
            <w:tcBorders>
              <w:bottom w:val="single" w:color="auto" w:sz="8" w:space="0"/>
            </w:tcBorders>
            <w:vAlign w:val="center"/>
          </w:tcPr>
          <w:p w14:paraId="6D03B808">
            <w:pPr>
              <w:pStyle w:val="178"/>
            </w:pPr>
            <w:r>
              <w:rPr>
                <w:rFonts w:hint="eastAsia"/>
              </w:rPr>
              <w:t>复发预警指标与复诊触发阈值</w:t>
            </w:r>
          </w:p>
        </w:tc>
      </w:tr>
      <w:tr w14:paraId="355622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tcBorders>
              <w:top w:val="single" w:color="auto" w:sz="8" w:space="0"/>
              <w:bottom w:val="single" w:color="auto" w:sz="8" w:space="0"/>
            </w:tcBorders>
            <w:vAlign w:val="center"/>
          </w:tcPr>
          <w:p w14:paraId="6F589B99">
            <w:pPr>
              <w:pStyle w:val="179"/>
            </w:pPr>
            <w:r>
              <w:rPr>
                <w:rFonts w:hint="eastAsia"/>
              </w:rPr>
              <w:t>表中“频次建议”为管理原则表达，具体频次与药物方案应以医师处方与门诊评估调整为准。</w:t>
            </w:r>
          </w:p>
        </w:tc>
      </w:tr>
    </w:tbl>
    <w:p w14:paraId="74590D11">
      <w:pPr>
        <w:pStyle w:val="56"/>
        <w:spacing w:line="360" w:lineRule="auto"/>
        <w:ind w:firstLine="420"/>
      </w:pPr>
    </w:p>
    <w:p w14:paraId="3524E468">
      <w:pPr>
        <w:pStyle w:val="56"/>
        <w:spacing w:line="360" w:lineRule="auto"/>
        <w:ind w:firstLine="420"/>
      </w:pPr>
    </w:p>
    <w:p w14:paraId="11C6F70A">
      <w:pPr>
        <w:pStyle w:val="104"/>
        <w:spacing w:before="240" w:after="240" w:line="360" w:lineRule="auto"/>
      </w:pPr>
      <w:bookmarkStart w:id="56" w:name="_Toc220098789"/>
      <w:r>
        <w:rPr>
          <w:rFonts w:hint="eastAsia"/>
        </w:rPr>
        <w:t>预警处置</w:t>
      </w:r>
      <w:bookmarkEnd w:id="56"/>
    </w:p>
    <w:p w14:paraId="30E7F11B">
      <w:pPr>
        <w:pStyle w:val="105"/>
        <w:spacing w:before="120" w:after="120" w:line="360" w:lineRule="auto"/>
      </w:pPr>
      <w:r>
        <w:rPr>
          <w:rFonts w:hint="eastAsia"/>
        </w:rPr>
        <w:t>红旗征象</w:t>
      </w:r>
    </w:p>
    <w:p w14:paraId="652D7204">
      <w:pPr>
        <w:pStyle w:val="56"/>
        <w:spacing w:line="360" w:lineRule="auto"/>
        <w:ind w:firstLine="420"/>
      </w:pPr>
      <w:r>
        <w:rPr>
          <w:rFonts w:hint="eastAsia"/>
        </w:rPr>
        <w:t>出现下列任一情况，应视为红旗征象并触发升级处置：</w:t>
      </w:r>
    </w:p>
    <w:p w14:paraId="7060336D">
      <w:pPr>
        <w:pStyle w:val="56"/>
        <w:spacing w:line="360" w:lineRule="auto"/>
        <w:ind w:firstLine="420"/>
      </w:pPr>
      <w:r>
        <w:rPr>
          <w:rFonts w:hint="eastAsia"/>
        </w:rPr>
        <w:t>a) 出血异常：活动性出血、反复大量渗血，或出血伴头晕、乏力、心悸等全身不适；</w:t>
      </w:r>
    </w:p>
    <w:p w14:paraId="35A1DDDA">
      <w:pPr>
        <w:pStyle w:val="56"/>
        <w:spacing w:line="360" w:lineRule="auto"/>
        <w:ind w:firstLine="420"/>
      </w:pPr>
      <w:r>
        <w:rPr>
          <w:rFonts w:hint="eastAsia"/>
        </w:rPr>
        <w:t>b) 感染加重：持续发热，脓性分泌物明显增多并伴恶臭，面部明显压痛或肿胀加重；</w:t>
      </w:r>
    </w:p>
    <w:p w14:paraId="1DC8B469">
      <w:pPr>
        <w:pStyle w:val="56"/>
        <w:spacing w:line="360" w:lineRule="auto"/>
        <w:ind w:firstLine="420"/>
      </w:pPr>
      <w:r>
        <w:rPr>
          <w:rFonts w:hint="eastAsia"/>
        </w:rPr>
        <w:t>c) 视功能异常：视力下降、复视、眼痛、眼球活动受限、眼睑明显肿胀；</w:t>
      </w:r>
    </w:p>
    <w:p w14:paraId="37BDED2C">
      <w:pPr>
        <w:pStyle w:val="56"/>
        <w:spacing w:line="360" w:lineRule="auto"/>
        <w:ind w:firstLine="420"/>
      </w:pPr>
      <w:r>
        <w:rPr>
          <w:rFonts w:hint="eastAsia"/>
        </w:rPr>
        <w:t>d) 神经系统异常：剧烈头痛、意识异常、颈项强直、脑脊液样清亮液体持续流出等提示严重并发症风险的表现；</w:t>
      </w:r>
    </w:p>
    <w:p w14:paraId="0C408056">
      <w:pPr>
        <w:pStyle w:val="56"/>
        <w:spacing w:line="360" w:lineRule="auto"/>
        <w:ind w:firstLine="420"/>
      </w:pPr>
      <w:r>
        <w:rPr>
          <w:rFonts w:hint="eastAsia"/>
        </w:rPr>
        <w:t>e) 疼痛异常：疼痛快速加重且常规处理无效，或伴明显局部肿胀紧张；</w:t>
      </w:r>
    </w:p>
    <w:p w14:paraId="2188246F">
      <w:pPr>
        <w:pStyle w:val="56"/>
        <w:spacing w:line="360" w:lineRule="auto"/>
        <w:ind w:firstLine="420"/>
      </w:pPr>
      <w:r>
        <w:rPr>
          <w:rFonts w:hint="eastAsia"/>
        </w:rPr>
        <w:t>f) 严重阻塞：鼻阻突然加重、窦口疑似急性阻塞导致症状快速恶化；</w:t>
      </w:r>
    </w:p>
    <w:p w14:paraId="7E044874">
      <w:pPr>
        <w:pStyle w:val="56"/>
        <w:spacing w:line="360" w:lineRule="auto"/>
        <w:ind w:firstLine="420"/>
      </w:pPr>
      <w:r>
        <w:rPr>
          <w:rFonts w:hint="eastAsia"/>
        </w:rPr>
        <w:t>g) 药物严重不良反应：全身皮疹、呼吸困难、喉头水肿、严重心悸等。</w:t>
      </w:r>
    </w:p>
    <w:p w14:paraId="47B3207B">
      <w:pPr>
        <w:pStyle w:val="179"/>
        <w:spacing w:line="360" w:lineRule="auto"/>
      </w:pPr>
      <w:r>
        <w:rPr>
          <w:rFonts w:hint="eastAsia"/>
        </w:rPr>
        <w:t>红旗征象具体判定与处置应结合术式、术后天数与患者基础疾病综合判断，但不得以“观察看看”为由延误对视力异常与严重出血等高危信号的处理。</w:t>
      </w:r>
    </w:p>
    <w:p w14:paraId="041ED21B">
      <w:pPr>
        <w:pStyle w:val="105"/>
        <w:spacing w:before="120" w:after="120" w:line="360" w:lineRule="auto"/>
      </w:pPr>
      <w:r>
        <w:rPr>
          <w:rFonts w:hint="eastAsia"/>
        </w:rPr>
        <w:t>分级响应</w:t>
      </w:r>
    </w:p>
    <w:p w14:paraId="45FE4A6A">
      <w:pPr>
        <w:pStyle w:val="65"/>
        <w:spacing w:before="120" w:after="120" w:line="360" w:lineRule="auto"/>
      </w:pPr>
      <w:r>
        <w:rPr>
          <w:rFonts w:hint="eastAsia"/>
        </w:rPr>
        <w:t>一级响应</w:t>
      </w:r>
    </w:p>
    <w:p w14:paraId="4779A371">
      <w:pPr>
        <w:pStyle w:val="56"/>
        <w:spacing w:line="360" w:lineRule="auto"/>
        <w:ind w:firstLine="420"/>
      </w:pPr>
      <w:r>
        <w:rPr>
          <w:rFonts w:hint="eastAsia"/>
        </w:rPr>
        <w:t>适用于疑似危及生命或可能导致严重器官损害的情况，包括：活动性大出血、视功能异常、疑似颅底相关严重并发症表现、严重过敏反应等。</w:t>
      </w:r>
    </w:p>
    <w:p w14:paraId="20800536">
      <w:pPr>
        <w:pStyle w:val="56"/>
        <w:spacing w:line="360" w:lineRule="auto"/>
        <w:ind w:firstLine="420"/>
      </w:pPr>
      <w:r>
        <w:rPr>
          <w:rFonts w:hint="eastAsia"/>
        </w:rPr>
        <w:t>处置要求如下：</w:t>
      </w:r>
    </w:p>
    <w:p w14:paraId="6A54B651">
      <w:pPr>
        <w:pStyle w:val="56"/>
        <w:spacing w:line="360" w:lineRule="auto"/>
        <w:ind w:firstLine="420"/>
      </w:pPr>
      <w:r>
        <w:rPr>
          <w:rFonts w:hint="eastAsia"/>
        </w:rPr>
        <w:t>a) 立即停止常规护理操作；</w:t>
      </w:r>
    </w:p>
    <w:p w14:paraId="4EE32920">
      <w:pPr>
        <w:pStyle w:val="56"/>
        <w:spacing w:line="360" w:lineRule="auto"/>
        <w:ind w:firstLine="420"/>
      </w:pPr>
      <w:r>
        <w:rPr>
          <w:rFonts w:hint="eastAsia"/>
        </w:rPr>
        <w:t>b) 立即通知医师并启动急诊或紧急返院流程；</w:t>
      </w:r>
    </w:p>
    <w:p w14:paraId="7BAD9972">
      <w:pPr>
        <w:pStyle w:val="56"/>
        <w:spacing w:line="360" w:lineRule="auto"/>
        <w:ind w:firstLine="420"/>
      </w:pPr>
      <w:r>
        <w:rPr>
          <w:rFonts w:hint="eastAsia"/>
        </w:rPr>
        <w:t>c) 明确患者就医路径与到达时限，必要时协助呼叫急救；</w:t>
      </w:r>
    </w:p>
    <w:p w14:paraId="185C6057">
      <w:pPr>
        <w:pStyle w:val="56"/>
        <w:spacing w:line="360" w:lineRule="auto"/>
        <w:ind w:firstLine="420"/>
      </w:pPr>
      <w:r>
        <w:rPr>
          <w:rFonts w:hint="eastAsia"/>
        </w:rPr>
        <w:t>d) 记录触发时间、告知内容、联络人、转运方式与结果回收。</w:t>
      </w:r>
    </w:p>
    <w:p w14:paraId="1C775039">
      <w:pPr>
        <w:pStyle w:val="65"/>
        <w:spacing w:before="120" w:after="120" w:line="360" w:lineRule="auto"/>
      </w:pPr>
      <w:r>
        <w:rPr>
          <w:rFonts w:hint="eastAsia"/>
        </w:rPr>
        <w:t>二级响应</w:t>
      </w:r>
    </w:p>
    <w:p w14:paraId="284D506F">
      <w:pPr>
        <w:pStyle w:val="56"/>
        <w:spacing w:line="360" w:lineRule="auto"/>
        <w:ind w:firstLine="420"/>
      </w:pPr>
      <w:r>
        <w:rPr>
          <w:rFonts w:hint="eastAsia"/>
        </w:rPr>
        <w:t>适用于短期内可能明显恶化、需要尽快处理的情况，包括：持续渗血、感染加重迹象、明显肉芽或粘连导致通气引流显著受限、疼痛明显加重等。</w:t>
      </w:r>
    </w:p>
    <w:p w14:paraId="39136EDE">
      <w:pPr>
        <w:pStyle w:val="56"/>
        <w:spacing w:line="360" w:lineRule="auto"/>
        <w:ind w:firstLine="420"/>
      </w:pPr>
      <w:r>
        <w:rPr>
          <w:rFonts w:hint="eastAsia"/>
        </w:rPr>
        <w:t>处置要求如下：</w:t>
      </w:r>
    </w:p>
    <w:p w14:paraId="39910B7F">
      <w:pPr>
        <w:pStyle w:val="56"/>
        <w:spacing w:line="360" w:lineRule="auto"/>
        <w:ind w:firstLine="420"/>
      </w:pPr>
      <w:r>
        <w:rPr>
          <w:rFonts w:hint="eastAsia"/>
        </w:rPr>
        <w:t>a) 在24小时内安排复诊评估或按医嘱调整方案；</w:t>
      </w:r>
    </w:p>
    <w:p w14:paraId="0C72E09B">
      <w:pPr>
        <w:pStyle w:val="56"/>
        <w:spacing w:line="360" w:lineRule="auto"/>
        <w:ind w:firstLine="420"/>
      </w:pPr>
      <w:r>
        <w:rPr>
          <w:rFonts w:hint="eastAsia"/>
        </w:rPr>
        <w:t>b) 必要时加密随访并进行视频核验；</w:t>
      </w:r>
    </w:p>
    <w:p w14:paraId="2E1F4924">
      <w:pPr>
        <w:pStyle w:val="56"/>
        <w:spacing w:line="360" w:lineRule="auto"/>
        <w:ind w:firstLine="420"/>
      </w:pPr>
      <w:r>
        <w:rPr>
          <w:rFonts w:hint="eastAsia"/>
        </w:rPr>
        <w:t>c) 明确家庭护理调整要点与复诊前注意事项；</w:t>
      </w:r>
    </w:p>
    <w:p w14:paraId="3A910CC6">
      <w:pPr>
        <w:pStyle w:val="56"/>
        <w:spacing w:line="360" w:lineRule="auto"/>
        <w:ind w:firstLine="420"/>
      </w:pPr>
      <w:r>
        <w:rPr>
          <w:rFonts w:hint="eastAsia"/>
        </w:rPr>
        <w:t>d) 形成处置闭环并记录复评结论。</w:t>
      </w:r>
    </w:p>
    <w:p w14:paraId="21A81671">
      <w:pPr>
        <w:pStyle w:val="56"/>
        <w:spacing w:line="360" w:lineRule="auto"/>
        <w:ind w:firstLine="420"/>
        <w:rPr>
          <w:rFonts w:hint="eastAsia"/>
        </w:rPr>
      </w:pPr>
    </w:p>
    <w:p w14:paraId="6DBE5BF4">
      <w:pPr>
        <w:pStyle w:val="65"/>
        <w:spacing w:before="120" w:after="120" w:line="360" w:lineRule="auto"/>
      </w:pPr>
      <w:r>
        <w:rPr>
          <w:rFonts w:hint="eastAsia"/>
        </w:rPr>
        <w:t>三级响应</w:t>
      </w:r>
    </w:p>
    <w:p w14:paraId="3ADA9162">
      <w:pPr>
        <w:pStyle w:val="56"/>
        <w:spacing w:line="360" w:lineRule="auto"/>
        <w:ind w:firstLine="420"/>
      </w:pPr>
      <w:r>
        <w:rPr>
          <w:rFonts w:hint="eastAsia"/>
        </w:rPr>
        <w:t>适用于需要调整护理方案但短期内风险可控的情况，包括：结痂与分泌物明显增多、轻度出血增加、依从性显著下降导致术腔环境变差等。</w:t>
      </w:r>
    </w:p>
    <w:p w14:paraId="6E082C3F">
      <w:pPr>
        <w:pStyle w:val="56"/>
        <w:spacing w:line="360" w:lineRule="auto"/>
        <w:ind w:firstLine="420"/>
      </w:pPr>
      <w:r>
        <w:rPr>
          <w:rFonts w:hint="eastAsia"/>
        </w:rPr>
        <w:t>处置要求如下：</w:t>
      </w:r>
    </w:p>
    <w:p w14:paraId="4A967050">
      <w:pPr>
        <w:pStyle w:val="56"/>
        <w:spacing w:line="360" w:lineRule="auto"/>
        <w:ind w:firstLine="420"/>
      </w:pPr>
      <w:r>
        <w:rPr>
          <w:rFonts w:hint="eastAsia"/>
        </w:rPr>
        <w:t>a) 3个工作日内完成随访复核或门诊安排；</w:t>
      </w:r>
    </w:p>
    <w:p w14:paraId="085F779F">
      <w:pPr>
        <w:pStyle w:val="56"/>
        <w:spacing w:line="360" w:lineRule="auto"/>
        <w:ind w:firstLine="420"/>
      </w:pPr>
      <w:r>
        <w:rPr>
          <w:rFonts w:hint="eastAsia"/>
        </w:rPr>
        <w:t>b) 纠正冲洗与用药操作，必要时优化工具与频次；</w:t>
      </w:r>
    </w:p>
    <w:p w14:paraId="4DC303A1">
      <w:pPr>
        <w:pStyle w:val="56"/>
        <w:spacing w:line="360" w:lineRule="auto"/>
        <w:ind w:firstLine="420"/>
      </w:pPr>
      <w:r>
        <w:rPr>
          <w:rFonts w:hint="eastAsia"/>
        </w:rPr>
        <w:t>c) 记录问题原因与纠正措施，纳入依从性管理。</w:t>
      </w:r>
    </w:p>
    <w:p w14:paraId="37A84452">
      <w:pPr>
        <w:pStyle w:val="105"/>
        <w:spacing w:before="120" w:after="120" w:line="360" w:lineRule="auto"/>
      </w:pPr>
      <w:r>
        <w:rPr>
          <w:rFonts w:hint="eastAsia"/>
        </w:rPr>
        <w:t>转诊与复诊时效</w:t>
      </w:r>
    </w:p>
    <w:p w14:paraId="6B622BF2">
      <w:pPr>
        <w:pStyle w:val="165"/>
        <w:spacing w:line="360" w:lineRule="auto"/>
      </w:pPr>
      <w:r>
        <w:rPr>
          <w:rFonts w:hint="eastAsia"/>
        </w:rPr>
        <w:t>一级响应：应立即启动急诊或紧急返院，原则上不超过2小时完成就医安排。</w:t>
      </w:r>
    </w:p>
    <w:p w14:paraId="303CC54C">
      <w:pPr>
        <w:pStyle w:val="165"/>
        <w:spacing w:line="360" w:lineRule="auto"/>
      </w:pPr>
      <w:r>
        <w:rPr>
          <w:rFonts w:hint="eastAsia"/>
        </w:rPr>
        <w:t>二级响应：应在24小时内完成复诊或医师评估。</w:t>
      </w:r>
    </w:p>
    <w:p w14:paraId="553D8A84">
      <w:pPr>
        <w:pStyle w:val="165"/>
        <w:spacing w:line="360" w:lineRule="auto"/>
      </w:pPr>
      <w:r>
        <w:rPr>
          <w:rFonts w:hint="eastAsia"/>
        </w:rPr>
        <w:t>三级响应：应在3个工作日内完成复核并调整计划。</w:t>
      </w:r>
    </w:p>
    <w:p w14:paraId="22441BB8">
      <w:pPr>
        <w:pStyle w:val="165"/>
        <w:spacing w:line="360" w:lineRule="auto"/>
      </w:pPr>
      <w:r>
        <w:rPr>
          <w:rFonts w:hint="eastAsia"/>
        </w:rPr>
        <w:t>实施单位应明确门诊加号机制、急诊协同通道与联系流程，确保时效可达。</w:t>
      </w:r>
    </w:p>
    <w:p w14:paraId="4A3B7D4B">
      <w:pPr>
        <w:pStyle w:val="105"/>
        <w:spacing w:before="120" w:after="120" w:line="360" w:lineRule="auto"/>
      </w:pPr>
      <w:r>
        <w:rPr>
          <w:rFonts w:hint="eastAsia"/>
        </w:rPr>
        <w:t>记录与闭环要求</w:t>
      </w:r>
    </w:p>
    <w:p w14:paraId="3EBDD97F">
      <w:pPr>
        <w:pStyle w:val="56"/>
        <w:spacing w:line="360" w:lineRule="auto"/>
        <w:ind w:firstLine="420"/>
      </w:pPr>
      <w:r>
        <w:rPr>
          <w:rFonts w:hint="eastAsia"/>
        </w:rPr>
        <w:t>预警事件记录应至少包含：</w:t>
      </w:r>
    </w:p>
    <w:p w14:paraId="144DBD93">
      <w:pPr>
        <w:pStyle w:val="56"/>
        <w:spacing w:line="360" w:lineRule="auto"/>
        <w:ind w:firstLine="420"/>
      </w:pPr>
      <w:r>
        <w:rPr>
          <w:rFonts w:hint="eastAsia"/>
        </w:rPr>
        <w:t>a) 触发时间、触发征象与分级；</w:t>
      </w:r>
    </w:p>
    <w:p w14:paraId="056E5B1E">
      <w:pPr>
        <w:pStyle w:val="56"/>
        <w:spacing w:line="360" w:lineRule="auto"/>
        <w:ind w:firstLine="420"/>
      </w:pPr>
      <w:r>
        <w:rPr>
          <w:rFonts w:hint="eastAsia"/>
        </w:rPr>
        <w:t>b) 患者基本情况与术后天数、风险分层；</w:t>
      </w:r>
    </w:p>
    <w:p w14:paraId="75AA2F8A">
      <w:pPr>
        <w:pStyle w:val="56"/>
        <w:spacing w:line="360" w:lineRule="auto"/>
        <w:ind w:firstLine="420"/>
      </w:pPr>
      <w:r>
        <w:rPr>
          <w:rFonts w:hint="eastAsia"/>
        </w:rPr>
        <w:t>c) 沟通内容与告知要点（含风险提示与就医建议）；</w:t>
      </w:r>
    </w:p>
    <w:p w14:paraId="1CEEB054">
      <w:pPr>
        <w:pStyle w:val="56"/>
        <w:spacing w:line="360" w:lineRule="auto"/>
        <w:ind w:firstLine="420"/>
      </w:pPr>
      <w:r>
        <w:rPr>
          <w:rFonts w:hint="eastAsia"/>
        </w:rPr>
        <w:t>d) 采取措施（转诊、复诊、调整方案、停用药物等）；</w:t>
      </w:r>
    </w:p>
    <w:p w14:paraId="0BEF4F46">
      <w:pPr>
        <w:pStyle w:val="56"/>
        <w:spacing w:line="360" w:lineRule="auto"/>
        <w:ind w:firstLine="420"/>
      </w:pPr>
      <w:r>
        <w:rPr>
          <w:rFonts w:hint="eastAsia"/>
        </w:rPr>
        <w:t>e) 结果回收（就医结果、检查结论、处置结果）；</w:t>
      </w:r>
    </w:p>
    <w:p w14:paraId="76C0F237">
      <w:pPr>
        <w:pStyle w:val="56"/>
        <w:spacing w:line="360" w:lineRule="auto"/>
        <w:ind w:firstLine="420"/>
      </w:pPr>
      <w:r>
        <w:rPr>
          <w:rFonts w:hint="eastAsia"/>
        </w:rPr>
        <w:t>f) 复评结论与后续计划；</w:t>
      </w:r>
    </w:p>
    <w:p w14:paraId="7DCB3711">
      <w:pPr>
        <w:pStyle w:val="56"/>
        <w:spacing w:line="360" w:lineRule="auto"/>
        <w:ind w:firstLine="420"/>
      </w:pPr>
      <w:r>
        <w:rPr>
          <w:rFonts w:hint="eastAsia"/>
        </w:rPr>
        <w:t>g) 必要的证据材料（内镜图片或随访影像资料等）及其权限管理说明。</w:t>
      </w:r>
    </w:p>
    <w:p w14:paraId="56667B8C">
      <w:pPr>
        <w:pStyle w:val="56"/>
        <w:spacing w:line="360" w:lineRule="auto"/>
        <w:ind w:firstLine="420"/>
      </w:pPr>
      <w:r>
        <w:rPr>
          <w:rFonts w:hint="eastAsia"/>
        </w:rPr>
        <w:t>对一级响应事件，应纳入质量事件复盘范围，并在第10章规定的质控机制中进行分析与改进。</w:t>
      </w:r>
    </w:p>
    <w:p w14:paraId="7013AC10">
      <w:pPr>
        <w:pStyle w:val="104"/>
        <w:spacing w:before="240" w:after="240" w:line="360" w:lineRule="auto"/>
      </w:pPr>
      <w:bookmarkStart w:id="57" w:name="_Toc220098790"/>
      <w:r>
        <w:rPr>
          <w:rFonts w:hint="eastAsia"/>
        </w:rPr>
        <w:t>记录质控评价</w:t>
      </w:r>
      <w:bookmarkEnd w:id="57"/>
    </w:p>
    <w:p w14:paraId="7A45EE91">
      <w:pPr>
        <w:pStyle w:val="105"/>
        <w:spacing w:before="120" w:after="120" w:line="360" w:lineRule="auto"/>
      </w:pPr>
      <w:r>
        <w:rPr>
          <w:rFonts w:hint="eastAsia"/>
        </w:rPr>
        <w:t>记录要求</w:t>
      </w:r>
    </w:p>
    <w:p w14:paraId="69DED503">
      <w:pPr>
        <w:pStyle w:val="65"/>
        <w:spacing w:before="120" w:after="120" w:line="360" w:lineRule="auto"/>
      </w:pPr>
      <w:r>
        <w:rPr>
          <w:rFonts w:hint="eastAsia"/>
        </w:rPr>
        <w:t>记录要素</w:t>
      </w:r>
    </w:p>
    <w:p w14:paraId="249EB772">
      <w:pPr>
        <w:pStyle w:val="56"/>
        <w:spacing w:line="360" w:lineRule="auto"/>
        <w:ind w:firstLine="420"/>
      </w:pPr>
      <w:r>
        <w:rPr>
          <w:rFonts w:hint="eastAsia"/>
        </w:rPr>
        <w:t>术腔护理记录应结构化，至少包括：</w:t>
      </w:r>
    </w:p>
    <w:p w14:paraId="77F064B5">
      <w:pPr>
        <w:pStyle w:val="56"/>
        <w:spacing w:line="360" w:lineRule="auto"/>
        <w:ind w:firstLine="420"/>
      </w:pPr>
      <w:r>
        <w:rPr>
          <w:rFonts w:hint="eastAsia"/>
        </w:rPr>
        <w:t>a) 基本信息：术式与范围、术后天数、风险分层等级；</w:t>
      </w:r>
    </w:p>
    <w:p w14:paraId="5C545ADB">
      <w:pPr>
        <w:pStyle w:val="56"/>
        <w:spacing w:line="360" w:lineRule="auto"/>
        <w:ind w:firstLine="420"/>
      </w:pPr>
      <w:r>
        <w:rPr>
          <w:rFonts w:hint="eastAsia"/>
        </w:rPr>
        <w:t>b) 评估信息：术腔评估要素与分级结论（见第5章）；</w:t>
      </w:r>
    </w:p>
    <w:p w14:paraId="2B2E5B00">
      <w:pPr>
        <w:pStyle w:val="56"/>
        <w:spacing w:line="360" w:lineRule="auto"/>
        <w:ind w:firstLine="420"/>
      </w:pPr>
      <w:r>
        <w:rPr>
          <w:rFonts w:hint="eastAsia"/>
        </w:rPr>
        <w:t>c) 干预信息：门诊清理范围与要点、冲洗与用药方案、宣教内容；</w:t>
      </w:r>
    </w:p>
    <w:p w14:paraId="2C65E7DE">
      <w:pPr>
        <w:pStyle w:val="56"/>
        <w:spacing w:line="360" w:lineRule="auto"/>
        <w:ind w:firstLine="420"/>
      </w:pPr>
      <w:r>
        <w:rPr>
          <w:rFonts w:hint="eastAsia"/>
        </w:rPr>
        <w:t>d) 异常信息：红旗征象筛查结果、预警分级、处置措施与闭环回收；</w:t>
      </w:r>
    </w:p>
    <w:p w14:paraId="5C7CF375">
      <w:pPr>
        <w:pStyle w:val="56"/>
        <w:spacing w:line="360" w:lineRule="auto"/>
        <w:ind w:firstLine="420"/>
      </w:pPr>
      <w:r>
        <w:rPr>
          <w:rFonts w:hint="eastAsia"/>
        </w:rPr>
        <w:t>e) 计划信息：下次随访时间与目标、患者自我管理任务；</w:t>
      </w:r>
    </w:p>
    <w:p w14:paraId="521738B5">
      <w:pPr>
        <w:pStyle w:val="56"/>
        <w:spacing w:line="360" w:lineRule="auto"/>
        <w:ind w:firstLine="420"/>
      </w:pPr>
      <w:r>
        <w:rPr>
          <w:rFonts w:hint="eastAsia"/>
        </w:rPr>
        <w:t>f) 执行信息：执行者、复核者（如设）、记录时间戳。</w:t>
      </w:r>
    </w:p>
    <w:p w14:paraId="386AF76E">
      <w:pPr>
        <w:pStyle w:val="65"/>
        <w:spacing w:before="120" w:after="120" w:line="360" w:lineRule="auto"/>
      </w:pPr>
      <w:r>
        <w:rPr>
          <w:rFonts w:hint="eastAsia"/>
        </w:rPr>
        <w:t>影像资料与证据</w:t>
      </w:r>
    </w:p>
    <w:p w14:paraId="4B37431A">
      <w:pPr>
        <w:pStyle w:val="56"/>
        <w:spacing w:line="360" w:lineRule="auto"/>
        <w:ind w:firstLine="420"/>
      </w:pPr>
      <w:r>
        <w:rPr>
          <w:rFonts w:hint="eastAsia"/>
        </w:rPr>
        <w:t>内镜图片或视频资料如用于佐证评估或预警事件，应明确采集时间、部位与用途。影像资料应纳入权限管理与脱敏要求，避免非授权访问或外传。影像资料不应替代结构化记录，应用于支持复核与复盘。</w:t>
      </w:r>
    </w:p>
    <w:p w14:paraId="0D744BA1">
      <w:pPr>
        <w:pStyle w:val="65"/>
        <w:spacing w:before="120" w:after="120" w:line="360" w:lineRule="auto"/>
      </w:pPr>
      <w:r>
        <w:rPr>
          <w:rFonts w:hint="eastAsia"/>
        </w:rPr>
        <w:t>记录一致性</w:t>
      </w:r>
    </w:p>
    <w:p w14:paraId="44E8DA1D">
      <w:pPr>
        <w:pStyle w:val="56"/>
        <w:spacing w:line="360" w:lineRule="auto"/>
        <w:ind w:firstLine="420"/>
      </w:pPr>
      <w:r>
        <w:rPr>
          <w:rFonts w:hint="eastAsia"/>
        </w:rPr>
        <w:t>评估分级与风险分层的口径应统一。不同随访节点记录字段应保持一致，便于纵向追踪。方案调整应记录调整原因、调整内容与生效时间。</w:t>
      </w:r>
    </w:p>
    <w:p w14:paraId="27326C8F">
      <w:pPr>
        <w:pStyle w:val="105"/>
        <w:spacing w:before="120" w:after="120" w:line="360" w:lineRule="auto"/>
      </w:pPr>
      <w:r>
        <w:rPr>
          <w:rFonts w:hint="eastAsia"/>
        </w:rPr>
        <w:t>质量控制</w:t>
      </w:r>
    </w:p>
    <w:p w14:paraId="34FFE247">
      <w:pPr>
        <w:pStyle w:val="65"/>
        <w:spacing w:before="120" w:after="120" w:line="360" w:lineRule="auto"/>
      </w:pPr>
      <w:r>
        <w:rPr>
          <w:rFonts w:hint="eastAsia"/>
        </w:rPr>
        <w:t>组织与职责</w:t>
      </w:r>
    </w:p>
    <w:p w14:paraId="1D907B31">
      <w:pPr>
        <w:pStyle w:val="56"/>
        <w:spacing w:line="360" w:lineRule="auto"/>
        <w:ind w:firstLine="420"/>
      </w:pPr>
      <w:r>
        <w:rPr>
          <w:rFonts w:hint="eastAsia"/>
        </w:rPr>
        <w:t>科室应指定术腔护理质控负责人，负责指标监测、抽查复核与问题整改。护理团队应明确门诊清理操作的授权与培训要求，实施分级管理。与医师、药学、信息化团队应建立协同机制，保证用药方案调整与记录闭环。</w:t>
      </w:r>
    </w:p>
    <w:p w14:paraId="00F7EDBC">
      <w:pPr>
        <w:pStyle w:val="65"/>
        <w:spacing w:before="120" w:after="120" w:line="360" w:lineRule="auto"/>
      </w:pPr>
      <w:r>
        <w:rPr>
          <w:rFonts w:hint="eastAsia"/>
        </w:rPr>
        <w:t>抽查与复核</w:t>
      </w:r>
    </w:p>
    <w:p w14:paraId="140147C8">
      <w:pPr>
        <w:pStyle w:val="56"/>
        <w:spacing w:line="360" w:lineRule="auto"/>
        <w:ind w:firstLine="420"/>
      </w:pPr>
      <w:r>
        <w:rPr>
          <w:rFonts w:hint="eastAsia"/>
        </w:rPr>
        <w:t>抽查范围应覆盖不同术式、不同风险层级与不同随访阶段。对高风险患者与发生预警事件病例应进行重点复核。抽查应包含记录完整性、评估分级一致性、方案匹配性、预警处置闭环与依从性管理有效性。</w:t>
      </w:r>
    </w:p>
    <w:p w14:paraId="132E8344">
      <w:pPr>
        <w:pStyle w:val="65"/>
        <w:spacing w:before="120" w:after="120" w:line="360" w:lineRule="auto"/>
      </w:pPr>
      <w:r>
        <w:rPr>
          <w:rFonts w:hint="eastAsia"/>
        </w:rPr>
        <w:t>数据质量</w:t>
      </w:r>
    </w:p>
    <w:p w14:paraId="2AFCB5B4">
      <w:pPr>
        <w:pStyle w:val="56"/>
        <w:spacing w:line="360" w:lineRule="auto"/>
        <w:ind w:firstLine="420"/>
      </w:pPr>
      <w:r>
        <w:rPr>
          <w:rFonts w:hint="eastAsia"/>
        </w:rPr>
        <w:t>应监测关键字段缺失率、时间戳异常率、重复记录率。对异常数据应追溯到源头（系统字段、人工录入、流程缺陷）并纠偏。指标口径变更应进行版本管理并保留新旧口径对照。</w:t>
      </w:r>
    </w:p>
    <w:p w14:paraId="4B018732">
      <w:pPr>
        <w:pStyle w:val="112"/>
        <w:spacing w:before="120" w:after="120" w:line="360" w:lineRule="auto"/>
      </w:pPr>
      <w:r>
        <w:rPr>
          <w:rFonts w:hint="eastAsia"/>
        </w:rPr>
        <w:t>质控指标与抽查频次建议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2126"/>
        <w:gridCol w:w="2835"/>
        <w:gridCol w:w="1240"/>
        <w:gridCol w:w="1867"/>
      </w:tblGrid>
      <w:tr w14:paraId="7A772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vAlign w:val="center"/>
          </w:tcPr>
          <w:p w14:paraId="597161A9">
            <w:pPr>
              <w:pStyle w:val="178"/>
            </w:pPr>
            <w:r>
              <w:rPr>
                <w:rFonts w:hint="eastAsia"/>
              </w:rPr>
              <w:t>质控对象</w:t>
            </w:r>
          </w:p>
        </w:tc>
        <w:tc>
          <w:tcPr>
            <w:tcW w:w="2126" w:type="dxa"/>
            <w:tcBorders>
              <w:top w:val="single" w:color="auto" w:sz="8" w:space="0"/>
              <w:bottom w:val="single" w:color="auto" w:sz="8" w:space="0"/>
            </w:tcBorders>
            <w:vAlign w:val="center"/>
          </w:tcPr>
          <w:p w14:paraId="6DBC7146">
            <w:pPr>
              <w:pStyle w:val="178"/>
            </w:pPr>
            <w:r>
              <w:rPr>
                <w:rFonts w:hint="eastAsia"/>
              </w:rPr>
              <w:t>指标名称</w:t>
            </w:r>
          </w:p>
        </w:tc>
        <w:tc>
          <w:tcPr>
            <w:tcW w:w="2835" w:type="dxa"/>
            <w:tcBorders>
              <w:top w:val="single" w:color="auto" w:sz="8" w:space="0"/>
              <w:bottom w:val="single" w:color="auto" w:sz="8" w:space="0"/>
            </w:tcBorders>
            <w:vAlign w:val="center"/>
          </w:tcPr>
          <w:p w14:paraId="7152854F">
            <w:pPr>
              <w:pStyle w:val="178"/>
            </w:pPr>
            <w:r>
              <w:rPr>
                <w:rFonts w:hint="eastAsia"/>
              </w:rPr>
              <w:t>指标定义</w:t>
            </w:r>
          </w:p>
        </w:tc>
        <w:tc>
          <w:tcPr>
            <w:tcW w:w="1240" w:type="dxa"/>
            <w:tcBorders>
              <w:top w:val="single" w:color="auto" w:sz="8" w:space="0"/>
              <w:bottom w:val="single" w:color="auto" w:sz="8" w:space="0"/>
            </w:tcBorders>
            <w:vAlign w:val="center"/>
          </w:tcPr>
          <w:p w14:paraId="05D123B6">
            <w:pPr>
              <w:pStyle w:val="178"/>
            </w:pPr>
            <w:r>
              <w:rPr>
                <w:rFonts w:hint="eastAsia"/>
              </w:rPr>
              <w:t>抽查/统计频次</w:t>
            </w:r>
          </w:p>
        </w:tc>
        <w:tc>
          <w:tcPr>
            <w:tcW w:w="1867" w:type="dxa"/>
            <w:tcBorders>
              <w:top w:val="single" w:color="auto" w:sz="8" w:space="0"/>
              <w:bottom w:val="single" w:color="auto" w:sz="8" w:space="0"/>
            </w:tcBorders>
            <w:vAlign w:val="center"/>
          </w:tcPr>
          <w:p w14:paraId="4353A1E8">
            <w:pPr>
              <w:pStyle w:val="178"/>
            </w:pPr>
            <w:r>
              <w:rPr>
                <w:rFonts w:hint="eastAsia"/>
              </w:rPr>
              <w:t>合格判定要点</w:t>
            </w:r>
          </w:p>
        </w:tc>
      </w:tr>
      <w:tr w14:paraId="65ED04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vAlign w:val="center"/>
          </w:tcPr>
          <w:p w14:paraId="476959A6">
            <w:pPr>
              <w:pStyle w:val="178"/>
            </w:pPr>
            <w:r>
              <w:rPr>
                <w:rFonts w:hint="eastAsia"/>
              </w:rPr>
              <w:t>记录质量</w:t>
            </w:r>
          </w:p>
        </w:tc>
        <w:tc>
          <w:tcPr>
            <w:tcW w:w="2126" w:type="dxa"/>
            <w:tcBorders>
              <w:top w:val="single" w:color="auto" w:sz="8" w:space="0"/>
            </w:tcBorders>
            <w:vAlign w:val="center"/>
          </w:tcPr>
          <w:p w14:paraId="2FA106E7">
            <w:pPr>
              <w:pStyle w:val="178"/>
            </w:pPr>
            <w:r>
              <w:rPr>
                <w:rFonts w:hint="eastAsia"/>
              </w:rPr>
              <w:t>记录完整率</w:t>
            </w:r>
          </w:p>
        </w:tc>
        <w:tc>
          <w:tcPr>
            <w:tcW w:w="2835" w:type="dxa"/>
            <w:tcBorders>
              <w:top w:val="single" w:color="auto" w:sz="8" w:space="0"/>
            </w:tcBorders>
            <w:vAlign w:val="center"/>
          </w:tcPr>
          <w:p w14:paraId="4F929E57">
            <w:pPr>
              <w:pStyle w:val="178"/>
            </w:pPr>
            <w:r>
              <w:rPr>
                <w:rFonts w:hint="eastAsia"/>
              </w:rPr>
              <w:t>完成必填字段记录例数/应记录例数</w:t>
            </w:r>
          </w:p>
        </w:tc>
        <w:tc>
          <w:tcPr>
            <w:tcW w:w="1240" w:type="dxa"/>
            <w:tcBorders>
              <w:top w:val="single" w:color="auto" w:sz="8" w:space="0"/>
            </w:tcBorders>
            <w:vAlign w:val="center"/>
          </w:tcPr>
          <w:p w14:paraId="46D141F4">
            <w:pPr>
              <w:pStyle w:val="178"/>
            </w:pPr>
            <w:r>
              <w:rPr>
                <w:rFonts w:hint="eastAsia"/>
              </w:rPr>
              <w:t>月度</w:t>
            </w:r>
          </w:p>
        </w:tc>
        <w:tc>
          <w:tcPr>
            <w:tcW w:w="1867" w:type="dxa"/>
            <w:tcBorders>
              <w:top w:val="single" w:color="auto" w:sz="8" w:space="0"/>
            </w:tcBorders>
            <w:vAlign w:val="center"/>
          </w:tcPr>
          <w:p w14:paraId="64DBF904">
            <w:pPr>
              <w:pStyle w:val="178"/>
            </w:pPr>
            <w:r>
              <w:rPr>
                <w:rFonts w:hint="eastAsia"/>
              </w:rPr>
              <w:t>关键字段缺失为不合格</w:t>
            </w:r>
          </w:p>
        </w:tc>
      </w:tr>
      <w:tr w14:paraId="5FFA6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50CB668D">
            <w:pPr>
              <w:pStyle w:val="178"/>
            </w:pPr>
            <w:r>
              <w:rPr>
                <w:rFonts w:hint="eastAsia"/>
              </w:rPr>
              <w:t>评估一致性</w:t>
            </w:r>
          </w:p>
        </w:tc>
        <w:tc>
          <w:tcPr>
            <w:tcW w:w="2126" w:type="dxa"/>
            <w:vAlign w:val="center"/>
          </w:tcPr>
          <w:p w14:paraId="262A01DF">
            <w:pPr>
              <w:pStyle w:val="178"/>
            </w:pPr>
            <w:r>
              <w:rPr>
                <w:rFonts w:hint="eastAsia"/>
              </w:rPr>
              <w:t>分级一致率</w:t>
            </w:r>
          </w:p>
        </w:tc>
        <w:tc>
          <w:tcPr>
            <w:tcW w:w="2835" w:type="dxa"/>
            <w:vAlign w:val="center"/>
          </w:tcPr>
          <w:p w14:paraId="349688E7">
            <w:pPr>
              <w:pStyle w:val="178"/>
            </w:pPr>
            <w:r>
              <w:rPr>
                <w:rFonts w:hint="eastAsia"/>
              </w:rPr>
              <w:t>复核分级一致例数/抽查例数</w:t>
            </w:r>
          </w:p>
        </w:tc>
        <w:tc>
          <w:tcPr>
            <w:tcW w:w="1240" w:type="dxa"/>
            <w:vAlign w:val="center"/>
          </w:tcPr>
          <w:p w14:paraId="0E0EC4F0">
            <w:pPr>
              <w:pStyle w:val="178"/>
            </w:pPr>
            <w:r>
              <w:rPr>
                <w:rFonts w:hint="eastAsia"/>
              </w:rPr>
              <w:t>月度</w:t>
            </w:r>
          </w:p>
        </w:tc>
        <w:tc>
          <w:tcPr>
            <w:tcW w:w="1867" w:type="dxa"/>
            <w:vAlign w:val="center"/>
          </w:tcPr>
          <w:p w14:paraId="67A5D572">
            <w:pPr>
              <w:pStyle w:val="178"/>
            </w:pPr>
            <w:r>
              <w:rPr>
                <w:rFonts w:hint="eastAsia"/>
              </w:rPr>
              <w:t>分歧需有裁决与依据</w:t>
            </w:r>
          </w:p>
        </w:tc>
      </w:tr>
      <w:tr w14:paraId="08B9D1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237501CD">
            <w:pPr>
              <w:pStyle w:val="178"/>
            </w:pPr>
            <w:r>
              <w:rPr>
                <w:rFonts w:hint="eastAsia"/>
              </w:rPr>
              <w:t>路径执行</w:t>
            </w:r>
          </w:p>
        </w:tc>
        <w:tc>
          <w:tcPr>
            <w:tcW w:w="2126" w:type="dxa"/>
            <w:vAlign w:val="center"/>
          </w:tcPr>
          <w:p w14:paraId="5AD2DBFB">
            <w:pPr>
              <w:pStyle w:val="178"/>
            </w:pPr>
            <w:r>
              <w:rPr>
                <w:rFonts w:hint="eastAsia"/>
              </w:rPr>
              <w:t>随访按时率</w:t>
            </w:r>
          </w:p>
        </w:tc>
        <w:tc>
          <w:tcPr>
            <w:tcW w:w="2835" w:type="dxa"/>
            <w:vAlign w:val="center"/>
          </w:tcPr>
          <w:p w14:paraId="664E0319">
            <w:pPr>
              <w:pStyle w:val="178"/>
            </w:pPr>
            <w:r>
              <w:rPr>
                <w:rFonts w:hint="eastAsia"/>
              </w:rPr>
              <w:t>在允许时间窗内完成随访次数/计划随访次数</w:t>
            </w:r>
          </w:p>
        </w:tc>
        <w:tc>
          <w:tcPr>
            <w:tcW w:w="1240" w:type="dxa"/>
            <w:vAlign w:val="center"/>
          </w:tcPr>
          <w:p w14:paraId="59D9CAE5">
            <w:pPr>
              <w:pStyle w:val="178"/>
            </w:pPr>
            <w:r>
              <w:rPr>
                <w:rFonts w:hint="eastAsia"/>
              </w:rPr>
              <w:t>月度</w:t>
            </w:r>
          </w:p>
        </w:tc>
        <w:tc>
          <w:tcPr>
            <w:tcW w:w="1867" w:type="dxa"/>
            <w:vAlign w:val="center"/>
          </w:tcPr>
          <w:p w14:paraId="134993DA">
            <w:pPr>
              <w:pStyle w:val="178"/>
            </w:pPr>
            <w:r>
              <w:rPr>
                <w:rFonts w:hint="eastAsia"/>
              </w:rPr>
              <w:t>高风险患者要求更高</w:t>
            </w:r>
          </w:p>
        </w:tc>
      </w:tr>
      <w:tr w14:paraId="789D8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5BB2D434">
            <w:pPr>
              <w:pStyle w:val="178"/>
            </w:pPr>
            <w:r>
              <w:rPr>
                <w:rFonts w:hint="eastAsia"/>
              </w:rPr>
              <w:t>安全控制</w:t>
            </w:r>
          </w:p>
        </w:tc>
        <w:tc>
          <w:tcPr>
            <w:tcW w:w="2126" w:type="dxa"/>
            <w:vAlign w:val="center"/>
          </w:tcPr>
          <w:p w14:paraId="7683BF35">
            <w:pPr>
              <w:pStyle w:val="178"/>
            </w:pPr>
            <w:r>
              <w:rPr>
                <w:rFonts w:hint="eastAsia"/>
              </w:rPr>
              <w:t>门诊清理不良事件率</w:t>
            </w:r>
          </w:p>
        </w:tc>
        <w:tc>
          <w:tcPr>
            <w:tcW w:w="2835" w:type="dxa"/>
            <w:vAlign w:val="center"/>
          </w:tcPr>
          <w:p w14:paraId="374B38CF">
            <w:pPr>
              <w:pStyle w:val="178"/>
            </w:pPr>
            <w:r>
              <w:rPr>
                <w:rFonts w:hint="eastAsia"/>
              </w:rPr>
              <w:t>清理相关不良事件例数/清理总例数</w:t>
            </w:r>
          </w:p>
        </w:tc>
        <w:tc>
          <w:tcPr>
            <w:tcW w:w="1240" w:type="dxa"/>
            <w:vAlign w:val="center"/>
          </w:tcPr>
          <w:p w14:paraId="5BCF2E0C">
            <w:pPr>
              <w:pStyle w:val="178"/>
            </w:pPr>
            <w:r>
              <w:rPr>
                <w:rFonts w:hint="eastAsia"/>
              </w:rPr>
              <w:t>月度</w:t>
            </w:r>
          </w:p>
        </w:tc>
        <w:tc>
          <w:tcPr>
            <w:tcW w:w="1867" w:type="dxa"/>
            <w:vAlign w:val="center"/>
          </w:tcPr>
          <w:p w14:paraId="36265BD3">
            <w:pPr>
              <w:pStyle w:val="178"/>
            </w:pPr>
            <w:r>
              <w:rPr>
                <w:rFonts w:hint="eastAsia"/>
              </w:rPr>
              <w:t>严重事件需复盘</w:t>
            </w:r>
          </w:p>
        </w:tc>
      </w:tr>
      <w:tr w14:paraId="6EBB1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4DB18677">
            <w:pPr>
              <w:pStyle w:val="178"/>
            </w:pPr>
            <w:r>
              <w:rPr>
                <w:rFonts w:hint="eastAsia"/>
              </w:rPr>
              <w:t>预警闭环</w:t>
            </w:r>
          </w:p>
        </w:tc>
        <w:tc>
          <w:tcPr>
            <w:tcW w:w="2126" w:type="dxa"/>
            <w:vAlign w:val="center"/>
          </w:tcPr>
          <w:p w14:paraId="2E804F95">
            <w:pPr>
              <w:pStyle w:val="178"/>
            </w:pPr>
            <w:r>
              <w:rPr>
                <w:rFonts w:hint="eastAsia"/>
              </w:rPr>
              <w:t>预警处置闭环率</w:t>
            </w:r>
          </w:p>
        </w:tc>
        <w:tc>
          <w:tcPr>
            <w:tcW w:w="2835" w:type="dxa"/>
            <w:vAlign w:val="center"/>
          </w:tcPr>
          <w:p w14:paraId="0B79E47E">
            <w:pPr>
              <w:pStyle w:val="178"/>
            </w:pPr>
            <w:r>
              <w:rPr>
                <w:rFonts w:hint="eastAsia"/>
              </w:rPr>
              <w:t>完成“触发—处置—回收—复评”例数/预警事件例数</w:t>
            </w:r>
          </w:p>
        </w:tc>
        <w:tc>
          <w:tcPr>
            <w:tcW w:w="1240" w:type="dxa"/>
            <w:vAlign w:val="center"/>
          </w:tcPr>
          <w:p w14:paraId="5E3F75B0">
            <w:pPr>
              <w:pStyle w:val="178"/>
            </w:pPr>
            <w:r>
              <w:rPr>
                <w:rFonts w:hint="eastAsia"/>
              </w:rPr>
              <w:t>月度</w:t>
            </w:r>
          </w:p>
        </w:tc>
        <w:tc>
          <w:tcPr>
            <w:tcW w:w="1867" w:type="dxa"/>
            <w:vAlign w:val="center"/>
          </w:tcPr>
          <w:p w14:paraId="4392B874">
            <w:pPr>
              <w:pStyle w:val="178"/>
            </w:pPr>
            <w:r>
              <w:rPr>
                <w:rFonts w:hint="eastAsia"/>
              </w:rPr>
              <w:t>一级响应必须闭环</w:t>
            </w:r>
          </w:p>
        </w:tc>
      </w:tr>
      <w:tr w14:paraId="657B8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1AE04B83">
            <w:pPr>
              <w:pStyle w:val="178"/>
            </w:pPr>
            <w:r>
              <w:rPr>
                <w:rFonts w:hint="eastAsia"/>
              </w:rPr>
              <w:t>依从管理</w:t>
            </w:r>
          </w:p>
        </w:tc>
        <w:tc>
          <w:tcPr>
            <w:tcW w:w="2126" w:type="dxa"/>
            <w:vAlign w:val="center"/>
          </w:tcPr>
          <w:p w14:paraId="29BDA35A">
            <w:pPr>
              <w:pStyle w:val="178"/>
            </w:pPr>
            <w:r>
              <w:rPr>
                <w:rFonts w:hint="eastAsia"/>
              </w:rPr>
              <w:t>冲洗用药执行记录率</w:t>
            </w:r>
          </w:p>
        </w:tc>
        <w:tc>
          <w:tcPr>
            <w:tcW w:w="2835" w:type="dxa"/>
            <w:vAlign w:val="center"/>
          </w:tcPr>
          <w:p w14:paraId="6B308776">
            <w:pPr>
              <w:pStyle w:val="178"/>
            </w:pPr>
            <w:r>
              <w:rPr>
                <w:rFonts w:hint="eastAsia"/>
              </w:rPr>
              <w:t>有执行记录例数/纳入管理例数</w:t>
            </w:r>
          </w:p>
        </w:tc>
        <w:tc>
          <w:tcPr>
            <w:tcW w:w="1240" w:type="dxa"/>
            <w:vAlign w:val="center"/>
          </w:tcPr>
          <w:p w14:paraId="3FC9BCEB">
            <w:pPr>
              <w:pStyle w:val="178"/>
            </w:pPr>
            <w:r>
              <w:rPr>
                <w:rFonts w:hint="eastAsia"/>
              </w:rPr>
              <w:t>月度</w:t>
            </w:r>
          </w:p>
        </w:tc>
        <w:tc>
          <w:tcPr>
            <w:tcW w:w="1867" w:type="dxa"/>
            <w:vAlign w:val="center"/>
          </w:tcPr>
          <w:p w14:paraId="3961515F">
            <w:pPr>
              <w:pStyle w:val="178"/>
            </w:pPr>
            <w:r>
              <w:rPr>
                <w:rFonts w:hint="eastAsia"/>
              </w:rPr>
              <w:t>依从性差需干预记录</w:t>
            </w:r>
          </w:p>
        </w:tc>
      </w:tr>
      <w:tr w14:paraId="0803C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4EEC3F8C">
            <w:pPr>
              <w:pStyle w:val="178"/>
            </w:pPr>
            <w:r>
              <w:rPr>
                <w:rFonts w:hint="eastAsia"/>
              </w:rPr>
              <w:t>结局评价</w:t>
            </w:r>
          </w:p>
        </w:tc>
        <w:tc>
          <w:tcPr>
            <w:tcW w:w="2126" w:type="dxa"/>
            <w:vAlign w:val="center"/>
          </w:tcPr>
          <w:p w14:paraId="584EBD9E">
            <w:pPr>
              <w:pStyle w:val="178"/>
            </w:pPr>
            <w:r>
              <w:rPr>
                <w:rFonts w:hint="eastAsia"/>
              </w:rPr>
              <w:t>黏膜化进展达标率</w:t>
            </w:r>
          </w:p>
        </w:tc>
        <w:tc>
          <w:tcPr>
            <w:tcW w:w="2835" w:type="dxa"/>
            <w:vAlign w:val="center"/>
          </w:tcPr>
          <w:p w14:paraId="5FCD357B">
            <w:pPr>
              <w:pStyle w:val="178"/>
            </w:pPr>
            <w:r>
              <w:rPr>
                <w:rFonts w:hint="eastAsia"/>
              </w:rPr>
              <w:t>在规定阶段达到黏膜化目标例数/随访例数</w:t>
            </w:r>
          </w:p>
        </w:tc>
        <w:tc>
          <w:tcPr>
            <w:tcW w:w="1240" w:type="dxa"/>
            <w:vAlign w:val="center"/>
          </w:tcPr>
          <w:p w14:paraId="5E899CC7">
            <w:pPr>
              <w:pStyle w:val="178"/>
            </w:pPr>
            <w:r>
              <w:rPr>
                <w:rFonts w:hint="eastAsia"/>
              </w:rPr>
              <w:t>季度</w:t>
            </w:r>
          </w:p>
        </w:tc>
        <w:tc>
          <w:tcPr>
            <w:tcW w:w="1867" w:type="dxa"/>
            <w:vAlign w:val="center"/>
          </w:tcPr>
          <w:p w14:paraId="60506A1D">
            <w:pPr>
              <w:pStyle w:val="178"/>
            </w:pPr>
            <w:r>
              <w:rPr>
                <w:rFonts w:hint="eastAsia"/>
              </w:rPr>
              <w:t>分层报告与趋势分析</w:t>
            </w:r>
          </w:p>
        </w:tc>
      </w:tr>
      <w:tr w14:paraId="6D6C0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135C1F55">
            <w:pPr>
              <w:pStyle w:val="178"/>
            </w:pPr>
            <w:r>
              <w:rPr>
                <w:rFonts w:hint="eastAsia"/>
              </w:rPr>
              <w:t>并发控制</w:t>
            </w:r>
          </w:p>
        </w:tc>
        <w:tc>
          <w:tcPr>
            <w:tcW w:w="2126" w:type="dxa"/>
            <w:vAlign w:val="center"/>
          </w:tcPr>
          <w:p w14:paraId="502AB4ED">
            <w:pPr>
              <w:pStyle w:val="178"/>
            </w:pPr>
            <w:r>
              <w:rPr>
                <w:rFonts w:hint="eastAsia"/>
              </w:rPr>
              <w:t>粘连肉芽发生率</w:t>
            </w:r>
          </w:p>
        </w:tc>
        <w:tc>
          <w:tcPr>
            <w:tcW w:w="2835" w:type="dxa"/>
            <w:vAlign w:val="center"/>
          </w:tcPr>
          <w:p w14:paraId="116BD905">
            <w:pPr>
              <w:pStyle w:val="178"/>
            </w:pPr>
            <w:r>
              <w:rPr>
                <w:rFonts w:hint="eastAsia"/>
              </w:rPr>
              <w:t>粘连或肉芽例数/随访例数</w:t>
            </w:r>
          </w:p>
        </w:tc>
        <w:tc>
          <w:tcPr>
            <w:tcW w:w="1240" w:type="dxa"/>
            <w:vAlign w:val="center"/>
          </w:tcPr>
          <w:p w14:paraId="71713E06">
            <w:pPr>
              <w:pStyle w:val="178"/>
            </w:pPr>
            <w:r>
              <w:rPr>
                <w:rFonts w:hint="eastAsia"/>
              </w:rPr>
              <w:t>季度</w:t>
            </w:r>
          </w:p>
        </w:tc>
        <w:tc>
          <w:tcPr>
            <w:tcW w:w="1867" w:type="dxa"/>
            <w:vAlign w:val="center"/>
          </w:tcPr>
          <w:p w14:paraId="206568A3">
            <w:pPr>
              <w:pStyle w:val="178"/>
            </w:pPr>
            <w:r>
              <w:rPr>
                <w:rFonts w:hint="eastAsia"/>
              </w:rPr>
              <w:t>高风险分层重点监测</w:t>
            </w:r>
          </w:p>
        </w:tc>
      </w:tr>
    </w:tbl>
    <w:p w14:paraId="2CE55712">
      <w:pPr>
        <w:pStyle w:val="56"/>
        <w:spacing w:line="360" w:lineRule="auto"/>
        <w:ind w:firstLine="420"/>
      </w:pPr>
    </w:p>
    <w:p w14:paraId="726018A9">
      <w:pPr>
        <w:pStyle w:val="105"/>
        <w:spacing w:before="120" w:after="120" w:line="360" w:lineRule="auto"/>
      </w:pPr>
      <w:r>
        <w:rPr>
          <w:rFonts w:hint="eastAsia"/>
        </w:rPr>
        <w:t>培训与能力评价</w:t>
      </w:r>
    </w:p>
    <w:p w14:paraId="505E94D0">
      <w:pPr>
        <w:pStyle w:val="56"/>
        <w:spacing w:line="360" w:lineRule="auto"/>
        <w:ind w:firstLine="420"/>
      </w:pPr>
      <w:r>
        <w:rPr>
          <w:rFonts w:hint="eastAsia"/>
        </w:rPr>
        <w:t>门诊清理操作人员应完成专科培训与考核，明确可独立操作的范围与禁忌。评估分级应进行一致性培训，必要时开展双人同评与一致率评估。冲洗与用药指导应采用标准化宣教材料，并定期更新。对新入组人员或新技术引入，应设置过渡期与监督期。</w:t>
      </w:r>
    </w:p>
    <w:p w14:paraId="5D38BC42">
      <w:pPr>
        <w:pStyle w:val="105"/>
        <w:spacing w:before="120" w:after="120" w:line="360" w:lineRule="auto"/>
      </w:pPr>
      <w:r>
        <w:rPr>
          <w:rFonts w:hint="eastAsia"/>
        </w:rPr>
        <w:t>评价与持续改进</w:t>
      </w:r>
    </w:p>
    <w:p w14:paraId="17CE1CEE">
      <w:pPr>
        <w:pStyle w:val="65"/>
        <w:spacing w:before="120" w:after="120" w:line="360" w:lineRule="auto"/>
      </w:pPr>
      <w:r>
        <w:rPr>
          <w:rFonts w:hint="eastAsia"/>
        </w:rPr>
        <w:t>评价报告</w:t>
      </w:r>
    </w:p>
    <w:p w14:paraId="59389660">
      <w:pPr>
        <w:pStyle w:val="56"/>
        <w:spacing w:line="360" w:lineRule="auto"/>
        <w:ind w:firstLine="420"/>
      </w:pPr>
      <w:r>
        <w:rPr>
          <w:rFonts w:hint="eastAsia"/>
        </w:rPr>
        <w:t>质控评价宜按月形成简报，按季度形成分析报告。报告至少包括：</w:t>
      </w:r>
    </w:p>
    <w:p w14:paraId="6AEDB864">
      <w:pPr>
        <w:pStyle w:val="56"/>
        <w:spacing w:line="360" w:lineRule="auto"/>
        <w:ind w:firstLine="420"/>
      </w:pPr>
      <w:r>
        <w:rPr>
          <w:rFonts w:hint="eastAsia"/>
        </w:rPr>
        <w:t>a) 核心质控指标达标情况与趋势；</w:t>
      </w:r>
    </w:p>
    <w:p w14:paraId="3CC7B429">
      <w:pPr>
        <w:pStyle w:val="56"/>
        <w:spacing w:line="360" w:lineRule="auto"/>
        <w:ind w:firstLine="420"/>
      </w:pPr>
      <w:r>
        <w:rPr>
          <w:rFonts w:hint="eastAsia"/>
        </w:rPr>
        <w:t>b) 高风险人群分层结果；</w:t>
      </w:r>
    </w:p>
    <w:p w14:paraId="54576F05">
      <w:pPr>
        <w:pStyle w:val="56"/>
        <w:spacing w:line="360" w:lineRule="auto"/>
        <w:ind w:firstLine="420"/>
      </w:pPr>
      <w:r>
        <w:rPr>
          <w:rFonts w:hint="eastAsia"/>
        </w:rPr>
        <w:t>c) 预警事件与复盘要点；</w:t>
      </w:r>
    </w:p>
    <w:p w14:paraId="394B02C3">
      <w:pPr>
        <w:pStyle w:val="56"/>
        <w:spacing w:line="360" w:lineRule="auto"/>
        <w:ind w:firstLine="420"/>
      </w:pPr>
      <w:r>
        <w:rPr>
          <w:rFonts w:hint="eastAsia"/>
        </w:rPr>
        <w:t>d) 主要问题清单与整改进度；</w:t>
      </w:r>
    </w:p>
    <w:p w14:paraId="2F917206">
      <w:pPr>
        <w:pStyle w:val="56"/>
        <w:spacing w:line="360" w:lineRule="auto"/>
        <w:ind w:firstLine="420"/>
      </w:pPr>
      <w:r>
        <w:rPr>
          <w:rFonts w:hint="eastAsia"/>
        </w:rPr>
        <w:t>e) 典型案例经验总结。</w:t>
      </w:r>
    </w:p>
    <w:p w14:paraId="38EF86B3">
      <w:pPr>
        <w:pStyle w:val="65"/>
        <w:spacing w:before="120" w:after="120" w:line="360" w:lineRule="auto"/>
      </w:pPr>
      <w:r>
        <w:rPr>
          <w:rFonts w:hint="eastAsia"/>
        </w:rPr>
        <w:t>改进机制</w:t>
      </w:r>
    </w:p>
    <w:p w14:paraId="5D8B85EF">
      <w:pPr>
        <w:pStyle w:val="56"/>
        <w:spacing w:line="360" w:lineRule="auto"/>
        <w:ind w:firstLine="420"/>
      </w:pPr>
      <w:r>
        <w:rPr>
          <w:rFonts w:hint="eastAsia"/>
        </w:rPr>
        <w:t>对连续两个月未达标指标应启动专项整改。对一级响应事件或严重不良事件应开展复盘，并优化流程或系统工具。</w:t>
      </w:r>
    </w:p>
    <w:p w14:paraId="3FEEEA40">
      <w:pPr>
        <w:pStyle w:val="56"/>
        <w:spacing w:line="360" w:lineRule="auto"/>
        <w:ind w:firstLine="420"/>
      </w:pPr>
      <w:r>
        <w:rPr>
          <w:rFonts w:hint="eastAsia"/>
        </w:rPr>
        <w:t>经验证有效的改进措施应固化为路径、表单或培训内容。指标体系与护理路径应至少年度评审一次，必要时进行版本更新。</w:t>
      </w:r>
    </w:p>
    <w:p w14:paraId="71BF91C0">
      <w:pPr>
        <w:pStyle w:val="105"/>
        <w:spacing w:before="120" w:after="120" w:line="360" w:lineRule="auto"/>
      </w:pPr>
      <w:r>
        <w:rPr>
          <w:rFonts w:hint="eastAsia"/>
        </w:rPr>
        <w:t>信息安全与隐私保护</w:t>
      </w:r>
    </w:p>
    <w:p w14:paraId="6BD283BE">
      <w:pPr>
        <w:pStyle w:val="56"/>
        <w:spacing w:line="360" w:lineRule="auto"/>
        <w:ind w:firstLine="420"/>
      </w:pPr>
      <w:r>
        <w:rPr>
          <w:rFonts w:hint="eastAsia"/>
        </w:rPr>
        <w:t>随访数据、内镜影像资料与患者执行记录应遵循最小必要原则与分级授权。通过互联网平台开展随访时，应明确数据传输与存储的安全要求，并告知患者。对用于教学或质量改进的病例资料，应进行脱敏处理并留存授权记录。</w:t>
      </w:r>
    </w:p>
    <w:bookmarkEnd w:id="26"/>
    <w:p w14:paraId="7C5FB4F2">
      <w:pPr>
        <w:pStyle w:val="56"/>
        <w:ind w:firstLine="0" w:firstLineChars="0"/>
        <w:jc w:val="center"/>
      </w:pPr>
      <w:bookmarkStart w:id="58" w:name="BookMark8"/>
      <w:r>
        <w:rPr>
          <w:rFonts w:hint="eastAsia"/>
        </w:rPr>
        <w:drawing>
          <wp:inline distT="0" distB="0" distL="0" distR="0">
            <wp:extent cx="1485900" cy="317500"/>
            <wp:effectExtent l="0" t="0" r="0" b="6350"/>
            <wp:docPr id="2122708143" name="图片 2"/>
            <wp:cNvGraphicFramePr/>
            <a:graphic xmlns:a="http://schemas.openxmlformats.org/drawingml/2006/main">
              <a:graphicData uri="http://schemas.openxmlformats.org/drawingml/2006/picture">
                <pic:pic xmlns:pic="http://schemas.openxmlformats.org/drawingml/2006/picture">
                  <pic:nvPicPr>
                    <pic:cNvPr id="2122708143" name="图片 2"/>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94CE2">
    <w:pPr>
      <w:pStyle w:val="51"/>
    </w:pPr>
    <w:r>
      <w:fldChar w:fldCharType="begin"/>
    </w:r>
    <w:r>
      <w:instrText xml:space="preserve"> PAGE   \* MERGEFORMAT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511BB">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37E1">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AA165">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BFE67">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4CCE9">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14636">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57A32">
    <w:pPr>
      <w:pStyle w:val="61"/>
    </w:pPr>
    <w:r>
      <w:fldChar w:fldCharType="begin"/>
    </w:r>
    <w:r>
      <w:instrText xml:space="preserve"> STYLEREF  标准文件_文件编号  \* MERGEFORMAT </w:instrText>
    </w:r>
    <w:r>
      <w:fldChar w:fldCharType="separate"/>
    </w:r>
    <w:r>
      <w:t>T/XJBX 0202—2026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F929F">
    <w:pPr>
      <w:pStyle w:val="62"/>
    </w:pPr>
    <w:r>
      <w:fldChar w:fldCharType="begin"/>
    </w:r>
    <w:r>
      <w:instrText xml:space="preserve"> STYLEREF  标准文件_文件编号 \* MERGEFORMAT </w:instrText>
    </w:r>
    <w:r>
      <w:fldChar w:fldCharType="separate"/>
    </w:r>
    <w:r>
      <w:t>T/XJBX 0202—2026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0202—2026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fldChar w:fldCharType="begin"/>
    </w:r>
    <w:r>
      <w:instrText xml:space="preserve"> STYLEREF  标准文件_文件编号 \* MERGEFORMAT </w:instrText>
    </w:r>
    <w:r>
      <w:fldChar w:fldCharType="separate"/>
    </w:r>
    <w:r>
      <w:t>T/XJBX 0202—2026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20205">
    <w:pPr>
      <w:pStyle w:val="61"/>
    </w:pPr>
    <w:r>
      <w:fldChar w:fldCharType="begin"/>
    </w:r>
    <w:r>
      <w:instrText xml:space="preserve"> STYLEREF  标准文件_文件编号  \* MERGEFORMAT </w:instrText>
    </w:r>
    <w:r>
      <w:fldChar w:fldCharType="separate"/>
    </w:r>
    <w:r>
      <w:t>T/XJBX 0202—2026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ABF97">
    <w:pPr>
      <w:pStyle w:val="62"/>
    </w:pPr>
    <w:r>
      <w:fldChar w:fldCharType="begin"/>
    </w:r>
    <w:r>
      <w:instrText xml:space="preserve"> STYLEREF  标准文件_文件编号 \* MERGEFORMAT </w:instrText>
    </w:r>
    <w:r>
      <w:fldChar w:fldCharType="separate"/>
    </w:r>
    <w:r>
      <w:t>T/XJBX 0202—2026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8A84D">
    <w:pPr>
      <w:pStyle w:val="61"/>
    </w:pPr>
    <w:r>
      <w:fldChar w:fldCharType="begin"/>
    </w:r>
    <w:r>
      <w:instrText xml:space="preserve"> STYLEREF  标准文件_文件编号  \* MERGEFORMAT </w:instrText>
    </w:r>
    <w:r>
      <w:fldChar w:fldCharType="separate"/>
    </w:r>
    <w:r>
      <w:t>T/XJBX 0202—2026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A080A">
    <w:pPr>
      <w:pStyle w:val="62"/>
    </w:pPr>
    <w:r>
      <w:fldChar w:fldCharType="begin"/>
    </w:r>
    <w:r>
      <w:instrText xml:space="preserve"> STYLEREF  标准文件_文件编号 \* MERGEFORMAT </w:instrText>
    </w:r>
    <w:r>
      <w:fldChar w:fldCharType="separate"/>
    </w:r>
    <w:r>
      <w:t>T/XJBX 0202—2026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709"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264A"/>
    <w:rsid w:val="0026148A"/>
    <w:rsid w:val="00262696"/>
    <w:rsid w:val="00263D25"/>
    <w:rsid w:val="002643C3"/>
    <w:rsid w:val="00264A0C"/>
    <w:rsid w:val="00266EEB"/>
    <w:rsid w:val="00266FE0"/>
    <w:rsid w:val="00267EF4"/>
    <w:rsid w:val="00270CB8"/>
    <w:rsid w:val="002724BB"/>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6A24"/>
    <w:rsid w:val="00381815"/>
    <w:rsid w:val="003819AF"/>
    <w:rsid w:val="003820E9"/>
    <w:rsid w:val="00382DE7"/>
    <w:rsid w:val="00384FFC"/>
    <w:rsid w:val="00386F55"/>
    <w:rsid w:val="003872FC"/>
    <w:rsid w:val="00387ADC"/>
    <w:rsid w:val="00390020"/>
    <w:rsid w:val="003903D6"/>
    <w:rsid w:val="00390EE6"/>
    <w:rsid w:val="0039118F"/>
    <w:rsid w:val="00392AD7"/>
    <w:rsid w:val="003938D9"/>
    <w:rsid w:val="00394376"/>
    <w:rsid w:val="003943FF"/>
    <w:rsid w:val="0039469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1F47"/>
    <w:rsid w:val="00432DAA"/>
    <w:rsid w:val="00434305"/>
    <w:rsid w:val="00435DF7"/>
    <w:rsid w:val="0043741A"/>
    <w:rsid w:val="0044083F"/>
    <w:rsid w:val="00441AE7"/>
    <w:rsid w:val="004452D9"/>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34C7"/>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160"/>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2D47"/>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0B4"/>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728"/>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70D0"/>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67816"/>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77B"/>
    <w:rsid w:val="00A36DD1"/>
    <w:rsid w:val="00A4006C"/>
    <w:rsid w:val="00A40091"/>
    <w:rsid w:val="00A4030F"/>
    <w:rsid w:val="00A41C79"/>
    <w:rsid w:val="00A41CB5"/>
    <w:rsid w:val="00A42CDF"/>
    <w:rsid w:val="00A4452E"/>
    <w:rsid w:val="00A4472C"/>
    <w:rsid w:val="00A44E69"/>
    <w:rsid w:val="00A4661E"/>
    <w:rsid w:val="00A525E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903"/>
    <w:rsid w:val="00B72880"/>
    <w:rsid w:val="00B758BF"/>
    <w:rsid w:val="00B777C5"/>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1DF"/>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F82"/>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09F"/>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531"/>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2F3"/>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3413"/>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25D4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qFormat="1" w:uiPriority="39" w:semiHidden="0" w:name="toc 4"/>
    <w:lsdException w:uiPriority="39" w:semiHidden="0" w:name="toc 5"/>
    <w:lsdException w:uiPriority="39" w:semiHidden="0" w:name="toc 6"/>
    <w:lsdException w:qFormat="1"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4.jpeg"/><Relationship Id="rId3" Type="http://schemas.openxmlformats.org/officeDocument/2006/relationships/footnotes" Target="footnotes.xml"/><Relationship Id="rId29" Type="http://schemas.openxmlformats.org/officeDocument/2006/relationships/image" Target="media/image3.pn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14D15E91">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0006A774">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19E5F69F">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156F8E"/>
    <w:rsid w:val="00232C79"/>
    <w:rsid w:val="00266FE0"/>
    <w:rsid w:val="00376A24"/>
    <w:rsid w:val="003A1ED3"/>
    <w:rsid w:val="005E6634"/>
    <w:rsid w:val="00633A35"/>
    <w:rsid w:val="007146E1"/>
    <w:rsid w:val="007D56C9"/>
    <w:rsid w:val="007F081B"/>
    <w:rsid w:val="00815728"/>
    <w:rsid w:val="00837C24"/>
    <w:rsid w:val="00AE1DC6"/>
    <w:rsid w:val="00B57EA9"/>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23</Pages>
  <Words>5141</Words>
  <Characters>5452</Characters>
  <Lines>89</Lines>
  <Paragraphs>25</Paragraphs>
  <TotalTime>1065</TotalTime>
  <ScaleCrop>false</ScaleCrop>
  <LinksUpToDate>false</LinksUpToDate>
  <CharactersWithSpaces>5586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2026-01-27T09:04:55Z</dcterms:modified>
  <dc:title>团体标准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25053506221C4593870D32AC60944711_12</vt:lpwstr>
  </property>
</Properties>
</file>