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1.10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11.100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5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50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01"/>
            </w:textInput>
          </w:ffData>
        </w:fldChar>
      </w:r>
      <w:bookmarkStart w:id="6" w:name="NSTD_CODE_F"/>
      <w:r>
        <w:instrText xml:space="preserve"> FORMTEXT </w:instrText>
      </w:r>
      <w:r>
        <w:fldChar w:fldCharType="separate"/>
      </w:r>
      <w:r>
        <w:t>0201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药品快速检验技术应用规程"/>
            </w:textInput>
          </w:ffData>
        </w:fldChar>
      </w:r>
      <w:bookmarkStart w:id="9" w:name="CSTD_NAME"/>
      <w:r>
        <w:instrText xml:space="preserve"> FORMTEXT </w:instrText>
      </w:r>
      <w:r>
        <w:fldChar w:fldCharType="separate"/>
      </w:r>
      <w:r>
        <w:t>药品快速检验技术应用规程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application of rapid drug testing technolog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application of rapid drug testing technology</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C9E137E">
      <w:pPr>
        <w:pStyle w:val="91"/>
        <w:spacing w:after="360"/>
      </w:pPr>
      <w:bookmarkStart w:id="21" w:name="BookMark1"/>
      <w:r>
        <w:rPr>
          <w:rFonts w:hint="eastAsia"/>
          <w:spacing w:val="320"/>
        </w:rPr>
        <w:t>目</w:t>
      </w:r>
      <w:r>
        <w:rPr>
          <w:rFonts w:hint="eastAsia"/>
        </w:rPr>
        <w:t>次</w:t>
      </w:r>
    </w:p>
    <w:p w14:paraId="3868B0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"_Toc220347082" </w:instrText>
      </w:r>
      <w:r>
        <w:fldChar w:fldCharType="separate"/>
      </w:r>
      <w:r>
        <w:rPr>
          <w:rStyle w:val="32"/>
        </w:rPr>
        <w:t>前言</w:t>
      </w:r>
      <w:r>
        <w:rPr>
          <w:rFonts w:hint="eastAsia"/>
        </w:rPr>
        <w:tab/>
      </w:r>
      <w:r>
        <w:rPr>
          <w:rFonts w:hint="eastAsia"/>
        </w:rPr>
        <w:fldChar w:fldCharType="begin"/>
      </w:r>
      <w:r>
        <w:rPr>
          <w:rFonts w:hint="eastAsia"/>
        </w:rPr>
        <w:instrText xml:space="preserve"> </w:instrText>
      </w:r>
      <w:r>
        <w:instrText xml:space="preserve">PAGEREF _Toc220347082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3469A4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"_Toc220347083" </w:instrText>
      </w:r>
      <w:r>
        <w:fldChar w:fldCharType="separate"/>
      </w:r>
      <w:r>
        <w:rPr>
          <w:rStyle w:val="32"/>
        </w:rPr>
        <w:t>引言</w:t>
      </w:r>
      <w:r>
        <w:rPr>
          <w:rFonts w:hint="eastAsia"/>
        </w:rPr>
        <w:tab/>
      </w:r>
      <w:r>
        <w:rPr>
          <w:rFonts w:hint="eastAsia"/>
        </w:rPr>
        <w:fldChar w:fldCharType="begin"/>
      </w:r>
      <w:r>
        <w:rPr>
          <w:rFonts w:hint="eastAsia"/>
        </w:rPr>
        <w:instrText xml:space="preserve"> </w:instrText>
      </w:r>
      <w:r>
        <w:instrText xml:space="preserve">PAGEREF _Toc220347083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6994F7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"_Toc220347084" </w:instrText>
      </w:r>
      <w:r>
        <w:fldChar w:fldCharType="separate"/>
      </w:r>
      <w:r>
        <w:rPr>
          <w:rStyle w:val="32"/>
        </w:rPr>
        <w:t>1  范围</w:t>
      </w:r>
      <w:r>
        <w:rPr>
          <w:rFonts w:hint="eastAsia"/>
        </w:rPr>
        <w:tab/>
      </w:r>
      <w:r>
        <w:rPr>
          <w:rFonts w:hint="eastAsia"/>
        </w:rPr>
        <w:fldChar w:fldCharType="begin"/>
      </w:r>
      <w:r>
        <w:rPr>
          <w:rFonts w:hint="eastAsia"/>
        </w:rPr>
        <w:instrText xml:space="preserve"> </w:instrText>
      </w:r>
      <w:r>
        <w:instrText xml:space="preserve">PAGEREF _Toc220347084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28B430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"_Toc220347085" </w:instrText>
      </w:r>
      <w:r>
        <w:fldChar w:fldCharType="separate"/>
      </w:r>
      <w:r>
        <w:rPr>
          <w:rStyle w:val="32"/>
        </w:rPr>
        <w:t>2  规范性引用文件</w:t>
      </w:r>
      <w:r>
        <w:rPr>
          <w:rFonts w:hint="eastAsia"/>
        </w:rPr>
        <w:tab/>
      </w:r>
      <w:r>
        <w:rPr>
          <w:rFonts w:hint="eastAsia"/>
        </w:rPr>
        <w:fldChar w:fldCharType="begin"/>
      </w:r>
      <w:r>
        <w:rPr>
          <w:rFonts w:hint="eastAsia"/>
        </w:rPr>
        <w:instrText xml:space="preserve"> </w:instrText>
      </w:r>
      <w:r>
        <w:instrText xml:space="preserve">PAGEREF _Toc220347085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39659F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"_Toc220347086" </w:instrText>
      </w:r>
      <w:r>
        <w:fldChar w:fldCharType="separate"/>
      </w:r>
      <w:r>
        <w:rPr>
          <w:rStyle w:val="32"/>
        </w:rPr>
        <w:t>3  术语和定义</w:t>
      </w:r>
      <w:r>
        <w:rPr>
          <w:rFonts w:hint="eastAsia"/>
        </w:rPr>
        <w:tab/>
      </w:r>
      <w:r>
        <w:rPr>
          <w:rFonts w:hint="eastAsia"/>
        </w:rPr>
        <w:fldChar w:fldCharType="begin"/>
      </w:r>
      <w:r>
        <w:rPr>
          <w:rFonts w:hint="eastAsia"/>
        </w:rPr>
        <w:instrText xml:space="preserve"> </w:instrText>
      </w:r>
      <w:r>
        <w:instrText xml:space="preserve">PAGEREF _Toc220347086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0692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"_Toc220347087" </w:instrText>
      </w:r>
      <w:r>
        <w:fldChar w:fldCharType="separate"/>
      </w:r>
      <w:r>
        <w:rPr>
          <w:rStyle w:val="32"/>
        </w:rPr>
        <w:t>4  总体要求</w:t>
      </w:r>
      <w:r>
        <w:rPr>
          <w:rFonts w:hint="eastAsia"/>
        </w:rPr>
        <w:tab/>
      </w:r>
      <w:r>
        <w:rPr>
          <w:rFonts w:hint="eastAsia"/>
        </w:rPr>
        <w:fldChar w:fldCharType="begin"/>
      </w:r>
      <w:r>
        <w:rPr>
          <w:rFonts w:hint="eastAsia"/>
        </w:rPr>
        <w:instrText xml:space="preserve"> </w:instrText>
      </w:r>
      <w:r>
        <w:instrText xml:space="preserve">PAGEREF _Toc220347087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939B6A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"_Toc220347088" </w:instrText>
      </w:r>
      <w:r>
        <w:fldChar w:fldCharType="separate"/>
      </w:r>
      <w:r>
        <w:rPr>
          <w:rStyle w:val="32"/>
        </w:rPr>
        <w:t>5  快速检验方法选择与适用性评估</w:t>
      </w:r>
      <w:r>
        <w:rPr>
          <w:rFonts w:hint="eastAsia"/>
        </w:rPr>
        <w:tab/>
      </w:r>
      <w:r>
        <w:rPr>
          <w:rFonts w:hint="eastAsia"/>
        </w:rPr>
        <w:fldChar w:fldCharType="begin"/>
      </w:r>
      <w:r>
        <w:rPr>
          <w:rFonts w:hint="eastAsia"/>
        </w:rPr>
        <w:instrText xml:space="preserve"> </w:instrText>
      </w:r>
      <w:r>
        <w:instrText xml:space="preserve">PAGEREF _Toc220347088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62127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"_Toc220347089" </w:instrText>
      </w:r>
      <w:r>
        <w:fldChar w:fldCharType="separate"/>
      </w:r>
      <w:r>
        <w:rPr>
          <w:rStyle w:val="32"/>
        </w:rPr>
        <w:t>6  采样与样品管理</w:t>
      </w:r>
      <w:r>
        <w:rPr>
          <w:rFonts w:hint="eastAsia"/>
        </w:rPr>
        <w:tab/>
      </w:r>
      <w:r>
        <w:rPr>
          <w:rFonts w:hint="eastAsia"/>
        </w:rPr>
        <w:fldChar w:fldCharType="begin"/>
      </w:r>
      <w:r>
        <w:rPr>
          <w:rFonts w:hint="eastAsia"/>
        </w:rPr>
        <w:instrText xml:space="preserve"> </w:instrText>
      </w:r>
      <w:r>
        <w:instrText xml:space="preserve">PAGEREF _Toc220347089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0E68C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"_Toc220347090" </w:instrText>
      </w:r>
      <w:r>
        <w:fldChar w:fldCharType="separate"/>
      </w:r>
      <w:r>
        <w:rPr>
          <w:rStyle w:val="32"/>
        </w:rPr>
        <w:t>7  现场前处理</w:t>
      </w:r>
      <w:r>
        <w:rPr>
          <w:rFonts w:hint="eastAsia"/>
        </w:rPr>
        <w:tab/>
      </w:r>
      <w:r>
        <w:rPr>
          <w:rFonts w:hint="eastAsia"/>
        </w:rPr>
        <w:fldChar w:fldCharType="begin"/>
      </w:r>
      <w:r>
        <w:rPr>
          <w:rFonts w:hint="eastAsia"/>
        </w:rPr>
        <w:instrText xml:space="preserve"> </w:instrText>
      </w:r>
      <w:r>
        <w:instrText xml:space="preserve">PAGEREF _Toc220347090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B76B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"_Toc220347091" </w:instrText>
      </w:r>
      <w:r>
        <w:fldChar w:fldCharType="separate"/>
      </w:r>
      <w:r>
        <w:rPr>
          <w:rStyle w:val="32"/>
        </w:rPr>
        <w:t>8  快速检测实施</w:t>
      </w:r>
      <w:r>
        <w:rPr>
          <w:rFonts w:hint="eastAsia"/>
        </w:rPr>
        <w:tab/>
      </w:r>
      <w:r>
        <w:rPr>
          <w:rFonts w:hint="eastAsia"/>
        </w:rPr>
        <w:fldChar w:fldCharType="begin"/>
      </w:r>
      <w:r>
        <w:rPr>
          <w:rFonts w:hint="eastAsia"/>
        </w:rPr>
        <w:instrText xml:space="preserve"> </w:instrText>
      </w:r>
      <w:r>
        <w:instrText xml:space="preserve">PAGEREF _Toc220347091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2A5FB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"_Toc220347092" </w:instrText>
      </w:r>
      <w:r>
        <w:fldChar w:fldCharType="separate"/>
      </w:r>
      <w:r>
        <w:rPr>
          <w:rStyle w:val="32"/>
        </w:rPr>
        <w:t>9  质量控制与判定规则</w:t>
      </w:r>
      <w:r>
        <w:rPr>
          <w:rFonts w:hint="eastAsia"/>
        </w:rPr>
        <w:tab/>
      </w:r>
      <w:r>
        <w:rPr>
          <w:rFonts w:hint="eastAsia"/>
        </w:rPr>
        <w:fldChar w:fldCharType="begin"/>
      </w:r>
      <w:r>
        <w:rPr>
          <w:rFonts w:hint="eastAsia"/>
        </w:rPr>
        <w:instrText xml:space="preserve"> </w:instrText>
      </w:r>
      <w:r>
        <w:instrText xml:space="preserve">PAGEREF _Toc220347092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AE1618B">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34708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04C53484">
      <w:pPr>
        <w:pStyle w:val="56"/>
        <w:spacing w:line="360" w:lineRule="auto"/>
        <w:ind w:firstLine="420"/>
      </w:pPr>
      <w:r>
        <w:rPr>
          <w:rFonts w:hint="eastAsia"/>
        </w:rPr>
        <w:t>本文件起草单位：青岛华测检测技术有限公司</w:t>
      </w:r>
      <w:bookmarkStart w:id="58" w:name="_GoBack"/>
      <w:bookmarkEnd w:id="58"/>
      <w:r>
        <w:rPr>
          <w:rFonts w:hint="eastAsia"/>
        </w:rPr>
        <w:t>。</w:t>
      </w:r>
    </w:p>
    <w:p w14:paraId="55F4A5D1">
      <w:pPr>
        <w:pStyle w:val="56"/>
        <w:spacing w:line="360" w:lineRule="auto"/>
        <w:ind w:firstLine="420"/>
      </w:pPr>
      <w:r>
        <w:rPr>
          <w:rFonts w:hint="eastAsia"/>
        </w:rPr>
        <w:t>本文件主要起草人：裘真。</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347083"/>
      <w:bookmarkStart w:id="25" w:name="BookMark3"/>
      <w:r>
        <w:rPr>
          <w:spacing w:val="320"/>
        </w:rPr>
        <w:t>引</w:t>
      </w:r>
      <w:r>
        <w:t>言</w:t>
      </w:r>
      <w:bookmarkEnd w:id="24"/>
    </w:p>
    <w:p w14:paraId="44DD0F07">
      <w:pPr>
        <w:pStyle w:val="56"/>
        <w:spacing w:line="360" w:lineRule="auto"/>
        <w:ind w:firstLine="420"/>
      </w:pPr>
      <w:r>
        <w:rPr>
          <w:rFonts w:hint="eastAsia"/>
        </w:rPr>
        <w:t>药品快速检验是指在药品监管、生产流通、医疗机构使用管理以及突发事件应急处置等场景中，采用便携化、现场化、快速出具初步判定结果的检验技术与方法体系。相较于实验室常规检验，快速检验强调“时效性、可及性与风险筛查能力”，能够在有限时间与资源条件下，对疑似问题药品开展快速甄别、分级处置与样品流转决策，为后续法定检验或实验室确证提供方向性依据与证据支持。随着药品供应链环节增多、跨区域流通频繁以及网络销售与新型剂型发展，药品质量风险呈现隐蔽性增强、传播速度加快、事件影响范围扩大等特点，建立统一、可操作、可追溯的药品快速检验技术应用规程，对于提升风险早发现、早预警、早处置能力具有重要意义。</w:t>
      </w:r>
    </w:p>
    <w:p w14:paraId="76F56A80">
      <w:pPr>
        <w:pStyle w:val="56"/>
        <w:spacing w:line="360" w:lineRule="auto"/>
        <w:ind w:firstLine="420"/>
      </w:pPr>
      <w:r>
        <w:rPr>
          <w:rFonts w:hint="eastAsia"/>
        </w:rPr>
        <w:t>在实践应用中，药品快速检验常面临技术路线选择不一致、适用范围界定不清、现场采样与前处理不规范、结果判读主观性较强、质量控制与人员能力保障不足、数据记录不完整、样品链与证据链不健全等问题。特别是快速检验结果多用于“筛查与分流”，若缺乏统一的判定规则与处置流程，可能导致误判、漏判或不当处置，进而影响监管效率与公众用药安全。因此，有必要从技术应用全过程出发，对快速检验的场景、对象、项目、方法、质量控制、结果表达、复核确认、记录归档与安全防护等提出系统性要求，形成与法定检验衔接顺畅、与现场处置闭环匹配的标准化操作框架。</w:t>
      </w:r>
    </w:p>
    <w:p w14:paraId="7F4A69FE">
      <w:pPr>
        <w:pStyle w:val="56"/>
        <w:spacing w:line="360" w:lineRule="auto"/>
        <w:ind w:firstLine="420"/>
      </w:pPr>
      <w:r>
        <w:rPr>
          <w:rFonts w:hint="eastAsia"/>
        </w:rPr>
        <w:t>本文件以风险管理与证据链管理为主线，围绕“前期准备—采样与样品管理—现场前处理—快速检测实施—结果判读与复核—处置与送检—记录与归档—质量保证与持续改进”的全流程，规定药品快速检验技术应用的通用要求与关键控制点。快速检验方法既包括化学分析类快速方法，也包括免疫学或生物学快速方法，以及基于仪器与信息化平台的现场辅助判别技术。鉴于不同方法在灵敏度、特异性、检出限、适用剂型与干扰因素方面存在差异，本文件强调方法适用性评估、对照与校准、阴阳性控制、环境与操作条件控制、判读一致性与不确定性管理，并明确快速检验与实验室确证检验之间的衔接与职责边界。</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药品快速检验技术应用规程</w:t>
          </w:r>
        </w:p>
      </w:sdtContent>
    </w:sdt>
    <w:bookmarkEnd w:id="27"/>
    <w:p w14:paraId="3DB22445">
      <w:pPr>
        <w:pStyle w:val="104"/>
        <w:spacing w:before="240" w:after="240" w:line="360" w:lineRule="auto"/>
      </w:pPr>
      <w:bookmarkStart w:id="28" w:name="_Toc24884218"/>
      <w:bookmarkStart w:id="29" w:name="_Toc26986530"/>
      <w:bookmarkStart w:id="30" w:name="_Toc26986771"/>
      <w:bookmarkStart w:id="31" w:name="_Toc17233325"/>
      <w:bookmarkStart w:id="32" w:name="_Toc24884211"/>
      <w:bookmarkStart w:id="33" w:name="_Toc26648465"/>
      <w:bookmarkStart w:id="34" w:name="_Toc26718930"/>
      <w:bookmarkStart w:id="35" w:name="_Toc97192964"/>
      <w:bookmarkStart w:id="36" w:name="_Toc220347084"/>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260C2DE4">
      <w:pPr>
        <w:pStyle w:val="56"/>
        <w:spacing w:line="360" w:lineRule="auto"/>
        <w:ind w:firstLine="420"/>
      </w:pPr>
      <w:bookmarkStart w:id="38" w:name="_Toc24884212"/>
      <w:bookmarkStart w:id="39" w:name="_Toc17233334"/>
      <w:bookmarkStart w:id="40" w:name="_Toc17233326"/>
      <w:bookmarkStart w:id="41" w:name="_Toc26648466"/>
      <w:bookmarkStart w:id="42" w:name="_Toc24884219"/>
      <w:r>
        <w:rPr>
          <w:rFonts w:hint="eastAsia"/>
        </w:rPr>
        <w:t>本文件规定了药品快速检验技术的总体要求、快速检验方法选择与适用性评估、采样与样品管理、现场前处理、快速检测实施、质量控制与判定规则等内容。</w:t>
      </w:r>
    </w:p>
    <w:p w14:paraId="76265264">
      <w:pPr>
        <w:pStyle w:val="56"/>
        <w:spacing w:line="360" w:lineRule="auto"/>
        <w:ind w:firstLine="420"/>
      </w:pPr>
      <w:r>
        <w:rPr>
          <w:rFonts w:hint="eastAsia"/>
        </w:rPr>
        <w:t>本文件适用于开展药品快速检验工作的各类单位与人员，包括药品监管部门及其技术支撑机构、药品检验检测机构、药品生产企业、药品经营企业、医疗机构及其他依法承担相关职责的单位。</w:t>
      </w:r>
    </w:p>
    <w:p w14:paraId="3733B2AD">
      <w:pPr>
        <w:pStyle w:val="104"/>
        <w:spacing w:before="240" w:after="240" w:line="360" w:lineRule="auto"/>
      </w:pPr>
      <w:bookmarkStart w:id="43" w:name="_Toc26986531"/>
      <w:bookmarkStart w:id="44" w:name="_Toc26986772"/>
      <w:bookmarkStart w:id="45" w:name="_Toc220347085"/>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3C80ED">
      <w:pPr>
        <w:pStyle w:val="56"/>
        <w:spacing w:line="360" w:lineRule="auto"/>
        <w:ind w:firstLine="420"/>
      </w:pPr>
      <w:r>
        <w:rPr>
          <w:rFonts w:hint="eastAsia"/>
        </w:rPr>
        <w:t>GB/T 1.1—2</w:t>
      </w:r>
      <w:r>
        <w:t>020</w:t>
      </w:r>
      <w:r>
        <w:rPr>
          <w:rFonts w:hint="eastAsia"/>
        </w:rPr>
        <w:t xml:space="preserve"> 标准化工作导则  第1部分  标准化文件的结构和起草规则</w:t>
      </w:r>
    </w:p>
    <w:p w14:paraId="4E92E7F0">
      <w:pPr>
        <w:pStyle w:val="56"/>
        <w:spacing w:line="360" w:lineRule="auto"/>
        <w:ind w:firstLine="420"/>
      </w:pPr>
      <w:r>
        <w:t>GB/T 19001 质量管理体系  要求</w:t>
      </w:r>
    </w:p>
    <w:p w14:paraId="332ACD74">
      <w:pPr>
        <w:pStyle w:val="56"/>
        <w:spacing w:line="360" w:lineRule="auto"/>
        <w:ind w:firstLine="420"/>
      </w:pPr>
      <w:r>
        <w:rPr>
          <w:rFonts w:hint="eastAsia"/>
        </w:rPr>
        <w:t>GB/T 27025 检测和校准实验室能力的通用要求</w:t>
      </w:r>
    </w:p>
    <w:p w14:paraId="07A7F860">
      <w:pPr>
        <w:pStyle w:val="56"/>
        <w:spacing w:line="360" w:lineRule="auto"/>
        <w:ind w:firstLine="420"/>
      </w:pPr>
      <w:r>
        <w:rPr>
          <w:rFonts w:hint="eastAsia"/>
        </w:rPr>
        <w:t xml:space="preserve">GB/T 35273 信息安全技术 </w:t>
      </w:r>
      <w:r>
        <w:t xml:space="preserve"> </w:t>
      </w:r>
      <w:r>
        <w:rPr>
          <w:rFonts w:hint="eastAsia"/>
        </w:rPr>
        <w:t>个人信息安全规范</w:t>
      </w:r>
    </w:p>
    <w:p w14:paraId="51F02A4E">
      <w:pPr>
        <w:pStyle w:val="104"/>
        <w:spacing w:before="240" w:after="240" w:line="360" w:lineRule="auto"/>
      </w:pPr>
      <w:bookmarkStart w:id="48" w:name="_Toc220347086"/>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34DCA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药品快速检验 rapid drug testing</w:t>
      </w:r>
    </w:p>
    <w:p w14:paraId="2B31F100">
      <w:pPr>
        <w:pStyle w:val="56"/>
        <w:spacing w:line="360" w:lineRule="auto"/>
        <w:ind w:firstLine="420"/>
      </w:pPr>
      <w:r>
        <w:rPr>
          <w:rFonts w:hint="eastAsia"/>
        </w:rPr>
        <w:t>在现场或近现场条件下，使用快速方法与便携或简化装备，对药品质量风险项目进行快速筛查并输出初步判定结果的检验活动，主要用于风险分流、处置决策与送检指引。</w:t>
      </w:r>
    </w:p>
    <w:p w14:paraId="6F42570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筛查检验 screening test</w:t>
      </w:r>
    </w:p>
    <w:p w14:paraId="17591718">
      <w:pPr>
        <w:pStyle w:val="56"/>
        <w:spacing w:line="360" w:lineRule="auto"/>
        <w:ind w:firstLine="420"/>
      </w:pPr>
      <w:r>
        <w:rPr>
          <w:rFonts w:hint="eastAsia"/>
        </w:rPr>
        <w:t>以快速发现可疑样品为目的，侧重灵敏度与时效性，通过设定阈值或判定规则对样品进行初步分类的检验活动，结果一般分为符合、可疑或不符合（或阴性、阳性、可疑）。</w:t>
      </w:r>
    </w:p>
    <w:p w14:paraId="0AECB155">
      <w:pPr>
        <w:pStyle w:val="56"/>
        <w:spacing w:line="360" w:lineRule="auto"/>
        <w:ind w:firstLine="420"/>
      </w:pPr>
    </w:p>
    <w:p w14:paraId="13FC24BA">
      <w:pPr>
        <w:pStyle w:val="56"/>
        <w:spacing w:line="360" w:lineRule="auto"/>
        <w:ind w:firstLine="420"/>
      </w:pPr>
    </w:p>
    <w:p w14:paraId="20BA09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确证检验 confirmatory test</w:t>
      </w:r>
    </w:p>
    <w:p w14:paraId="4376DAF3">
      <w:pPr>
        <w:pStyle w:val="56"/>
        <w:spacing w:line="360" w:lineRule="auto"/>
        <w:ind w:firstLine="420"/>
      </w:pPr>
      <w:r>
        <w:rPr>
          <w:rFonts w:hint="eastAsia"/>
        </w:rPr>
        <w:t>在实验室条件下，采用法定方法或经验证的方法对筛查结果进行复核确认并形成法定或正式结论的检验活动。</w:t>
      </w:r>
    </w:p>
    <w:p w14:paraId="2AB3BEA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现场前处理 on-site sample preparation</w:t>
      </w:r>
    </w:p>
    <w:p w14:paraId="237D8321">
      <w:pPr>
        <w:pStyle w:val="56"/>
        <w:spacing w:line="360" w:lineRule="auto"/>
        <w:ind w:firstLine="420"/>
      </w:pPr>
      <w:r>
        <w:rPr>
          <w:rFonts w:hint="eastAsia"/>
        </w:rPr>
        <w:t>为适配快速检验方法而对样品进行的简化处理过程，包括称量、溶解、稀释、提取、过滤、离心、衍生化等操作。</w:t>
      </w:r>
    </w:p>
    <w:p w14:paraId="553F7C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对照品 reference standard</w:t>
      </w:r>
    </w:p>
    <w:p w14:paraId="36373569">
      <w:pPr>
        <w:pStyle w:val="56"/>
        <w:spacing w:line="360" w:lineRule="auto"/>
        <w:ind w:firstLine="420"/>
      </w:pPr>
      <w:r>
        <w:rPr>
          <w:rFonts w:hint="eastAsia"/>
        </w:rPr>
        <w:t>用于方法识别、定性或定量比较的标准物质或标准样品，包括国家对照品、药典对照品或经确认的工作对照品。</w:t>
      </w:r>
    </w:p>
    <w:p w14:paraId="0EB3EFA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阴性对照 negative control</w:t>
      </w:r>
    </w:p>
    <w:p w14:paraId="657321A7">
      <w:pPr>
        <w:pStyle w:val="56"/>
        <w:spacing w:line="360" w:lineRule="auto"/>
        <w:ind w:firstLine="420"/>
      </w:pPr>
      <w:r>
        <w:rPr>
          <w:rFonts w:hint="eastAsia"/>
        </w:rPr>
        <w:t>用于验证检测体系无非特异性反应或背景干扰的对照样品或对照反应体系。</w:t>
      </w:r>
    </w:p>
    <w:p w14:paraId="606B2D4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阳性对照 positive control</w:t>
      </w:r>
    </w:p>
    <w:p w14:paraId="69557ECE">
      <w:pPr>
        <w:pStyle w:val="56"/>
        <w:spacing w:line="360" w:lineRule="auto"/>
        <w:ind w:firstLine="420"/>
      </w:pPr>
      <w:r>
        <w:rPr>
          <w:rFonts w:hint="eastAsia"/>
        </w:rPr>
        <w:t>用于验证检测体系有效性与灵敏度的对照样品或对照反应体系，其预期结果应为阳性或不符合。</w:t>
      </w:r>
    </w:p>
    <w:p w14:paraId="50248E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检出限 limit of detection</w:t>
      </w:r>
    </w:p>
    <w:p w14:paraId="52CD90EC">
      <w:pPr>
        <w:pStyle w:val="56"/>
        <w:spacing w:line="360" w:lineRule="auto"/>
        <w:ind w:firstLine="420"/>
      </w:pPr>
      <w:r>
        <w:rPr>
          <w:rFonts w:hint="eastAsia"/>
        </w:rPr>
        <w:t>在规定条件下，方法能够检测到目标物存在的最低水平或最低含量（浓度）。</w:t>
      </w:r>
    </w:p>
    <w:p w14:paraId="5E247A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判定阈值 decision threshold</w:t>
      </w:r>
    </w:p>
    <w:p w14:paraId="30719AC3">
      <w:pPr>
        <w:pStyle w:val="56"/>
        <w:spacing w:line="360" w:lineRule="auto"/>
        <w:ind w:firstLine="420"/>
      </w:pPr>
      <w:r>
        <w:rPr>
          <w:rFonts w:hint="eastAsia"/>
        </w:rPr>
        <w:t>用于区分符合与不符合（或阴性与阳性）的数值或判读界限，可由方法学验证、监管要求或风险控制需求确定。</w:t>
      </w:r>
    </w:p>
    <w:p w14:paraId="066C93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样品链 custody chain</w:t>
      </w:r>
    </w:p>
    <w:p w14:paraId="490A2AB4">
      <w:pPr>
        <w:pStyle w:val="56"/>
        <w:spacing w:line="360" w:lineRule="auto"/>
        <w:ind w:firstLine="420"/>
      </w:pPr>
      <w:r>
        <w:rPr>
          <w:rFonts w:hint="eastAsia"/>
        </w:rPr>
        <w:t>围绕样品采集、封样、运输、接收、保存、交接与处置所形成的连续记录与责任链条。</w:t>
      </w:r>
    </w:p>
    <w:p w14:paraId="12B1008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证据链 evidence chain</w:t>
      </w:r>
    </w:p>
    <w:p w14:paraId="11ED0D72">
      <w:pPr>
        <w:pStyle w:val="56"/>
        <w:spacing w:line="360" w:lineRule="auto"/>
        <w:ind w:firstLine="420"/>
      </w:pPr>
      <w:r>
        <w:rPr>
          <w:rFonts w:hint="eastAsia"/>
        </w:rPr>
        <w:t>用于证明数据与结果真实有效的连续记录集合，至少包括采集与操作主体、时间地点、方法与设备信息、原始记录、对照与校验、结果判读依据、流转与审批记录等。</w:t>
      </w:r>
    </w:p>
    <w:p w14:paraId="7FF51FF3">
      <w:pPr>
        <w:pStyle w:val="104"/>
        <w:spacing w:before="240" w:after="240" w:line="360" w:lineRule="auto"/>
      </w:pPr>
      <w:bookmarkStart w:id="51" w:name="_Toc220347087"/>
      <w:r>
        <w:rPr>
          <w:rFonts w:hint="eastAsia"/>
        </w:rPr>
        <w:t>总体要求</w:t>
      </w:r>
      <w:bookmarkEnd w:id="51"/>
    </w:p>
    <w:p w14:paraId="44DCECC2">
      <w:pPr>
        <w:pStyle w:val="105"/>
        <w:spacing w:before="120" w:after="120" w:line="360" w:lineRule="auto"/>
      </w:pPr>
      <w:r>
        <w:rPr>
          <w:rFonts w:hint="eastAsia"/>
        </w:rPr>
        <w:t>基本原则</w:t>
      </w:r>
    </w:p>
    <w:p w14:paraId="712147B3">
      <w:pPr>
        <w:pStyle w:val="56"/>
        <w:spacing w:line="360" w:lineRule="auto"/>
        <w:ind w:firstLine="420"/>
      </w:pPr>
      <w:r>
        <w:rPr>
          <w:rFonts w:hint="eastAsia"/>
        </w:rPr>
        <w:t>药品快速检验应坚持风险导向、依法合规、方法适用、过程受控、结果可解释与证据可追溯的原则。快速检验定位于筛查与分流，应避免将其结果作为最终法定结论直接用于行政处罚或医疗处置的唯一依据；当快速检验提示可疑或不符合时，应按程序开展复核、留样与送检确证，并确保样品链与证据链完整。</w:t>
      </w:r>
    </w:p>
    <w:p w14:paraId="3E401CA1">
      <w:pPr>
        <w:pStyle w:val="105"/>
        <w:spacing w:before="120" w:after="120" w:line="360" w:lineRule="auto"/>
      </w:pPr>
      <w:r>
        <w:rPr>
          <w:rFonts w:hint="eastAsia"/>
        </w:rPr>
        <w:t>组织与职责</w:t>
      </w:r>
    </w:p>
    <w:p w14:paraId="0F9D3F8F">
      <w:pPr>
        <w:pStyle w:val="56"/>
        <w:spacing w:line="360" w:lineRule="auto"/>
        <w:ind w:firstLine="420"/>
      </w:pPr>
      <w:r>
        <w:rPr>
          <w:rFonts w:hint="eastAsia"/>
        </w:rPr>
        <w:t>开展快速检验的单位应明确组织体系与岗位职责，至少包括检验实施人员、复核人员、授权签发或审核人员、样品管理人员以及质量管理与安全管理责任人。岗位职责应覆盖方法选择与变更控制、对照品与耗材管理、仪器设备维护与校准、现场安全防护、异常处置、记录归档与数据安全等内容，并确保关键岗位职责分离，避免“采样—检测—判读—处置”由同一人员全链条独立完成而缺乏复核。</w:t>
      </w:r>
    </w:p>
    <w:p w14:paraId="63796EB9">
      <w:pPr>
        <w:pStyle w:val="105"/>
        <w:spacing w:before="120" w:after="120" w:line="360" w:lineRule="auto"/>
      </w:pPr>
      <w:r>
        <w:rPr>
          <w:rFonts w:hint="eastAsia"/>
        </w:rPr>
        <w:t>方法管理与适用性要求</w:t>
      </w:r>
    </w:p>
    <w:p w14:paraId="546FDD65">
      <w:pPr>
        <w:pStyle w:val="56"/>
        <w:spacing w:line="360" w:lineRule="auto"/>
        <w:ind w:firstLine="420"/>
      </w:pPr>
      <w:r>
        <w:rPr>
          <w:rFonts w:hint="eastAsia"/>
        </w:rPr>
        <w:t>快速检验方法应明确适用范围（剂型、成分类型、目标指标、干扰因素）、性能指标（检出限、特异性、重复性、稳定性）与判定规则，并经过验证或确认后方可用于业务活动。对于新增方法、变更试剂批号或更换关键设备等可能影响结果的情形，应开展影响评估与必要的再确认，确保方法性能持续满足用途要求。对采用商业化快速检测试剂盒或便携设备的，应取得合法来源证明与技术文件，明确储存条件、有效期、批内批间差异控制与不合格处置要求。</w:t>
      </w:r>
    </w:p>
    <w:p w14:paraId="64E173D6">
      <w:pPr>
        <w:pStyle w:val="105"/>
        <w:spacing w:before="120" w:after="120" w:line="360" w:lineRule="auto"/>
      </w:pPr>
      <w:r>
        <w:rPr>
          <w:rFonts w:hint="eastAsia"/>
        </w:rPr>
        <w:t>过程控制与记录要求</w:t>
      </w:r>
    </w:p>
    <w:p w14:paraId="1E8AB2E4">
      <w:pPr>
        <w:pStyle w:val="56"/>
        <w:spacing w:line="360" w:lineRule="auto"/>
        <w:ind w:firstLine="420"/>
      </w:pPr>
      <w:r>
        <w:rPr>
          <w:rFonts w:hint="eastAsia"/>
        </w:rPr>
        <w:t>快速检验全过程应形成可追溯记录，至少包括任务来源、样品信息、采样条件、前处理步骤、方法与设备信息、对照与质控结果、判读依据、复核情况、处置与送检衔接、异常与偏差说明等。记录应做到同步、真实、完整、可辨识，不得事后补记关键步骤；采用电子记录的，应具备身份认证、权限控制、审计追踪与防篡改能力。</w:t>
      </w:r>
    </w:p>
    <w:p w14:paraId="20A4B004">
      <w:pPr>
        <w:pStyle w:val="105"/>
        <w:spacing w:before="120" w:after="120" w:line="360" w:lineRule="auto"/>
      </w:pPr>
      <w:r>
        <w:rPr>
          <w:rFonts w:hint="eastAsia"/>
        </w:rPr>
        <w:t>现场安全与合规要求</w:t>
      </w:r>
    </w:p>
    <w:p w14:paraId="7AF08733">
      <w:pPr>
        <w:pStyle w:val="56"/>
        <w:spacing w:line="360" w:lineRule="auto"/>
        <w:ind w:firstLine="420"/>
      </w:pPr>
      <w:r>
        <w:rPr>
          <w:rFonts w:hint="eastAsia"/>
        </w:rPr>
        <w:t>现场快速检验应识别并控制化学、生物与物理风险，配备必要的个体防护用品与应急物资，规范废弃物分类收集与处置，防止交叉污染与环境污染。涉及个人信息、商业秘密或案件线索的，应落实信息保密与数据安全措施，控制信息传播范围与对外发布口径。</w:t>
      </w:r>
    </w:p>
    <w:p w14:paraId="73461F58">
      <w:pPr>
        <w:pStyle w:val="56"/>
        <w:spacing w:line="360" w:lineRule="auto"/>
        <w:ind w:firstLine="420"/>
      </w:pPr>
    </w:p>
    <w:p w14:paraId="0EA5B0F4">
      <w:pPr>
        <w:pStyle w:val="56"/>
        <w:spacing w:line="360" w:lineRule="auto"/>
        <w:ind w:firstLine="420"/>
      </w:pPr>
    </w:p>
    <w:p w14:paraId="5B276B2F">
      <w:pPr>
        <w:pStyle w:val="56"/>
        <w:spacing w:line="360" w:lineRule="auto"/>
        <w:ind w:firstLine="420"/>
      </w:pPr>
    </w:p>
    <w:p w14:paraId="34FFA566">
      <w:pPr>
        <w:pStyle w:val="104"/>
        <w:spacing w:before="240" w:after="240" w:line="360" w:lineRule="auto"/>
      </w:pPr>
      <w:bookmarkStart w:id="52" w:name="_Toc220347088"/>
      <w:r>
        <w:rPr>
          <w:rFonts w:hint="eastAsia"/>
        </w:rPr>
        <w:t>快速检验方法选择与适用性评估</w:t>
      </w:r>
      <w:bookmarkEnd w:id="52"/>
    </w:p>
    <w:p w14:paraId="71D2CDE0">
      <w:pPr>
        <w:pStyle w:val="105"/>
        <w:spacing w:before="120" w:after="120" w:line="360" w:lineRule="auto"/>
      </w:pPr>
      <w:r>
        <w:rPr>
          <w:rFonts w:hint="eastAsia"/>
        </w:rPr>
        <w:t>一般要求</w:t>
      </w:r>
    </w:p>
    <w:p w14:paraId="7E869E7A">
      <w:pPr>
        <w:pStyle w:val="56"/>
        <w:spacing w:line="360" w:lineRule="auto"/>
        <w:ind w:firstLine="420"/>
      </w:pPr>
      <w:r>
        <w:rPr>
          <w:rFonts w:hint="eastAsia"/>
        </w:rPr>
        <w:t>快速检验方法的选择应以风险研判与监管或内部质量管理目的为导向，综合考虑目标风险点、样品类型与剂型特征、现场条件、时效要求、人员能力与设备保障等因素，形成可执行、可复核的技术路线。方法选择应遵循以下要求：</w:t>
      </w:r>
    </w:p>
    <w:p w14:paraId="0D7A9739">
      <w:pPr>
        <w:pStyle w:val="56"/>
        <w:spacing w:line="360" w:lineRule="auto"/>
        <w:ind w:firstLine="420"/>
      </w:pPr>
      <w:r>
        <w:rPr>
          <w:rFonts w:hint="eastAsia"/>
        </w:rPr>
        <w:t>a) 目的匹配：明确是用于“真伪鉴别、成分识别、含量快速估算、杂质/非法添加筛查、微生物/生物指标筛查、包装标识核验”等哪类目的；</w:t>
      </w:r>
    </w:p>
    <w:p w14:paraId="33082493">
      <w:pPr>
        <w:pStyle w:val="56"/>
        <w:spacing w:line="360" w:lineRule="auto"/>
        <w:ind w:firstLine="420"/>
      </w:pPr>
      <w:r>
        <w:rPr>
          <w:rFonts w:hint="eastAsia"/>
        </w:rPr>
        <w:t>b) 风险适配：优先覆盖高风险品种、重点环节、历史问题多发项目与高敏感人群用药品类；</w:t>
      </w:r>
    </w:p>
    <w:p w14:paraId="5A6FDE16">
      <w:pPr>
        <w:pStyle w:val="56"/>
        <w:spacing w:line="360" w:lineRule="auto"/>
        <w:ind w:firstLine="420"/>
      </w:pPr>
      <w:r>
        <w:rPr>
          <w:rFonts w:hint="eastAsia"/>
        </w:rPr>
        <w:t>c) 性能适配：明确方法的检出限、特异性、抗干扰能力与重复性是否满足筛查需求；</w:t>
      </w:r>
    </w:p>
    <w:p w14:paraId="10A7E529">
      <w:pPr>
        <w:pStyle w:val="56"/>
        <w:spacing w:line="360" w:lineRule="auto"/>
        <w:ind w:firstLine="420"/>
      </w:pPr>
      <w:r>
        <w:rPr>
          <w:rFonts w:hint="eastAsia"/>
        </w:rPr>
        <w:t>d) 现场适配：评估供电、温湿度、光照、空间、通风、网络等条件对方法与设备的影响；</w:t>
      </w:r>
    </w:p>
    <w:p w14:paraId="587AF569">
      <w:pPr>
        <w:pStyle w:val="56"/>
        <w:spacing w:line="360" w:lineRule="auto"/>
        <w:ind w:firstLine="420"/>
      </w:pPr>
      <w:r>
        <w:rPr>
          <w:rFonts w:hint="eastAsia"/>
        </w:rPr>
        <w:t>e) 证据适配：明确快速检验结果在处置流程中的用途边界与所需证据链强度，确保可解释、可追溯。</w:t>
      </w:r>
    </w:p>
    <w:p w14:paraId="3D1B3359">
      <w:pPr>
        <w:pStyle w:val="56"/>
        <w:spacing w:line="360" w:lineRule="auto"/>
        <w:ind w:firstLine="420"/>
      </w:pPr>
      <w:r>
        <w:rPr>
          <w:rFonts w:hint="eastAsia"/>
        </w:rPr>
        <w:t>快速检验方法不得超出其经验证或说明书规定的适用范围。确需扩展适用范围时，应开展方法确认，形成记录并经授权批准后实施。</w:t>
      </w:r>
    </w:p>
    <w:p w14:paraId="7345CCB4">
      <w:pPr>
        <w:pStyle w:val="105"/>
        <w:spacing w:before="120" w:after="120" w:line="360" w:lineRule="auto"/>
      </w:pPr>
      <w:r>
        <w:rPr>
          <w:rFonts w:hint="eastAsia"/>
        </w:rPr>
        <w:t>方法类别与适用场景</w:t>
      </w:r>
    </w:p>
    <w:p w14:paraId="2A62EE40">
      <w:pPr>
        <w:pStyle w:val="56"/>
        <w:spacing w:line="360" w:lineRule="auto"/>
        <w:ind w:firstLine="420"/>
      </w:pPr>
      <w:r>
        <w:rPr>
          <w:rFonts w:hint="eastAsia"/>
        </w:rPr>
        <w:t>快速检验方法可按技术原理与输出形式划分为化学分析类、光谱/光学类、免疫学/生物学类以及信息化核验类等。不同方法在灵敏度、特异性、操作复杂度、对剂型适配性与抗干扰能力方面存在差异，应结合场景进行组合应用，必要时采用“两步法”（快速筛查+复核方法）降低误判风险。快速检验方法类别与典型适用场景见表1。</w:t>
      </w:r>
    </w:p>
    <w:p w14:paraId="305AD961">
      <w:pPr>
        <w:pStyle w:val="112"/>
        <w:spacing w:before="120" w:after="120" w:line="360" w:lineRule="auto"/>
      </w:pPr>
      <w:r>
        <w:rPr>
          <w:rFonts w:hint="eastAsia"/>
        </w:rPr>
        <w:t>快速检验方法类别与典型适用场景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541"/>
        <w:gridCol w:w="1333"/>
        <w:gridCol w:w="1334"/>
        <w:gridCol w:w="1334"/>
        <w:gridCol w:w="1688"/>
        <w:gridCol w:w="980"/>
      </w:tblGrid>
      <w:tr w14:paraId="35F29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70FCAA33">
            <w:pPr>
              <w:pStyle w:val="178"/>
            </w:pPr>
            <w:r>
              <w:rPr>
                <w:rFonts w:hint="eastAsia"/>
              </w:rPr>
              <w:t>方法类别</w:t>
            </w:r>
          </w:p>
        </w:tc>
        <w:tc>
          <w:tcPr>
            <w:tcW w:w="1541" w:type="dxa"/>
            <w:tcBorders>
              <w:top w:val="single" w:color="auto" w:sz="8" w:space="0"/>
              <w:bottom w:val="single" w:color="auto" w:sz="8" w:space="0"/>
            </w:tcBorders>
            <w:vAlign w:val="center"/>
          </w:tcPr>
          <w:p w14:paraId="281A5606">
            <w:pPr>
              <w:pStyle w:val="178"/>
            </w:pPr>
            <w:r>
              <w:rPr>
                <w:rFonts w:hint="eastAsia"/>
              </w:rPr>
              <w:t>典型技术/工具</w:t>
            </w:r>
          </w:p>
        </w:tc>
        <w:tc>
          <w:tcPr>
            <w:tcW w:w="1333" w:type="dxa"/>
            <w:tcBorders>
              <w:top w:val="single" w:color="auto" w:sz="8" w:space="0"/>
              <w:bottom w:val="single" w:color="auto" w:sz="8" w:space="0"/>
            </w:tcBorders>
            <w:vAlign w:val="center"/>
          </w:tcPr>
          <w:p w14:paraId="1562E273">
            <w:pPr>
              <w:pStyle w:val="178"/>
            </w:pPr>
            <w:r>
              <w:rPr>
                <w:rFonts w:hint="eastAsia"/>
              </w:rPr>
              <w:t>适用目标</w:t>
            </w:r>
          </w:p>
        </w:tc>
        <w:tc>
          <w:tcPr>
            <w:tcW w:w="1334" w:type="dxa"/>
            <w:tcBorders>
              <w:top w:val="single" w:color="auto" w:sz="8" w:space="0"/>
              <w:bottom w:val="single" w:color="auto" w:sz="8" w:space="0"/>
            </w:tcBorders>
            <w:vAlign w:val="center"/>
          </w:tcPr>
          <w:p w14:paraId="0D960715">
            <w:pPr>
              <w:pStyle w:val="178"/>
            </w:pPr>
            <w:r>
              <w:rPr>
                <w:rFonts w:hint="eastAsia"/>
              </w:rPr>
              <w:t>适用剂型与样品形态</w:t>
            </w:r>
          </w:p>
        </w:tc>
        <w:tc>
          <w:tcPr>
            <w:tcW w:w="1334" w:type="dxa"/>
            <w:tcBorders>
              <w:top w:val="single" w:color="auto" w:sz="8" w:space="0"/>
              <w:bottom w:val="single" w:color="auto" w:sz="8" w:space="0"/>
            </w:tcBorders>
            <w:vAlign w:val="center"/>
          </w:tcPr>
          <w:p w14:paraId="4F9A7809">
            <w:pPr>
              <w:pStyle w:val="178"/>
            </w:pPr>
            <w:r>
              <w:rPr>
                <w:rFonts w:hint="eastAsia"/>
              </w:rPr>
              <w:t>优势</w:t>
            </w:r>
          </w:p>
        </w:tc>
        <w:tc>
          <w:tcPr>
            <w:tcW w:w="1688" w:type="dxa"/>
            <w:tcBorders>
              <w:top w:val="single" w:color="auto" w:sz="8" w:space="0"/>
              <w:bottom w:val="single" w:color="auto" w:sz="8" w:space="0"/>
            </w:tcBorders>
            <w:vAlign w:val="center"/>
          </w:tcPr>
          <w:p w14:paraId="73FBCF14">
            <w:pPr>
              <w:pStyle w:val="178"/>
            </w:pPr>
            <w:r>
              <w:rPr>
                <w:rFonts w:hint="eastAsia"/>
              </w:rPr>
              <w:t>局限与风险点</w:t>
            </w:r>
          </w:p>
        </w:tc>
        <w:tc>
          <w:tcPr>
            <w:tcW w:w="980" w:type="dxa"/>
            <w:tcBorders>
              <w:top w:val="single" w:color="auto" w:sz="8" w:space="0"/>
              <w:bottom w:val="single" w:color="auto" w:sz="8" w:space="0"/>
            </w:tcBorders>
            <w:vAlign w:val="center"/>
          </w:tcPr>
          <w:p w14:paraId="1E441BFE">
            <w:pPr>
              <w:pStyle w:val="178"/>
            </w:pPr>
            <w:r>
              <w:rPr>
                <w:rFonts w:hint="eastAsia"/>
              </w:rPr>
              <w:t>典型输出</w:t>
            </w:r>
          </w:p>
        </w:tc>
      </w:tr>
      <w:tr w14:paraId="1FE33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37A98DC4">
            <w:pPr>
              <w:pStyle w:val="178"/>
            </w:pPr>
            <w:r>
              <w:rPr>
                <w:rFonts w:hint="eastAsia"/>
              </w:rPr>
              <w:t>薄层色谱快速筛查</w:t>
            </w:r>
          </w:p>
        </w:tc>
        <w:tc>
          <w:tcPr>
            <w:tcW w:w="1541" w:type="dxa"/>
            <w:tcBorders>
              <w:top w:val="single" w:color="auto" w:sz="8" w:space="0"/>
            </w:tcBorders>
            <w:vAlign w:val="center"/>
          </w:tcPr>
          <w:p w14:paraId="7EB06500">
            <w:pPr>
              <w:pStyle w:val="178"/>
            </w:pPr>
            <w:r>
              <w:rPr>
                <w:rFonts w:hint="eastAsia"/>
              </w:rPr>
              <w:t>tlc快速展开、显色/紫外判读</w:t>
            </w:r>
          </w:p>
        </w:tc>
        <w:tc>
          <w:tcPr>
            <w:tcW w:w="1333" w:type="dxa"/>
            <w:tcBorders>
              <w:top w:val="single" w:color="auto" w:sz="8" w:space="0"/>
            </w:tcBorders>
            <w:vAlign w:val="center"/>
          </w:tcPr>
          <w:p w14:paraId="501FB82C">
            <w:pPr>
              <w:pStyle w:val="178"/>
            </w:pPr>
            <w:r>
              <w:rPr>
                <w:rFonts w:hint="eastAsia"/>
              </w:rPr>
              <w:t>真伪鉴别、主成分识别、非法添加初筛</w:t>
            </w:r>
          </w:p>
        </w:tc>
        <w:tc>
          <w:tcPr>
            <w:tcW w:w="1334" w:type="dxa"/>
            <w:tcBorders>
              <w:top w:val="single" w:color="auto" w:sz="8" w:space="0"/>
            </w:tcBorders>
            <w:vAlign w:val="center"/>
          </w:tcPr>
          <w:p w14:paraId="6BE93D88">
            <w:pPr>
              <w:pStyle w:val="178"/>
            </w:pPr>
            <w:r>
              <w:rPr>
                <w:rFonts w:hint="eastAsia"/>
              </w:rPr>
              <w:t>片剂、胶囊、散剂、部分注射剂/口服液（经前处理）</w:t>
            </w:r>
          </w:p>
        </w:tc>
        <w:tc>
          <w:tcPr>
            <w:tcW w:w="1334" w:type="dxa"/>
            <w:tcBorders>
              <w:top w:val="single" w:color="auto" w:sz="8" w:space="0"/>
            </w:tcBorders>
            <w:vAlign w:val="center"/>
          </w:tcPr>
          <w:p w14:paraId="6DEA8A88">
            <w:pPr>
              <w:pStyle w:val="178"/>
            </w:pPr>
            <w:r>
              <w:rPr>
                <w:rFonts w:hint="eastAsia"/>
              </w:rPr>
              <w:t>成本低、可视化强、适配性较广</w:t>
            </w:r>
          </w:p>
        </w:tc>
        <w:tc>
          <w:tcPr>
            <w:tcW w:w="1688" w:type="dxa"/>
            <w:tcBorders>
              <w:top w:val="single" w:color="auto" w:sz="8" w:space="0"/>
            </w:tcBorders>
            <w:vAlign w:val="center"/>
          </w:tcPr>
          <w:p w14:paraId="59D1749F">
            <w:pPr>
              <w:pStyle w:val="178"/>
            </w:pPr>
            <w:r>
              <w:rPr>
                <w:rFonts w:hint="eastAsia"/>
              </w:rPr>
              <w:t>前处理与展开条件影响大；判读主观；干扰条带可能导致误判</w:t>
            </w:r>
          </w:p>
        </w:tc>
        <w:tc>
          <w:tcPr>
            <w:tcW w:w="980" w:type="dxa"/>
            <w:tcBorders>
              <w:top w:val="single" w:color="auto" w:sz="8" w:space="0"/>
            </w:tcBorders>
            <w:vAlign w:val="center"/>
          </w:tcPr>
          <w:p w14:paraId="5373E348">
            <w:pPr>
              <w:pStyle w:val="178"/>
            </w:pPr>
            <w:r>
              <w:rPr>
                <w:rFonts w:hint="eastAsia"/>
              </w:rPr>
              <w:t>符合/可疑/不符合（图像+判读记录）</w:t>
            </w:r>
          </w:p>
        </w:tc>
      </w:tr>
      <w:tr w14:paraId="230B5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A526EFB">
            <w:pPr>
              <w:pStyle w:val="178"/>
            </w:pPr>
            <w:r>
              <w:rPr>
                <w:rFonts w:hint="eastAsia"/>
              </w:rPr>
              <w:t>便携光谱</w:t>
            </w:r>
          </w:p>
        </w:tc>
        <w:tc>
          <w:tcPr>
            <w:tcW w:w="1541" w:type="dxa"/>
            <w:vAlign w:val="center"/>
          </w:tcPr>
          <w:p w14:paraId="77789375">
            <w:pPr>
              <w:pStyle w:val="178"/>
            </w:pPr>
            <w:r>
              <w:rPr>
                <w:rFonts w:hint="eastAsia"/>
              </w:rPr>
              <w:t>raman、nir、ftir便携设备</w:t>
            </w:r>
          </w:p>
        </w:tc>
        <w:tc>
          <w:tcPr>
            <w:tcW w:w="1333" w:type="dxa"/>
            <w:vAlign w:val="center"/>
          </w:tcPr>
          <w:p w14:paraId="67BDEE81">
            <w:pPr>
              <w:pStyle w:val="178"/>
            </w:pPr>
            <w:r>
              <w:rPr>
                <w:rFonts w:hint="eastAsia"/>
              </w:rPr>
              <w:t>真伪鉴别、处方一致性初判</w:t>
            </w:r>
          </w:p>
        </w:tc>
        <w:tc>
          <w:tcPr>
            <w:tcW w:w="1334" w:type="dxa"/>
            <w:vAlign w:val="center"/>
          </w:tcPr>
          <w:p w14:paraId="7C73C691">
            <w:pPr>
              <w:pStyle w:val="178"/>
            </w:pPr>
            <w:r>
              <w:rPr>
                <w:rFonts w:hint="eastAsia"/>
              </w:rPr>
              <w:t>固体制剂、原辅料、部分包装内检测</w:t>
            </w:r>
          </w:p>
        </w:tc>
        <w:tc>
          <w:tcPr>
            <w:tcW w:w="1334" w:type="dxa"/>
            <w:vAlign w:val="center"/>
          </w:tcPr>
          <w:p w14:paraId="0095A49D">
            <w:pPr>
              <w:pStyle w:val="178"/>
            </w:pPr>
            <w:r>
              <w:rPr>
                <w:rFonts w:hint="eastAsia"/>
              </w:rPr>
              <w:t>速度快、非破坏、可现场库比对</w:t>
            </w:r>
          </w:p>
        </w:tc>
        <w:tc>
          <w:tcPr>
            <w:tcW w:w="1688" w:type="dxa"/>
            <w:vAlign w:val="center"/>
          </w:tcPr>
          <w:p w14:paraId="07D8B8EF">
            <w:pPr>
              <w:pStyle w:val="178"/>
            </w:pPr>
            <w:r>
              <w:rPr>
                <w:rFonts w:hint="eastAsia"/>
              </w:rPr>
              <w:t>光谱库质量决定可靠性；基质干扰；需规范建库与更新</w:t>
            </w:r>
          </w:p>
        </w:tc>
        <w:tc>
          <w:tcPr>
            <w:tcW w:w="980" w:type="dxa"/>
            <w:vAlign w:val="center"/>
          </w:tcPr>
          <w:p w14:paraId="203B6E83">
            <w:pPr>
              <w:pStyle w:val="178"/>
            </w:pPr>
            <w:r>
              <w:rPr>
                <w:rFonts w:hint="eastAsia"/>
              </w:rPr>
              <w:t>匹配度/相似度+判定</w:t>
            </w:r>
          </w:p>
        </w:tc>
      </w:tr>
      <w:tr w14:paraId="21FD9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4979DEA">
            <w:pPr>
              <w:pStyle w:val="178"/>
            </w:pPr>
            <w:r>
              <w:rPr>
                <w:rFonts w:hint="eastAsia"/>
              </w:rPr>
              <w:t>比色/试纸条</w:t>
            </w:r>
          </w:p>
        </w:tc>
        <w:tc>
          <w:tcPr>
            <w:tcW w:w="1541" w:type="dxa"/>
            <w:vAlign w:val="center"/>
          </w:tcPr>
          <w:p w14:paraId="4791D098">
            <w:pPr>
              <w:pStyle w:val="178"/>
            </w:pPr>
            <w:r>
              <w:rPr>
                <w:rFonts w:hint="eastAsia"/>
              </w:rPr>
              <w:t>试纸条、比色卡、简单滴定</w:t>
            </w:r>
          </w:p>
        </w:tc>
        <w:tc>
          <w:tcPr>
            <w:tcW w:w="1333" w:type="dxa"/>
            <w:vAlign w:val="center"/>
          </w:tcPr>
          <w:p w14:paraId="3FFC2A5A">
            <w:pPr>
              <w:pStyle w:val="178"/>
            </w:pPr>
            <w:r>
              <w:rPr>
                <w:rFonts w:hint="eastAsia"/>
              </w:rPr>
              <w:t>特定离子/特征基团、部分非法添加筛查</w:t>
            </w:r>
          </w:p>
        </w:tc>
        <w:tc>
          <w:tcPr>
            <w:tcW w:w="1334" w:type="dxa"/>
            <w:vAlign w:val="center"/>
          </w:tcPr>
          <w:p w14:paraId="47F199A8">
            <w:pPr>
              <w:pStyle w:val="178"/>
            </w:pPr>
            <w:r>
              <w:rPr>
                <w:rFonts w:hint="eastAsia"/>
              </w:rPr>
              <w:t>液体/溶液状态更适配</w:t>
            </w:r>
          </w:p>
        </w:tc>
        <w:tc>
          <w:tcPr>
            <w:tcW w:w="1334" w:type="dxa"/>
            <w:vAlign w:val="center"/>
          </w:tcPr>
          <w:p w14:paraId="1AA0AF81">
            <w:pPr>
              <w:pStyle w:val="178"/>
            </w:pPr>
            <w:r>
              <w:rPr>
                <w:rFonts w:hint="eastAsia"/>
              </w:rPr>
              <w:t>操作简便、时间短、设备需求低</w:t>
            </w:r>
          </w:p>
        </w:tc>
        <w:tc>
          <w:tcPr>
            <w:tcW w:w="1688" w:type="dxa"/>
            <w:vAlign w:val="center"/>
          </w:tcPr>
          <w:p w14:paraId="2179A9CD">
            <w:pPr>
              <w:pStyle w:val="178"/>
            </w:pPr>
            <w:r>
              <w:rPr>
                <w:rFonts w:hint="eastAsia"/>
              </w:rPr>
              <w:t>特异性有限；颜色判读受光照影响；假阳性/假阴性风险</w:t>
            </w:r>
          </w:p>
        </w:tc>
        <w:tc>
          <w:tcPr>
            <w:tcW w:w="980" w:type="dxa"/>
            <w:vAlign w:val="center"/>
          </w:tcPr>
          <w:p w14:paraId="5373F151">
            <w:pPr>
              <w:pStyle w:val="178"/>
            </w:pPr>
            <w:r>
              <w:rPr>
                <w:rFonts w:hint="eastAsia"/>
              </w:rPr>
              <w:t>阈值判定或半定量</w:t>
            </w:r>
          </w:p>
        </w:tc>
      </w:tr>
      <w:tr w14:paraId="0055B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826B370">
            <w:pPr>
              <w:pStyle w:val="178"/>
            </w:pPr>
            <w:r>
              <w:rPr>
                <w:rFonts w:hint="eastAsia"/>
              </w:rPr>
              <w:t>免疫层析</w:t>
            </w:r>
          </w:p>
        </w:tc>
        <w:tc>
          <w:tcPr>
            <w:tcW w:w="1541" w:type="dxa"/>
            <w:vAlign w:val="center"/>
          </w:tcPr>
          <w:p w14:paraId="1FBE7FF2">
            <w:pPr>
              <w:pStyle w:val="178"/>
            </w:pPr>
            <w:r>
              <w:rPr>
                <w:rFonts w:hint="eastAsia"/>
              </w:rPr>
              <w:t>胶体金、荧光免疫层析</w:t>
            </w:r>
          </w:p>
        </w:tc>
        <w:tc>
          <w:tcPr>
            <w:tcW w:w="1333" w:type="dxa"/>
            <w:vAlign w:val="center"/>
          </w:tcPr>
          <w:p w14:paraId="6A3F197D">
            <w:pPr>
              <w:pStyle w:val="178"/>
            </w:pPr>
            <w:r>
              <w:rPr>
                <w:rFonts w:hint="eastAsia"/>
              </w:rPr>
              <w:t>特定标志物、部分生物成分/杂质</w:t>
            </w:r>
          </w:p>
        </w:tc>
        <w:tc>
          <w:tcPr>
            <w:tcW w:w="1334" w:type="dxa"/>
            <w:vAlign w:val="center"/>
          </w:tcPr>
          <w:p w14:paraId="11C1C18E">
            <w:pPr>
              <w:pStyle w:val="178"/>
            </w:pPr>
            <w:r>
              <w:rPr>
                <w:rFonts w:hint="eastAsia"/>
              </w:rPr>
              <w:t>适用对象依试剂盒设计</w:t>
            </w:r>
          </w:p>
        </w:tc>
        <w:tc>
          <w:tcPr>
            <w:tcW w:w="1334" w:type="dxa"/>
            <w:vAlign w:val="center"/>
          </w:tcPr>
          <w:p w14:paraId="512B22B3">
            <w:pPr>
              <w:pStyle w:val="178"/>
            </w:pPr>
            <w:r>
              <w:rPr>
                <w:rFonts w:hint="eastAsia"/>
              </w:rPr>
              <w:t>便携、快速、对操作者依赖较低</w:t>
            </w:r>
          </w:p>
        </w:tc>
        <w:tc>
          <w:tcPr>
            <w:tcW w:w="1688" w:type="dxa"/>
            <w:vAlign w:val="center"/>
          </w:tcPr>
          <w:p w14:paraId="7EDF1D1E">
            <w:pPr>
              <w:pStyle w:val="178"/>
            </w:pPr>
            <w:r>
              <w:rPr>
                <w:rFonts w:hint="eastAsia"/>
              </w:rPr>
              <w:t>交叉反应与基质效应；批间差；需严格质控</w:t>
            </w:r>
          </w:p>
        </w:tc>
        <w:tc>
          <w:tcPr>
            <w:tcW w:w="980" w:type="dxa"/>
            <w:vAlign w:val="center"/>
          </w:tcPr>
          <w:p w14:paraId="506CFDE9">
            <w:pPr>
              <w:pStyle w:val="178"/>
            </w:pPr>
            <w:r>
              <w:rPr>
                <w:rFonts w:hint="eastAsia"/>
              </w:rPr>
              <w:t>阳性/阴性/可疑</w:t>
            </w:r>
          </w:p>
        </w:tc>
      </w:tr>
      <w:tr w14:paraId="07796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bottom w:val="single" w:color="auto" w:sz="8" w:space="0"/>
            </w:tcBorders>
            <w:vAlign w:val="center"/>
          </w:tcPr>
          <w:p w14:paraId="726BBA07">
            <w:pPr>
              <w:pStyle w:val="178"/>
            </w:pPr>
            <w:r>
              <w:rPr>
                <w:rFonts w:hint="eastAsia"/>
              </w:rPr>
              <w:t>信息化核验</w:t>
            </w:r>
          </w:p>
        </w:tc>
        <w:tc>
          <w:tcPr>
            <w:tcW w:w="1541" w:type="dxa"/>
            <w:tcBorders>
              <w:bottom w:val="single" w:color="auto" w:sz="8" w:space="0"/>
            </w:tcBorders>
            <w:vAlign w:val="center"/>
          </w:tcPr>
          <w:p w14:paraId="29CC826D">
            <w:pPr>
              <w:pStyle w:val="178"/>
            </w:pPr>
            <w:r>
              <w:rPr>
                <w:rFonts w:hint="eastAsia"/>
              </w:rPr>
              <w:t>追溯码核验、包装防伪、数据库比对</w:t>
            </w:r>
          </w:p>
        </w:tc>
        <w:tc>
          <w:tcPr>
            <w:tcW w:w="1333" w:type="dxa"/>
            <w:tcBorders>
              <w:bottom w:val="single" w:color="auto" w:sz="8" w:space="0"/>
            </w:tcBorders>
            <w:vAlign w:val="center"/>
          </w:tcPr>
          <w:p w14:paraId="25B45668">
            <w:pPr>
              <w:pStyle w:val="178"/>
            </w:pPr>
            <w:r>
              <w:rPr>
                <w:rFonts w:hint="eastAsia"/>
              </w:rPr>
              <w:t>来源核验、流通合法性、包装一致性</w:t>
            </w:r>
          </w:p>
        </w:tc>
        <w:tc>
          <w:tcPr>
            <w:tcW w:w="1334" w:type="dxa"/>
            <w:tcBorders>
              <w:bottom w:val="single" w:color="auto" w:sz="8" w:space="0"/>
            </w:tcBorders>
            <w:vAlign w:val="center"/>
          </w:tcPr>
          <w:p w14:paraId="1263A036">
            <w:pPr>
              <w:pStyle w:val="178"/>
            </w:pPr>
            <w:r>
              <w:rPr>
                <w:rFonts w:hint="eastAsia"/>
              </w:rPr>
              <w:t>包装与标签信息</w:t>
            </w:r>
          </w:p>
        </w:tc>
        <w:tc>
          <w:tcPr>
            <w:tcW w:w="1334" w:type="dxa"/>
            <w:tcBorders>
              <w:bottom w:val="single" w:color="auto" w:sz="8" w:space="0"/>
            </w:tcBorders>
            <w:vAlign w:val="center"/>
          </w:tcPr>
          <w:p w14:paraId="1305F596">
            <w:pPr>
              <w:pStyle w:val="178"/>
            </w:pPr>
            <w:r>
              <w:rPr>
                <w:rFonts w:hint="eastAsia"/>
              </w:rPr>
              <w:t>非检验但可快速定位风险批次</w:t>
            </w:r>
          </w:p>
        </w:tc>
        <w:tc>
          <w:tcPr>
            <w:tcW w:w="1688" w:type="dxa"/>
            <w:tcBorders>
              <w:bottom w:val="single" w:color="auto" w:sz="8" w:space="0"/>
            </w:tcBorders>
            <w:vAlign w:val="center"/>
          </w:tcPr>
          <w:p w14:paraId="66AB3748">
            <w:pPr>
              <w:pStyle w:val="178"/>
            </w:pPr>
            <w:r>
              <w:rPr>
                <w:rFonts w:hint="eastAsia"/>
              </w:rPr>
              <w:t>依赖数据源与网络；不能替代质量检测</w:t>
            </w:r>
          </w:p>
        </w:tc>
        <w:tc>
          <w:tcPr>
            <w:tcW w:w="980" w:type="dxa"/>
            <w:tcBorders>
              <w:bottom w:val="single" w:color="auto" w:sz="8" w:space="0"/>
            </w:tcBorders>
            <w:vAlign w:val="center"/>
          </w:tcPr>
          <w:p w14:paraId="5174C369">
            <w:pPr>
              <w:pStyle w:val="178"/>
            </w:pPr>
            <w:r>
              <w:rPr>
                <w:rFonts w:hint="eastAsia"/>
              </w:rPr>
              <w:t>核验通过/异常</w:t>
            </w:r>
          </w:p>
        </w:tc>
      </w:tr>
    </w:tbl>
    <w:p w14:paraId="01243452">
      <w:pPr>
        <w:pStyle w:val="56"/>
        <w:spacing w:before="120" w:beforeLines="50" w:after="120" w:afterLines="50"/>
        <w:ind w:firstLine="0" w:firstLineChars="0"/>
        <w:jc w:val="center"/>
        <w:rPr>
          <w:rFonts w:ascii="黑体" w:hAnsi="黑体" w:eastAsia="黑体"/>
        </w:rPr>
      </w:pPr>
      <w:r>
        <w:rPr>
          <w:rFonts w:hint="eastAsia" w:ascii="黑体" w:hAnsi="黑体" w:eastAsia="黑体"/>
        </w:rPr>
        <w:t>表1  快速检验方法类别与典型适用场景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541"/>
        <w:gridCol w:w="1333"/>
        <w:gridCol w:w="1334"/>
        <w:gridCol w:w="1334"/>
        <w:gridCol w:w="1688"/>
        <w:gridCol w:w="980"/>
      </w:tblGrid>
      <w:tr w14:paraId="24A91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4F7D679">
            <w:pPr>
              <w:pStyle w:val="178"/>
            </w:pPr>
            <w:r>
              <w:rPr>
                <w:rFonts w:hint="eastAsia"/>
              </w:rPr>
              <w:t>方法类别</w:t>
            </w:r>
          </w:p>
        </w:tc>
        <w:tc>
          <w:tcPr>
            <w:tcW w:w="1541" w:type="dxa"/>
            <w:tcBorders>
              <w:top w:val="single" w:color="auto" w:sz="8" w:space="0"/>
              <w:bottom w:val="single" w:color="auto" w:sz="8" w:space="0"/>
            </w:tcBorders>
            <w:vAlign w:val="center"/>
          </w:tcPr>
          <w:p w14:paraId="12EBD201">
            <w:pPr>
              <w:pStyle w:val="178"/>
            </w:pPr>
            <w:r>
              <w:rPr>
                <w:rFonts w:hint="eastAsia"/>
              </w:rPr>
              <w:t>典型技术/工具</w:t>
            </w:r>
          </w:p>
        </w:tc>
        <w:tc>
          <w:tcPr>
            <w:tcW w:w="1333" w:type="dxa"/>
            <w:tcBorders>
              <w:top w:val="single" w:color="auto" w:sz="8" w:space="0"/>
              <w:bottom w:val="single" w:color="auto" w:sz="8" w:space="0"/>
            </w:tcBorders>
            <w:vAlign w:val="center"/>
          </w:tcPr>
          <w:p w14:paraId="7BE41A78">
            <w:pPr>
              <w:pStyle w:val="178"/>
            </w:pPr>
            <w:r>
              <w:rPr>
                <w:rFonts w:hint="eastAsia"/>
              </w:rPr>
              <w:t>适用目标</w:t>
            </w:r>
          </w:p>
        </w:tc>
        <w:tc>
          <w:tcPr>
            <w:tcW w:w="1334" w:type="dxa"/>
            <w:tcBorders>
              <w:top w:val="single" w:color="auto" w:sz="8" w:space="0"/>
              <w:bottom w:val="single" w:color="auto" w:sz="8" w:space="0"/>
            </w:tcBorders>
            <w:vAlign w:val="center"/>
          </w:tcPr>
          <w:p w14:paraId="78D870F1">
            <w:pPr>
              <w:pStyle w:val="178"/>
            </w:pPr>
            <w:r>
              <w:rPr>
                <w:rFonts w:hint="eastAsia"/>
              </w:rPr>
              <w:t>适用剂型与样品形态</w:t>
            </w:r>
          </w:p>
        </w:tc>
        <w:tc>
          <w:tcPr>
            <w:tcW w:w="1334" w:type="dxa"/>
            <w:tcBorders>
              <w:top w:val="single" w:color="auto" w:sz="8" w:space="0"/>
              <w:bottom w:val="single" w:color="auto" w:sz="8" w:space="0"/>
            </w:tcBorders>
            <w:vAlign w:val="center"/>
          </w:tcPr>
          <w:p w14:paraId="2271B76D">
            <w:pPr>
              <w:pStyle w:val="178"/>
            </w:pPr>
            <w:r>
              <w:rPr>
                <w:rFonts w:hint="eastAsia"/>
              </w:rPr>
              <w:t>优势</w:t>
            </w:r>
          </w:p>
        </w:tc>
        <w:tc>
          <w:tcPr>
            <w:tcW w:w="1688" w:type="dxa"/>
            <w:tcBorders>
              <w:top w:val="single" w:color="auto" w:sz="8" w:space="0"/>
              <w:bottom w:val="single" w:color="auto" w:sz="8" w:space="0"/>
            </w:tcBorders>
            <w:vAlign w:val="center"/>
          </w:tcPr>
          <w:p w14:paraId="7F969D65">
            <w:pPr>
              <w:pStyle w:val="178"/>
            </w:pPr>
            <w:r>
              <w:rPr>
                <w:rFonts w:hint="eastAsia"/>
              </w:rPr>
              <w:t>局限与风险点</w:t>
            </w:r>
          </w:p>
        </w:tc>
        <w:tc>
          <w:tcPr>
            <w:tcW w:w="980" w:type="dxa"/>
            <w:tcBorders>
              <w:top w:val="single" w:color="auto" w:sz="8" w:space="0"/>
              <w:bottom w:val="single" w:color="auto" w:sz="8" w:space="0"/>
            </w:tcBorders>
            <w:vAlign w:val="center"/>
          </w:tcPr>
          <w:p w14:paraId="502132DD">
            <w:pPr>
              <w:pStyle w:val="178"/>
            </w:pPr>
            <w:r>
              <w:rPr>
                <w:rFonts w:hint="eastAsia"/>
              </w:rPr>
              <w:t>典型输出</w:t>
            </w:r>
          </w:p>
        </w:tc>
      </w:tr>
      <w:tr w14:paraId="39516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vAlign w:val="center"/>
          </w:tcPr>
          <w:p w14:paraId="764E6A4F">
            <w:pPr>
              <w:pStyle w:val="179"/>
            </w:pPr>
            <w:r>
              <w:rPr>
                <w:rFonts w:hint="eastAsia"/>
              </w:rPr>
              <w:t>表中方法为示例分类。具体方法选择应以现行药典、监管技术要求、试剂/设备说明书及本单位验证确认结果为依据。</w:t>
            </w:r>
          </w:p>
        </w:tc>
      </w:tr>
    </w:tbl>
    <w:p w14:paraId="22BAF48E">
      <w:pPr>
        <w:pStyle w:val="105"/>
        <w:spacing w:before="120" w:after="120" w:line="360" w:lineRule="auto"/>
      </w:pPr>
      <w:r>
        <w:rPr>
          <w:rFonts w:hint="eastAsia"/>
        </w:rPr>
        <w:t>方法适用性评估</w:t>
      </w:r>
    </w:p>
    <w:p w14:paraId="19E01A60">
      <w:pPr>
        <w:pStyle w:val="56"/>
        <w:spacing w:line="360" w:lineRule="auto"/>
        <w:ind w:firstLine="420"/>
      </w:pPr>
      <w:r>
        <w:rPr>
          <w:rFonts w:hint="eastAsia"/>
        </w:rPr>
        <w:t>在首次应用或重大变更前，应开展适用性评估，至少包括以下内容并形成记录：</w:t>
      </w:r>
    </w:p>
    <w:p w14:paraId="4560A68C">
      <w:pPr>
        <w:pStyle w:val="56"/>
        <w:spacing w:line="360" w:lineRule="auto"/>
        <w:ind w:firstLine="420"/>
      </w:pPr>
      <w:r>
        <w:rPr>
          <w:rFonts w:hint="eastAsia"/>
        </w:rPr>
        <w:t>a) 目标指标与判定阈值：明确筛查指标、阈值来源与判读规则；</w:t>
      </w:r>
    </w:p>
    <w:p w14:paraId="27E22240">
      <w:pPr>
        <w:pStyle w:val="56"/>
        <w:spacing w:line="360" w:lineRule="auto"/>
        <w:ind w:firstLine="420"/>
      </w:pPr>
      <w:r>
        <w:rPr>
          <w:rFonts w:hint="eastAsia"/>
        </w:rPr>
        <w:t>b) 样品基质与剂型适配：评估辅料、包衣、溶剂、色素、黏度等对结果的干扰；</w:t>
      </w:r>
    </w:p>
    <w:p w14:paraId="2948BF7A">
      <w:pPr>
        <w:pStyle w:val="56"/>
        <w:spacing w:line="360" w:lineRule="auto"/>
        <w:ind w:firstLine="420"/>
      </w:pPr>
      <w:r>
        <w:rPr>
          <w:rFonts w:hint="eastAsia"/>
        </w:rPr>
        <w:t>c) 检出能力与误判风险：结合历史风险水平与监管需求，评估假阳性/假阴性后果；</w:t>
      </w:r>
    </w:p>
    <w:p w14:paraId="66E67712">
      <w:pPr>
        <w:pStyle w:val="56"/>
        <w:spacing w:line="360" w:lineRule="auto"/>
        <w:ind w:firstLine="420"/>
      </w:pPr>
      <w:r>
        <w:rPr>
          <w:rFonts w:hint="eastAsia"/>
        </w:rPr>
        <w:t>d) 现场条件影响：温湿度、光照、振动、电磁干扰、粉尘与通风等对方法的影响；</w:t>
      </w:r>
    </w:p>
    <w:p w14:paraId="3272DFE1">
      <w:pPr>
        <w:pStyle w:val="56"/>
        <w:spacing w:line="360" w:lineRule="auto"/>
        <w:ind w:firstLine="420"/>
      </w:pPr>
      <w:r>
        <w:rPr>
          <w:rFonts w:hint="eastAsia"/>
        </w:rPr>
        <w:t>e) 对照与质控方案：确定阴阳性对照、空白对照、重复测定与接受准则；</w:t>
      </w:r>
    </w:p>
    <w:p w14:paraId="7C039B9E">
      <w:pPr>
        <w:pStyle w:val="56"/>
        <w:spacing w:line="360" w:lineRule="auto"/>
        <w:ind w:firstLine="420"/>
      </w:pPr>
      <w:r>
        <w:rPr>
          <w:rFonts w:hint="eastAsia"/>
        </w:rPr>
        <w:t>f) 人员能力与培训：明确操作步骤要点、判读标准与能力考核方式；</w:t>
      </w:r>
    </w:p>
    <w:p w14:paraId="5ABC01C8">
      <w:pPr>
        <w:pStyle w:val="56"/>
        <w:spacing w:line="360" w:lineRule="auto"/>
        <w:ind w:firstLine="420"/>
      </w:pPr>
      <w:r>
        <w:rPr>
          <w:rFonts w:hint="eastAsia"/>
        </w:rPr>
        <w:t>g) 安全与废弃物处置：评估试剂危险性、挥发性、毒性与废液处置要求。</w:t>
      </w:r>
    </w:p>
    <w:p w14:paraId="20EB8D84">
      <w:pPr>
        <w:pStyle w:val="56"/>
        <w:spacing w:line="360" w:lineRule="auto"/>
        <w:ind w:firstLine="420"/>
      </w:pPr>
      <w:r>
        <w:rPr>
          <w:rFonts w:hint="eastAsia"/>
        </w:rPr>
        <w:t>适用性评估可采用文献与说明书审查、对照样本验证、模拟现场条件测试、交叉比对等方式进行。对结果受主观影响较大的方法，应建立标准图谱/标准色阶或采用双人判读与一致性检验。</w:t>
      </w:r>
    </w:p>
    <w:p w14:paraId="3B2B3227">
      <w:pPr>
        <w:pStyle w:val="105"/>
        <w:spacing w:before="120" w:after="120" w:line="360" w:lineRule="auto"/>
      </w:pPr>
      <w:r>
        <w:rPr>
          <w:rFonts w:hint="eastAsia"/>
        </w:rPr>
        <w:t>方法确认与变更控制</w:t>
      </w:r>
    </w:p>
    <w:p w14:paraId="2ED68865">
      <w:pPr>
        <w:pStyle w:val="56"/>
        <w:spacing w:line="360" w:lineRule="auto"/>
        <w:ind w:firstLine="420"/>
      </w:pPr>
      <w:r>
        <w:rPr>
          <w:rFonts w:hint="eastAsia"/>
        </w:rPr>
        <w:t>对自建或改良方法，以及对商业化方法进行扩展使用的，应开展方法确认，至少验证重复性、检出能力、抗干扰能力与判定一致性。</w:t>
      </w:r>
    </w:p>
    <w:p w14:paraId="773B565E">
      <w:pPr>
        <w:pStyle w:val="56"/>
        <w:spacing w:line="360" w:lineRule="auto"/>
        <w:ind w:firstLine="420"/>
      </w:pPr>
      <w:r>
        <w:rPr>
          <w:rFonts w:hint="eastAsia"/>
        </w:rPr>
        <w:t>对关键要素变更（对照品来源或批号、试剂盒批号更换、仪器更换或固件升级、光谱库更新、关键参数调整等）应进行影响评估；必要时开展再确认。</w:t>
      </w:r>
    </w:p>
    <w:p w14:paraId="3A6D3F85">
      <w:pPr>
        <w:pStyle w:val="56"/>
        <w:spacing w:line="360" w:lineRule="auto"/>
        <w:ind w:firstLine="420"/>
      </w:pPr>
      <w:r>
        <w:rPr>
          <w:rFonts w:hint="eastAsia"/>
        </w:rPr>
        <w:t>方法文件（sop）应受控发布，版本号明确；作废版本应可追溯但不得继续使用。</w:t>
      </w:r>
    </w:p>
    <w:p w14:paraId="5ABF70F0">
      <w:pPr>
        <w:pStyle w:val="56"/>
        <w:spacing w:line="360" w:lineRule="auto"/>
        <w:ind w:firstLine="420"/>
      </w:pPr>
      <w:r>
        <w:rPr>
          <w:rFonts w:hint="eastAsia"/>
        </w:rPr>
        <w:t>方法相关记录（确认报告、原始数据、比对结果、审批文件）应纳入归档管理。</w:t>
      </w:r>
    </w:p>
    <w:p w14:paraId="60CED237">
      <w:pPr>
        <w:pStyle w:val="105"/>
        <w:spacing w:before="120" w:after="120" w:line="360" w:lineRule="auto"/>
      </w:pPr>
      <w:r>
        <w:rPr>
          <w:rFonts w:hint="eastAsia"/>
        </w:rPr>
        <w:t>组合策略与分流原则</w:t>
      </w:r>
    </w:p>
    <w:p w14:paraId="554553DA">
      <w:pPr>
        <w:pStyle w:val="56"/>
        <w:spacing w:line="360" w:lineRule="auto"/>
        <w:ind w:firstLine="420"/>
      </w:pPr>
      <w:r>
        <w:rPr>
          <w:rFonts w:hint="eastAsia"/>
        </w:rPr>
        <w:t>快速检验宜采用“多证据支撑”的组合策略，以提高筛查可靠性：</w:t>
      </w:r>
    </w:p>
    <w:p w14:paraId="5FAEBCBE">
      <w:pPr>
        <w:pStyle w:val="56"/>
        <w:spacing w:line="360" w:lineRule="auto"/>
        <w:ind w:firstLine="420"/>
      </w:pPr>
      <w:r>
        <w:rPr>
          <w:rFonts w:hint="eastAsia"/>
        </w:rPr>
        <w:t>a) 对高风险品种可采用“信息核验+理化快速筛查”组合；</w:t>
      </w:r>
    </w:p>
    <w:p w14:paraId="4D8BAA1A">
      <w:pPr>
        <w:pStyle w:val="56"/>
        <w:spacing w:line="360" w:lineRule="auto"/>
        <w:ind w:firstLine="420"/>
      </w:pPr>
      <w:r>
        <w:rPr>
          <w:rFonts w:hint="eastAsia"/>
        </w:rPr>
        <w:t>b) 对疑似假药、劣药或非法添加风险，可采用“光谱快速比对+tlc复核”组合；</w:t>
      </w:r>
    </w:p>
    <w:p w14:paraId="02098290">
      <w:pPr>
        <w:pStyle w:val="56"/>
        <w:spacing w:line="360" w:lineRule="auto"/>
        <w:ind w:firstLine="420"/>
      </w:pPr>
      <w:r>
        <w:rPr>
          <w:rFonts w:hint="eastAsia"/>
        </w:rPr>
        <w:t>c) 当快速检验结论为“可疑”时，应优先采取留样、封存与送检确证，并在处置中注明不确定性来源；</w:t>
      </w:r>
    </w:p>
    <w:p w14:paraId="285226B2">
      <w:pPr>
        <w:pStyle w:val="56"/>
        <w:spacing w:line="360" w:lineRule="auto"/>
        <w:ind w:firstLine="420"/>
      </w:pPr>
      <w:r>
        <w:rPr>
          <w:rFonts w:hint="eastAsia"/>
        </w:rPr>
        <w:t>d) 对快速检验与信息核验结论不一致的，应按更高风险情形处置，并启动复核或送检。</w:t>
      </w:r>
    </w:p>
    <w:p w14:paraId="22F540A3">
      <w:pPr>
        <w:pStyle w:val="56"/>
        <w:spacing w:line="360" w:lineRule="auto"/>
        <w:ind w:firstLine="420"/>
      </w:pPr>
    </w:p>
    <w:p w14:paraId="7A9065B7">
      <w:pPr>
        <w:pStyle w:val="56"/>
        <w:spacing w:line="360" w:lineRule="auto"/>
        <w:ind w:firstLine="420"/>
        <w:rPr>
          <w:rFonts w:hint="eastAsia"/>
        </w:rPr>
      </w:pPr>
    </w:p>
    <w:p w14:paraId="1E00D7E8">
      <w:pPr>
        <w:pStyle w:val="104"/>
        <w:spacing w:before="240" w:after="240" w:line="360" w:lineRule="auto"/>
      </w:pPr>
      <w:bookmarkStart w:id="53" w:name="_Toc220347089"/>
      <w:r>
        <w:rPr>
          <w:rFonts w:hint="eastAsia"/>
        </w:rPr>
        <w:t>采样与样品管理</w:t>
      </w:r>
      <w:bookmarkEnd w:id="53"/>
    </w:p>
    <w:p w14:paraId="7902150A">
      <w:pPr>
        <w:pStyle w:val="105"/>
        <w:spacing w:before="120" w:after="120" w:line="360" w:lineRule="auto"/>
      </w:pPr>
      <w:r>
        <w:rPr>
          <w:rFonts w:hint="eastAsia"/>
        </w:rPr>
        <w:t>一般要求</w:t>
      </w:r>
    </w:p>
    <w:p w14:paraId="4AB1230B">
      <w:pPr>
        <w:pStyle w:val="56"/>
        <w:spacing w:line="360" w:lineRule="auto"/>
        <w:ind w:firstLine="420"/>
      </w:pPr>
      <w:r>
        <w:rPr>
          <w:rFonts w:hint="eastAsia"/>
        </w:rPr>
        <w:t>药品快速检验的采样与样品管理应以保证样品代表性、样品真实性与样品链连续性为核心，确保样品在采集、封样、运输、保存、留样、交接与处置全过程可追溯、可复核、可举证。采样与样品管理应与任务来源、风险研判、方法适用性、现场条件及后续送检确证需求相衔接，避免因采样不规范导致结果不可解释、证据链不完整或无法开展确证检验。</w:t>
      </w:r>
    </w:p>
    <w:p w14:paraId="21670833">
      <w:pPr>
        <w:pStyle w:val="56"/>
        <w:spacing w:line="360" w:lineRule="auto"/>
        <w:ind w:firstLine="420"/>
      </w:pPr>
      <w:r>
        <w:rPr>
          <w:rFonts w:hint="eastAsia"/>
        </w:rPr>
        <w:t>开展采样活动前，应明确采样依据、采样对象与批次范围、采样数量与留样量、采样地点与条件、采样工具与容器、样品保存要求、封样标识规则、样品链记录要求以及异常情形处置方式。对来自案件线索、突发事件、寄递渠道或口岸拦截等高风险来源的样品，应提高样品链控制强度，必要时实施双人采样、现场见证与同步影像记录。</w:t>
      </w:r>
    </w:p>
    <w:p w14:paraId="398A9552">
      <w:pPr>
        <w:pStyle w:val="105"/>
        <w:spacing w:before="120" w:after="120" w:line="360" w:lineRule="auto"/>
      </w:pPr>
      <w:r>
        <w:rPr>
          <w:rFonts w:hint="eastAsia"/>
        </w:rPr>
        <w:t>采样计划与对象确定</w:t>
      </w:r>
    </w:p>
    <w:p w14:paraId="6B0701E6">
      <w:pPr>
        <w:pStyle w:val="56"/>
        <w:spacing w:line="360" w:lineRule="auto"/>
        <w:ind w:firstLine="420"/>
      </w:pPr>
      <w:r>
        <w:rPr>
          <w:rFonts w:hint="eastAsia"/>
        </w:rPr>
        <w:t>采样计划应与风险研判结果一致，并明确以下要素：</w:t>
      </w:r>
    </w:p>
    <w:p w14:paraId="06E0C9BF">
      <w:pPr>
        <w:pStyle w:val="56"/>
        <w:spacing w:line="360" w:lineRule="auto"/>
        <w:ind w:firstLine="420"/>
      </w:pPr>
      <w:r>
        <w:rPr>
          <w:rFonts w:hint="eastAsia"/>
        </w:rPr>
        <w:t>a) 采样目的：日常风险筛查、专项整治、投诉举报核查、应急处置、企业自查等；</w:t>
      </w:r>
    </w:p>
    <w:p w14:paraId="78A85B28">
      <w:pPr>
        <w:pStyle w:val="56"/>
        <w:spacing w:line="360" w:lineRule="auto"/>
        <w:ind w:firstLine="420"/>
      </w:pPr>
      <w:r>
        <w:rPr>
          <w:rFonts w:hint="eastAsia"/>
        </w:rPr>
        <w:t>b) 采样对象：品种、剂型、规格、生产企业、经营企业或使用单位、来源渠道；</w:t>
      </w:r>
    </w:p>
    <w:p w14:paraId="6DBE0544">
      <w:pPr>
        <w:pStyle w:val="56"/>
        <w:spacing w:line="360" w:lineRule="auto"/>
        <w:ind w:firstLine="420"/>
      </w:pPr>
      <w:r>
        <w:rPr>
          <w:rFonts w:hint="eastAsia"/>
        </w:rPr>
        <w:t>c) 批次范围：批号、生产日期、有效期、到货时间、库存批次数及覆盖策略；</w:t>
      </w:r>
    </w:p>
    <w:p w14:paraId="2DDCE5BC">
      <w:pPr>
        <w:pStyle w:val="56"/>
        <w:spacing w:line="360" w:lineRule="auto"/>
        <w:ind w:firstLine="420"/>
      </w:pPr>
      <w:r>
        <w:rPr>
          <w:rFonts w:hint="eastAsia"/>
        </w:rPr>
        <w:t>d) 采样数量：满足快速检验、复核与送检确证的最低样品量要求，并考虑重复测定与质控需要；</w:t>
      </w:r>
    </w:p>
    <w:p w14:paraId="0E6623A8">
      <w:pPr>
        <w:pStyle w:val="56"/>
        <w:spacing w:line="360" w:lineRule="auto"/>
        <w:ind w:firstLine="420"/>
      </w:pPr>
      <w:r>
        <w:rPr>
          <w:rFonts w:hint="eastAsia"/>
        </w:rPr>
        <w:t>e) 采样方式：随机抽样、分层抽样、风险定向抽样或全覆盖抽样；</w:t>
      </w:r>
    </w:p>
    <w:p w14:paraId="7F72AD02">
      <w:pPr>
        <w:pStyle w:val="56"/>
        <w:spacing w:line="360" w:lineRule="auto"/>
        <w:ind w:firstLine="420"/>
      </w:pPr>
      <w:r>
        <w:rPr>
          <w:rFonts w:hint="eastAsia"/>
        </w:rPr>
        <w:t>f) 现场条件：温湿度、洁净程度、光照、通风、防火防爆要求及人员防护；</w:t>
      </w:r>
    </w:p>
    <w:p w14:paraId="6D6422C8">
      <w:pPr>
        <w:pStyle w:val="56"/>
        <w:spacing w:line="360" w:lineRule="auto"/>
        <w:ind w:firstLine="420"/>
      </w:pPr>
      <w:r>
        <w:rPr>
          <w:rFonts w:hint="eastAsia"/>
        </w:rPr>
        <w:t>g) 运输与保存：冷链/避光/防潮要求、最长在途时间与接收条件；</w:t>
      </w:r>
    </w:p>
    <w:p w14:paraId="55BED7E0">
      <w:pPr>
        <w:pStyle w:val="56"/>
        <w:spacing w:line="360" w:lineRule="auto"/>
        <w:ind w:firstLine="420"/>
      </w:pPr>
      <w:r>
        <w:rPr>
          <w:rFonts w:hint="eastAsia"/>
        </w:rPr>
        <w:t>h) 责任分工：采样人、见证人、样品管理员、检测实施人、复核人。</w:t>
      </w:r>
    </w:p>
    <w:p w14:paraId="03736EF8">
      <w:pPr>
        <w:pStyle w:val="56"/>
        <w:spacing w:line="360" w:lineRule="auto"/>
        <w:ind w:firstLine="420"/>
      </w:pPr>
      <w:r>
        <w:rPr>
          <w:rFonts w:hint="eastAsia"/>
        </w:rPr>
        <w:t>采样对象应优先覆盖以下情形：高风险品种（历史抽检不合格、事件多发、滥用风险高）、高风险渠道（网络销售、寄递渠道、非正规来源）、高风险环节（拆零分装、二次贴签、临近有效期）、以及存在异常信息的样品（包装破损、标签不一致、追溯码异常、外观性状异常等）。</w:t>
      </w:r>
    </w:p>
    <w:p w14:paraId="0DD807D8">
      <w:pPr>
        <w:pStyle w:val="105"/>
        <w:spacing w:before="120" w:after="120" w:line="360" w:lineRule="auto"/>
      </w:pPr>
      <w:r>
        <w:rPr>
          <w:rFonts w:hint="eastAsia"/>
        </w:rPr>
        <w:t>采样实施要求</w:t>
      </w:r>
    </w:p>
    <w:p w14:paraId="6418EBDF">
      <w:pPr>
        <w:pStyle w:val="65"/>
        <w:spacing w:before="120" w:after="120" w:line="360" w:lineRule="auto"/>
      </w:pPr>
      <w:r>
        <w:rPr>
          <w:rFonts w:hint="eastAsia"/>
        </w:rPr>
        <w:t>采样环境与防污染控制</w:t>
      </w:r>
    </w:p>
    <w:p w14:paraId="2DFDD305">
      <w:pPr>
        <w:pStyle w:val="56"/>
        <w:spacing w:line="360" w:lineRule="auto"/>
        <w:ind w:firstLine="420"/>
      </w:pPr>
      <w:r>
        <w:rPr>
          <w:rFonts w:hint="eastAsia"/>
        </w:rPr>
        <w:t>采样现场应满足基本洁净与防污染要求。采样工具与容器应清洁、干燥、无污染；需要时应一次性使用。采样过程中应避免交叉污染，尤其是在同一地点连续采集不同品种或不同批次样品时，应更换手套、清洁台面并对工具进行必要的清洁或更换。对挥发性、有刺激性或可能产生粉尘的样品，应在通风良好环境操作，并做好人员防护。</w:t>
      </w:r>
    </w:p>
    <w:p w14:paraId="633BAB12">
      <w:pPr>
        <w:pStyle w:val="56"/>
        <w:spacing w:line="360" w:lineRule="auto"/>
        <w:ind w:firstLine="420"/>
      </w:pPr>
    </w:p>
    <w:p w14:paraId="6029525C">
      <w:pPr>
        <w:pStyle w:val="65"/>
        <w:spacing w:before="120" w:after="120" w:line="360" w:lineRule="auto"/>
      </w:pPr>
      <w:r>
        <w:rPr>
          <w:rFonts w:hint="eastAsia"/>
        </w:rPr>
        <w:t>采样工具、容器与封装</w:t>
      </w:r>
    </w:p>
    <w:p w14:paraId="19C8DFCE">
      <w:pPr>
        <w:pStyle w:val="56"/>
        <w:spacing w:line="360" w:lineRule="auto"/>
        <w:ind w:firstLine="420"/>
      </w:pPr>
      <w:r>
        <w:rPr>
          <w:rFonts w:hint="eastAsia"/>
        </w:rPr>
        <w:t>采样容器应与样品性质相适配，确保密封、防潮、避光与防破损。对液体制剂或易挥发样品宜采用耐溶剂密封容器；对需避光样品宜采用棕色瓶或避光包装；对冷链样品应配备保温箱与温度记录措施。封装应牢固，确保运输过程中不泄漏、不破损、不混淆。</w:t>
      </w:r>
    </w:p>
    <w:p w14:paraId="60151729">
      <w:pPr>
        <w:pStyle w:val="65"/>
        <w:spacing w:before="120" w:after="120" w:line="360" w:lineRule="auto"/>
      </w:pPr>
      <w:r>
        <w:rPr>
          <w:rFonts w:hint="eastAsia"/>
        </w:rPr>
        <w:t>样品代表性与抽取方式</w:t>
      </w:r>
    </w:p>
    <w:p w14:paraId="18CEB9D9">
      <w:pPr>
        <w:pStyle w:val="56"/>
        <w:spacing w:line="360" w:lineRule="auto"/>
        <w:ind w:firstLine="420"/>
      </w:pPr>
      <w:r>
        <w:rPr>
          <w:rFonts w:hint="eastAsia"/>
        </w:rPr>
        <w:t>同批样品应从不同箱（或不同存放位置）抽取，避免仅取表层或单一位置样品。</w:t>
      </w:r>
    </w:p>
    <w:p w14:paraId="4DBC8BCE">
      <w:pPr>
        <w:pStyle w:val="56"/>
        <w:spacing w:line="360" w:lineRule="auto"/>
        <w:ind w:firstLine="420"/>
      </w:pPr>
      <w:r>
        <w:rPr>
          <w:rFonts w:hint="eastAsia"/>
        </w:rPr>
        <w:t>拆零样品应核查其原包装来源与批号信息，必要时同步抽取原包装样品。</w:t>
      </w:r>
    </w:p>
    <w:p w14:paraId="554C2CBC">
      <w:pPr>
        <w:pStyle w:val="56"/>
        <w:spacing w:line="360" w:lineRule="auto"/>
        <w:ind w:firstLine="420"/>
      </w:pPr>
      <w:r>
        <w:rPr>
          <w:rFonts w:hint="eastAsia"/>
        </w:rPr>
        <w:t>对网购或寄递样品应保留外包装、物流信息、订单信息与开箱过程记录。</w:t>
      </w:r>
    </w:p>
    <w:p w14:paraId="71A02CB0">
      <w:pPr>
        <w:pStyle w:val="56"/>
        <w:spacing w:line="360" w:lineRule="auto"/>
        <w:ind w:firstLine="420"/>
      </w:pPr>
      <w:r>
        <w:rPr>
          <w:rFonts w:hint="eastAsia"/>
        </w:rPr>
        <w:t>对疑似假药或来源不明样品应尽量保留原始状态，避免过度拆封影响后续鉴别与取证。</w:t>
      </w:r>
    </w:p>
    <w:p w14:paraId="1738985E">
      <w:pPr>
        <w:pStyle w:val="65"/>
        <w:spacing w:before="120" w:after="120" w:line="360" w:lineRule="auto"/>
      </w:pPr>
      <w:r>
        <w:rPr>
          <w:rFonts w:hint="eastAsia"/>
        </w:rPr>
        <w:t>同步记录与影像取证</w:t>
      </w:r>
    </w:p>
    <w:p w14:paraId="5D0EDE3F">
      <w:pPr>
        <w:pStyle w:val="56"/>
        <w:spacing w:line="360" w:lineRule="auto"/>
        <w:ind w:firstLine="420"/>
      </w:pPr>
      <w:r>
        <w:rPr>
          <w:rFonts w:hint="eastAsia"/>
        </w:rPr>
        <w:t>采样过程中应同步记录关键事实信息，必要时采用影像记录（照片或视频），至少包括：样品整体外观、标签与批号信息、包装完整性、采样位置与环境、封样过程与封签编号等。影像资料应与样品编号关联，并纳入证据链管理。</w:t>
      </w:r>
    </w:p>
    <w:p w14:paraId="718A364E">
      <w:pPr>
        <w:pStyle w:val="105"/>
        <w:spacing w:before="120" w:after="120" w:line="360" w:lineRule="auto"/>
      </w:pPr>
      <w:r>
        <w:rPr>
          <w:rFonts w:hint="eastAsia"/>
        </w:rPr>
        <w:t>封样标识与样品编号规则</w:t>
      </w:r>
    </w:p>
    <w:p w14:paraId="12B942A1">
      <w:pPr>
        <w:pStyle w:val="56"/>
        <w:spacing w:line="360" w:lineRule="auto"/>
        <w:ind w:firstLine="420"/>
      </w:pPr>
      <w:r>
        <w:rPr>
          <w:rFonts w:hint="eastAsia"/>
        </w:rPr>
        <w:t>样品应采用唯一编号进行全流程管理，编号应可追溯到任务来源与采样记录。样品编号与封样标识应至少包含或关联以下信息：任务编号、样品编号、品名、剂型规格、批号、数量、采样地点、采样时间、采样人、封样人或见证人。封样应使用防拆封签或等效措施，封签应编号并形成封签使用记录。</w:t>
      </w:r>
    </w:p>
    <w:p w14:paraId="28049808">
      <w:pPr>
        <w:pStyle w:val="56"/>
        <w:spacing w:line="360" w:lineRule="auto"/>
        <w:ind w:firstLine="420"/>
      </w:pPr>
      <w:r>
        <w:rPr>
          <w:rFonts w:hint="eastAsia"/>
        </w:rPr>
        <w:t>封样后不得随意开封；确需开封用于前处理或复核时，应记录开封时间、开封原因、经办人、见证人、使用量与剩余量，并对剩余样品重新封存。</w:t>
      </w:r>
    </w:p>
    <w:p w14:paraId="39726C81">
      <w:pPr>
        <w:pStyle w:val="105"/>
        <w:spacing w:before="120" w:after="120" w:line="360" w:lineRule="auto"/>
      </w:pPr>
      <w:r>
        <w:rPr>
          <w:rFonts w:hint="eastAsia"/>
        </w:rPr>
        <w:t>样品链管理与交接控制</w:t>
      </w:r>
    </w:p>
    <w:p w14:paraId="2BD80984">
      <w:pPr>
        <w:pStyle w:val="56"/>
        <w:spacing w:line="360" w:lineRule="auto"/>
        <w:ind w:firstLine="420"/>
      </w:pPr>
      <w:r>
        <w:rPr>
          <w:rFonts w:hint="eastAsia"/>
        </w:rPr>
        <w:t>应建立样品链记录，保证样品从采集到最终处置的责任连续性。样品链记录应至少包括：</w:t>
      </w:r>
    </w:p>
    <w:p w14:paraId="19F1D410">
      <w:pPr>
        <w:pStyle w:val="56"/>
        <w:spacing w:line="360" w:lineRule="auto"/>
        <w:ind w:firstLine="420"/>
      </w:pPr>
      <w:r>
        <w:rPr>
          <w:rFonts w:hint="eastAsia"/>
        </w:rPr>
        <w:t>a) 采集环节：采样时间地点、采样人、见证人、抽样方式、样品状态说明；</w:t>
      </w:r>
    </w:p>
    <w:p w14:paraId="6D612BBF">
      <w:pPr>
        <w:pStyle w:val="56"/>
        <w:spacing w:line="360" w:lineRule="auto"/>
        <w:ind w:firstLine="420"/>
      </w:pPr>
      <w:r>
        <w:rPr>
          <w:rFonts w:hint="eastAsia"/>
        </w:rPr>
        <w:t>b) 封样环节：封签编号、封样方式、封样时间、封样人、封样照片；</w:t>
      </w:r>
    </w:p>
    <w:p w14:paraId="43D83898">
      <w:pPr>
        <w:pStyle w:val="56"/>
        <w:spacing w:line="360" w:lineRule="auto"/>
        <w:ind w:firstLine="420"/>
      </w:pPr>
      <w:r>
        <w:rPr>
          <w:rFonts w:hint="eastAsia"/>
        </w:rPr>
        <w:t>c) 运输环节：运输方式、承运人、起止时间、温控条件、异常情况；</w:t>
      </w:r>
    </w:p>
    <w:p w14:paraId="590002F2">
      <w:pPr>
        <w:pStyle w:val="56"/>
        <w:spacing w:line="360" w:lineRule="auto"/>
        <w:ind w:firstLine="420"/>
      </w:pPr>
      <w:r>
        <w:rPr>
          <w:rFonts w:hint="eastAsia"/>
        </w:rPr>
        <w:t>d) 接收环节：接收时间、接收人、外观检查、封签完好性核验、数量核对；</w:t>
      </w:r>
    </w:p>
    <w:p w14:paraId="707DF50C">
      <w:pPr>
        <w:pStyle w:val="56"/>
        <w:spacing w:line="360" w:lineRule="auto"/>
        <w:ind w:firstLine="420"/>
      </w:pPr>
      <w:r>
        <w:rPr>
          <w:rFonts w:hint="eastAsia"/>
        </w:rPr>
        <w:t>e) 使用环节：前处理与检测用量、复核用量、留样剩余量；</w:t>
      </w:r>
    </w:p>
    <w:p w14:paraId="63D23D7C">
      <w:pPr>
        <w:pStyle w:val="56"/>
        <w:spacing w:line="360" w:lineRule="auto"/>
        <w:ind w:firstLine="420"/>
      </w:pPr>
      <w:r>
        <w:rPr>
          <w:rFonts w:hint="eastAsia"/>
        </w:rPr>
        <w:t>f) 处置环节：留样保存位置与期限、送检移交记录、退样或销毁记录。</w:t>
      </w:r>
    </w:p>
    <w:p w14:paraId="46BBA25D">
      <w:pPr>
        <w:pStyle w:val="56"/>
        <w:spacing w:line="360" w:lineRule="auto"/>
        <w:ind w:firstLine="420"/>
      </w:pPr>
      <w:r>
        <w:rPr>
          <w:rFonts w:hint="eastAsia"/>
        </w:rPr>
        <w:t>样品交接应实行“双人核对”，至少核对样品编号、品名规格、批号、数量、封签编号与封签完好状态。交接记录应双方签字或采用可追溯的电子签名方式确认。</w:t>
      </w:r>
      <w:r>
        <w:t>样品链记录要素清单</w:t>
      </w:r>
      <w:r>
        <w:rPr>
          <w:rFonts w:hint="eastAsia"/>
        </w:rPr>
        <w:t>见表2。</w:t>
      </w:r>
    </w:p>
    <w:p w14:paraId="39AA2928">
      <w:pPr>
        <w:pStyle w:val="56"/>
        <w:spacing w:line="360" w:lineRule="auto"/>
        <w:ind w:firstLine="420"/>
      </w:pPr>
    </w:p>
    <w:p w14:paraId="2D6CB44C">
      <w:pPr>
        <w:pStyle w:val="112"/>
        <w:spacing w:before="120" w:after="120" w:line="360" w:lineRule="auto"/>
      </w:pPr>
      <w:r>
        <w:rPr>
          <w:rFonts w:hint="eastAsia"/>
        </w:rPr>
        <w:t>样品链记录要素清单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3260"/>
        <w:gridCol w:w="1843"/>
        <w:gridCol w:w="2126"/>
        <w:gridCol w:w="1264"/>
      </w:tblGrid>
      <w:tr w14:paraId="6221E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3F8F7CC9">
            <w:pPr>
              <w:pStyle w:val="178"/>
            </w:pPr>
            <w:r>
              <w:rPr>
                <w:rFonts w:hint="eastAsia"/>
              </w:rPr>
              <w:t>环节</w:t>
            </w:r>
          </w:p>
        </w:tc>
        <w:tc>
          <w:tcPr>
            <w:tcW w:w="3260" w:type="dxa"/>
            <w:tcBorders>
              <w:top w:val="single" w:color="auto" w:sz="8" w:space="0"/>
              <w:bottom w:val="single" w:color="auto" w:sz="8" w:space="0"/>
            </w:tcBorders>
            <w:vAlign w:val="center"/>
          </w:tcPr>
          <w:p w14:paraId="7EB2F160">
            <w:pPr>
              <w:pStyle w:val="178"/>
            </w:pPr>
            <w:r>
              <w:rPr>
                <w:rFonts w:hint="eastAsia"/>
              </w:rPr>
              <w:t>必填记录要素</w:t>
            </w:r>
          </w:p>
        </w:tc>
        <w:tc>
          <w:tcPr>
            <w:tcW w:w="1843" w:type="dxa"/>
            <w:tcBorders>
              <w:top w:val="single" w:color="auto" w:sz="8" w:space="0"/>
              <w:bottom w:val="single" w:color="auto" w:sz="8" w:space="0"/>
            </w:tcBorders>
            <w:vAlign w:val="center"/>
          </w:tcPr>
          <w:p w14:paraId="31E2DF38">
            <w:pPr>
              <w:pStyle w:val="178"/>
            </w:pPr>
            <w:r>
              <w:rPr>
                <w:rFonts w:hint="eastAsia"/>
              </w:rPr>
              <w:t>核验要点</w:t>
            </w:r>
          </w:p>
        </w:tc>
        <w:tc>
          <w:tcPr>
            <w:tcW w:w="2126" w:type="dxa"/>
            <w:tcBorders>
              <w:top w:val="single" w:color="auto" w:sz="8" w:space="0"/>
              <w:bottom w:val="single" w:color="auto" w:sz="8" w:space="0"/>
            </w:tcBorders>
            <w:vAlign w:val="center"/>
          </w:tcPr>
          <w:p w14:paraId="679A3E2F">
            <w:pPr>
              <w:pStyle w:val="178"/>
            </w:pPr>
            <w:r>
              <w:rPr>
                <w:rFonts w:hint="eastAsia"/>
              </w:rPr>
              <w:t>常见风险</w:t>
            </w:r>
          </w:p>
        </w:tc>
        <w:tc>
          <w:tcPr>
            <w:tcW w:w="1264" w:type="dxa"/>
            <w:tcBorders>
              <w:top w:val="single" w:color="auto" w:sz="8" w:space="0"/>
              <w:bottom w:val="single" w:color="auto" w:sz="8" w:space="0"/>
            </w:tcBorders>
            <w:vAlign w:val="center"/>
          </w:tcPr>
          <w:p w14:paraId="23507EEC">
            <w:pPr>
              <w:pStyle w:val="178"/>
            </w:pPr>
            <w:r>
              <w:rPr>
                <w:rFonts w:hint="eastAsia"/>
              </w:rPr>
              <w:t>控制措施</w:t>
            </w:r>
          </w:p>
        </w:tc>
      </w:tr>
      <w:tr w14:paraId="48E36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48EDB168">
            <w:pPr>
              <w:pStyle w:val="178"/>
            </w:pPr>
            <w:r>
              <w:rPr>
                <w:rFonts w:hint="eastAsia"/>
              </w:rPr>
              <w:t>采样</w:t>
            </w:r>
          </w:p>
        </w:tc>
        <w:tc>
          <w:tcPr>
            <w:tcW w:w="3260" w:type="dxa"/>
            <w:tcBorders>
              <w:top w:val="single" w:color="auto" w:sz="8" w:space="0"/>
            </w:tcBorders>
            <w:vAlign w:val="center"/>
          </w:tcPr>
          <w:p w14:paraId="7EA7F76B">
            <w:pPr>
              <w:pStyle w:val="178"/>
            </w:pPr>
            <w:r>
              <w:rPr>
                <w:rFonts w:hint="eastAsia"/>
              </w:rPr>
              <w:t>任务编号、样品编号、品名/规格、</w:t>
            </w:r>
          </w:p>
          <w:p w14:paraId="61BBC84F">
            <w:pPr>
              <w:pStyle w:val="178"/>
            </w:pPr>
            <w:r>
              <w:rPr>
                <w:rFonts w:hint="eastAsia"/>
              </w:rPr>
              <w:t>批号、数量、采样地点/时间、采样人</w:t>
            </w:r>
          </w:p>
        </w:tc>
        <w:tc>
          <w:tcPr>
            <w:tcW w:w="1843" w:type="dxa"/>
            <w:tcBorders>
              <w:top w:val="single" w:color="auto" w:sz="8" w:space="0"/>
            </w:tcBorders>
            <w:vAlign w:val="center"/>
          </w:tcPr>
          <w:p w14:paraId="7C005D41">
            <w:pPr>
              <w:pStyle w:val="178"/>
            </w:pPr>
            <w:r>
              <w:rPr>
                <w:rFonts w:hint="eastAsia"/>
              </w:rPr>
              <w:t>信息与标签一致</w:t>
            </w:r>
          </w:p>
        </w:tc>
        <w:tc>
          <w:tcPr>
            <w:tcW w:w="2126" w:type="dxa"/>
            <w:tcBorders>
              <w:top w:val="single" w:color="auto" w:sz="8" w:space="0"/>
            </w:tcBorders>
            <w:vAlign w:val="center"/>
          </w:tcPr>
          <w:p w14:paraId="35068FA8">
            <w:pPr>
              <w:pStyle w:val="178"/>
            </w:pPr>
            <w:r>
              <w:rPr>
                <w:rFonts w:hint="eastAsia"/>
              </w:rPr>
              <w:t>记录缺失、批号抄录错误</w:t>
            </w:r>
          </w:p>
        </w:tc>
        <w:tc>
          <w:tcPr>
            <w:tcW w:w="1264" w:type="dxa"/>
            <w:tcBorders>
              <w:top w:val="single" w:color="auto" w:sz="8" w:space="0"/>
            </w:tcBorders>
            <w:vAlign w:val="center"/>
          </w:tcPr>
          <w:p w14:paraId="76897210">
            <w:pPr>
              <w:pStyle w:val="178"/>
            </w:pPr>
            <w:r>
              <w:rPr>
                <w:rFonts w:hint="eastAsia"/>
              </w:rPr>
              <w:t>现场复核、</w:t>
            </w:r>
          </w:p>
          <w:p w14:paraId="57C20269">
            <w:pPr>
              <w:pStyle w:val="178"/>
            </w:pPr>
            <w:r>
              <w:rPr>
                <w:rFonts w:hint="eastAsia"/>
              </w:rPr>
              <w:t>拍照留存</w:t>
            </w:r>
          </w:p>
        </w:tc>
      </w:tr>
      <w:tr w14:paraId="6AB6E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6578780">
            <w:pPr>
              <w:pStyle w:val="178"/>
            </w:pPr>
            <w:r>
              <w:rPr>
                <w:rFonts w:hint="eastAsia"/>
              </w:rPr>
              <w:t>封样</w:t>
            </w:r>
          </w:p>
        </w:tc>
        <w:tc>
          <w:tcPr>
            <w:tcW w:w="3260" w:type="dxa"/>
            <w:vAlign w:val="center"/>
          </w:tcPr>
          <w:p w14:paraId="7D73B33D">
            <w:pPr>
              <w:pStyle w:val="178"/>
            </w:pPr>
            <w:r>
              <w:rPr>
                <w:rFonts w:hint="eastAsia"/>
              </w:rPr>
              <w:t>封签编号、封样方式、封样时间、</w:t>
            </w:r>
          </w:p>
          <w:p w14:paraId="76F60C11">
            <w:pPr>
              <w:pStyle w:val="178"/>
            </w:pPr>
            <w:r>
              <w:rPr>
                <w:rFonts w:hint="eastAsia"/>
              </w:rPr>
              <w:t>封样人/见证人、封样照片</w:t>
            </w:r>
          </w:p>
        </w:tc>
        <w:tc>
          <w:tcPr>
            <w:tcW w:w="1843" w:type="dxa"/>
            <w:vAlign w:val="center"/>
          </w:tcPr>
          <w:p w14:paraId="5839EED2">
            <w:pPr>
              <w:pStyle w:val="178"/>
            </w:pPr>
            <w:r>
              <w:rPr>
                <w:rFonts w:hint="eastAsia"/>
              </w:rPr>
              <w:t>封签不可重复使用</w:t>
            </w:r>
          </w:p>
        </w:tc>
        <w:tc>
          <w:tcPr>
            <w:tcW w:w="2126" w:type="dxa"/>
            <w:vAlign w:val="center"/>
          </w:tcPr>
          <w:p w14:paraId="418BD7DD">
            <w:pPr>
              <w:pStyle w:val="178"/>
            </w:pPr>
            <w:r>
              <w:rPr>
                <w:rFonts w:hint="eastAsia"/>
              </w:rPr>
              <w:t>封签易脱落、编号不唯一</w:t>
            </w:r>
          </w:p>
        </w:tc>
        <w:tc>
          <w:tcPr>
            <w:tcW w:w="1264" w:type="dxa"/>
            <w:vAlign w:val="center"/>
          </w:tcPr>
          <w:p w14:paraId="6EDDCA05">
            <w:pPr>
              <w:pStyle w:val="178"/>
            </w:pPr>
            <w:r>
              <w:rPr>
                <w:rFonts w:hint="eastAsia"/>
              </w:rPr>
              <w:t>统一封签、</w:t>
            </w:r>
          </w:p>
          <w:p w14:paraId="2CE51081">
            <w:pPr>
              <w:pStyle w:val="178"/>
            </w:pPr>
            <w:r>
              <w:rPr>
                <w:rFonts w:hint="eastAsia"/>
              </w:rPr>
              <w:t>编号登记</w:t>
            </w:r>
          </w:p>
        </w:tc>
      </w:tr>
      <w:tr w14:paraId="267FD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2" w:space="0"/>
            </w:tcBorders>
            <w:vAlign w:val="center"/>
          </w:tcPr>
          <w:p w14:paraId="060EB6D4">
            <w:pPr>
              <w:pStyle w:val="178"/>
            </w:pPr>
            <w:r>
              <w:rPr>
                <w:rFonts w:hint="eastAsia"/>
              </w:rPr>
              <w:t>运输</w:t>
            </w:r>
          </w:p>
        </w:tc>
        <w:tc>
          <w:tcPr>
            <w:tcW w:w="3260" w:type="dxa"/>
            <w:tcBorders>
              <w:bottom w:val="single" w:color="auto" w:sz="2" w:space="0"/>
            </w:tcBorders>
            <w:vAlign w:val="center"/>
          </w:tcPr>
          <w:p w14:paraId="7D88A420">
            <w:pPr>
              <w:pStyle w:val="178"/>
            </w:pPr>
            <w:r>
              <w:rPr>
                <w:rFonts w:hint="eastAsia"/>
              </w:rPr>
              <w:t>承运人、起止时间、温控条件、异常记录</w:t>
            </w:r>
          </w:p>
        </w:tc>
        <w:tc>
          <w:tcPr>
            <w:tcW w:w="1843" w:type="dxa"/>
            <w:tcBorders>
              <w:bottom w:val="single" w:color="auto" w:sz="2" w:space="0"/>
            </w:tcBorders>
            <w:vAlign w:val="center"/>
          </w:tcPr>
          <w:p w14:paraId="7E0D59E8">
            <w:pPr>
              <w:pStyle w:val="178"/>
            </w:pPr>
            <w:r>
              <w:rPr>
                <w:rFonts w:hint="eastAsia"/>
              </w:rPr>
              <w:t>温控记录完整</w:t>
            </w:r>
          </w:p>
        </w:tc>
        <w:tc>
          <w:tcPr>
            <w:tcW w:w="2126" w:type="dxa"/>
            <w:tcBorders>
              <w:bottom w:val="single" w:color="auto" w:sz="2" w:space="0"/>
            </w:tcBorders>
            <w:vAlign w:val="center"/>
          </w:tcPr>
          <w:p w14:paraId="613F03E7">
            <w:pPr>
              <w:pStyle w:val="178"/>
            </w:pPr>
            <w:r>
              <w:rPr>
                <w:rFonts w:hint="eastAsia"/>
              </w:rPr>
              <w:t>温度失控、破损渗漏</w:t>
            </w:r>
          </w:p>
        </w:tc>
        <w:tc>
          <w:tcPr>
            <w:tcW w:w="1264" w:type="dxa"/>
            <w:tcBorders>
              <w:bottom w:val="single" w:color="auto" w:sz="2" w:space="0"/>
            </w:tcBorders>
            <w:vAlign w:val="center"/>
          </w:tcPr>
          <w:p w14:paraId="4985A10A">
            <w:pPr>
              <w:pStyle w:val="178"/>
            </w:pPr>
            <w:r>
              <w:rPr>
                <w:rFonts w:hint="eastAsia"/>
              </w:rPr>
              <w:t>冷链箱、温度计/记录仪</w:t>
            </w:r>
          </w:p>
        </w:tc>
      </w:tr>
      <w:tr w14:paraId="3F171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2" w:space="0"/>
              <w:bottom w:val="single" w:color="auto" w:sz="2" w:space="0"/>
            </w:tcBorders>
            <w:vAlign w:val="center"/>
          </w:tcPr>
          <w:p w14:paraId="48D40A06">
            <w:pPr>
              <w:pStyle w:val="178"/>
            </w:pPr>
            <w:r>
              <w:rPr>
                <w:rFonts w:hint="eastAsia"/>
              </w:rPr>
              <w:t>接收</w:t>
            </w:r>
          </w:p>
        </w:tc>
        <w:tc>
          <w:tcPr>
            <w:tcW w:w="3260" w:type="dxa"/>
            <w:tcBorders>
              <w:top w:val="single" w:color="auto" w:sz="2" w:space="0"/>
              <w:bottom w:val="single" w:color="auto" w:sz="2" w:space="0"/>
            </w:tcBorders>
            <w:vAlign w:val="center"/>
          </w:tcPr>
          <w:p w14:paraId="269BB9BD">
            <w:pPr>
              <w:pStyle w:val="178"/>
            </w:pPr>
            <w:r>
              <w:rPr>
                <w:rFonts w:hint="eastAsia"/>
              </w:rPr>
              <w:t>接收时间、接收人、外观检查、</w:t>
            </w:r>
          </w:p>
          <w:p w14:paraId="09915C7A">
            <w:pPr>
              <w:pStyle w:val="178"/>
            </w:pPr>
            <w:r>
              <w:rPr>
                <w:rFonts w:hint="eastAsia"/>
              </w:rPr>
              <w:t>封签核验、数量核对</w:t>
            </w:r>
          </w:p>
        </w:tc>
        <w:tc>
          <w:tcPr>
            <w:tcW w:w="1843" w:type="dxa"/>
            <w:tcBorders>
              <w:top w:val="single" w:color="auto" w:sz="2" w:space="0"/>
              <w:bottom w:val="single" w:color="auto" w:sz="2" w:space="0"/>
            </w:tcBorders>
            <w:vAlign w:val="center"/>
          </w:tcPr>
          <w:p w14:paraId="2895750F">
            <w:pPr>
              <w:pStyle w:val="178"/>
            </w:pPr>
            <w:r>
              <w:rPr>
                <w:rFonts w:hint="eastAsia"/>
              </w:rPr>
              <w:t>封签完好与编号一致</w:t>
            </w:r>
          </w:p>
        </w:tc>
        <w:tc>
          <w:tcPr>
            <w:tcW w:w="2126" w:type="dxa"/>
            <w:tcBorders>
              <w:top w:val="single" w:color="auto" w:sz="2" w:space="0"/>
              <w:bottom w:val="single" w:color="auto" w:sz="2" w:space="0"/>
            </w:tcBorders>
            <w:vAlign w:val="center"/>
          </w:tcPr>
          <w:p w14:paraId="08B897E5">
            <w:pPr>
              <w:pStyle w:val="178"/>
            </w:pPr>
            <w:r>
              <w:rPr>
                <w:rFonts w:hint="eastAsia"/>
              </w:rPr>
              <w:t>封签破损未发现</w:t>
            </w:r>
          </w:p>
        </w:tc>
        <w:tc>
          <w:tcPr>
            <w:tcW w:w="1264" w:type="dxa"/>
            <w:tcBorders>
              <w:top w:val="single" w:color="auto" w:sz="2" w:space="0"/>
              <w:bottom w:val="single" w:color="auto" w:sz="2" w:space="0"/>
            </w:tcBorders>
            <w:vAlign w:val="center"/>
          </w:tcPr>
          <w:p w14:paraId="2CA7DEB2">
            <w:pPr>
              <w:pStyle w:val="178"/>
            </w:pPr>
            <w:r>
              <w:rPr>
                <w:rFonts w:hint="eastAsia"/>
              </w:rPr>
              <w:t>接收清单逐项核对</w:t>
            </w:r>
          </w:p>
        </w:tc>
      </w:tr>
      <w:tr w14:paraId="3DBBD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2" w:space="0"/>
              <w:bottom w:val="single" w:color="auto" w:sz="4" w:space="0"/>
            </w:tcBorders>
            <w:vAlign w:val="center"/>
          </w:tcPr>
          <w:p w14:paraId="73C6088E">
            <w:pPr>
              <w:pStyle w:val="178"/>
            </w:pPr>
            <w:r>
              <w:rPr>
                <w:rFonts w:hint="eastAsia"/>
              </w:rPr>
              <w:t>使用</w:t>
            </w:r>
          </w:p>
        </w:tc>
        <w:tc>
          <w:tcPr>
            <w:tcW w:w="3260" w:type="dxa"/>
            <w:tcBorders>
              <w:top w:val="single" w:color="auto" w:sz="2" w:space="0"/>
              <w:bottom w:val="single" w:color="auto" w:sz="4" w:space="0"/>
            </w:tcBorders>
            <w:vAlign w:val="center"/>
          </w:tcPr>
          <w:p w14:paraId="229AE09B">
            <w:pPr>
              <w:pStyle w:val="178"/>
            </w:pPr>
            <w:r>
              <w:rPr>
                <w:rFonts w:hint="eastAsia"/>
              </w:rPr>
              <w:t>用量、用途、开封记录、剩余量、</w:t>
            </w:r>
          </w:p>
          <w:p w14:paraId="0F431F4F">
            <w:pPr>
              <w:pStyle w:val="178"/>
            </w:pPr>
            <w:r>
              <w:rPr>
                <w:rFonts w:hint="eastAsia"/>
              </w:rPr>
              <w:t>重新封存记录</w:t>
            </w:r>
          </w:p>
        </w:tc>
        <w:tc>
          <w:tcPr>
            <w:tcW w:w="1843" w:type="dxa"/>
            <w:tcBorders>
              <w:top w:val="single" w:color="auto" w:sz="2" w:space="0"/>
              <w:bottom w:val="single" w:color="auto" w:sz="4" w:space="0"/>
            </w:tcBorders>
            <w:vAlign w:val="center"/>
          </w:tcPr>
          <w:p w14:paraId="1D14C695">
            <w:pPr>
              <w:pStyle w:val="178"/>
            </w:pPr>
            <w:r>
              <w:rPr>
                <w:rFonts w:hint="eastAsia"/>
              </w:rPr>
              <w:t>用量与记录一致</w:t>
            </w:r>
          </w:p>
        </w:tc>
        <w:tc>
          <w:tcPr>
            <w:tcW w:w="2126" w:type="dxa"/>
            <w:tcBorders>
              <w:top w:val="single" w:color="auto" w:sz="2" w:space="0"/>
              <w:bottom w:val="single" w:color="auto" w:sz="4" w:space="0"/>
            </w:tcBorders>
            <w:vAlign w:val="center"/>
          </w:tcPr>
          <w:p w14:paraId="41131467">
            <w:pPr>
              <w:pStyle w:val="178"/>
            </w:pPr>
            <w:r>
              <w:rPr>
                <w:rFonts w:hint="eastAsia"/>
              </w:rPr>
              <w:t>过量使用导致无法复核</w:t>
            </w:r>
          </w:p>
        </w:tc>
        <w:tc>
          <w:tcPr>
            <w:tcW w:w="1264" w:type="dxa"/>
            <w:tcBorders>
              <w:top w:val="single" w:color="auto" w:sz="2" w:space="0"/>
              <w:bottom w:val="single" w:color="auto" w:sz="4" w:space="0"/>
            </w:tcBorders>
            <w:vAlign w:val="center"/>
          </w:tcPr>
          <w:p w14:paraId="717D2771">
            <w:pPr>
              <w:pStyle w:val="178"/>
            </w:pPr>
            <w:r>
              <w:rPr>
                <w:rFonts w:hint="eastAsia"/>
              </w:rPr>
              <w:t>限额取样、</w:t>
            </w:r>
          </w:p>
          <w:p w14:paraId="140277D5">
            <w:pPr>
              <w:pStyle w:val="178"/>
            </w:pPr>
            <w:r>
              <w:rPr>
                <w:rFonts w:hint="eastAsia"/>
              </w:rPr>
              <w:t>复核签字</w:t>
            </w:r>
          </w:p>
        </w:tc>
      </w:tr>
      <w:tr w14:paraId="1F39F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tcBorders>
            <w:vAlign w:val="center"/>
          </w:tcPr>
          <w:p w14:paraId="69B2E2F6">
            <w:pPr>
              <w:pStyle w:val="178"/>
            </w:pPr>
            <w:r>
              <w:rPr>
                <w:rFonts w:hint="eastAsia"/>
              </w:rPr>
              <w:t>留样/处置</w:t>
            </w:r>
          </w:p>
        </w:tc>
        <w:tc>
          <w:tcPr>
            <w:tcW w:w="3260" w:type="dxa"/>
            <w:tcBorders>
              <w:top w:val="single" w:color="auto" w:sz="4" w:space="0"/>
            </w:tcBorders>
            <w:vAlign w:val="center"/>
          </w:tcPr>
          <w:p w14:paraId="4D2D0041">
            <w:pPr>
              <w:pStyle w:val="178"/>
            </w:pPr>
            <w:r>
              <w:rPr>
                <w:rFonts w:hint="eastAsia"/>
              </w:rPr>
              <w:t>保存位置、保存期限、送检移交单、</w:t>
            </w:r>
          </w:p>
          <w:p w14:paraId="0EB9F3E7">
            <w:pPr>
              <w:pStyle w:val="178"/>
            </w:pPr>
            <w:r>
              <w:rPr>
                <w:rFonts w:hint="eastAsia"/>
              </w:rPr>
              <w:t>销毁证明</w:t>
            </w:r>
          </w:p>
        </w:tc>
        <w:tc>
          <w:tcPr>
            <w:tcW w:w="1843" w:type="dxa"/>
            <w:tcBorders>
              <w:top w:val="single" w:color="auto" w:sz="4" w:space="0"/>
            </w:tcBorders>
            <w:vAlign w:val="center"/>
          </w:tcPr>
          <w:p w14:paraId="0ECE940D">
            <w:pPr>
              <w:pStyle w:val="178"/>
            </w:pPr>
            <w:r>
              <w:rPr>
                <w:rFonts w:hint="eastAsia"/>
              </w:rPr>
              <w:t>期限与权限受控</w:t>
            </w:r>
          </w:p>
        </w:tc>
        <w:tc>
          <w:tcPr>
            <w:tcW w:w="2126" w:type="dxa"/>
            <w:tcBorders>
              <w:top w:val="single" w:color="auto" w:sz="4" w:space="0"/>
            </w:tcBorders>
            <w:vAlign w:val="center"/>
          </w:tcPr>
          <w:p w14:paraId="261273DE">
            <w:pPr>
              <w:pStyle w:val="178"/>
            </w:pPr>
            <w:r>
              <w:rPr>
                <w:rFonts w:hint="eastAsia"/>
              </w:rPr>
              <w:t>留样丢失、超期未处置</w:t>
            </w:r>
          </w:p>
        </w:tc>
        <w:tc>
          <w:tcPr>
            <w:tcW w:w="1264" w:type="dxa"/>
            <w:tcBorders>
              <w:top w:val="single" w:color="auto" w:sz="4" w:space="0"/>
            </w:tcBorders>
            <w:vAlign w:val="center"/>
          </w:tcPr>
          <w:p w14:paraId="2229CF3D">
            <w:pPr>
              <w:pStyle w:val="178"/>
            </w:pPr>
            <w:r>
              <w:rPr>
                <w:rFonts w:hint="eastAsia"/>
              </w:rPr>
              <w:t>台账管理、</w:t>
            </w:r>
          </w:p>
          <w:p w14:paraId="2CF3C785">
            <w:pPr>
              <w:pStyle w:val="178"/>
            </w:pPr>
            <w:r>
              <w:rPr>
                <w:rFonts w:hint="eastAsia"/>
              </w:rPr>
              <w:t>定期盘点</w:t>
            </w:r>
          </w:p>
        </w:tc>
      </w:tr>
    </w:tbl>
    <w:p w14:paraId="3DAC073C">
      <w:pPr>
        <w:pStyle w:val="105"/>
        <w:spacing w:before="120" w:after="120" w:line="360" w:lineRule="auto"/>
      </w:pPr>
      <w:r>
        <w:rPr>
          <w:rFonts w:hint="eastAsia"/>
        </w:rPr>
        <w:t>留样管理与保存条件</w:t>
      </w:r>
    </w:p>
    <w:p w14:paraId="06B57D55">
      <w:pPr>
        <w:pStyle w:val="56"/>
        <w:spacing w:line="360" w:lineRule="auto"/>
        <w:ind w:firstLine="420"/>
      </w:pPr>
      <w:r>
        <w:rPr>
          <w:rFonts w:hint="eastAsia"/>
        </w:rPr>
        <w:t>留样应满足快速检验复核与送检确证需求。留样量应结合剂型、项目、方法与确证检验可能需要的样品量确定，并预留重复测定与争议复核所需样品：</w:t>
      </w:r>
    </w:p>
    <w:p w14:paraId="7B95EBC9">
      <w:pPr>
        <w:pStyle w:val="56"/>
        <w:spacing w:line="360" w:lineRule="auto"/>
        <w:ind w:firstLine="420"/>
      </w:pPr>
      <w:r>
        <w:rPr>
          <w:rFonts w:hint="eastAsia"/>
        </w:rPr>
        <w:t>a) 对可疑或不符合样品应优先留样并封存，必要时实施专柜或专库保管；</w:t>
      </w:r>
    </w:p>
    <w:p w14:paraId="418369EB">
      <w:pPr>
        <w:pStyle w:val="56"/>
        <w:spacing w:line="360" w:lineRule="auto"/>
        <w:ind w:firstLine="420"/>
      </w:pPr>
      <w:r>
        <w:rPr>
          <w:rFonts w:hint="eastAsia"/>
        </w:rPr>
        <w:t>b) 对需冷链保存的样品应实施温度监控并记录；</w:t>
      </w:r>
    </w:p>
    <w:p w14:paraId="6983256D">
      <w:pPr>
        <w:pStyle w:val="56"/>
        <w:spacing w:line="360" w:lineRule="auto"/>
        <w:ind w:firstLine="420"/>
      </w:pPr>
      <w:r>
        <w:rPr>
          <w:rFonts w:hint="eastAsia"/>
        </w:rPr>
        <w:t>c) 对需避光、防潮、防挥发的样品应采取相应防护措施；</w:t>
      </w:r>
    </w:p>
    <w:p w14:paraId="673FA442">
      <w:pPr>
        <w:pStyle w:val="56"/>
        <w:spacing w:line="360" w:lineRule="auto"/>
        <w:ind w:firstLine="420"/>
      </w:pPr>
      <w:r>
        <w:rPr>
          <w:rFonts w:hint="eastAsia"/>
        </w:rPr>
        <w:t>d) 留样保存期限应与处置流程一致，至少覆盖送检、确证与可能的复核周期；</w:t>
      </w:r>
    </w:p>
    <w:p w14:paraId="57490CBB">
      <w:pPr>
        <w:pStyle w:val="56"/>
        <w:spacing w:line="360" w:lineRule="auto"/>
        <w:ind w:firstLine="420"/>
      </w:pPr>
      <w:r>
        <w:rPr>
          <w:rFonts w:hint="eastAsia"/>
        </w:rPr>
        <w:t>e) 留样调阅应审批登记，确保责任可追溯。</w:t>
      </w:r>
    </w:p>
    <w:p w14:paraId="73B2F3D7">
      <w:pPr>
        <w:pStyle w:val="105"/>
        <w:spacing w:before="120" w:after="120" w:line="360" w:lineRule="auto"/>
      </w:pPr>
      <w:r>
        <w:rPr>
          <w:rFonts w:hint="eastAsia"/>
        </w:rPr>
        <w:t>样品运输与送检移交要求</w:t>
      </w:r>
    </w:p>
    <w:p w14:paraId="159510EC">
      <w:pPr>
        <w:pStyle w:val="56"/>
        <w:spacing w:line="360" w:lineRule="auto"/>
        <w:ind w:firstLine="420"/>
      </w:pPr>
      <w:r>
        <w:rPr>
          <w:rFonts w:hint="eastAsia"/>
        </w:rPr>
        <w:t>当快速检验提示可疑或不符合、或需启动确证检验时，应按程序进行送检移交：</w:t>
      </w:r>
    </w:p>
    <w:p w14:paraId="12B6FB10">
      <w:pPr>
        <w:pStyle w:val="56"/>
        <w:spacing w:line="360" w:lineRule="auto"/>
        <w:ind w:firstLine="420"/>
      </w:pPr>
      <w:r>
        <w:rPr>
          <w:rFonts w:hint="eastAsia"/>
        </w:rPr>
        <w:t>a) 送检样品应保持封签完好，确需分装的应在受控条件下进行并分别编号；</w:t>
      </w:r>
    </w:p>
    <w:p w14:paraId="10CA59AD">
      <w:pPr>
        <w:pStyle w:val="56"/>
        <w:spacing w:line="360" w:lineRule="auto"/>
        <w:ind w:firstLine="420"/>
      </w:pPr>
      <w:r>
        <w:rPr>
          <w:rFonts w:hint="eastAsia"/>
        </w:rPr>
        <w:t>b) 送检应附送检清单与样品链记录，必要时附现场快速检验记录与结果说明；</w:t>
      </w:r>
    </w:p>
    <w:p w14:paraId="3DDEF28D">
      <w:pPr>
        <w:pStyle w:val="56"/>
        <w:spacing w:line="360" w:lineRule="auto"/>
        <w:ind w:firstLine="420"/>
      </w:pPr>
      <w:r>
        <w:rPr>
          <w:rFonts w:hint="eastAsia"/>
        </w:rPr>
        <w:t>c) 冷链样品送检应全程温控，并提供温控记录；</w:t>
      </w:r>
    </w:p>
    <w:p w14:paraId="2D0BE79C">
      <w:pPr>
        <w:pStyle w:val="56"/>
        <w:spacing w:line="360" w:lineRule="auto"/>
        <w:ind w:firstLine="420"/>
      </w:pPr>
      <w:r>
        <w:rPr>
          <w:rFonts w:hint="eastAsia"/>
        </w:rPr>
        <w:t>d) 送检交接应双人核对并形成移交单，移交单应包含样品编号、批号、数量、封签编号、交接时间地点、交接双方信息；</w:t>
      </w:r>
    </w:p>
    <w:p w14:paraId="72C38B2F">
      <w:pPr>
        <w:pStyle w:val="56"/>
        <w:spacing w:line="360" w:lineRule="auto"/>
        <w:ind w:firstLine="420"/>
      </w:pPr>
      <w:r>
        <w:rPr>
          <w:rFonts w:hint="eastAsia"/>
        </w:rPr>
        <w:t>e) 送检过程发生异常（破损、温控失效、封签破坏）应立即记录并启动异常处置与补救措施评估。</w:t>
      </w:r>
    </w:p>
    <w:p w14:paraId="18E67A71">
      <w:pPr>
        <w:pStyle w:val="105"/>
        <w:spacing w:before="120" w:after="120" w:line="360" w:lineRule="auto"/>
      </w:pPr>
      <w:r>
        <w:rPr>
          <w:rFonts w:hint="eastAsia"/>
        </w:rPr>
        <w:t>异常与偏差处置</w:t>
      </w:r>
    </w:p>
    <w:p w14:paraId="2C0BA7B6">
      <w:pPr>
        <w:pStyle w:val="56"/>
        <w:spacing w:line="360" w:lineRule="auto"/>
        <w:ind w:firstLine="420"/>
      </w:pPr>
      <w:r>
        <w:rPr>
          <w:rFonts w:hint="eastAsia"/>
        </w:rPr>
        <w:t>采样与样品管理过程中如出现以下异常，应启动偏差处置并形成记录：</w:t>
      </w:r>
    </w:p>
    <w:p w14:paraId="562DCBEE">
      <w:pPr>
        <w:pStyle w:val="56"/>
        <w:spacing w:line="360" w:lineRule="auto"/>
        <w:ind w:firstLine="420"/>
      </w:pPr>
      <w:r>
        <w:rPr>
          <w:rFonts w:hint="eastAsia"/>
        </w:rPr>
        <w:t>a) 样品标签信息不完整或与记录不一致；</w:t>
      </w:r>
    </w:p>
    <w:p w14:paraId="35F548FF">
      <w:pPr>
        <w:pStyle w:val="56"/>
        <w:spacing w:line="360" w:lineRule="auto"/>
        <w:ind w:firstLine="420"/>
      </w:pPr>
      <w:r>
        <w:rPr>
          <w:rFonts w:hint="eastAsia"/>
        </w:rPr>
        <w:t>b) 封签破损、封签编号不一致或疑似被打开；</w:t>
      </w:r>
    </w:p>
    <w:p w14:paraId="1DFE28D1">
      <w:pPr>
        <w:pStyle w:val="56"/>
        <w:spacing w:line="360" w:lineRule="auto"/>
        <w:ind w:firstLine="420"/>
      </w:pPr>
      <w:r>
        <w:rPr>
          <w:rFonts w:hint="eastAsia"/>
        </w:rPr>
        <w:t>c) 运输温控不符合要求或在途时间超限；</w:t>
      </w:r>
    </w:p>
    <w:p w14:paraId="3A70AD06">
      <w:pPr>
        <w:pStyle w:val="56"/>
        <w:spacing w:line="360" w:lineRule="auto"/>
        <w:ind w:firstLine="420"/>
      </w:pPr>
      <w:r>
        <w:rPr>
          <w:rFonts w:hint="eastAsia"/>
        </w:rPr>
        <w:t>d) 样品性状异常（渗漏、变色、结块、异味）可能影响检验结果；</w:t>
      </w:r>
    </w:p>
    <w:p w14:paraId="0FAA8384">
      <w:pPr>
        <w:pStyle w:val="56"/>
        <w:spacing w:line="360" w:lineRule="auto"/>
        <w:ind w:firstLine="420"/>
      </w:pPr>
      <w:r>
        <w:rPr>
          <w:rFonts w:hint="eastAsia"/>
        </w:rPr>
        <w:t>e) 样品数量不足无法完成复核或确证。</w:t>
      </w:r>
    </w:p>
    <w:p w14:paraId="189C3253">
      <w:pPr>
        <w:pStyle w:val="56"/>
        <w:spacing w:line="360" w:lineRule="auto"/>
        <w:ind w:firstLine="420"/>
      </w:pPr>
      <w:r>
        <w:rPr>
          <w:rFonts w:hint="eastAsia"/>
        </w:rPr>
        <w:t>对异常样品是否可用于快速检验或确证检验，应进行影响评估；必要时重新采样。对无法纠正的偏差，应在结果解释中明确说明并采取风险更高原则处置。</w:t>
      </w:r>
    </w:p>
    <w:p w14:paraId="244D19E4">
      <w:pPr>
        <w:pStyle w:val="105"/>
        <w:spacing w:before="120" w:after="120" w:line="360" w:lineRule="auto"/>
      </w:pPr>
      <w:r>
        <w:rPr>
          <w:rFonts w:hint="eastAsia"/>
        </w:rPr>
        <w:t>记录与台账管理</w:t>
      </w:r>
    </w:p>
    <w:p w14:paraId="134ECAA0">
      <w:pPr>
        <w:pStyle w:val="56"/>
        <w:spacing w:line="360" w:lineRule="auto"/>
        <w:ind w:firstLine="420"/>
      </w:pPr>
      <w:r>
        <w:rPr>
          <w:rFonts w:hint="eastAsia"/>
        </w:rPr>
        <w:t>应建立采样与样品管理台账，台账应与任务编号、样品编号、封签编号、留样位置、送检状态与处置结果关联。台账可采用纸质或电子方式，但应确保信息完整、变更可追溯、定期核对盘点。对涉案样品、应急样品与高风险样品台账应加强权限控制与审计。</w:t>
      </w:r>
    </w:p>
    <w:p w14:paraId="3DC5B16C">
      <w:pPr>
        <w:pStyle w:val="104"/>
        <w:spacing w:before="240" w:after="240" w:line="360" w:lineRule="auto"/>
      </w:pPr>
      <w:bookmarkStart w:id="54" w:name="_Toc220347090"/>
      <w:r>
        <w:rPr>
          <w:rFonts w:hint="eastAsia"/>
        </w:rPr>
        <w:t>现场前处理</w:t>
      </w:r>
      <w:bookmarkEnd w:id="54"/>
    </w:p>
    <w:p w14:paraId="0369E501">
      <w:pPr>
        <w:pStyle w:val="105"/>
        <w:spacing w:before="120" w:after="120" w:line="360" w:lineRule="auto"/>
      </w:pPr>
      <w:r>
        <w:rPr>
          <w:rFonts w:hint="eastAsia"/>
        </w:rPr>
        <w:t>一般要求</w:t>
      </w:r>
    </w:p>
    <w:p w14:paraId="0C4CA26A">
      <w:pPr>
        <w:pStyle w:val="56"/>
        <w:spacing w:line="360" w:lineRule="auto"/>
        <w:ind w:firstLine="420"/>
      </w:pPr>
      <w:r>
        <w:rPr>
          <w:rFonts w:hint="eastAsia"/>
        </w:rPr>
        <w:t>现场前处理应以满足快速检验方法适用性与结果可靠性为目标，在不改变样品真实性与可追溯性的前提下，采用简化、可复制、可控的操作流程实现样品从“原始形态”到“可检测形态”的转换。前处理过程应重点控制交叉污染、样品损失、目标成分降解、基质干扰与人为误差等风险，并确保前处理记录与样品链连续。</w:t>
      </w:r>
    </w:p>
    <w:p w14:paraId="4B3E9651">
      <w:pPr>
        <w:pStyle w:val="56"/>
        <w:spacing w:line="360" w:lineRule="auto"/>
        <w:ind w:firstLine="420"/>
      </w:pPr>
      <w:r>
        <w:rPr>
          <w:rFonts w:hint="eastAsia"/>
        </w:rPr>
        <w:t>现场前处理应与所选快速检验方法相匹配，明确前处理所需设备与耗材、试剂与溶剂、操作步骤、关键控制点、质量控制要求以及安全与废弃物处置要求。对可能影响检验结论的前处理偏差（如稀释倍数、提取时间、过滤孔径、离心条件等），应设置复核与记录要求。</w:t>
      </w:r>
    </w:p>
    <w:p w14:paraId="59E0054A">
      <w:pPr>
        <w:pStyle w:val="105"/>
        <w:spacing w:before="120" w:after="120" w:line="360" w:lineRule="auto"/>
      </w:pPr>
      <w:r>
        <w:rPr>
          <w:rFonts w:hint="eastAsia"/>
        </w:rPr>
        <w:t>前处理环境与安全控制</w:t>
      </w:r>
    </w:p>
    <w:p w14:paraId="39ACB788">
      <w:pPr>
        <w:pStyle w:val="56"/>
        <w:spacing w:line="360" w:lineRule="auto"/>
        <w:ind w:firstLine="420"/>
      </w:pPr>
      <w:r>
        <w:rPr>
          <w:rFonts w:hint="eastAsia"/>
        </w:rPr>
        <w:t>前处理应在清洁、干燥、通风良好的区域进行，避免粉尘、强气味与挥发性溶剂积聚。必要时设置局部排风。</w:t>
      </w:r>
    </w:p>
    <w:p w14:paraId="3209A5FD">
      <w:pPr>
        <w:pStyle w:val="56"/>
        <w:spacing w:line="360" w:lineRule="auto"/>
        <w:ind w:firstLine="420"/>
      </w:pPr>
      <w:r>
        <w:rPr>
          <w:rFonts w:hint="eastAsia"/>
        </w:rPr>
        <w:t>应按试剂危险性配置个体防护用品，包括手套、护目镜、防护服与必要的呼吸防护。</w:t>
      </w:r>
    </w:p>
    <w:p w14:paraId="05526512">
      <w:pPr>
        <w:pStyle w:val="56"/>
        <w:spacing w:line="360" w:lineRule="auto"/>
        <w:ind w:firstLine="420"/>
      </w:pPr>
      <w:r>
        <w:rPr>
          <w:rFonts w:hint="eastAsia"/>
        </w:rPr>
        <w:t>易燃易爆溶剂应远离火源，使用与存放应符合安全要求。对可能存在生物风险的样品或前处理过程，应按生物安全要求开展并对废弃物进行消毒或专门处置。</w:t>
      </w:r>
    </w:p>
    <w:p w14:paraId="331D84B4">
      <w:pPr>
        <w:pStyle w:val="56"/>
        <w:spacing w:line="360" w:lineRule="auto"/>
        <w:ind w:firstLine="420"/>
      </w:pPr>
      <w:r>
        <w:rPr>
          <w:rFonts w:hint="eastAsia"/>
        </w:rPr>
        <w:t>前处理区应配备资吸附材料、洗眼器/洗眼液、灭火器、泄漏应急包等必要的应急物，并明确事故处置流程。</w:t>
      </w:r>
    </w:p>
    <w:p w14:paraId="51533AA1">
      <w:pPr>
        <w:pStyle w:val="105"/>
        <w:spacing w:before="120" w:after="120" w:line="360" w:lineRule="auto"/>
      </w:pPr>
      <w:r>
        <w:rPr>
          <w:rFonts w:hint="eastAsia"/>
        </w:rPr>
        <w:t>前处理设备、耗材与试剂管理</w:t>
      </w:r>
    </w:p>
    <w:p w14:paraId="492CDA5E">
      <w:pPr>
        <w:pStyle w:val="65"/>
        <w:spacing w:before="120" w:after="120" w:line="360" w:lineRule="auto"/>
      </w:pPr>
      <w:r>
        <w:rPr>
          <w:rFonts w:hint="eastAsia"/>
        </w:rPr>
        <w:t>设备要求</w:t>
      </w:r>
    </w:p>
    <w:p w14:paraId="6E13BFEA">
      <w:pPr>
        <w:pStyle w:val="56"/>
        <w:spacing w:line="360" w:lineRule="auto"/>
        <w:ind w:firstLine="420"/>
      </w:pPr>
      <w:r>
        <w:rPr>
          <w:rFonts w:hint="eastAsia"/>
        </w:rPr>
        <w:t>前处理常用设备包括天平、研钵/粉碎器、移液器、离心机、涡旋混匀器、超声提取装置、加热模块/水浴、过滤装置等。设备应满足：</w:t>
      </w:r>
    </w:p>
    <w:p w14:paraId="06B671C7">
      <w:pPr>
        <w:pStyle w:val="56"/>
        <w:spacing w:line="360" w:lineRule="auto"/>
        <w:ind w:firstLine="420"/>
      </w:pPr>
      <w:r>
        <w:rPr>
          <w:rFonts w:hint="eastAsia"/>
        </w:rPr>
        <w:t>a) 状态适用：关键设备应处于合格状态，具备必要的校准或核查记录；</w:t>
      </w:r>
    </w:p>
    <w:p w14:paraId="2037A19B">
      <w:pPr>
        <w:pStyle w:val="56"/>
        <w:spacing w:line="360" w:lineRule="auto"/>
        <w:ind w:firstLine="420"/>
      </w:pPr>
      <w:r>
        <w:rPr>
          <w:rFonts w:hint="eastAsia"/>
        </w:rPr>
        <w:t>b) 清洁可控：与样品直接接触部件应易清洁、耐溶剂，必要时一次性使用；</w:t>
      </w:r>
    </w:p>
    <w:p w14:paraId="113F87A3">
      <w:pPr>
        <w:pStyle w:val="56"/>
        <w:spacing w:line="360" w:lineRule="auto"/>
        <w:ind w:firstLine="420"/>
      </w:pPr>
      <w:r>
        <w:rPr>
          <w:rFonts w:hint="eastAsia"/>
        </w:rPr>
        <w:t>c) 参数可追溯：离心转速/时间、温度、超声时间等关键参数应可设定并记录；</w:t>
      </w:r>
    </w:p>
    <w:p w14:paraId="2D143C43">
      <w:pPr>
        <w:pStyle w:val="56"/>
        <w:spacing w:line="360" w:lineRule="auto"/>
        <w:ind w:firstLine="420"/>
      </w:pPr>
      <w:r>
        <w:rPr>
          <w:rFonts w:hint="eastAsia"/>
        </w:rPr>
        <w:t>d) 维护保养：按规定周期进行维护与功能检查，异常时不得用于前处理。</w:t>
      </w:r>
    </w:p>
    <w:p w14:paraId="6E5529F2">
      <w:pPr>
        <w:pStyle w:val="65"/>
        <w:spacing w:before="120" w:after="120" w:line="360" w:lineRule="auto"/>
      </w:pPr>
      <w:r>
        <w:rPr>
          <w:rFonts w:hint="eastAsia"/>
        </w:rPr>
        <w:t>耗材要求</w:t>
      </w:r>
    </w:p>
    <w:p w14:paraId="607F54AF">
      <w:pPr>
        <w:pStyle w:val="56"/>
        <w:spacing w:line="360" w:lineRule="auto"/>
        <w:ind w:firstLine="420"/>
      </w:pPr>
      <w:r>
        <w:rPr>
          <w:rFonts w:hint="eastAsia"/>
        </w:rPr>
        <w:t>采样瓶、离心管、过滤膜、注射器、移液枪头、样品袋等耗材应清洁、无污染，并与溶剂/样品相容。对可能引入背景干扰的耗材，应进行适用性确认或选用低吸附耗材。一次性耗材应避免重复使用；如确需重复使用器具，应建立清洁与验证规则。</w:t>
      </w:r>
    </w:p>
    <w:p w14:paraId="35D5B26A">
      <w:pPr>
        <w:pStyle w:val="65"/>
        <w:spacing w:before="120" w:after="120" w:line="360" w:lineRule="auto"/>
      </w:pPr>
      <w:r>
        <w:rPr>
          <w:rFonts w:hint="eastAsia"/>
        </w:rPr>
        <w:t>试剂与溶剂要求</w:t>
      </w:r>
    </w:p>
    <w:p w14:paraId="5872F093">
      <w:pPr>
        <w:pStyle w:val="56"/>
        <w:spacing w:line="360" w:lineRule="auto"/>
        <w:ind w:firstLine="420"/>
      </w:pPr>
      <w:r>
        <w:rPr>
          <w:rFonts w:hint="eastAsia"/>
        </w:rPr>
        <w:t>试剂与溶剂应来源合法、标签清晰，记录批号、有效期与开封日期。应按要求储存（避光、冷藏、防潮等），并建立领用与库存管理。</w:t>
      </w:r>
    </w:p>
    <w:p w14:paraId="0DC52B9B">
      <w:pPr>
        <w:pStyle w:val="56"/>
        <w:spacing w:line="360" w:lineRule="auto"/>
        <w:ind w:firstLine="420"/>
      </w:pPr>
      <w:r>
        <w:rPr>
          <w:rFonts w:hint="eastAsia"/>
        </w:rPr>
        <w:t>对对照品、显色剂、衍生化试剂等关键试剂应设置重点管控，超过有效期或状态异常不得使用。现场配制溶液应标注名称、浓度、配制人、配制日期与失效日期，必要时进行核对与复核。</w:t>
      </w:r>
    </w:p>
    <w:p w14:paraId="4189717A">
      <w:pPr>
        <w:pStyle w:val="105"/>
        <w:spacing w:before="120" w:after="120" w:line="360" w:lineRule="auto"/>
      </w:pPr>
      <w:r>
        <w:rPr>
          <w:rFonts w:hint="eastAsia"/>
        </w:rPr>
        <w:t>前处理操作通用流程</w:t>
      </w:r>
    </w:p>
    <w:p w14:paraId="53798093">
      <w:pPr>
        <w:pStyle w:val="56"/>
        <w:spacing w:line="360" w:lineRule="auto"/>
        <w:ind w:firstLine="420"/>
      </w:pPr>
      <w:r>
        <w:rPr>
          <w:rFonts w:hint="eastAsia"/>
        </w:rPr>
        <w:t>现场前处理通常包括样品核对与称量、溶解或提取、稀释定容、净化过滤/离心、必要的衍生化或显色预处理、以及待测液（或样品片）制备等步骤。应满足以下通用要求：</w:t>
      </w:r>
    </w:p>
    <w:p w14:paraId="774660F0">
      <w:pPr>
        <w:pStyle w:val="56"/>
        <w:spacing w:line="360" w:lineRule="auto"/>
        <w:ind w:firstLine="420"/>
      </w:pPr>
      <w:r>
        <w:rPr>
          <w:rFonts w:hint="eastAsia"/>
        </w:rPr>
        <w:t>a) 样品核对：前处理前应核对样品编号、品名规格、批号、封签状态与记录一致性；</w:t>
      </w:r>
    </w:p>
    <w:p w14:paraId="6201D9B6">
      <w:pPr>
        <w:pStyle w:val="56"/>
        <w:spacing w:line="360" w:lineRule="auto"/>
        <w:ind w:firstLine="420"/>
      </w:pPr>
      <w:r>
        <w:rPr>
          <w:rFonts w:hint="eastAsia"/>
        </w:rPr>
        <w:t>b) 开封记录：开封应登记原因、时间、经办人与用量，剩余样品应重新封存；</w:t>
      </w:r>
    </w:p>
    <w:p w14:paraId="7C0A0523">
      <w:pPr>
        <w:pStyle w:val="56"/>
        <w:spacing w:line="360" w:lineRule="auto"/>
        <w:ind w:firstLine="420"/>
      </w:pPr>
      <w:r>
        <w:rPr>
          <w:rFonts w:hint="eastAsia"/>
        </w:rPr>
        <w:t>c) 称量与量取：称量与量取应满足精度要求，关键量取（稀释倍数）宜实施复核；</w:t>
      </w:r>
    </w:p>
    <w:p w14:paraId="277410BE">
      <w:pPr>
        <w:pStyle w:val="56"/>
        <w:spacing w:line="360" w:lineRule="auto"/>
        <w:ind w:firstLine="420"/>
      </w:pPr>
      <w:r>
        <w:rPr>
          <w:rFonts w:hint="eastAsia"/>
        </w:rPr>
        <w:t>d) 混匀充分：溶解、提取或稀释后应混匀，避免分层与局部浓度偏差；</w:t>
      </w:r>
    </w:p>
    <w:p w14:paraId="2AB31AC6">
      <w:pPr>
        <w:pStyle w:val="56"/>
        <w:spacing w:line="360" w:lineRule="auto"/>
        <w:ind w:firstLine="420"/>
      </w:pPr>
      <w:r>
        <w:rPr>
          <w:rFonts w:hint="eastAsia"/>
        </w:rPr>
        <w:t>e) 净化与过滤：按方法要求选择过滤孔径或离心条件，防止颗粒堵塞与背景干扰；</w:t>
      </w:r>
    </w:p>
    <w:p w14:paraId="3416D7ED">
      <w:pPr>
        <w:pStyle w:val="56"/>
        <w:spacing w:line="360" w:lineRule="auto"/>
        <w:ind w:firstLine="420"/>
      </w:pPr>
      <w:r>
        <w:rPr>
          <w:rFonts w:hint="eastAsia"/>
        </w:rPr>
        <w:t>f) 标识清晰：所有中间体容器应及时标识样品编号、步骤状态、配制浓度与时间；</w:t>
      </w:r>
    </w:p>
    <w:p w14:paraId="6B666933">
      <w:pPr>
        <w:pStyle w:val="56"/>
        <w:spacing w:line="360" w:lineRule="auto"/>
        <w:ind w:firstLine="420"/>
      </w:pPr>
      <w:r>
        <w:rPr>
          <w:rFonts w:hint="eastAsia"/>
        </w:rPr>
        <w:t>g) 避免污染：同批次样品与不同样品之间应更换枪头、滤膜等，必要时更换手套并清洁台面；</w:t>
      </w:r>
    </w:p>
    <w:p w14:paraId="508E6C06">
      <w:pPr>
        <w:pStyle w:val="56"/>
        <w:spacing w:line="360" w:lineRule="auto"/>
        <w:ind w:firstLine="420"/>
      </w:pPr>
      <w:r>
        <w:rPr>
          <w:rFonts w:hint="eastAsia"/>
        </w:rPr>
        <w:t>h) 记录完整：关键步骤参数（溶剂种类、体积、提取时间、温度、离心条件、过滤孔径、稀释倍数等）应记录可追溯。</w:t>
      </w:r>
    </w:p>
    <w:p w14:paraId="36DF4DB5">
      <w:pPr>
        <w:pStyle w:val="105"/>
        <w:spacing w:before="120" w:after="120" w:line="360" w:lineRule="auto"/>
      </w:pPr>
      <w:r>
        <w:rPr>
          <w:rFonts w:hint="eastAsia"/>
        </w:rPr>
        <w:t>不同剂型前处理要点</w:t>
      </w:r>
    </w:p>
    <w:p w14:paraId="73463B8C">
      <w:pPr>
        <w:pStyle w:val="65"/>
        <w:spacing w:before="120" w:after="120" w:line="360" w:lineRule="auto"/>
      </w:pPr>
      <w:r>
        <w:rPr>
          <w:rFonts w:hint="eastAsia"/>
        </w:rPr>
        <w:t>固体制剂</w:t>
      </w:r>
    </w:p>
    <w:p w14:paraId="5EC7D9D1">
      <w:pPr>
        <w:pStyle w:val="56"/>
        <w:spacing w:line="360" w:lineRule="auto"/>
        <w:ind w:firstLine="420"/>
      </w:pPr>
      <w:r>
        <w:rPr>
          <w:rFonts w:hint="eastAsia"/>
        </w:rPr>
        <w:t>固体样品宜先研碎或充分混匀后取样，避免片间含量差异导致偏差。胶囊类可先剥壳取内容物，必要时记录壳体特征并留存影像。采用溶剂溶解或提取时，应明确溶剂选择依据，控制提取时间与强度（涡旋/超声）。对含包衣或缓控释制剂，应评估包衣材料对溶解与提取的影响，必要时延长提取或采用适配溶剂，但不得超出方法确认范围。</w:t>
      </w:r>
    </w:p>
    <w:p w14:paraId="66DE438D">
      <w:pPr>
        <w:pStyle w:val="65"/>
        <w:spacing w:before="120" w:after="120" w:line="360" w:lineRule="auto"/>
      </w:pPr>
      <w:r>
        <w:rPr>
          <w:rFonts w:hint="eastAsia"/>
        </w:rPr>
        <w:t>液体制剂</w:t>
      </w:r>
    </w:p>
    <w:p w14:paraId="5FF2A450">
      <w:pPr>
        <w:pStyle w:val="56"/>
        <w:spacing w:line="360" w:lineRule="auto"/>
        <w:ind w:firstLine="420"/>
      </w:pPr>
      <w:r>
        <w:rPr>
          <w:rFonts w:hint="eastAsia"/>
        </w:rPr>
        <w:t>液体样品应充分摇匀后取样，注意黏度对量取准确性的影响。必要时进行适度稀释以匹配检测线性范围或避免基质干扰。含色素或高糖基质可能影响比色或光谱方法，应在方法适用性评估中明确处理策略。易挥发溶剂体系样品应减少暴露时间并密封保存。</w:t>
      </w:r>
    </w:p>
    <w:p w14:paraId="789865B0">
      <w:pPr>
        <w:pStyle w:val="65"/>
        <w:spacing w:before="120" w:after="120" w:line="360" w:lineRule="auto"/>
      </w:pPr>
      <w:r>
        <w:rPr>
          <w:rFonts w:hint="eastAsia"/>
        </w:rPr>
        <w:t>注射剂与无菌制剂</w:t>
      </w:r>
    </w:p>
    <w:p w14:paraId="5E795C95">
      <w:pPr>
        <w:pStyle w:val="56"/>
        <w:spacing w:line="360" w:lineRule="auto"/>
        <w:ind w:firstLine="420"/>
      </w:pPr>
      <w:r>
        <w:rPr>
          <w:rFonts w:hint="eastAsia"/>
        </w:rPr>
        <w:t>对注射剂等无菌制剂的前处理应尽量减少污染引入，必要时在相对洁净环境下操作。若快速检验涉及无菌相关指标筛查，应按相应生物安全与无菌操作要求执行。安瓿或西林瓶开启应注意安全，保留开启前状态影像与批号信息，避免碎屑混入。</w:t>
      </w:r>
    </w:p>
    <w:p w14:paraId="1ABFA68D">
      <w:pPr>
        <w:pStyle w:val="65"/>
        <w:spacing w:before="120" w:after="120" w:line="360" w:lineRule="auto"/>
      </w:pPr>
      <w:r>
        <w:rPr>
          <w:rFonts w:hint="eastAsia"/>
        </w:rPr>
        <w:t>原辅料与中间产品</w:t>
      </w:r>
    </w:p>
    <w:p w14:paraId="56D69D55">
      <w:pPr>
        <w:pStyle w:val="56"/>
        <w:spacing w:line="360" w:lineRule="auto"/>
        <w:ind w:firstLine="420"/>
      </w:pPr>
      <w:r>
        <w:rPr>
          <w:rFonts w:hint="eastAsia"/>
        </w:rPr>
        <w:t>原辅料样品应进行代表性混匀，按规定点位取样。对粉末状样品应控制粉尘扩散并防交叉污染。对挥发性或吸湿性原料应加快操作并密封，必要时在干燥条件下进行。</w:t>
      </w:r>
    </w:p>
    <w:p w14:paraId="04B4956A">
      <w:pPr>
        <w:pStyle w:val="105"/>
        <w:spacing w:before="120" w:after="120" w:line="360" w:lineRule="auto"/>
      </w:pPr>
      <w:r>
        <w:rPr>
          <w:rFonts w:hint="eastAsia"/>
        </w:rPr>
        <w:t>前处理质量控制点</w:t>
      </w:r>
    </w:p>
    <w:p w14:paraId="2C595A83">
      <w:pPr>
        <w:pStyle w:val="56"/>
        <w:spacing w:line="360" w:lineRule="auto"/>
        <w:ind w:firstLine="420"/>
      </w:pPr>
      <w:r>
        <w:rPr>
          <w:rFonts w:hint="eastAsia"/>
        </w:rPr>
        <w:t>前处理质量控制应以“可复现”为目标，至少设置以下控制点：</w:t>
      </w:r>
    </w:p>
    <w:p w14:paraId="7AF20D22">
      <w:pPr>
        <w:pStyle w:val="56"/>
        <w:spacing w:line="360" w:lineRule="auto"/>
        <w:ind w:firstLine="420"/>
      </w:pPr>
      <w:r>
        <w:rPr>
          <w:rFonts w:hint="eastAsia"/>
        </w:rPr>
        <w:t>a) 空白控制：采用空白溶剂或空白基质进行同流程处理，评估背景干扰；</w:t>
      </w:r>
    </w:p>
    <w:p w14:paraId="32EEBE60">
      <w:pPr>
        <w:pStyle w:val="56"/>
        <w:spacing w:line="360" w:lineRule="auto"/>
        <w:ind w:firstLine="420"/>
      </w:pPr>
      <w:r>
        <w:rPr>
          <w:rFonts w:hint="eastAsia"/>
        </w:rPr>
        <w:t>b) 加标或对照核验：对关键方法可采用加标回收或对照品比对，验证提取有效性；</w:t>
      </w:r>
    </w:p>
    <w:p w14:paraId="0C0A2772">
      <w:pPr>
        <w:pStyle w:val="56"/>
        <w:spacing w:line="360" w:lineRule="auto"/>
        <w:ind w:firstLine="420"/>
      </w:pPr>
      <w:r>
        <w:rPr>
          <w:rFonts w:hint="eastAsia"/>
        </w:rPr>
        <w:t>c) 重复制备：对高风险样品或结论敏感样品宜至少制备两份平行前处理样品；</w:t>
      </w:r>
    </w:p>
    <w:p w14:paraId="7C97E739">
      <w:pPr>
        <w:pStyle w:val="56"/>
        <w:spacing w:line="360" w:lineRule="auto"/>
        <w:ind w:firstLine="420"/>
      </w:pPr>
      <w:r>
        <w:rPr>
          <w:rFonts w:hint="eastAsia"/>
        </w:rPr>
        <w:t>d) 关键参数复核：稀释倍数、称量质量、体积量取等应复核；</w:t>
      </w:r>
    </w:p>
    <w:p w14:paraId="61320D93">
      <w:pPr>
        <w:pStyle w:val="56"/>
        <w:spacing w:line="360" w:lineRule="auto"/>
        <w:ind w:firstLine="420"/>
      </w:pPr>
      <w:r>
        <w:rPr>
          <w:rFonts w:hint="eastAsia"/>
        </w:rPr>
        <w:t>e) 交叉污染检查：连续处理不同样品时，应设置清洁检查或顺序安排（由低风险到高风险）。</w:t>
      </w:r>
    </w:p>
    <w:p w14:paraId="1BE61479">
      <w:pPr>
        <w:pStyle w:val="56"/>
        <w:spacing w:line="360" w:lineRule="auto"/>
        <w:ind w:firstLine="420"/>
      </w:pPr>
      <w:r>
        <w:rPr>
          <w:rFonts w:hint="eastAsia"/>
        </w:rPr>
        <w:t>前处理质控不符合时，应暂停结果判读，查明原因并采取纠正措施，形成偏差记录并经复核确认。</w:t>
      </w:r>
    </w:p>
    <w:p w14:paraId="392A8B11">
      <w:pPr>
        <w:pStyle w:val="105"/>
        <w:spacing w:before="120" w:after="120" w:line="360" w:lineRule="auto"/>
      </w:pPr>
      <w:r>
        <w:rPr>
          <w:rFonts w:hint="eastAsia"/>
        </w:rPr>
        <w:t>前处理偏差与异常处置</w:t>
      </w:r>
    </w:p>
    <w:p w14:paraId="2B2A1E4F">
      <w:pPr>
        <w:pStyle w:val="56"/>
        <w:spacing w:line="360" w:lineRule="auto"/>
        <w:ind w:firstLine="420"/>
      </w:pPr>
      <w:r>
        <w:rPr>
          <w:rFonts w:hint="eastAsia"/>
        </w:rPr>
        <w:t>前处理过程中出现以下情况之一，应记录并评估对结果的影响：</w:t>
      </w:r>
    </w:p>
    <w:p w14:paraId="09D98FA6">
      <w:pPr>
        <w:pStyle w:val="56"/>
        <w:spacing w:line="360" w:lineRule="auto"/>
        <w:ind w:firstLine="420"/>
      </w:pPr>
      <w:r>
        <w:rPr>
          <w:rFonts w:hint="eastAsia"/>
        </w:rPr>
        <w:t>a) 样品无法溶解、提取不充分或出现异常沉淀；</w:t>
      </w:r>
    </w:p>
    <w:p w14:paraId="7A6889B3">
      <w:pPr>
        <w:pStyle w:val="56"/>
        <w:spacing w:line="360" w:lineRule="auto"/>
        <w:ind w:firstLine="420"/>
      </w:pPr>
      <w:r>
        <w:rPr>
          <w:rFonts w:hint="eastAsia"/>
        </w:rPr>
        <w:t>b) 过滤堵塞、离心失败或出现明显样品损失；</w:t>
      </w:r>
    </w:p>
    <w:p w14:paraId="1777934A">
      <w:pPr>
        <w:pStyle w:val="56"/>
        <w:spacing w:line="360" w:lineRule="auto"/>
        <w:ind w:firstLine="420"/>
      </w:pPr>
      <w:r>
        <w:rPr>
          <w:rFonts w:hint="eastAsia"/>
        </w:rPr>
        <w:t>c) 关键设备故障、参数偏离或环境条件超限；</w:t>
      </w:r>
    </w:p>
    <w:p w14:paraId="615A29B7">
      <w:pPr>
        <w:pStyle w:val="56"/>
        <w:spacing w:line="360" w:lineRule="auto"/>
        <w:ind w:firstLine="420"/>
      </w:pPr>
      <w:r>
        <w:rPr>
          <w:rFonts w:hint="eastAsia"/>
        </w:rPr>
        <w:t>d) 试剂过期、变质或批号混用；</w:t>
      </w:r>
    </w:p>
    <w:p w14:paraId="5AFF3549">
      <w:pPr>
        <w:pStyle w:val="56"/>
        <w:spacing w:line="360" w:lineRule="auto"/>
        <w:ind w:firstLine="420"/>
      </w:pPr>
      <w:r>
        <w:rPr>
          <w:rFonts w:hint="eastAsia"/>
        </w:rPr>
        <w:t>e) 中间体标识错误或疑似混样。</w:t>
      </w:r>
    </w:p>
    <w:p w14:paraId="37206F86">
      <w:pPr>
        <w:pStyle w:val="56"/>
        <w:spacing w:line="360" w:lineRule="auto"/>
        <w:ind w:firstLine="420"/>
      </w:pPr>
      <w:r>
        <w:rPr>
          <w:rFonts w:hint="eastAsia"/>
        </w:rPr>
        <w:t>经评估可能影响结论可靠性的，应重新前处理或重新采样；无法纠正的，应在结果解释中说明不确定性来源，并按更高风险原则处置。</w:t>
      </w:r>
    </w:p>
    <w:p w14:paraId="58E8C847">
      <w:pPr>
        <w:pStyle w:val="56"/>
        <w:spacing w:line="360" w:lineRule="auto"/>
        <w:ind w:firstLine="199" w:firstLineChars="95"/>
      </w:pPr>
    </w:p>
    <w:p w14:paraId="7CFE69E4">
      <w:pPr>
        <w:pStyle w:val="56"/>
        <w:spacing w:line="360" w:lineRule="auto"/>
        <w:ind w:firstLine="199" w:firstLineChars="95"/>
        <w:rPr>
          <w:rFonts w:hint="eastAsia"/>
        </w:rPr>
      </w:pPr>
    </w:p>
    <w:p w14:paraId="656AD643">
      <w:pPr>
        <w:pStyle w:val="105"/>
        <w:spacing w:before="120" w:after="120" w:line="360" w:lineRule="auto"/>
      </w:pPr>
      <w:r>
        <w:rPr>
          <w:rFonts w:hint="eastAsia"/>
        </w:rPr>
        <w:t>记录与留存要求</w:t>
      </w:r>
    </w:p>
    <w:p w14:paraId="2D498B36">
      <w:pPr>
        <w:pStyle w:val="56"/>
        <w:spacing w:line="360" w:lineRule="auto"/>
        <w:ind w:firstLine="420"/>
      </w:pPr>
      <w:r>
        <w:rPr>
          <w:rFonts w:hint="eastAsia"/>
        </w:rPr>
        <w:t>前处理记录应与样品编号唯一绑定，至少包括：操作者、日期时间、设备与耗材信息、试剂与溶剂信息、操作步骤与关键参数、质控情况、异常与纠正措施、产出物标识与去向。对涉及案件或应急处置的样品，前处理过程宜进行关键环节影像留存，并纳入证据链归档。</w:t>
      </w:r>
    </w:p>
    <w:p w14:paraId="0F96A94C">
      <w:pPr>
        <w:pStyle w:val="104"/>
        <w:spacing w:before="240" w:after="240" w:line="360" w:lineRule="auto"/>
      </w:pPr>
      <w:bookmarkStart w:id="55" w:name="_Toc220347091"/>
      <w:r>
        <w:rPr>
          <w:rFonts w:hint="eastAsia"/>
        </w:rPr>
        <w:t>快速检测实施</w:t>
      </w:r>
      <w:bookmarkEnd w:id="55"/>
    </w:p>
    <w:p w14:paraId="0572757D">
      <w:pPr>
        <w:pStyle w:val="105"/>
        <w:spacing w:before="120" w:after="120" w:line="360" w:lineRule="auto"/>
      </w:pPr>
      <w:r>
        <w:rPr>
          <w:rFonts w:hint="eastAsia"/>
        </w:rPr>
        <w:t>一般要求</w:t>
      </w:r>
    </w:p>
    <w:p w14:paraId="302180AD">
      <w:pPr>
        <w:pStyle w:val="56"/>
        <w:spacing w:line="360" w:lineRule="auto"/>
        <w:ind w:firstLine="420"/>
      </w:pPr>
      <w:r>
        <w:rPr>
          <w:rFonts w:hint="eastAsia"/>
        </w:rPr>
        <w:t>快速检测实施应在方法文件与经确认的适用性范围内进行，确保检测步骤标准化、对照设置充分、记录完整可追溯、结果判读可复核。检测实施应重点控制环境条件、人员操作一致性、仪器与试剂状态、对照与质控符合性以及数据记录的真实性与完整性。任何偏离既定方法的操作（包括参数调整、步骤省略、替代试剂或设备等）均应视为偏差，需经评估批准并记录。</w:t>
      </w:r>
    </w:p>
    <w:p w14:paraId="3CC83E21">
      <w:pPr>
        <w:pStyle w:val="105"/>
        <w:spacing w:before="120" w:after="120" w:line="360" w:lineRule="auto"/>
      </w:pPr>
      <w:r>
        <w:rPr>
          <w:rFonts w:hint="eastAsia"/>
        </w:rPr>
        <w:t>检测前准备</w:t>
      </w:r>
    </w:p>
    <w:p w14:paraId="44321DDF">
      <w:pPr>
        <w:pStyle w:val="56"/>
        <w:spacing w:line="360" w:lineRule="auto"/>
        <w:ind w:firstLine="420"/>
      </w:pPr>
      <w:r>
        <w:rPr>
          <w:rFonts w:hint="eastAsia"/>
        </w:rPr>
        <w:t>检测前应完成以下准备工作：</w:t>
      </w:r>
    </w:p>
    <w:p w14:paraId="51B0D185">
      <w:pPr>
        <w:pStyle w:val="56"/>
        <w:spacing w:line="360" w:lineRule="auto"/>
        <w:ind w:firstLine="420"/>
      </w:pPr>
      <w:r>
        <w:rPr>
          <w:rFonts w:hint="eastAsia"/>
        </w:rPr>
        <w:t>a) 任务核对：核对任务编号、样品编号、检验项目、方法版本号与适用范围；</w:t>
      </w:r>
    </w:p>
    <w:p w14:paraId="0762CF89">
      <w:pPr>
        <w:pStyle w:val="56"/>
        <w:spacing w:line="360" w:lineRule="auto"/>
        <w:ind w:firstLine="420"/>
      </w:pPr>
      <w:r>
        <w:rPr>
          <w:rFonts w:hint="eastAsia"/>
        </w:rPr>
        <w:t>b) 样品核对：核对样品状态、前处理完成情况、待测液（或待测样品）标识与浓度/稀释倍数；</w:t>
      </w:r>
    </w:p>
    <w:p w14:paraId="74C063AD">
      <w:pPr>
        <w:pStyle w:val="56"/>
        <w:spacing w:line="360" w:lineRule="auto"/>
        <w:ind w:firstLine="420"/>
      </w:pPr>
      <w:r>
        <w:rPr>
          <w:rFonts w:hint="eastAsia"/>
        </w:rPr>
        <w:t>c) 环境确认：确认温湿度、光照、通风、电源与工作台清洁符合方法要求；对对环境敏感的试剂盒或光学设备，应按说明书规定控制条件；</w:t>
      </w:r>
    </w:p>
    <w:p w14:paraId="13BCEACC">
      <w:pPr>
        <w:pStyle w:val="56"/>
        <w:spacing w:line="360" w:lineRule="auto"/>
        <w:ind w:firstLine="420"/>
      </w:pPr>
      <w:r>
        <w:rPr>
          <w:rFonts w:hint="eastAsia"/>
        </w:rPr>
        <w:t>d) 设备状态检查：对便携光谱、比色计、读数仪等设备应进行开机自检或功能核查，确认电量、校准状态与软件版本；</w:t>
      </w:r>
    </w:p>
    <w:p w14:paraId="51884CD4">
      <w:pPr>
        <w:pStyle w:val="56"/>
        <w:spacing w:line="360" w:lineRule="auto"/>
        <w:ind w:firstLine="420"/>
      </w:pPr>
      <w:r>
        <w:rPr>
          <w:rFonts w:hint="eastAsia"/>
        </w:rPr>
        <w:t>e) 试剂耗材核查：核对试剂盒、显色剂、对照品、滤膜、枪头等批号与有效期，确认储存条件满足要求；</w:t>
      </w:r>
    </w:p>
    <w:p w14:paraId="74F84E1C">
      <w:pPr>
        <w:pStyle w:val="56"/>
        <w:spacing w:line="360" w:lineRule="auto"/>
        <w:ind w:firstLine="420"/>
      </w:pPr>
      <w:r>
        <w:rPr>
          <w:rFonts w:hint="eastAsia"/>
        </w:rPr>
        <w:t>f) 安全防护：根据试剂与溶剂危险性配置个体防护用品与废弃物容器，明确溢洒与暴露应急措施；</w:t>
      </w:r>
    </w:p>
    <w:p w14:paraId="67B82D2F">
      <w:pPr>
        <w:pStyle w:val="56"/>
        <w:spacing w:line="360" w:lineRule="auto"/>
        <w:ind w:firstLine="420"/>
      </w:pPr>
      <w:r>
        <w:rPr>
          <w:rFonts w:hint="eastAsia"/>
        </w:rPr>
        <w:t>g) 记录准备：准备检测记录表或电子记录模板，确保样品编号、方法信息、对照信息与判读规则可完整录入。</w:t>
      </w:r>
    </w:p>
    <w:p w14:paraId="2321DDF0">
      <w:pPr>
        <w:pStyle w:val="105"/>
        <w:spacing w:before="120" w:after="120" w:line="360" w:lineRule="auto"/>
      </w:pPr>
      <w:r>
        <w:rPr>
          <w:rFonts w:hint="eastAsia"/>
        </w:rPr>
        <w:t>对照设置与检测批次管理</w:t>
      </w:r>
    </w:p>
    <w:p w14:paraId="62CAF805">
      <w:pPr>
        <w:pStyle w:val="65"/>
        <w:spacing w:before="120" w:after="120" w:line="360" w:lineRule="auto"/>
      </w:pPr>
      <w:r>
        <w:rPr>
          <w:rFonts w:hint="eastAsia"/>
        </w:rPr>
        <w:t>对照设置要求</w:t>
      </w:r>
    </w:p>
    <w:p w14:paraId="796BC6E5">
      <w:pPr>
        <w:pStyle w:val="56"/>
        <w:spacing w:line="360" w:lineRule="auto"/>
        <w:ind w:firstLine="420"/>
      </w:pPr>
      <w:r>
        <w:rPr>
          <w:rFonts w:hint="eastAsia"/>
        </w:rPr>
        <w:t>每一检测批次应设置适当的对照与质控，以证明检测体系有效并支持结果判读。对照设置应满足：</w:t>
      </w:r>
    </w:p>
    <w:p w14:paraId="36BA49E2">
      <w:pPr>
        <w:pStyle w:val="132"/>
        <w:spacing w:line="360" w:lineRule="auto"/>
      </w:pPr>
      <w:r>
        <w:rPr>
          <w:rFonts w:hint="eastAsia"/>
        </w:rPr>
        <w:t>阴性对照：用于评估背景干扰与非特异性反应；</w:t>
      </w:r>
    </w:p>
    <w:p w14:paraId="23B14556">
      <w:pPr>
        <w:pStyle w:val="132"/>
        <w:spacing w:line="360" w:lineRule="auto"/>
      </w:pPr>
      <w:r>
        <w:rPr>
          <w:rFonts w:hint="eastAsia"/>
        </w:rPr>
        <w:t>阳性对照：用于验证检测体系灵敏度与有效性；</w:t>
      </w:r>
    </w:p>
    <w:p w14:paraId="62BDACBD">
      <w:pPr>
        <w:pStyle w:val="132"/>
        <w:spacing w:line="360" w:lineRule="auto"/>
      </w:pPr>
      <w:r>
        <w:rPr>
          <w:rFonts w:hint="eastAsia"/>
        </w:rPr>
        <w:t>空白对照：用于评估溶剂或基质本底对检测的影响；</w:t>
      </w:r>
    </w:p>
    <w:p w14:paraId="6A0CDFFD">
      <w:pPr>
        <w:pStyle w:val="132"/>
        <w:spacing w:line="360" w:lineRule="auto"/>
      </w:pPr>
      <w:r>
        <w:rPr>
          <w:rFonts w:hint="eastAsia"/>
        </w:rPr>
        <w:t>参考对照：如对照品溶液、标准图谱或标准光谱，用于定性/定量比对。</w:t>
      </w:r>
    </w:p>
    <w:p w14:paraId="2F32D86B">
      <w:pPr>
        <w:pStyle w:val="56"/>
        <w:spacing w:line="360" w:lineRule="auto"/>
        <w:ind w:firstLine="420"/>
      </w:pPr>
      <w:r>
        <w:rPr>
          <w:rFonts w:hint="eastAsia"/>
        </w:rPr>
        <w:t>对照结果不符合接受准则时，该批次结果不得判定为有效结果，应查明原因并采取纠正措施后重做检测。</w:t>
      </w:r>
    </w:p>
    <w:p w14:paraId="7C5123E9">
      <w:pPr>
        <w:pStyle w:val="65"/>
        <w:spacing w:before="120" w:after="120" w:line="360" w:lineRule="auto"/>
      </w:pPr>
      <w:r>
        <w:rPr>
          <w:rFonts w:hint="eastAsia"/>
        </w:rPr>
        <w:t>批次划分原则</w:t>
      </w:r>
    </w:p>
    <w:p w14:paraId="76A7498C">
      <w:pPr>
        <w:pStyle w:val="56"/>
        <w:spacing w:line="360" w:lineRule="auto"/>
        <w:ind w:firstLine="420"/>
      </w:pPr>
      <w:r>
        <w:rPr>
          <w:rFonts w:hint="eastAsia"/>
        </w:rPr>
        <w:t>检测批次划分应考虑试剂盒批号、设备校准状态、环境条件稳定性与样品数量。以下情形宜划分为不同批次：</w:t>
      </w:r>
    </w:p>
    <w:p w14:paraId="0ABD7AF8">
      <w:pPr>
        <w:pStyle w:val="132"/>
        <w:spacing w:line="360" w:lineRule="auto"/>
      </w:pPr>
      <w:r>
        <w:rPr>
          <w:rFonts w:hint="eastAsia"/>
        </w:rPr>
        <w:t>更换试剂盒批号或关键试剂；</w:t>
      </w:r>
    </w:p>
    <w:p w14:paraId="2223405B">
      <w:pPr>
        <w:pStyle w:val="132"/>
        <w:spacing w:line="360" w:lineRule="auto"/>
      </w:pPr>
      <w:r>
        <w:rPr>
          <w:rFonts w:hint="eastAsia"/>
        </w:rPr>
        <w:t>更换设备或进行重要参数调整；</w:t>
      </w:r>
    </w:p>
    <w:p w14:paraId="3D68A8BE">
      <w:pPr>
        <w:pStyle w:val="132"/>
        <w:spacing w:line="360" w:lineRule="auto"/>
      </w:pPr>
      <w:r>
        <w:rPr>
          <w:rFonts w:hint="eastAsia"/>
        </w:rPr>
        <w:t>环境条件显著变化；</w:t>
      </w:r>
    </w:p>
    <w:p w14:paraId="731E5803">
      <w:pPr>
        <w:pStyle w:val="132"/>
        <w:spacing w:line="360" w:lineRule="auto"/>
      </w:pPr>
      <w:r>
        <w:rPr>
          <w:rFonts w:hint="eastAsia"/>
        </w:rPr>
        <w:t>检测过程被中断或延迟超过方法允许时间；</w:t>
      </w:r>
    </w:p>
    <w:p w14:paraId="3610E846">
      <w:pPr>
        <w:pStyle w:val="132"/>
        <w:spacing w:line="360" w:lineRule="auto"/>
      </w:pPr>
      <w:r>
        <w:rPr>
          <w:rFonts w:hint="eastAsia"/>
        </w:rPr>
        <w:t>对高风险或涉案样品需独立批次以强化证据链。</w:t>
      </w:r>
    </w:p>
    <w:p w14:paraId="6C583649">
      <w:pPr>
        <w:pStyle w:val="105"/>
        <w:spacing w:before="120" w:after="120" w:line="360" w:lineRule="auto"/>
      </w:pPr>
      <w:r>
        <w:rPr>
          <w:rFonts w:hint="eastAsia"/>
        </w:rPr>
        <w:t>检测实施通用控制要求</w:t>
      </w:r>
    </w:p>
    <w:p w14:paraId="2BF023DB">
      <w:pPr>
        <w:pStyle w:val="56"/>
        <w:spacing w:line="360" w:lineRule="auto"/>
        <w:ind w:firstLine="420"/>
      </w:pPr>
      <w:r>
        <w:rPr>
          <w:rFonts w:hint="eastAsia"/>
        </w:rPr>
        <w:t>检测实施宜满足以下要求：</w:t>
      </w:r>
    </w:p>
    <w:p w14:paraId="497EDB0C">
      <w:pPr>
        <w:pStyle w:val="56"/>
        <w:spacing w:line="360" w:lineRule="auto"/>
        <w:ind w:firstLine="420"/>
      </w:pPr>
      <w:r>
        <w:rPr>
          <w:rFonts w:hint="eastAsia"/>
        </w:rPr>
        <w:t>a) 操作一致性：严格按步骤执行，控制反应时间、显色时间、展开时间、读取时间等关键时序；</w:t>
      </w:r>
    </w:p>
    <w:p w14:paraId="22A6422A">
      <w:pPr>
        <w:pStyle w:val="56"/>
        <w:spacing w:line="360" w:lineRule="auto"/>
        <w:ind w:firstLine="420"/>
      </w:pPr>
      <w:r>
        <w:rPr>
          <w:rFonts w:hint="eastAsia"/>
        </w:rPr>
        <w:t>b) 量取准确：移液与加样量应符合方法规定，关键步骤宜由第二人复核或采用量取校核工具；</w:t>
      </w:r>
    </w:p>
    <w:p w14:paraId="5F4500D3">
      <w:pPr>
        <w:pStyle w:val="56"/>
        <w:spacing w:line="360" w:lineRule="auto"/>
        <w:ind w:firstLine="420"/>
      </w:pPr>
      <w:r>
        <w:rPr>
          <w:rFonts w:hint="eastAsia"/>
        </w:rPr>
        <w:t>c) 混匀与反应：需要混匀的步骤应达到规定强度与时间，避免分层；</w:t>
      </w:r>
    </w:p>
    <w:p w14:paraId="753D8800">
      <w:pPr>
        <w:pStyle w:val="56"/>
        <w:spacing w:line="360" w:lineRule="auto"/>
        <w:ind w:firstLine="420"/>
      </w:pPr>
      <w:r>
        <w:rPr>
          <w:rFonts w:hint="eastAsia"/>
        </w:rPr>
        <w:t>d) 防交叉污染：不同样品加样应更换枪头、滴管等耗材，工作台面应保持清洁；</w:t>
      </w:r>
    </w:p>
    <w:p w14:paraId="549750AD">
      <w:pPr>
        <w:pStyle w:val="56"/>
        <w:spacing w:line="360" w:lineRule="auto"/>
        <w:ind w:firstLine="420"/>
      </w:pPr>
      <w:r>
        <w:rPr>
          <w:rFonts w:hint="eastAsia"/>
        </w:rPr>
        <w:t>e) 样品顺序：宜按“阴性对照—阳性对照—低风险样品—高风险样品”的顺序操作，降低交叉污染与误判风险；</w:t>
      </w:r>
    </w:p>
    <w:p w14:paraId="4BFECD3F">
      <w:pPr>
        <w:pStyle w:val="56"/>
        <w:spacing w:line="360" w:lineRule="auto"/>
        <w:ind w:firstLine="420"/>
      </w:pPr>
      <w:r>
        <w:rPr>
          <w:rFonts w:hint="eastAsia"/>
        </w:rPr>
        <w:t>f) 过程留痕：对照结果、关键图像/光谱、读数等关键节点屏幕宜留存电子证据，并与样品编号关联；</w:t>
      </w:r>
    </w:p>
    <w:p w14:paraId="77C12D3C">
      <w:pPr>
        <w:pStyle w:val="56"/>
        <w:spacing w:line="360" w:lineRule="auto"/>
        <w:ind w:firstLine="420"/>
      </w:pPr>
      <w:r>
        <w:rPr>
          <w:rFonts w:hint="eastAsia"/>
        </w:rPr>
        <w:t>g) 异常中止：出现设备故障、对照异常、样品混淆疑似等情况应立即中止该批次判读，先处置异常再恢复检测。</w:t>
      </w:r>
    </w:p>
    <w:p w14:paraId="7D61737C">
      <w:pPr>
        <w:pStyle w:val="105"/>
        <w:spacing w:before="120" w:after="120" w:line="360" w:lineRule="auto"/>
      </w:pPr>
      <w:r>
        <w:rPr>
          <w:rFonts w:hint="eastAsia"/>
        </w:rPr>
        <w:t>典型快速检测方法实施要点</w:t>
      </w:r>
    </w:p>
    <w:p w14:paraId="6CAF17D0">
      <w:pPr>
        <w:pStyle w:val="65"/>
        <w:spacing w:before="120" w:after="120" w:line="360" w:lineRule="auto"/>
      </w:pPr>
      <w:r>
        <w:rPr>
          <w:rFonts w:hint="eastAsia"/>
        </w:rPr>
        <w:t>薄层色谱（TLC）快速筛查</w:t>
      </w:r>
    </w:p>
    <w:p w14:paraId="2D3B1430">
      <w:pPr>
        <w:pStyle w:val="56"/>
        <w:spacing w:line="360" w:lineRule="auto"/>
        <w:ind w:firstLine="420"/>
      </w:pPr>
      <w:r>
        <w:rPr>
          <w:rFonts w:hint="eastAsia"/>
        </w:rPr>
        <w:t>实施要点：</w:t>
      </w:r>
    </w:p>
    <w:p w14:paraId="37EE1FA0">
      <w:pPr>
        <w:pStyle w:val="132"/>
        <w:spacing w:line="360" w:lineRule="auto"/>
      </w:pPr>
      <w:r>
        <w:rPr>
          <w:rFonts w:hint="eastAsia"/>
        </w:rPr>
        <w:t>板材与展开剂：使用规定型号薄层板与展开剂配方；现场配制展开剂应记录配比与配制时间；</w:t>
      </w:r>
    </w:p>
    <w:p w14:paraId="454007D4">
      <w:pPr>
        <w:pStyle w:val="132"/>
        <w:spacing w:line="360" w:lineRule="auto"/>
      </w:pPr>
      <w:r>
        <w:rPr>
          <w:rFonts w:hint="eastAsia"/>
        </w:rPr>
        <w:t>点样：控制点样量与点样直径，点样点位应标识清晰并保持间距；</w:t>
      </w:r>
    </w:p>
    <w:p w14:paraId="44792D87">
      <w:pPr>
        <w:pStyle w:val="132"/>
        <w:spacing w:line="360" w:lineRule="auto"/>
      </w:pPr>
      <w:r>
        <w:rPr>
          <w:rFonts w:hint="eastAsia"/>
        </w:rPr>
        <w:t>展开：控制展开缸饱和时间、展开距离与展开时间，避免倾斜与溶剂前沿不齐；</w:t>
      </w:r>
    </w:p>
    <w:p w14:paraId="77D461E4">
      <w:pPr>
        <w:pStyle w:val="132"/>
        <w:spacing w:line="360" w:lineRule="auto"/>
      </w:pPr>
      <w:r>
        <w:rPr>
          <w:rFonts w:hint="eastAsia"/>
        </w:rPr>
        <w:t>显色/观察：显色剂批号与配制条件应受控；紫外观察应记录波长与观察条件；</w:t>
      </w:r>
    </w:p>
    <w:p w14:paraId="29BC5D78">
      <w:pPr>
        <w:pStyle w:val="132"/>
        <w:spacing w:line="360" w:lineRule="auto"/>
      </w:pPr>
      <w:r>
        <w:rPr>
          <w:rFonts w:hint="eastAsia"/>
        </w:rPr>
        <w:t>判读：采用标准图谱或对照品条带比对，必要时双人判读；</w:t>
      </w:r>
    </w:p>
    <w:p w14:paraId="4812214C">
      <w:pPr>
        <w:pStyle w:val="132"/>
        <w:spacing w:line="360" w:lineRule="auto"/>
      </w:pPr>
      <w:r>
        <w:rPr>
          <w:rFonts w:hint="eastAsia"/>
        </w:rPr>
        <w:t>证据留存：应保存薄层板照片（含样品编号与对照编号）、判读记录与必要的备注说明。</w:t>
      </w:r>
    </w:p>
    <w:p w14:paraId="2287CB7B">
      <w:pPr>
        <w:pStyle w:val="65"/>
        <w:spacing w:before="120" w:after="120" w:line="360" w:lineRule="auto"/>
      </w:pPr>
      <w:r>
        <w:rPr>
          <w:rFonts w:hint="eastAsia"/>
        </w:rPr>
        <w:t>便携光谱（Raman/NIR/FTIR）快速比对</w:t>
      </w:r>
    </w:p>
    <w:p w14:paraId="2ED72DB0">
      <w:pPr>
        <w:pStyle w:val="56"/>
        <w:spacing w:line="360" w:lineRule="auto"/>
        <w:ind w:firstLine="420"/>
      </w:pPr>
      <w:r>
        <w:rPr>
          <w:rFonts w:hint="eastAsia"/>
        </w:rPr>
        <w:t>实施要点：</w:t>
      </w:r>
    </w:p>
    <w:p w14:paraId="478CF958">
      <w:pPr>
        <w:pStyle w:val="132"/>
        <w:spacing w:line="360" w:lineRule="auto"/>
      </w:pPr>
      <w:r>
        <w:rPr>
          <w:rFonts w:hint="eastAsia"/>
        </w:rPr>
        <w:t>仪器校准：按设备要求进行波数校准、背景校正或白板校正；</w:t>
      </w:r>
    </w:p>
    <w:p w14:paraId="06467811">
      <w:pPr>
        <w:pStyle w:val="132"/>
        <w:spacing w:line="360" w:lineRule="auto"/>
      </w:pPr>
      <w:r>
        <w:rPr>
          <w:rFonts w:hint="eastAsia"/>
        </w:rPr>
        <w:t>光谱库：使用受控版本的光谱库，更新应有审批与验证记录；</w:t>
      </w:r>
    </w:p>
    <w:p w14:paraId="5878E882">
      <w:pPr>
        <w:pStyle w:val="132"/>
        <w:spacing w:line="360" w:lineRule="auto"/>
      </w:pPr>
      <w:r>
        <w:rPr>
          <w:rFonts w:hint="eastAsia"/>
        </w:rPr>
        <w:t>采集条件：记录积分时间、扫描次数、激光功率、采样窗口与样品状态；</w:t>
      </w:r>
    </w:p>
    <w:p w14:paraId="317CB63E">
      <w:pPr>
        <w:pStyle w:val="132"/>
        <w:spacing w:line="360" w:lineRule="auto"/>
      </w:pPr>
      <w:r>
        <w:rPr>
          <w:rFonts w:hint="eastAsia"/>
        </w:rPr>
        <w:t>取点策略：同一样品宜多点采集以降低样品不均匀影响；</w:t>
      </w:r>
    </w:p>
    <w:p w14:paraId="18683B66">
      <w:pPr>
        <w:pStyle w:val="132"/>
        <w:spacing w:line="360" w:lineRule="auto"/>
      </w:pPr>
      <w:r>
        <w:rPr>
          <w:rFonts w:hint="eastAsia"/>
        </w:rPr>
        <w:t>判定：按匹配度/相似度阈值判定，阈值来源应明确并经确认；</w:t>
      </w:r>
    </w:p>
    <w:p w14:paraId="66CEF4DC">
      <w:pPr>
        <w:pStyle w:val="132"/>
        <w:spacing w:line="360" w:lineRule="auto"/>
      </w:pPr>
      <w:r>
        <w:rPr>
          <w:rFonts w:hint="eastAsia"/>
        </w:rPr>
        <w:t>证据留存：保存原始光谱文件、分析结果与报告截图。</w:t>
      </w:r>
    </w:p>
    <w:p w14:paraId="56D2875F">
      <w:pPr>
        <w:pStyle w:val="65"/>
        <w:spacing w:before="120" w:after="120" w:line="360" w:lineRule="auto"/>
      </w:pPr>
      <w:r>
        <w:rPr>
          <w:rFonts w:hint="eastAsia"/>
        </w:rPr>
        <w:t>比色、试纸条与简易化学反应法</w:t>
      </w:r>
    </w:p>
    <w:p w14:paraId="64DBF5A2">
      <w:pPr>
        <w:pStyle w:val="56"/>
        <w:spacing w:line="360" w:lineRule="auto"/>
        <w:ind w:firstLine="420"/>
      </w:pPr>
      <w:r>
        <w:rPr>
          <w:rFonts w:hint="eastAsia"/>
        </w:rPr>
        <w:t>实施要点：</w:t>
      </w:r>
    </w:p>
    <w:p w14:paraId="71AD62CD">
      <w:pPr>
        <w:pStyle w:val="132"/>
        <w:spacing w:line="360" w:lineRule="auto"/>
      </w:pPr>
      <w:r>
        <w:rPr>
          <w:rFonts w:hint="eastAsia"/>
        </w:rPr>
        <w:t>反应体系：控制反应体积、反应时间与温度，避免超时判读；</w:t>
      </w:r>
    </w:p>
    <w:p w14:paraId="23B444F7">
      <w:pPr>
        <w:pStyle w:val="132"/>
        <w:spacing w:line="360" w:lineRule="auto"/>
      </w:pPr>
      <w:r>
        <w:rPr>
          <w:rFonts w:hint="eastAsia"/>
        </w:rPr>
        <w:t>光照条件：颜色判读应在稳定光源条件下进行，必要时使用标准光源箱；</w:t>
      </w:r>
    </w:p>
    <w:p w14:paraId="55C6802F">
      <w:pPr>
        <w:pStyle w:val="132"/>
        <w:spacing w:line="360" w:lineRule="auto"/>
      </w:pPr>
      <w:r>
        <w:rPr>
          <w:rFonts w:hint="eastAsia"/>
        </w:rPr>
        <w:t>判读一致性：采用标准色卡或读数仪，重要结果宜双人判读；</w:t>
      </w:r>
    </w:p>
    <w:p w14:paraId="3B307DB7">
      <w:pPr>
        <w:pStyle w:val="132"/>
        <w:spacing w:line="360" w:lineRule="auto"/>
      </w:pPr>
      <w:r>
        <w:rPr>
          <w:rFonts w:hint="eastAsia"/>
        </w:rPr>
        <w:t>干扰控制：对浑浊、深色或高糖基质样品应评估干扰并采取方法允许的处理措施；</w:t>
      </w:r>
    </w:p>
    <w:p w14:paraId="4E56E6E6">
      <w:pPr>
        <w:pStyle w:val="132"/>
        <w:spacing w:line="360" w:lineRule="auto"/>
      </w:pPr>
      <w:r>
        <w:rPr>
          <w:rFonts w:hint="eastAsia"/>
        </w:rPr>
        <w:t>证据留存：保存比色结果照片（含标准色卡对比）或读数仪输出数据。</w:t>
      </w:r>
    </w:p>
    <w:p w14:paraId="439A8B8A">
      <w:pPr>
        <w:pStyle w:val="65"/>
        <w:spacing w:before="120" w:after="120" w:line="360" w:lineRule="auto"/>
      </w:pPr>
      <w:r>
        <w:rPr>
          <w:rFonts w:hint="eastAsia"/>
        </w:rPr>
        <w:t>免疫层析等试剂盒法</w:t>
      </w:r>
    </w:p>
    <w:p w14:paraId="4FE26780">
      <w:pPr>
        <w:pStyle w:val="56"/>
        <w:spacing w:line="360" w:lineRule="auto"/>
        <w:ind w:firstLine="420"/>
      </w:pPr>
      <w:r>
        <w:rPr>
          <w:rFonts w:hint="eastAsia"/>
        </w:rPr>
        <w:t>实施要点：</w:t>
      </w:r>
    </w:p>
    <w:p w14:paraId="508C9B8A">
      <w:pPr>
        <w:pStyle w:val="132"/>
        <w:spacing w:line="360" w:lineRule="auto"/>
      </w:pPr>
      <w:r>
        <w:rPr>
          <w:rFonts w:hint="eastAsia"/>
        </w:rPr>
        <w:t>试剂盒状态：确认有效期、储存温度与回温时间；</w:t>
      </w:r>
    </w:p>
    <w:p w14:paraId="3D37E043">
      <w:pPr>
        <w:pStyle w:val="132"/>
        <w:spacing w:line="360" w:lineRule="auto"/>
      </w:pPr>
      <w:r>
        <w:rPr>
          <w:rFonts w:hint="eastAsia"/>
        </w:rPr>
        <w:t>加样与计时：严格控制加样体积与判读时间窗；</w:t>
      </w:r>
    </w:p>
    <w:p w14:paraId="23A35018">
      <w:pPr>
        <w:pStyle w:val="132"/>
        <w:spacing w:line="360" w:lineRule="auto"/>
      </w:pPr>
      <w:r>
        <w:rPr>
          <w:rFonts w:hint="eastAsia"/>
        </w:rPr>
        <w:t>对照线核验：对照线不显色应判定该条无效，需重做；</w:t>
      </w:r>
    </w:p>
    <w:p w14:paraId="4B4475D2">
      <w:pPr>
        <w:pStyle w:val="132"/>
        <w:spacing w:line="360" w:lineRule="auto"/>
      </w:pPr>
      <w:r>
        <w:rPr>
          <w:rFonts w:hint="eastAsia"/>
        </w:rPr>
        <w:t>批间差控制：更换批号时应进行必要的对比验证；</w:t>
      </w:r>
    </w:p>
    <w:p w14:paraId="50F060AF">
      <w:pPr>
        <w:pStyle w:val="132"/>
        <w:spacing w:line="360" w:lineRule="auto"/>
      </w:pPr>
      <w:r>
        <w:rPr>
          <w:rFonts w:hint="eastAsia"/>
        </w:rPr>
        <w:t>证据留存：保存试纸条照片与读数仪原始数据。</w:t>
      </w:r>
    </w:p>
    <w:p w14:paraId="673ACC82">
      <w:pPr>
        <w:pStyle w:val="105"/>
        <w:spacing w:before="120" w:after="120" w:line="360" w:lineRule="auto"/>
      </w:pPr>
      <w:r>
        <w:rPr>
          <w:rFonts w:hint="eastAsia"/>
        </w:rPr>
        <w:t>结果记录与数据管理要求</w:t>
      </w:r>
    </w:p>
    <w:p w14:paraId="18AB119C">
      <w:pPr>
        <w:pStyle w:val="56"/>
        <w:spacing w:line="360" w:lineRule="auto"/>
        <w:ind w:firstLine="420"/>
      </w:pPr>
      <w:r>
        <w:rPr>
          <w:rFonts w:hint="eastAsia"/>
        </w:rPr>
        <w:t>记录应同步完成，不得依赖记忆事后补录关键数据。记录内容至少包括：样品编号、方法版本、设备编号/软件版本、试剂批号与有效期、对照结果、关键参数、原始读数或判读依据、操作者与复核者。</w:t>
      </w:r>
    </w:p>
    <w:p w14:paraId="75CF3981">
      <w:pPr>
        <w:pStyle w:val="56"/>
        <w:spacing w:line="360" w:lineRule="auto"/>
        <w:ind w:firstLine="420"/>
      </w:pPr>
      <w:r>
        <w:rPr>
          <w:rFonts w:hint="eastAsia"/>
        </w:rPr>
        <w:t>电子数据（光谱文件、读数仪数据、照片视频）应与样品编号关联，文件命名规则一致，并具备备份与防篡改措施。</w:t>
      </w:r>
    </w:p>
    <w:p w14:paraId="6E65D17F">
      <w:pPr>
        <w:pStyle w:val="56"/>
        <w:spacing w:line="360" w:lineRule="auto"/>
        <w:ind w:firstLine="420"/>
      </w:pPr>
      <w:r>
        <w:rPr>
          <w:rFonts w:hint="eastAsia"/>
        </w:rPr>
        <w:t>对外发布或共享的结果应使用受控模板，未经授权不得擅自传播涉案或敏感信息。</w:t>
      </w:r>
    </w:p>
    <w:p w14:paraId="41B45834">
      <w:pPr>
        <w:pStyle w:val="56"/>
        <w:spacing w:line="360" w:lineRule="auto"/>
        <w:ind w:firstLine="199" w:firstLineChars="95"/>
        <w:rPr>
          <w:rFonts w:hint="eastAsia"/>
        </w:rPr>
      </w:pPr>
    </w:p>
    <w:p w14:paraId="7EC920BF">
      <w:pPr>
        <w:pStyle w:val="105"/>
        <w:spacing w:before="120" w:after="120" w:line="360" w:lineRule="auto"/>
      </w:pPr>
      <w:r>
        <w:rPr>
          <w:rFonts w:hint="eastAsia"/>
        </w:rPr>
        <w:t>无效检测与复测规则</w:t>
      </w:r>
    </w:p>
    <w:p w14:paraId="372884BA">
      <w:pPr>
        <w:pStyle w:val="56"/>
        <w:spacing w:line="360" w:lineRule="auto"/>
        <w:ind w:firstLine="420"/>
      </w:pPr>
      <w:r>
        <w:rPr>
          <w:rFonts w:hint="eastAsia"/>
        </w:rPr>
        <w:t>出现以下情形之一，该次检测结果应判定为无效：</w:t>
      </w:r>
    </w:p>
    <w:p w14:paraId="2878B534">
      <w:pPr>
        <w:pStyle w:val="56"/>
        <w:spacing w:line="360" w:lineRule="auto"/>
        <w:ind w:firstLine="420"/>
      </w:pPr>
      <w:r>
        <w:rPr>
          <w:rFonts w:hint="eastAsia"/>
        </w:rPr>
        <w:t>a) 阴性或阳性对照不符合接受准则；</w:t>
      </w:r>
    </w:p>
    <w:p w14:paraId="39CC595E">
      <w:pPr>
        <w:pStyle w:val="56"/>
        <w:spacing w:line="360" w:lineRule="auto"/>
        <w:ind w:firstLine="420"/>
      </w:pPr>
      <w:r>
        <w:rPr>
          <w:rFonts w:hint="eastAsia"/>
        </w:rPr>
        <w:t>b) 设备自检失败或关键校准未通过；</w:t>
      </w:r>
    </w:p>
    <w:p w14:paraId="6F8D3DF1">
      <w:pPr>
        <w:pStyle w:val="56"/>
        <w:spacing w:line="360" w:lineRule="auto"/>
        <w:ind w:firstLine="420"/>
      </w:pPr>
      <w:r>
        <w:rPr>
          <w:rFonts w:hint="eastAsia"/>
        </w:rPr>
        <w:t>c) 关键步骤参数偏离方法要求且可能影响结果；</w:t>
      </w:r>
    </w:p>
    <w:p w14:paraId="188E3BBE">
      <w:pPr>
        <w:pStyle w:val="56"/>
        <w:spacing w:line="360" w:lineRule="auto"/>
        <w:ind w:firstLine="420"/>
      </w:pPr>
      <w:r>
        <w:rPr>
          <w:rFonts w:hint="eastAsia"/>
        </w:rPr>
        <w:t>d) 样品混淆、标识错误或证据链中断；</w:t>
      </w:r>
    </w:p>
    <w:p w14:paraId="23969ECC">
      <w:pPr>
        <w:pStyle w:val="56"/>
        <w:spacing w:line="360" w:lineRule="auto"/>
        <w:ind w:firstLine="420"/>
      </w:pPr>
      <w:r>
        <w:rPr>
          <w:rFonts w:hint="eastAsia"/>
        </w:rPr>
        <w:t>e) 试剂盒对照线异常或试剂明显失效。</w:t>
      </w:r>
    </w:p>
    <w:p w14:paraId="1125E0D7">
      <w:pPr>
        <w:pStyle w:val="56"/>
        <w:spacing w:line="360" w:lineRule="auto"/>
        <w:ind w:firstLine="420"/>
      </w:pPr>
      <w:r>
        <w:rPr>
          <w:rFonts w:hint="eastAsia"/>
        </w:rPr>
        <w:t>无效检测应查明原因，采取纠正措施后复测；复测应作为新的检测记录，保留原记录并注明无效原因，不得覆盖。</w:t>
      </w:r>
    </w:p>
    <w:p w14:paraId="7E04CDA1">
      <w:pPr>
        <w:pStyle w:val="104"/>
        <w:spacing w:before="240" w:after="240" w:line="360" w:lineRule="auto"/>
      </w:pPr>
      <w:bookmarkStart w:id="56" w:name="_Toc220347092"/>
      <w:r>
        <w:rPr>
          <w:rFonts w:hint="eastAsia"/>
        </w:rPr>
        <w:t>质量控制与判定规则</w:t>
      </w:r>
      <w:bookmarkEnd w:id="56"/>
    </w:p>
    <w:p w14:paraId="0E60C14D">
      <w:pPr>
        <w:pStyle w:val="105"/>
        <w:spacing w:before="120" w:after="120" w:line="360" w:lineRule="auto"/>
      </w:pPr>
      <w:r>
        <w:rPr>
          <w:rFonts w:hint="eastAsia"/>
        </w:rPr>
        <w:t>一般要求</w:t>
      </w:r>
    </w:p>
    <w:p w14:paraId="188975A6">
      <w:pPr>
        <w:pStyle w:val="56"/>
        <w:spacing w:line="360" w:lineRule="auto"/>
        <w:ind w:firstLine="420"/>
      </w:pPr>
      <w:r>
        <w:rPr>
          <w:rFonts w:hint="eastAsia"/>
        </w:rPr>
        <w:t>药品快速检验的质量控制应贯穿“方法—人员—设备—试剂—环境—过程—数据”全过程，目标是确保筛查结论在既定用途下具有可接受的可靠性与一致性，并能够被复核、解释与追溯。</w:t>
      </w:r>
    </w:p>
    <w:p w14:paraId="4212EF19">
      <w:pPr>
        <w:pStyle w:val="56"/>
        <w:spacing w:line="360" w:lineRule="auto"/>
        <w:ind w:firstLine="420"/>
      </w:pPr>
      <w:r>
        <w:rPr>
          <w:rFonts w:hint="eastAsia"/>
        </w:rPr>
        <w:t>质量控制措施应与方法风险等级、样品风险等级与结果用途相匹配：对涉案样品、应急样品、历史高风险品种或涉及重大公共安全影响的情形，应提高质控强度与复核层级。</w:t>
      </w:r>
    </w:p>
    <w:p w14:paraId="1303EF51">
      <w:pPr>
        <w:pStyle w:val="56"/>
        <w:spacing w:line="360" w:lineRule="auto"/>
        <w:ind w:firstLine="420"/>
      </w:pPr>
      <w:r>
        <w:rPr>
          <w:rFonts w:hint="eastAsia"/>
        </w:rPr>
        <w:t>判定规则应以经验证或确认的方法性能为基础，明确阈值来源、判定类别、可疑区间、不确定性来源及其处置策略，避免将快速检验结果误用为法定结论。对任何超出适用范围或质控不满足接受准则的检测批次，不得出具有效判定。</w:t>
      </w:r>
    </w:p>
    <w:p w14:paraId="480765A9">
      <w:pPr>
        <w:pStyle w:val="105"/>
        <w:spacing w:before="120" w:after="120" w:line="360" w:lineRule="auto"/>
      </w:pPr>
      <w:r>
        <w:rPr>
          <w:rFonts w:hint="eastAsia"/>
        </w:rPr>
        <w:t>质控体系构成</w:t>
      </w:r>
    </w:p>
    <w:p w14:paraId="135838D1">
      <w:pPr>
        <w:pStyle w:val="56"/>
        <w:spacing w:line="360" w:lineRule="auto"/>
        <w:ind w:firstLine="420"/>
      </w:pPr>
      <w:r>
        <w:rPr>
          <w:rFonts w:hint="eastAsia"/>
        </w:rPr>
        <w:t>快速检验质控体系宜至少包括：</w:t>
      </w:r>
    </w:p>
    <w:p w14:paraId="3A885F0D">
      <w:pPr>
        <w:pStyle w:val="56"/>
        <w:spacing w:line="360" w:lineRule="auto"/>
        <w:ind w:firstLine="420"/>
      </w:pPr>
      <w:r>
        <w:rPr>
          <w:rFonts w:hint="eastAsia"/>
        </w:rPr>
        <w:t>a) 对照控制：阴性对照、阳性对照、空白对照与参考对照；</w:t>
      </w:r>
    </w:p>
    <w:p w14:paraId="1CB3473F">
      <w:pPr>
        <w:pStyle w:val="56"/>
        <w:spacing w:line="360" w:lineRule="auto"/>
        <w:ind w:firstLine="420"/>
      </w:pPr>
      <w:r>
        <w:rPr>
          <w:rFonts w:hint="eastAsia"/>
        </w:rPr>
        <w:t>b) 过程控制：前处理空白、平行样、关键参数复核与交叉污染检查；</w:t>
      </w:r>
    </w:p>
    <w:p w14:paraId="24C10757">
      <w:pPr>
        <w:pStyle w:val="56"/>
        <w:spacing w:line="360" w:lineRule="auto"/>
        <w:ind w:firstLine="420"/>
      </w:pPr>
      <w:r>
        <w:rPr>
          <w:rFonts w:hint="eastAsia"/>
        </w:rPr>
        <w:t>c) 设备控制：自检、校准/核查、背景校正与性能漂移监控；</w:t>
      </w:r>
    </w:p>
    <w:p w14:paraId="1C436B13">
      <w:pPr>
        <w:pStyle w:val="56"/>
        <w:spacing w:line="360" w:lineRule="auto"/>
        <w:ind w:firstLine="420"/>
      </w:pPr>
      <w:r>
        <w:rPr>
          <w:rFonts w:hint="eastAsia"/>
        </w:rPr>
        <w:t>d) 试剂控制：批号管理、有效期管理、回温与储存条件核验；</w:t>
      </w:r>
    </w:p>
    <w:p w14:paraId="616F82E7">
      <w:pPr>
        <w:pStyle w:val="56"/>
        <w:spacing w:line="360" w:lineRule="auto"/>
        <w:ind w:firstLine="420"/>
      </w:pPr>
      <w:r>
        <w:rPr>
          <w:rFonts w:hint="eastAsia"/>
        </w:rPr>
        <w:t>e) 人员控制：培训、上岗考核、判读一致性评估与持续能力验证；</w:t>
      </w:r>
    </w:p>
    <w:p w14:paraId="0DFDD14E">
      <w:pPr>
        <w:pStyle w:val="56"/>
        <w:spacing w:line="360" w:lineRule="auto"/>
        <w:ind w:firstLine="420"/>
      </w:pPr>
      <w:r>
        <w:rPr>
          <w:rFonts w:hint="eastAsia"/>
        </w:rPr>
        <w:t>f) 数据控制：记录完整性、电子文件关联性、版本受控与防篡改；</w:t>
      </w:r>
    </w:p>
    <w:p w14:paraId="01F8AA5A">
      <w:pPr>
        <w:pStyle w:val="56"/>
        <w:spacing w:line="360" w:lineRule="auto"/>
        <w:ind w:firstLine="420"/>
      </w:pPr>
      <w:r>
        <w:rPr>
          <w:rFonts w:hint="eastAsia"/>
        </w:rPr>
        <w:t>g) 复核控制：关键结果双人判读、复测或替代方法复核。</w:t>
      </w:r>
    </w:p>
    <w:p w14:paraId="4D066436">
      <w:pPr>
        <w:pStyle w:val="56"/>
        <w:spacing w:line="360" w:lineRule="auto"/>
        <w:ind w:firstLine="420"/>
      </w:pPr>
      <w:r>
        <w:rPr>
          <w:rFonts w:hint="eastAsia"/>
        </w:rPr>
        <w:t>质控方案应形成文件化要求并在执行中留存记录；当发现系统性偏差或误判风险上升时，应及时调整质控策略并进行再确认。</w:t>
      </w:r>
    </w:p>
    <w:p w14:paraId="1BC1B01A">
      <w:pPr>
        <w:pStyle w:val="56"/>
        <w:spacing w:line="360" w:lineRule="auto"/>
        <w:ind w:firstLine="420"/>
      </w:pPr>
    </w:p>
    <w:p w14:paraId="5D49B4CD">
      <w:pPr>
        <w:pStyle w:val="105"/>
        <w:spacing w:before="120" w:after="120" w:line="360" w:lineRule="auto"/>
      </w:pPr>
      <w:r>
        <w:rPr>
          <w:rFonts w:hint="eastAsia"/>
        </w:rPr>
        <w:t>质控项目、频次与接受准则</w:t>
      </w:r>
    </w:p>
    <w:p w14:paraId="68AE31F6">
      <w:pPr>
        <w:pStyle w:val="56"/>
        <w:spacing w:line="360" w:lineRule="auto"/>
        <w:ind w:firstLine="420"/>
      </w:pPr>
      <w:r>
        <w:rPr>
          <w:rFonts w:hint="eastAsia"/>
        </w:rPr>
        <w:t>质控项目应根据方法类别确定，并明确接受准则与不符合处置。对涉及阈值判定的，应同时规定“可疑区间”或“灰区”处理规则，避免简单二分法造成误判。质控项目、频次与接受准则见表3。</w:t>
      </w:r>
    </w:p>
    <w:p w14:paraId="0DAD54DF">
      <w:pPr>
        <w:pStyle w:val="112"/>
        <w:spacing w:before="120" w:after="120" w:line="360" w:lineRule="auto"/>
      </w:pPr>
      <w:r>
        <w:rPr>
          <w:rFonts w:hint="eastAsia"/>
        </w:rPr>
        <w:t>质控项目、频次与接受准则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560"/>
        <w:gridCol w:w="1701"/>
        <w:gridCol w:w="2126"/>
        <w:gridCol w:w="2256"/>
      </w:tblGrid>
      <w:tr w14:paraId="47988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0F82EE7F">
            <w:pPr>
              <w:pStyle w:val="178"/>
            </w:pPr>
            <w:r>
              <w:rPr>
                <w:rFonts w:hint="eastAsia"/>
              </w:rPr>
              <w:t>质控项目</w:t>
            </w:r>
          </w:p>
        </w:tc>
        <w:tc>
          <w:tcPr>
            <w:tcW w:w="1560" w:type="dxa"/>
            <w:tcBorders>
              <w:top w:val="single" w:color="auto" w:sz="8" w:space="0"/>
              <w:bottom w:val="single" w:color="auto" w:sz="8" w:space="0"/>
            </w:tcBorders>
            <w:vAlign w:val="center"/>
          </w:tcPr>
          <w:p w14:paraId="2D043D27">
            <w:pPr>
              <w:pStyle w:val="178"/>
            </w:pPr>
            <w:r>
              <w:rPr>
                <w:rFonts w:hint="eastAsia"/>
              </w:rPr>
              <w:t>适用方法/环节</w:t>
            </w:r>
          </w:p>
        </w:tc>
        <w:tc>
          <w:tcPr>
            <w:tcW w:w="1701" w:type="dxa"/>
            <w:tcBorders>
              <w:top w:val="single" w:color="auto" w:sz="8" w:space="0"/>
              <w:bottom w:val="single" w:color="auto" w:sz="8" w:space="0"/>
            </w:tcBorders>
            <w:vAlign w:val="center"/>
          </w:tcPr>
          <w:p w14:paraId="16AAD1CB">
            <w:pPr>
              <w:pStyle w:val="178"/>
            </w:pPr>
            <w:r>
              <w:rPr>
                <w:rFonts w:hint="eastAsia"/>
              </w:rPr>
              <w:t>建议频次</w:t>
            </w:r>
          </w:p>
        </w:tc>
        <w:tc>
          <w:tcPr>
            <w:tcW w:w="2126" w:type="dxa"/>
            <w:tcBorders>
              <w:top w:val="single" w:color="auto" w:sz="8" w:space="0"/>
              <w:bottom w:val="single" w:color="auto" w:sz="8" w:space="0"/>
            </w:tcBorders>
            <w:vAlign w:val="center"/>
          </w:tcPr>
          <w:p w14:paraId="323F1D4F">
            <w:pPr>
              <w:pStyle w:val="178"/>
            </w:pPr>
            <w:r>
              <w:rPr>
                <w:rFonts w:hint="eastAsia"/>
              </w:rPr>
              <w:t>接受准则</w:t>
            </w:r>
          </w:p>
        </w:tc>
        <w:tc>
          <w:tcPr>
            <w:tcW w:w="2256" w:type="dxa"/>
            <w:tcBorders>
              <w:top w:val="single" w:color="auto" w:sz="8" w:space="0"/>
              <w:bottom w:val="single" w:color="auto" w:sz="8" w:space="0"/>
            </w:tcBorders>
            <w:vAlign w:val="center"/>
          </w:tcPr>
          <w:p w14:paraId="3A541AE5">
            <w:pPr>
              <w:pStyle w:val="178"/>
            </w:pPr>
            <w:r>
              <w:rPr>
                <w:rFonts w:hint="eastAsia"/>
              </w:rPr>
              <w:t>不符合处置</w:t>
            </w:r>
          </w:p>
        </w:tc>
      </w:tr>
      <w:tr w14:paraId="13921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41E76EF2">
            <w:pPr>
              <w:pStyle w:val="178"/>
            </w:pPr>
            <w:r>
              <w:rPr>
                <w:rFonts w:hint="eastAsia"/>
              </w:rPr>
              <w:t>阴性对照</w:t>
            </w:r>
          </w:p>
        </w:tc>
        <w:tc>
          <w:tcPr>
            <w:tcW w:w="1560" w:type="dxa"/>
            <w:tcBorders>
              <w:top w:val="single" w:color="auto" w:sz="8" w:space="0"/>
            </w:tcBorders>
            <w:vAlign w:val="center"/>
          </w:tcPr>
          <w:p w14:paraId="6698085D">
            <w:pPr>
              <w:pStyle w:val="178"/>
            </w:pPr>
            <w:r>
              <w:rPr>
                <w:rFonts w:hint="eastAsia"/>
              </w:rPr>
              <w:t>试剂盒、比色、tlc、光谱</w:t>
            </w:r>
          </w:p>
        </w:tc>
        <w:tc>
          <w:tcPr>
            <w:tcW w:w="1701" w:type="dxa"/>
            <w:tcBorders>
              <w:top w:val="single" w:color="auto" w:sz="8" w:space="0"/>
            </w:tcBorders>
            <w:vAlign w:val="center"/>
          </w:tcPr>
          <w:p w14:paraId="7185B871">
            <w:pPr>
              <w:pStyle w:val="178"/>
            </w:pPr>
            <w:r>
              <w:rPr>
                <w:rFonts w:hint="eastAsia"/>
              </w:rPr>
              <w:t>每批次至少1次</w:t>
            </w:r>
          </w:p>
        </w:tc>
        <w:tc>
          <w:tcPr>
            <w:tcW w:w="2126" w:type="dxa"/>
            <w:tcBorders>
              <w:top w:val="single" w:color="auto" w:sz="8" w:space="0"/>
            </w:tcBorders>
            <w:vAlign w:val="center"/>
          </w:tcPr>
          <w:p w14:paraId="3201AD08">
            <w:pPr>
              <w:pStyle w:val="178"/>
            </w:pPr>
            <w:r>
              <w:rPr>
                <w:rFonts w:hint="eastAsia"/>
              </w:rPr>
              <w:t>阴性（无显色/无条带/低于阈值/匹配失败）</w:t>
            </w:r>
          </w:p>
        </w:tc>
        <w:tc>
          <w:tcPr>
            <w:tcW w:w="2256" w:type="dxa"/>
            <w:tcBorders>
              <w:top w:val="single" w:color="auto" w:sz="8" w:space="0"/>
            </w:tcBorders>
            <w:vAlign w:val="center"/>
          </w:tcPr>
          <w:p w14:paraId="0557C7A1">
            <w:pPr>
              <w:pStyle w:val="178"/>
            </w:pPr>
            <w:r>
              <w:rPr>
                <w:rFonts w:hint="eastAsia"/>
              </w:rPr>
              <w:t>判该批次无效，查因并重做</w:t>
            </w:r>
          </w:p>
        </w:tc>
      </w:tr>
      <w:tr w14:paraId="01EE6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664AACA">
            <w:pPr>
              <w:pStyle w:val="178"/>
            </w:pPr>
            <w:r>
              <w:rPr>
                <w:rFonts w:hint="eastAsia"/>
              </w:rPr>
              <w:t>阳性对照</w:t>
            </w:r>
          </w:p>
        </w:tc>
        <w:tc>
          <w:tcPr>
            <w:tcW w:w="1560" w:type="dxa"/>
            <w:vAlign w:val="center"/>
          </w:tcPr>
          <w:p w14:paraId="3EF8FED2">
            <w:pPr>
              <w:pStyle w:val="178"/>
            </w:pPr>
            <w:r>
              <w:rPr>
                <w:rFonts w:hint="eastAsia"/>
              </w:rPr>
              <w:t>试剂盒、比色、tlc、光谱</w:t>
            </w:r>
          </w:p>
        </w:tc>
        <w:tc>
          <w:tcPr>
            <w:tcW w:w="1701" w:type="dxa"/>
            <w:vAlign w:val="center"/>
          </w:tcPr>
          <w:p w14:paraId="7154864B">
            <w:pPr>
              <w:pStyle w:val="178"/>
            </w:pPr>
            <w:r>
              <w:rPr>
                <w:rFonts w:hint="eastAsia"/>
              </w:rPr>
              <w:t>每批次至少1次</w:t>
            </w:r>
          </w:p>
        </w:tc>
        <w:tc>
          <w:tcPr>
            <w:tcW w:w="2126" w:type="dxa"/>
            <w:vAlign w:val="center"/>
          </w:tcPr>
          <w:p w14:paraId="52B0DA70">
            <w:pPr>
              <w:pStyle w:val="178"/>
            </w:pPr>
            <w:r>
              <w:rPr>
                <w:rFonts w:hint="eastAsia"/>
              </w:rPr>
              <w:t>阳性（显色/条带/高于阈值/匹配成功）且强度在允许范围</w:t>
            </w:r>
          </w:p>
        </w:tc>
        <w:tc>
          <w:tcPr>
            <w:tcW w:w="2256" w:type="dxa"/>
            <w:vAlign w:val="center"/>
          </w:tcPr>
          <w:p w14:paraId="65B8E9CE">
            <w:pPr>
              <w:pStyle w:val="178"/>
            </w:pPr>
            <w:r>
              <w:rPr>
                <w:rFonts w:hint="eastAsia"/>
              </w:rPr>
              <w:t>判该批次无效，查因并重做</w:t>
            </w:r>
          </w:p>
        </w:tc>
      </w:tr>
      <w:tr w14:paraId="58174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32B18ED2">
            <w:pPr>
              <w:pStyle w:val="178"/>
            </w:pPr>
            <w:r>
              <w:rPr>
                <w:rFonts w:hint="eastAsia"/>
              </w:rPr>
              <w:t>空白（溶剂/基质）</w:t>
            </w:r>
          </w:p>
        </w:tc>
        <w:tc>
          <w:tcPr>
            <w:tcW w:w="1560" w:type="dxa"/>
            <w:vAlign w:val="center"/>
          </w:tcPr>
          <w:p w14:paraId="60C0D3D3">
            <w:pPr>
              <w:pStyle w:val="178"/>
            </w:pPr>
            <w:r>
              <w:rPr>
                <w:rFonts w:hint="eastAsia"/>
              </w:rPr>
              <w:t>前处理与比色/光谱</w:t>
            </w:r>
          </w:p>
        </w:tc>
        <w:tc>
          <w:tcPr>
            <w:tcW w:w="1701" w:type="dxa"/>
            <w:vAlign w:val="center"/>
          </w:tcPr>
          <w:p w14:paraId="608B25B5">
            <w:pPr>
              <w:pStyle w:val="178"/>
            </w:pPr>
            <w:r>
              <w:rPr>
                <w:rFonts w:hint="eastAsia"/>
              </w:rPr>
              <w:t>每批次或每变更一次</w:t>
            </w:r>
          </w:p>
        </w:tc>
        <w:tc>
          <w:tcPr>
            <w:tcW w:w="2126" w:type="dxa"/>
            <w:vAlign w:val="center"/>
          </w:tcPr>
          <w:p w14:paraId="55328BB6">
            <w:pPr>
              <w:pStyle w:val="178"/>
            </w:pPr>
            <w:r>
              <w:rPr>
                <w:rFonts w:hint="eastAsia"/>
              </w:rPr>
              <w:t>背景信号稳定且不影响判读</w:t>
            </w:r>
          </w:p>
        </w:tc>
        <w:tc>
          <w:tcPr>
            <w:tcW w:w="2256" w:type="dxa"/>
            <w:vAlign w:val="center"/>
          </w:tcPr>
          <w:p w14:paraId="0F26A1BB">
            <w:pPr>
              <w:pStyle w:val="178"/>
            </w:pPr>
            <w:r>
              <w:rPr>
                <w:rFonts w:hint="eastAsia"/>
              </w:rPr>
              <w:t>排查污染与基质干扰，必要时重新前处理</w:t>
            </w:r>
          </w:p>
        </w:tc>
      </w:tr>
      <w:tr w14:paraId="13ECD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07A8A32">
            <w:pPr>
              <w:pStyle w:val="178"/>
            </w:pPr>
            <w:r>
              <w:rPr>
                <w:rFonts w:hint="eastAsia"/>
              </w:rPr>
              <w:t>平行样/重复测定</w:t>
            </w:r>
          </w:p>
        </w:tc>
        <w:tc>
          <w:tcPr>
            <w:tcW w:w="1560" w:type="dxa"/>
            <w:vAlign w:val="center"/>
          </w:tcPr>
          <w:p w14:paraId="481455E3">
            <w:pPr>
              <w:pStyle w:val="178"/>
            </w:pPr>
            <w:r>
              <w:rPr>
                <w:rFonts w:hint="eastAsia"/>
              </w:rPr>
              <w:t>前处理与检测实施</w:t>
            </w:r>
          </w:p>
        </w:tc>
        <w:tc>
          <w:tcPr>
            <w:tcW w:w="1701" w:type="dxa"/>
            <w:vAlign w:val="center"/>
          </w:tcPr>
          <w:p w14:paraId="4F2FC85F">
            <w:pPr>
              <w:pStyle w:val="178"/>
            </w:pPr>
            <w:r>
              <w:rPr>
                <w:rFonts w:hint="eastAsia"/>
              </w:rPr>
              <w:t>高风险样品至少2次</w:t>
            </w:r>
          </w:p>
        </w:tc>
        <w:tc>
          <w:tcPr>
            <w:tcW w:w="2126" w:type="dxa"/>
            <w:vAlign w:val="center"/>
          </w:tcPr>
          <w:p w14:paraId="7726B55B">
            <w:pPr>
              <w:pStyle w:val="178"/>
            </w:pPr>
            <w:r>
              <w:rPr>
                <w:rFonts w:hint="eastAsia"/>
              </w:rPr>
              <w:t>结果一致（类别一致或差异≤设定限）</w:t>
            </w:r>
          </w:p>
        </w:tc>
        <w:tc>
          <w:tcPr>
            <w:tcW w:w="2256" w:type="dxa"/>
            <w:vAlign w:val="center"/>
          </w:tcPr>
          <w:p w14:paraId="230863E3">
            <w:pPr>
              <w:pStyle w:val="178"/>
            </w:pPr>
            <w:r>
              <w:rPr>
                <w:rFonts w:hint="eastAsia"/>
              </w:rPr>
              <w:t>复测或采用替代方法复核</w:t>
            </w:r>
          </w:p>
        </w:tc>
      </w:tr>
      <w:tr w14:paraId="2F388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F136AC4">
            <w:pPr>
              <w:pStyle w:val="178"/>
            </w:pPr>
            <w:r>
              <w:rPr>
                <w:rFonts w:hint="eastAsia"/>
              </w:rPr>
              <w:t>设备自检/校准核查</w:t>
            </w:r>
          </w:p>
        </w:tc>
        <w:tc>
          <w:tcPr>
            <w:tcW w:w="1560" w:type="dxa"/>
            <w:vAlign w:val="center"/>
          </w:tcPr>
          <w:p w14:paraId="26F3CBAE">
            <w:pPr>
              <w:pStyle w:val="178"/>
            </w:pPr>
            <w:r>
              <w:rPr>
                <w:rFonts w:hint="eastAsia"/>
              </w:rPr>
              <w:t>便携光谱、读数仪</w:t>
            </w:r>
          </w:p>
        </w:tc>
        <w:tc>
          <w:tcPr>
            <w:tcW w:w="1701" w:type="dxa"/>
            <w:vAlign w:val="center"/>
          </w:tcPr>
          <w:p w14:paraId="71D98A08">
            <w:pPr>
              <w:pStyle w:val="178"/>
            </w:pPr>
            <w:r>
              <w:rPr>
                <w:rFonts w:hint="eastAsia"/>
              </w:rPr>
              <w:t>每日/每次使用前</w:t>
            </w:r>
          </w:p>
        </w:tc>
        <w:tc>
          <w:tcPr>
            <w:tcW w:w="2126" w:type="dxa"/>
            <w:vAlign w:val="center"/>
          </w:tcPr>
          <w:p w14:paraId="41913B1C">
            <w:pPr>
              <w:pStyle w:val="178"/>
            </w:pPr>
            <w:r>
              <w:rPr>
                <w:rFonts w:hint="eastAsia"/>
              </w:rPr>
              <w:t>自检通过；校准偏差在允许范围</w:t>
            </w:r>
          </w:p>
        </w:tc>
        <w:tc>
          <w:tcPr>
            <w:tcW w:w="2256" w:type="dxa"/>
            <w:vAlign w:val="center"/>
          </w:tcPr>
          <w:p w14:paraId="7B9571B7">
            <w:pPr>
              <w:pStyle w:val="178"/>
            </w:pPr>
            <w:r>
              <w:rPr>
                <w:rFonts w:hint="eastAsia"/>
              </w:rPr>
              <w:t>停用设备，维护或校准后再用</w:t>
            </w:r>
          </w:p>
        </w:tc>
      </w:tr>
      <w:tr w14:paraId="3E273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26250EF0">
            <w:pPr>
              <w:pStyle w:val="178"/>
            </w:pPr>
            <w:r>
              <w:rPr>
                <w:rFonts w:hint="eastAsia"/>
              </w:rPr>
              <w:t>光谱库版本核验</w:t>
            </w:r>
          </w:p>
        </w:tc>
        <w:tc>
          <w:tcPr>
            <w:tcW w:w="1560" w:type="dxa"/>
            <w:vAlign w:val="center"/>
          </w:tcPr>
          <w:p w14:paraId="76BAE141">
            <w:pPr>
              <w:pStyle w:val="178"/>
            </w:pPr>
            <w:r>
              <w:rPr>
                <w:rFonts w:hint="eastAsia"/>
              </w:rPr>
              <w:t>便携光谱</w:t>
            </w:r>
          </w:p>
        </w:tc>
        <w:tc>
          <w:tcPr>
            <w:tcW w:w="1701" w:type="dxa"/>
            <w:vAlign w:val="center"/>
          </w:tcPr>
          <w:p w14:paraId="7A60732B">
            <w:pPr>
              <w:pStyle w:val="178"/>
            </w:pPr>
            <w:r>
              <w:rPr>
                <w:rFonts w:hint="eastAsia"/>
              </w:rPr>
              <w:t>每次更新/每季度抽查</w:t>
            </w:r>
          </w:p>
        </w:tc>
        <w:tc>
          <w:tcPr>
            <w:tcW w:w="2126" w:type="dxa"/>
            <w:vAlign w:val="center"/>
          </w:tcPr>
          <w:p w14:paraId="612F42DD">
            <w:pPr>
              <w:pStyle w:val="178"/>
            </w:pPr>
            <w:r>
              <w:rPr>
                <w:rFonts w:hint="eastAsia"/>
              </w:rPr>
              <w:t>库版本受控；更新经验证</w:t>
            </w:r>
          </w:p>
        </w:tc>
        <w:tc>
          <w:tcPr>
            <w:tcW w:w="2256" w:type="dxa"/>
            <w:vAlign w:val="center"/>
          </w:tcPr>
          <w:p w14:paraId="6D24F711">
            <w:pPr>
              <w:pStyle w:val="178"/>
            </w:pPr>
            <w:r>
              <w:rPr>
                <w:rFonts w:hint="eastAsia"/>
              </w:rPr>
              <w:t>回退版本或补做验证</w:t>
            </w:r>
          </w:p>
        </w:tc>
      </w:tr>
      <w:tr w14:paraId="7D2B7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29F94C9">
            <w:pPr>
              <w:pStyle w:val="178"/>
            </w:pPr>
            <w:r>
              <w:rPr>
                <w:rFonts w:hint="eastAsia"/>
              </w:rPr>
              <w:t>tlc标准图谱/对照品比对</w:t>
            </w:r>
          </w:p>
        </w:tc>
        <w:tc>
          <w:tcPr>
            <w:tcW w:w="1560" w:type="dxa"/>
            <w:vAlign w:val="center"/>
          </w:tcPr>
          <w:p w14:paraId="3F1BA39C">
            <w:pPr>
              <w:pStyle w:val="178"/>
            </w:pPr>
            <w:r>
              <w:rPr>
                <w:rFonts w:hint="eastAsia"/>
              </w:rPr>
              <w:t>tlc</w:t>
            </w:r>
          </w:p>
        </w:tc>
        <w:tc>
          <w:tcPr>
            <w:tcW w:w="1701" w:type="dxa"/>
            <w:vAlign w:val="center"/>
          </w:tcPr>
          <w:p w14:paraId="2260612E">
            <w:pPr>
              <w:pStyle w:val="178"/>
            </w:pPr>
            <w:r>
              <w:rPr>
                <w:rFonts w:hint="eastAsia"/>
              </w:rPr>
              <w:t>每批次</w:t>
            </w:r>
          </w:p>
        </w:tc>
        <w:tc>
          <w:tcPr>
            <w:tcW w:w="2126" w:type="dxa"/>
            <w:vAlign w:val="center"/>
          </w:tcPr>
          <w:p w14:paraId="667CF375">
            <w:pPr>
              <w:pStyle w:val="178"/>
            </w:pPr>
            <w:r>
              <w:rPr>
                <w:rFonts w:hint="eastAsia"/>
              </w:rPr>
              <w:t>对照条带位置/颜色/形态符合预期</w:t>
            </w:r>
          </w:p>
        </w:tc>
        <w:tc>
          <w:tcPr>
            <w:tcW w:w="2256" w:type="dxa"/>
            <w:vAlign w:val="center"/>
          </w:tcPr>
          <w:p w14:paraId="6294AFDC">
            <w:pPr>
              <w:pStyle w:val="178"/>
            </w:pPr>
            <w:r>
              <w:rPr>
                <w:rFonts w:hint="eastAsia"/>
              </w:rPr>
              <w:t>检查展开剂、薄层板、显色剂并重做</w:t>
            </w:r>
          </w:p>
        </w:tc>
      </w:tr>
      <w:tr w14:paraId="16B7F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8297776">
            <w:pPr>
              <w:pStyle w:val="178"/>
            </w:pPr>
            <w:r>
              <w:rPr>
                <w:rFonts w:hint="eastAsia"/>
              </w:rPr>
              <w:t>计时/温度控制核查</w:t>
            </w:r>
          </w:p>
        </w:tc>
        <w:tc>
          <w:tcPr>
            <w:tcW w:w="1560" w:type="dxa"/>
            <w:vAlign w:val="center"/>
          </w:tcPr>
          <w:p w14:paraId="39D88BF6">
            <w:pPr>
              <w:pStyle w:val="178"/>
            </w:pPr>
            <w:r>
              <w:rPr>
                <w:rFonts w:hint="eastAsia"/>
              </w:rPr>
              <w:t>试剂盒、比色反应</w:t>
            </w:r>
          </w:p>
        </w:tc>
        <w:tc>
          <w:tcPr>
            <w:tcW w:w="1701" w:type="dxa"/>
            <w:vAlign w:val="center"/>
          </w:tcPr>
          <w:p w14:paraId="437E28A5">
            <w:pPr>
              <w:pStyle w:val="178"/>
            </w:pPr>
            <w:r>
              <w:rPr>
                <w:rFonts w:hint="eastAsia"/>
              </w:rPr>
              <w:t>每批次抽查</w:t>
            </w:r>
          </w:p>
        </w:tc>
        <w:tc>
          <w:tcPr>
            <w:tcW w:w="2126" w:type="dxa"/>
            <w:vAlign w:val="center"/>
          </w:tcPr>
          <w:p w14:paraId="59EA1855">
            <w:pPr>
              <w:pStyle w:val="178"/>
            </w:pPr>
            <w:r>
              <w:rPr>
                <w:rFonts w:hint="eastAsia"/>
              </w:rPr>
              <w:t>反应时间/温度在允许范围</w:t>
            </w:r>
          </w:p>
        </w:tc>
        <w:tc>
          <w:tcPr>
            <w:tcW w:w="2256" w:type="dxa"/>
            <w:vAlign w:val="center"/>
          </w:tcPr>
          <w:p w14:paraId="04B45F48">
            <w:pPr>
              <w:pStyle w:val="178"/>
            </w:pPr>
            <w:r>
              <w:rPr>
                <w:rFonts w:hint="eastAsia"/>
              </w:rPr>
              <w:t>重做该批次或相关样品</w:t>
            </w:r>
          </w:p>
        </w:tc>
      </w:tr>
      <w:tr w14:paraId="018DB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2B959D2E">
            <w:pPr>
              <w:pStyle w:val="178"/>
            </w:pPr>
            <w:r>
              <w:rPr>
                <w:rFonts w:hint="eastAsia"/>
              </w:rPr>
              <w:t>判读一致性（双人）</w:t>
            </w:r>
          </w:p>
        </w:tc>
        <w:tc>
          <w:tcPr>
            <w:tcW w:w="1560" w:type="dxa"/>
            <w:vAlign w:val="center"/>
          </w:tcPr>
          <w:p w14:paraId="25BBC202">
            <w:pPr>
              <w:pStyle w:val="178"/>
            </w:pPr>
            <w:r>
              <w:rPr>
                <w:rFonts w:hint="eastAsia"/>
              </w:rPr>
              <w:t>需主观判读方法</w:t>
            </w:r>
          </w:p>
        </w:tc>
        <w:tc>
          <w:tcPr>
            <w:tcW w:w="1701" w:type="dxa"/>
            <w:vAlign w:val="center"/>
          </w:tcPr>
          <w:p w14:paraId="2F0E8777">
            <w:pPr>
              <w:pStyle w:val="178"/>
            </w:pPr>
            <w:r>
              <w:rPr>
                <w:rFonts w:hint="eastAsia"/>
              </w:rPr>
              <w:t>高风险结果或灰区必做</w:t>
            </w:r>
          </w:p>
        </w:tc>
        <w:tc>
          <w:tcPr>
            <w:tcW w:w="2126" w:type="dxa"/>
            <w:vAlign w:val="center"/>
          </w:tcPr>
          <w:p w14:paraId="5B6FB7AC">
            <w:pPr>
              <w:pStyle w:val="178"/>
            </w:pPr>
            <w:r>
              <w:rPr>
                <w:rFonts w:hint="eastAsia"/>
              </w:rPr>
              <w:t>两人结论一致；不一致触发复核</w:t>
            </w:r>
          </w:p>
        </w:tc>
        <w:tc>
          <w:tcPr>
            <w:tcW w:w="2256" w:type="dxa"/>
            <w:vAlign w:val="center"/>
          </w:tcPr>
          <w:p w14:paraId="67E61A59">
            <w:pPr>
              <w:pStyle w:val="178"/>
            </w:pPr>
            <w:r>
              <w:rPr>
                <w:rFonts w:hint="eastAsia"/>
              </w:rPr>
              <w:t>第三方判读/复测/替代方法</w:t>
            </w:r>
          </w:p>
        </w:tc>
      </w:tr>
      <w:tr w14:paraId="0A122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bottom w:val="single" w:color="auto" w:sz="8" w:space="0"/>
            </w:tcBorders>
            <w:vAlign w:val="center"/>
          </w:tcPr>
          <w:p w14:paraId="3405E777">
            <w:pPr>
              <w:pStyle w:val="178"/>
            </w:pPr>
            <w:r>
              <w:rPr>
                <w:rFonts w:hint="eastAsia"/>
              </w:rPr>
              <w:t>记录完整性检查</w:t>
            </w:r>
          </w:p>
        </w:tc>
        <w:tc>
          <w:tcPr>
            <w:tcW w:w="1560" w:type="dxa"/>
            <w:tcBorders>
              <w:bottom w:val="single" w:color="auto" w:sz="8" w:space="0"/>
            </w:tcBorders>
            <w:vAlign w:val="center"/>
          </w:tcPr>
          <w:p w14:paraId="618D8996">
            <w:pPr>
              <w:pStyle w:val="178"/>
            </w:pPr>
            <w:r>
              <w:rPr>
                <w:rFonts w:hint="eastAsia"/>
              </w:rPr>
              <w:t>全流程</w:t>
            </w:r>
          </w:p>
        </w:tc>
        <w:tc>
          <w:tcPr>
            <w:tcW w:w="1701" w:type="dxa"/>
            <w:tcBorders>
              <w:bottom w:val="single" w:color="auto" w:sz="8" w:space="0"/>
            </w:tcBorders>
            <w:vAlign w:val="center"/>
          </w:tcPr>
          <w:p w14:paraId="0DE41E2B">
            <w:pPr>
              <w:pStyle w:val="178"/>
            </w:pPr>
            <w:r>
              <w:rPr>
                <w:rFonts w:hint="eastAsia"/>
              </w:rPr>
              <w:t>每批次</w:t>
            </w:r>
          </w:p>
        </w:tc>
        <w:tc>
          <w:tcPr>
            <w:tcW w:w="2126" w:type="dxa"/>
            <w:tcBorders>
              <w:bottom w:val="single" w:color="auto" w:sz="8" w:space="0"/>
            </w:tcBorders>
            <w:vAlign w:val="center"/>
          </w:tcPr>
          <w:p w14:paraId="03660B2D">
            <w:pPr>
              <w:pStyle w:val="178"/>
            </w:pPr>
            <w:r>
              <w:rPr>
                <w:rFonts w:hint="eastAsia"/>
              </w:rPr>
              <w:t>关键字段齐全、可追溯</w:t>
            </w:r>
          </w:p>
        </w:tc>
        <w:tc>
          <w:tcPr>
            <w:tcW w:w="2256" w:type="dxa"/>
            <w:tcBorders>
              <w:bottom w:val="single" w:color="auto" w:sz="8" w:space="0"/>
            </w:tcBorders>
            <w:vAlign w:val="center"/>
          </w:tcPr>
          <w:p w14:paraId="7CC76F9F">
            <w:pPr>
              <w:pStyle w:val="178"/>
            </w:pPr>
            <w:r>
              <w:rPr>
                <w:rFonts w:hint="eastAsia"/>
              </w:rPr>
              <w:t>补充说明；关键缺失则结果无效</w:t>
            </w:r>
          </w:p>
        </w:tc>
      </w:tr>
      <w:tr w14:paraId="4A139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608E31A6">
            <w:pPr>
              <w:pStyle w:val="179"/>
            </w:pPr>
            <w:r>
              <w:rPr>
                <w:rFonts w:hint="eastAsia"/>
              </w:rPr>
              <w:t>接受准则应结合具体方法学验证结果、试剂盒说明书与本单位确认结果进行量化落地；表中为通用表达示例。</w:t>
            </w:r>
          </w:p>
        </w:tc>
      </w:tr>
    </w:tbl>
    <w:p w14:paraId="389307F2">
      <w:pPr>
        <w:pStyle w:val="105"/>
        <w:spacing w:before="120" w:after="120" w:line="360" w:lineRule="auto"/>
      </w:pPr>
      <w:r>
        <w:rPr>
          <w:rFonts w:hint="eastAsia"/>
        </w:rPr>
        <w:t>判定类别与统一表达</w:t>
      </w:r>
    </w:p>
    <w:p w14:paraId="3E4FEEBA">
      <w:pPr>
        <w:pStyle w:val="56"/>
        <w:spacing w:line="360" w:lineRule="auto"/>
        <w:ind w:firstLine="420"/>
      </w:pPr>
      <w:r>
        <w:rPr>
          <w:rFonts w:hint="eastAsia"/>
        </w:rPr>
        <w:t>快速检验结果宜统一表达为以下三类，以便监管与处置衔接：</w:t>
      </w:r>
    </w:p>
    <w:p w14:paraId="1B8622C0">
      <w:pPr>
        <w:pStyle w:val="56"/>
        <w:spacing w:line="360" w:lineRule="auto"/>
        <w:ind w:firstLine="420"/>
      </w:pPr>
      <w:r>
        <w:rPr>
          <w:rFonts w:hint="eastAsia"/>
        </w:rPr>
        <w:t>a) 符合：检测结果满足判定阈值与规则，且质控符合接受准则；</w:t>
      </w:r>
    </w:p>
    <w:p w14:paraId="03EFD6AD">
      <w:pPr>
        <w:pStyle w:val="56"/>
        <w:spacing w:line="360" w:lineRule="auto"/>
        <w:ind w:firstLine="420"/>
      </w:pPr>
      <w:r>
        <w:rPr>
          <w:rFonts w:hint="eastAsia"/>
        </w:rPr>
        <w:t>b) 可疑：结果处于灰区、存在干扰或不确定性无法排除、或不同方法/复测结果不一致；</w:t>
      </w:r>
    </w:p>
    <w:p w14:paraId="772FC2AE">
      <w:pPr>
        <w:pStyle w:val="56"/>
        <w:spacing w:line="360" w:lineRule="auto"/>
        <w:ind w:firstLine="420"/>
      </w:pPr>
      <w:r>
        <w:rPr>
          <w:rFonts w:hint="eastAsia"/>
        </w:rPr>
        <w:t>c) 不符合：检测结果明确超出阈值或满足不符合判据，且质控符合接受准则。</w:t>
      </w:r>
    </w:p>
    <w:p w14:paraId="567B940D">
      <w:pPr>
        <w:pStyle w:val="56"/>
        <w:spacing w:line="360" w:lineRule="auto"/>
        <w:ind w:firstLine="420"/>
      </w:pPr>
      <w:r>
        <w:rPr>
          <w:rFonts w:hint="eastAsia"/>
        </w:rPr>
        <w:t>对仅能输出“阴性/阳性”的方法，可将“阴性”对应“符合”，“阳性”对应“不符合”，并在必要时增加“可疑”（如弱阳、灰区、判读不一致）类别。</w:t>
      </w:r>
    </w:p>
    <w:p w14:paraId="33601B9A">
      <w:pPr>
        <w:pStyle w:val="105"/>
        <w:spacing w:before="120" w:after="120" w:line="360" w:lineRule="auto"/>
      </w:pPr>
      <w:r>
        <w:rPr>
          <w:rFonts w:hint="eastAsia"/>
        </w:rPr>
        <w:t>阈值、灰区与不确定性管理</w:t>
      </w:r>
    </w:p>
    <w:p w14:paraId="129C79B4">
      <w:pPr>
        <w:pStyle w:val="56"/>
        <w:spacing w:line="360" w:lineRule="auto"/>
        <w:ind w:firstLine="420"/>
      </w:pPr>
      <w:r>
        <w:rPr>
          <w:rFonts w:hint="eastAsia"/>
        </w:rPr>
        <w:t>阈值来源应明确，可来源于方法验证、说明书推荐、对照品比对统计或监管技术要求。</w:t>
      </w:r>
    </w:p>
    <w:p w14:paraId="4868EFA0">
      <w:pPr>
        <w:pStyle w:val="56"/>
        <w:spacing w:line="360" w:lineRule="auto"/>
        <w:ind w:firstLine="420"/>
      </w:pPr>
      <w:r>
        <w:rPr>
          <w:rFonts w:hint="eastAsia"/>
        </w:rPr>
        <w:t>应设置灰区或可疑判定条件，例如：匹配度接近阈值、条带/显色弱、重复测定差异较大、背景干扰明显。对灰区结果应优先采取复测、平行样验证或采用替代方法复核；仍无法明确的，应判为可疑并启动送检确证。</w:t>
      </w:r>
    </w:p>
    <w:p w14:paraId="3C3777C7">
      <w:pPr>
        <w:pStyle w:val="56"/>
        <w:spacing w:line="360" w:lineRule="auto"/>
        <w:ind w:firstLine="420"/>
      </w:pPr>
      <w:r>
        <w:rPr>
          <w:rFonts w:hint="eastAsia"/>
        </w:rPr>
        <w:t>对超出方法适用范围的样品（剂型不匹配、强基质干扰、无法完成规定前处理）应直接判为“结果不可判定/需送检”，不得勉强给出符合或不符合；该类情形可按本单位规定纳入“可疑”管理并在记录中明确原因。</w:t>
      </w:r>
    </w:p>
    <w:p w14:paraId="51F7DB3B">
      <w:pPr>
        <w:pStyle w:val="105"/>
        <w:spacing w:before="120" w:after="120" w:line="360" w:lineRule="auto"/>
      </w:pPr>
      <w:r>
        <w:rPr>
          <w:rFonts w:hint="eastAsia"/>
        </w:rPr>
        <w:t>复核、复测与替代方法复核规则</w:t>
      </w:r>
    </w:p>
    <w:p w14:paraId="4909618E">
      <w:pPr>
        <w:pStyle w:val="56"/>
        <w:spacing w:line="360" w:lineRule="auto"/>
        <w:ind w:firstLine="420"/>
      </w:pPr>
      <w:r>
        <w:rPr>
          <w:rFonts w:hint="eastAsia"/>
        </w:rPr>
        <w:t>对不符合或可疑结果应进行复核，复核可包括同方法复测、平行样复测、不同操作者复测或替代方法复核。</w:t>
      </w:r>
    </w:p>
    <w:p w14:paraId="2C6EA13E">
      <w:pPr>
        <w:pStyle w:val="56"/>
        <w:spacing w:line="360" w:lineRule="auto"/>
        <w:ind w:firstLine="420"/>
      </w:pPr>
      <w:r>
        <w:rPr>
          <w:rFonts w:hint="eastAsia"/>
        </w:rPr>
        <w:t>复核应在满足样品链与证据链连续的条件下进行，并记录复核方案、人员、时间与结果。复核结果与初测不一致时，应按更高风险原则处置，并优先启动送检确证。</w:t>
      </w:r>
    </w:p>
    <w:p w14:paraId="2B2CA14A">
      <w:pPr>
        <w:pStyle w:val="56"/>
        <w:spacing w:line="360" w:lineRule="auto"/>
        <w:ind w:firstLine="420"/>
      </w:pPr>
      <w:r>
        <w:rPr>
          <w:rFonts w:hint="eastAsia"/>
        </w:rPr>
        <w:t>对涉案样品的复核应避免过度消耗样品，保证送检确证所需留样量。</w:t>
      </w:r>
    </w:p>
    <w:p w14:paraId="685D4587">
      <w:pPr>
        <w:pStyle w:val="56"/>
        <w:spacing w:line="360" w:lineRule="auto"/>
        <w:ind w:firstLine="420"/>
      </w:pPr>
      <w:r>
        <w:rPr>
          <w:rFonts w:hint="eastAsia"/>
        </w:rPr>
        <w:t>复核结论应明确“初测—复核—综合判定”的关系，避免只保留最终结论而丢失过程证据。</w:t>
      </w:r>
    </w:p>
    <w:p w14:paraId="2D505BF9">
      <w:pPr>
        <w:pStyle w:val="105"/>
        <w:spacing w:before="120" w:after="120" w:line="360" w:lineRule="auto"/>
      </w:pPr>
      <w:r>
        <w:rPr>
          <w:rFonts w:hint="eastAsia"/>
        </w:rPr>
        <w:t>结果报告与使用边界</w:t>
      </w:r>
    </w:p>
    <w:p w14:paraId="0ACD0411">
      <w:pPr>
        <w:pStyle w:val="56"/>
        <w:spacing w:line="360" w:lineRule="auto"/>
        <w:ind w:firstLine="420"/>
      </w:pPr>
      <w:r>
        <w:rPr>
          <w:rFonts w:hint="eastAsia"/>
        </w:rPr>
        <w:t>快速检验结果输出应包含方法名称与版本、判定类别、对照与质控结论、关键证据、不确定性说明以及处置建议。快速检验结果可用于风险分流与现场处置决策，不得替代法定检验结论。</w:t>
      </w:r>
    </w:p>
    <w:p w14:paraId="1094F4CA">
      <w:pPr>
        <w:pStyle w:val="56"/>
        <w:spacing w:line="360" w:lineRule="auto"/>
        <w:ind w:firstLine="420"/>
      </w:pPr>
      <w:r>
        <w:rPr>
          <w:rFonts w:hint="eastAsia"/>
        </w:rPr>
        <w:t>对外发布信息应遵循授权与保密要求，涉案信息、商业秘密与个人信息应控制传播范围。结果更正应走受控流程，保留原记录并形成更正说明，不得覆盖原件。</w:t>
      </w:r>
    </w:p>
    <w:bookmarkEnd w:id="26"/>
    <w:p w14:paraId="1E9F22C2">
      <w:pPr>
        <w:pStyle w:val="56"/>
        <w:ind w:firstLine="0" w:firstLineChars="0"/>
        <w:jc w:val="center"/>
      </w:pPr>
      <w:bookmarkStart w:id="57" w:name="BookMark8"/>
      <w:r>
        <w:rPr>
          <w:rFonts w:hint="eastAsia"/>
        </w:rPr>
        <w:drawing>
          <wp:inline distT="0" distB="0" distL="0" distR="0">
            <wp:extent cx="1485900" cy="317500"/>
            <wp:effectExtent l="0" t="0" r="0" b="6350"/>
            <wp:docPr id="1142301725" name="图片 1"/>
            <wp:cNvGraphicFramePr/>
            <a:graphic xmlns:a="http://schemas.openxmlformats.org/drawingml/2006/main">
              <a:graphicData uri="http://schemas.openxmlformats.org/drawingml/2006/picture">
                <pic:pic xmlns:pic="http://schemas.openxmlformats.org/drawingml/2006/picture">
                  <pic:nvPicPr>
                    <pic:cNvPr id="1142301725"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76D8">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01DB">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6C23">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45D6">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7DC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8002">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F063">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4BC8">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567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0201—2026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F63A">
    <w:pPr>
      <w:pStyle w:val="61"/>
    </w:pPr>
    <w:r>
      <w:fldChar w:fldCharType="begin"/>
    </w:r>
    <w:r>
      <w:instrText xml:space="preserve"> STYLEREF  标准文件_文件编号  \* MERGEFORMAT </w:instrText>
    </w:r>
    <w:r>
      <w:fldChar w:fldCharType="separate"/>
    </w:r>
    <w:r>
      <w:t>T/XJBX 0201—2026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BF0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15E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0201—2026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0201—2026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A73C">
    <w:pPr>
      <w:pStyle w:val="61"/>
    </w:pPr>
    <w:r>
      <w:fldChar w:fldCharType="begin"/>
    </w:r>
    <w:r>
      <w:instrText xml:space="preserve"> STYLEREF  标准文件_文件编号  \* MERGEFORMAT </w:instrText>
    </w:r>
    <w:r>
      <w:fldChar w:fldCharType="separate"/>
    </w:r>
    <w:r>
      <w:t>T/XJBX 0201—2026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1B7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0201—2026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F8C6">
    <w:pPr>
      <w:pStyle w:val="61"/>
    </w:pPr>
    <w:r>
      <w:fldChar w:fldCharType="begin"/>
    </w:r>
    <w:r>
      <w:instrText xml:space="preserve"> STYLEREF  标准文件_文件编号  \* MERGEFORMAT </w:instrText>
    </w:r>
    <w:r>
      <w:fldChar w:fldCharType="separate"/>
    </w:r>
    <w:r>
      <w:t>T/XJBX 0201—2026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FA6"/>
    <w:rsid w:val="000D329A"/>
    <w:rsid w:val="000D4B9C"/>
    <w:rsid w:val="000D4EB6"/>
    <w:rsid w:val="000D753B"/>
    <w:rsid w:val="000E4C9E"/>
    <w:rsid w:val="000E6D27"/>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CC8"/>
    <w:rsid w:val="00142969"/>
    <w:rsid w:val="00143EAE"/>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B9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8A2"/>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A01"/>
    <w:rsid w:val="008C1797"/>
    <w:rsid w:val="008C219C"/>
    <w:rsid w:val="008C475E"/>
    <w:rsid w:val="008C619A"/>
    <w:rsid w:val="008D00DB"/>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2C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BEE"/>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1F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AFE"/>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65F"/>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CF8"/>
    <w:rsid w:val="00F84FD0"/>
    <w:rsid w:val="00F859A8"/>
    <w:rsid w:val="00F86D87"/>
    <w:rsid w:val="00F9108B"/>
    <w:rsid w:val="00F91349"/>
    <w:rsid w:val="00F93A8A"/>
    <w:rsid w:val="00F94543"/>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059"/>
    <w:rsid w:val="00FD7299"/>
    <w:rsid w:val="00FE1FBE"/>
    <w:rsid w:val="00FE3901"/>
    <w:rsid w:val="00FE39D3"/>
    <w:rsid w:val="00FE4BCE"/>
    <w:rsid w:val="00FE54AE"/>
    <w:rsid w:val="00FE576A"/>
    <w:rsid w:val="00FE7E79"/>
    <w:rsid w:val="00FF1E49"/>
    <w:rsid w:val="00FF3E7D"/>
    <w:rsid w:val="00FF5B99"/>
    <w:rsid w:val="00FF730C"/>
    <w:rsid w:val="00FF73F4"/>
    <w:rsid w:val="00FF7CE4"/>
    <w:rsid w:val="00FF7E39"/>
    <w:rsid w:val="2EA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D98FC7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E6FCFC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18B04C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46425"/>
    <w:rsid w:val="0015141B"/>
    <w:rsid w:val="00232C79"/>
    <w:rsid w:val="002A20D5"/>
    <w:rsid w:val="005E6634"/>
    <w:rsid w:val="007146E1"/>
    <w:rsid w:val="00800E52"/>
    <w:rsid w:val="00884E05"/>
    <w:rsid w:val="00AE1DC6"/>
    <w:rsid w:val="00B24803"/>
    <w:rsid w:val="00CB0AFE"/>
    <w:rsid w:val="00E51851"/>
    <w:rsid w:val="00E92E4A"/>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4102</Words>
  <Characters>4397</Characters>
  <Lines>118</Lines>
  <Paragraphs>33</Paragraphs>
  <TotalTime>192</TotalTime>
  <ScaleCrop>false</ScaleCrop>
  <LinksUpToDate>false</LinksUpToDate>
  <CharactersWithSpaces>4503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2026-01-27T09:04:39Z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7855D9890AC24AB7ACE703D1072E59A9_12</vt:lpwstr>
  </property>
</Properties>
</file>