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67.05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67.050</w:t>
            </w:r>
            <w:r>
              <w:rPr>
                <w:rFonts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X 04"/>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X 04</w:t>
            </w:r>
            <w:r>
              <w:rPr>
                <w:rFonts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200"/>
            </w:textInput>
          </w:ffData>
        </w:fldChar>
      </w:r>
      <w:bookmarkStart w:id="6" w:name="NSTD_CODE_F"/>
      <w:r>
        <w:instrText xml:space="preserve"> FORMTEXT </w:instrText>
      </w:r>
      <w:r>
        <w:fldChar w:fldCharType="separate"/>
      </w:r>
      <w:r>
        <w:t>0200</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fldChar w:fldCharType="begin">
          <w:ffData>
            <w:name w:val="CSTD_NAME"/>
            <w:enabled/>
            <w:calcOnExit w:val="0"/>
            <w:textInput>
              <w:default w:val="食品检测精准筛查技术规范"/>
            </w:textInput>
          </w:ffData>
        </w:fldChar>
      </w:r>
      <w:bookmarkStart w:id="9" w:name="CSTD_NAME"/>
      <w:r>
        <w:instrText xml:space="preserve"> FORMTEXT </w:instrText>
      </w:r>
      <w:r>
        <w:fldChar w:fldCharType="separate"/>
      </w:r>
      <w:r>
        <w:t>食品检测精准筛查技术规范</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precision screening technology in food testing"/>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precision screening technology in food testing</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326104EF">
      <w:pPr>
        <w:pStyle w:val="91"/>
        <w:spacing w:after="360"/>
      </w:pPr>
      <w:bookmarkStart w:id="21" w:name="BookMark1"/>
      <w:r>
        <w:rPr>
          <w:rFonts w:hint="eastAsia"/>
          <w:spacing w:val="320"/>
        </w:rPr>
        <w:t>目</w:t>
      </w:r>
      <w:r>
        <w:rPr>
          <w:rFonts w:hint="eastAsia"/>
        </w:rPr>
        <w:t>次</w:t>
      </w:r>
    </w:p>
    <w:p w14:paraId="55444A2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"_Toc220228671"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_Toc220228671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37DC9B3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"_Toc220228672"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_Toc220228672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253C8FC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"_Toc220228673"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_Toc220228673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F63F77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"_Toc220228674"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_Toc220228674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9188E7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"_Toc220228675"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_Toc220228675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E1DE14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"_Toc220228676"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_Toc220228676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B57C17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"_Toc220228677" </w:instrText>
      </w:r>
      <w:r>
        <w:fldChar w:fldCharType="separate"/>
      </w:r>
      <w:r>
        <w:rPr>
          <w:rStyle w:val="32"/>
          <w:rFonts w:hint="eastAsia"/>
        </w:rPr>
        <w:t>5</w:t>
      </w:r>
      <w:r>
        <w:rPr>
          <w:rStyle w:val="32"/>
        </w:rPr>
        <w:t xml:space="preserve"> </w:t>
      </w:r>
      <w:r>
        <w:rPr>
          <w:rStyle w:val="32"/>
          <w:rFonts w:hint="eastAsia"/>
        </w:rPr>
        <w:t xml:space="preserve"> 技术路线</w:t>
      </w:r>
      <w:r>
        <w:rPr>
          <w:rFonts w:hint="eastAsia"/>
        </w:rPr>
        <w:tab/>
      </w:r>
      <w:r>
        <w:rPr>
          <w:rFonts w:hint="eastAsia"/>
        </w:rPr>
        <w:fldChar w:fldCharType="begin"/>
      </w:r>
      <w:r>
        <w:rPr>
          <w:rFonts w:hint="eastAsia"/>
        </w:rPr>
        <w:instrText xml:space="preserve"> </w:instrText>
      </w:r>
      <w:r>
        <w:instrText xml:space="preserve">PAGEREF _Toc220228677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0A61BA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"_Toc220228678" </w:instrText>
      </w:r>
      <w:r>
        <w:fldChar w:fldCharType="separate"/>
      </w:r>
      <w:r>
        <w:rPr>
          <w:rStyle w:val="32"/>
          <w:rFonts w:hint="eastAsia"/>
        </w:rPr>
        <w:t>6</w:t>
      </w:r>
      <w:r>
        <w:rPr>
          <w:rStyle w:val="32"/>
        </w:rPr>
        <w:t xml:space="preserve"> </w:t>
      </w:r>
      <w:r>
        <w:rPr>
          <w:rStyle w:val="32"/>
          <w:rFonts w:hint="eastAsia"/>
        </w:rPr>
        <w:t xml:space="preserve"> 样品采集与制备</w:t>
      </w:r>
      <w:r>
        <w:rPr>
          <w:rFonts w:hint="eastAsia"/>
        </w:rPr>
        <w:tab/>
      </w:r>
      <w:r>
        <w:rPr>
          <w:rFonts w:hint="eastAsia"/>
        </w:rPr>
        <w:fldChar w:fldCharType="begin"/>
      </w:r>
      <w:r>
        <w:rPr>
          <w:rFonts w:hint="eastAsia"/>
        </w:rPr>
        <w:instrText xml:space="preserve"> </w:instrText>
      </w:r>
      <w:r>
        <w:instrText xml:space="preserve">PAGEREF _Toc220228678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2F7F56F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"_Toc220228679" </w:instrText>
      </w:r>
      <w:r>
        <w:fldChar w:fldCharType="separate"/>
      </w:r>
      <w:r>
        <w:rPr>
          <w:rStyle w:val="32"/>
          <w:rFonts w:hint="eastAsia"/>
        </w:rPr>
        <w:t>7</w:t>
      </w:r>
      <w:r>
        <w:rPr>
          <w:rStyle w:val="32"/>
        </w:rPr>
        <w:t xml:space="preserve"> </w:t>
      </w:r>
      <w:r>
        <w:rPr>
          <w:rStyle w:val="32"/>
          <w:rFonts w:hint="eastAsia"/>
        </w:rPr>
        <w:t xml:space="preserve"> 筛查方法选择与性能评价</w:t>
      </w:r>
      <w:r>
        <w:rPr>
          <w:rFonts w:hint="eastAsia"/>
        </w:rPr>
        <w:tab/>
      </w:r>
      <w:r>
        <w:rPr>
          <w:rFonts w:hint="eastAsia"/>
        </w:rPr>
        <w:fldChar w:fldCharType="begin"/>
      </w:r>
      <w:r>
        <w:rPr>
          <w:rFonts w:hint="eastAsia"/>
        </w:rPr>
        <w:instrText xml:space="preserve"> </w:instrText>
      </w:r>
      <w:r>
        <w:instrText xml:space="preserve">PAGEREF _Toc220228679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433738D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"_Toc220228680" </w:instrText>
      </w:r>
      <w:r>
        <w:fldChar w:fldCharType="separate"/>
      </w:r>
      <w:r>
        <w:rPr>
          <w:rStyle w:val="32"/>
          <w:rFonts w:hint="eastAsia"/>
        </w:rPr>
        <w:t>8</w:t>
      </w:r>
      <w:r>
        <w:rPr>
          <w:rStyle w:val="32"/>
        </w:rPr>
        <w:t xml:space="preserve"> </w:t>
      </w:r>
      <w:r>
        <w:rPr>
          <w:rStyle w:val="32"/>
          <w:rFonts w:hint="eastAsia"/>
        </w:rPr>
        <w:t xml:space="preserve"> 结果判定与确证衔接</w:t>
      </w:r>
      <w:r>
        <w:rPr>
          <w:rFonts w:hint="eastAsia"/>
        </w:rPr>
        <w:tab/>
      </w:r>
      <w:r>
        <w:rPr>
          <w:rFonts w:hint="eastAsia"/>
        </w:rPr>
        <w:fldChar w:fldCharType="begin"/>
      </w:r>
      <w:r>
        <w:rPr>
          <w:rFonts w:hint="eastAsia"/>
        </w:rPr>
        <w:instrText xml:space="preserve"> </w:instrText>
      </w:r>
      <w:r>
        <w:instrText xml:space="preserve">PAGEREF _Toc220228680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7998968F">
      <w:pPr>
        <w:pStyle w:val="91"/>
        <w:spacing w:after="360"/>
        <w:sectPr>
          <w:headerReference r:id="rId13" w:type="first"/>
          <w:headerReference r:id="rId11" w:type="default"/>
          <w:footerReference r:id="rId14" w:type="default"/>
          <w:headerReference r:id="rId12" w:type="even"/>
          <w:footerReference r:id="rId15"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0228671"/>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06F42934">
      <w:pPr>
        <w:pStyle w:val="56"/>
        <w:spacing w:line="360" w:lineRule="auto"/>
        <w:ind w:firstLine="420"/>
      </w:pPr>
      <w:r>
        <w:rPr>
          <w:rFonts w:hint="eastAsia"/>
        </w:rPr>
        <w:t>本文件起草单位：浙江鸣怡生物科技有限公司</w:t>
      </w:r>
      <w:bookmarkStart w:id="57" w:name="_GoBack"/>
      <w:bookmarkEnd w:id="57"/>
      <w:r>
        <w:rPr>
          <w:rFonts w:hint="eastAsia"/>
        </w:rPr>
        <w:t>。</w:t>
      </w:r>
    </w:p>
    <w:p w14:paraId="55F4A5D1">
      <w:pPr>
        <w:pStyle w:val="56"/>
        <w:spacing w:line="360" w:lineRule="auto"/>
        <w:ind w:firstLine="420"/>
      </w:pPr>
      <w:r>
        <w:rPr>
          <w:rFonts w:hint="eastAsia"/>
        </w:rPr>
        <w:t>本文件主要起草人：王玳。</w:t>
      </w:r>
    </w:p>
    <w:p w14:paraId="1B3EB912">
      <w:pPr>
        <w:pStyle w:val="56"/>
        <w:ind w:firstLine="420"/>
      </w:pPr>
    </w:p>
    <w:p w14:paraId="784B3C9B">
      <w:pPr>
        <w:pStyle w:val="56"/>
        <w:ind w:firstLine="420"/>
        <w:sectPr>
          <w:headerReference r:id="rId16" w:type="default"/>
          <w:footerReference r:id="rId18" w:type="default"/>
          <w:headerReference r:id="rId17" w:type="even"/>
          <w:footerReference r:id="rId19"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0228672"/>
      <w:bookmarkStart w:id="25" w:name="BookMark3"/>
      <w:r>
        <w:rPr>
          <w:spacing w:val="320"/>
        </w:rPr>
        <w:t>引</w:t>
      </w:r>
      <w:r>
        <w:t>言</w:t>
      </w:r>
      <w:bookmarkEnd w:id="24"/>
    </w:p>
    <w:p w14:paraId="662C89FC">
      <w:pPr>
        <w:pStyle w:val="56"/>
        <w:spacing w:line="360" w:lineRule="auto"/>
        <w:ind w:firstLine="420"/>
      </w:pPr>
      <w:r>
        <w:rPr>
          <w:rFonts w:hint="eastAsia"/>
        </w:rPr>
        <w:t>食品安全风险具有多源性、隐蔽性与时变性特征，风险因子涵盖农兽药残留、非法添加物、真菌毒素、重金属及其形态、加工污染物、过敏原、微生物及其毒素、包装迁移物与新污染物等多个类别。随着食品产业链条延伸、原辅料来源多样化以及新工艺新配方不断出现，传统以“单项指标逐一检测”为主的工作方式在时效性、覆盖面与资源利用效率方面面临挑战：一方面，监管与企业自检需要在有限时间内对更广泛的风险因子进行筛查；另一方面，检测资源与成本约束要求检测策略更具针对性与优先级。为此，建立面向风险、以数据驱动为支撑、以快速锁定高风险样品为目标的精准筛查技术体系，成为提升食品检测效能与风险处置能力的重要路径。</w:t>
      </w:r>
    </w:p>
    <w:p w14:paraId="54AC3650">
      <w:pPr>
        <w:pStyle w:val="56"/>
        <w:spacing w:line="360" w:lineRule="auto"/>
        <w:ind w:firstLine="420"/>
      </w:pPr>
      <w:r>
        <w:rPr>
          <w:rFonts w:hint="eastAsia"/>
        </w:rPr>
        <w:t>精准筛查强调“筛查—确证—处置”的分层检测思路：在筛查阶段，通过高通量、快速、灵敏且适于批量样品的技术手段，对疑似风险样品进行初筛与风险分层；在确证阶段，对筛查阳性或高风险样品采用高特异性、可溯源、可定量的确证方法进行判定；在处置阶段，依据风险等级与证据强度开展复检、溯源、召回或监管处置。与常规检测相比，精准筛查更强调样品前处理标准化、筛查方法学适配性、质控体系完整性、阈值与判定规则统一性，以及实验室信息化与数据闭环管理能力，避免因筛查误判、批间漂移或方法迁移导致监管决策偏差与资源浪费。</w:t>
      </w:r>
    </w:p>
    <w:p w14:paraId="0C107377">
      <w:pPr>
        <w:pStyle w:val="56"/>
        <w:spacing w:line="360" w:lineRule="auto"/>
        <w:ind w:firstLine="420"/>
      </w:pPr>
      <w:r>
        <w:rPr>
          <w:rFonts w:hint="eastAsia"/>
        </w:rPr>
        <w:t>在实践应用中，精准筛查技术面临若干关键问题需要规范化：一是风险因子与食品类别的匹配关系复杂，筛查指标库与目标物清单需要动态更新与分级管理；二是筛查方法种类多样（免疫学、色谱-质谱快速筛查、高分辨质谱非靶向/疑似筛查、生物传感、核酸与分子诊断等），不同技术在灵敏度、选择性、抗基质干扰能力、通量与成本方面存在差异，需要形成统一的选型原则与验证要求；三是筛查结果具有概率性特征，如何设定筛查阈值、控制假阳性与假阴性、建立复核与确证触发条件，是保证筛查有效性的核心；四是实验室间方法迁移与设备差异可能导致结果不一致，亟需统一的质量控制、能力验证与数据管理要求。</w:t>
      </w:r>
    </w:p>
    <w:p w14:paraId="7F4A69FE">
      <w:pPr>
        <w:pStyle w:val="56"/>
        <w:spacing w:line="360" w:lineRule="auto"/>
        <w:ind w:firstLine="420"/>
      </w:pPr>
      <w:r>
        <w:rPr>
          <w:rFonts w:hint="eastAsia"/>
        </w:rPr>
        <w:t>本文件旨在规定食品检测精准筛查的总体原则、技术路线、样品采集与制备、筛查方法选择与性能评价、质控与判定规则、确证与复核流程、数据管理与结果报告等要求，为食品安全监管部门、第三方检测机构、食品生产经营企业实验室及科研单位开展精准筛查工作提供可操作、可复现、可追溯的技术依据。通过实施本文件，可提升筛查覆盖效率与风险识别能力，促进检测资源向高风险环节聚焦，降低漏检风险与误判成本，并支撑食品安全风险的早发现、早预警与精准处置。</w:t>
      </w:r>
    </w:p>
    <w:p w14:paraId="41C59179">
      <w:pPr>
        <w:pStyle w:val="56"/>
        <w:ind w:firstLine="420"/>
      </w:pPr>
    </w:p>
    <w:p w14:paraId="3AC90217">
      <w:pPr>
        <w:pStyle w:val="56"/>
        <w:ind w:firstLine="420"/>
        <w:sectPr>
          <w:headerReference r:id="rId20" w:type="default"/>
          <w:footerReference r:id="rId22" w:type="default"/>
          <w:headerReference r:id="rId21" w:type="even"/>
          <w:footerReference r:id="rId23"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食品检测精准筛查技术规范</w:t>
          </w:r>
        </w:p>
      </w:sdtContent>
    </w:sdt>
    <w:bookmarkEnd w:id="27"/>
    <w:p w14:paraId="3DB22445">
      <w:pPr>
        <w:pStyle w:val="104"/>
        <w:spacing w:before="240" w:after="240" w:line="360" w:lineRule="auto"/>
      </w:pPr>
      <w:bookmarkStart w:id="28" w:name="_Toc17233325"/>
      <w:bookmarkStart w:id="29" w:name="_Toc220228673"/>
      <w:bookmarkStart w:id="30" w:name="_Toc26718930"/>
      <w:bookmarkStart w:id="31" w:name="_Toc17233333"/>
      <w:bookmarkStart w:id="32" w:name="_Toc26648465"/>
      <w:bookmarkStart w:id="33" w:name="_Toc26986771"/>
      <w:bookmarkStart w:id="34" w:name="_Toc26986530"/>
      <w:bookmarkStart w:id="35" w:name="_Toc24884211"/>
      <w:bookmarkStart w:id="36" w:name="_Toc97192964"/>
      <w:bookmarkStart w:id="37" w:name="_Toc24884218"/>
      <w:r>
        <w:rPr>
          <w:rFonts w:hint="eastAsia"/>
        </w:rPr>
        <w:t>范围</w:t>
      </w:r>
      <w:bookmarkEnd w:id="28"/>
      <w:bookmarkEnd w:id="29"/>
      <w:bookmarkEnd w:id="30"/>
      <w:bookmarkEnd w:id="31"/>
      <w:bookmarkEnd w:id="32"/>
      <w:bookmarkEnd w:id="33"/>
      <w:bookmarkEnd w:id="34"/>
      <w:bookmarkEnd w:id="35"/>
      <w:bookmarkEnd w:id="36"/>
      <w:bookmarkEnd w:id="37"/>
    </w:p>
    <w:p w14:paraId="62AF0F6F">
      <w:pPr>
        <w:pStyle w:val="56"/>
        <w:spacing w:line="360" w:lineRule="auto"/>
        <w:ind w:firstLine="420"/>
      </w:pPr>
      <w:bookmarkStart w:id="38" w:name="_Toc24884212"/>
      <w:bookmarkStart w:id="39" w:name="_Toc17233326"/>
      <w:bookmarkStart w:id="40" w:name="_Toc17233334"/>
      <w:bookmarkStart w:id="41" w:name="_Toc24884219"/>
      <w:bookmarkStart w:id="42" w:name="_Toc26648466"/>
      <w:r>
        <w:rPr>
          <w:rFonts w:hint="eastAsia"/>
        </w:rPr>
        <w:t>本文件规定了食品检测精准筛查的总体要求、技术路线、样品采集与制备、筛查方法选择与性能评价、结果判定与确证衔接等内容。</w:t>
      </w:r>
    </w:p>
    <w:p w14:paraId="76265264">
      <w:pPr>
        <w:pStyle w:val="56"/>
        <w:spacing w:line="360" w:lineRule="auto"/>
        <w:ind w:firstLine="420"/>
      </w:pPr>
      <w:r>
        <w:rPr>
          <w:rFonts w:hint="eastAsia"/>
        </w:rPr>
        <w:t>本文件适用于食品及其原辅料、食品添加剂、食用农产品与相关产品的风险因子精准筛查工作，适用于监管抽检、企业自检、第三方委托检测、专项风险排查与突发事件应急筛查等场景。</w:t>
      </w:r>
    </w:p>
    <w:p w14:paraId="3733B2AD">
      <w:pPr>
        <w:pStyle w:val="104"/>
        <w:spacing w:before="240" w:after="240" w:line="360" w:lineRule="auto"/>
      </w:pPr>
      <w:bookmarkStart w:id="43" w:name="_Toc97192965"/>
      <w:bookmarkStart w:id="44" w:name="_Toc220228674"/>
      <w:bookmarkStart w:id="45" w:name="_Toc26718931"/>
      <w:bookmarkStart w:id="46" w:name="_Toc26986772"/>
      <w:bookmarkStart w:id="47" w:name="_Toc269865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7A7F860">
      <w:pPr>
        <w:pStyle w:val="56"/>
        <w:spacing w:line="360" w:lineRule="auto"/>
        <w:ind w:firstLine="420"/>
      </w:pPr>
      <w:r>
        <w:t>GB/T 1.1</w:t>
      </w:r>
      <w:r>
        <w:rPr>
          <w:rFonts w:hint="eastAsia"/>
        </w:rPr>
        <w:t>—2</w:t>
      </w:r>
      <w:r>
        <w:t>020 标准化工作导则</w:t>
      </w:r>
      <w:r>
        <w:rPr>
          <w:rFonts w:hint="eastAsia"/>
        </w:rPr>
        <w:t xml:space="preserve"> </w:t>
      </w:r>
      <w:r>
        <w:t xml:space="preserve"> 第1部分</w:t>
      </w:r>
      <w:r>
        <w:rPr>
          <w:rFonts w:hint="eastAsia"/>
        </w:rPr>
        <w:t>：</w:t>
      </w:r>
      <w:r>
        <w:t>标准化文件的结构和起草规则</w:t>
      </w:r>
    </w:p>
    <w:p w14:paraId="6241B771">
      <w:pPr>
        <w:pStyle w:val="56"/>
        <w:spacing w:line="360" w:lineRule="auto"/>
        <w:ind w:firstLine="420"/>
      </w:pPr>
      <w:r>
        <w:rPr>
          <w:rFonts w:hint="eastAsia"/>
        </w:rPr>
        <w:t>GB/T 27404—2008 实验室质量控制规范  食品理化检测</w:t>
      </w:r>
    </w:p>
    <w:p w14:paraId="281F7857">
      <w:pPr>
        <w:pStyle w:val="56"/>
        <w:spacing w:line="360" w:lineRule="auto"/>
        <w:ind w:firstLine="420"/>
      </w:pPr>
      <w:r>
        <w:rPr>
          <w:rFonts w:hint="eastAsia"/>
        </w:rPr>
        <w:t>GB/T 27405—2008 实验室质量控制规范  食品微生物检测</w:t>
      </w:r>
    </w:p>
    <w:p w14:paraId="4A77A082">
      <w:pPr>
        <w:pStyle w:val="56"/>
        <w:spacing w:line="360" w:lineRule="auto"/>
        <w:ind w:firstLine="420"/>
      </w:pPr>
      <w:r>
        <w:t>GB/T 27406</w:t>
      </w:r>
      <w:r>
        <w:rPr>
          <w:rFonts w:hint="eastAsia"/>
        </w:rPr>
        <w:t>—</w:t>
      </w:r>
      <w:r>
        <w:t xml:space="preserve">2008 </w:t>
      </w:r>
      <w:r>
        <w:rPr>
          <w:rFonts w:hint="eastAsia"/>
        </w:rPr>
        <w:t>实验室质量控制规范  食品毒理学检测</w:t>
      </w:r>
    </w:p>
    <w:p w14:paraId="51F02A4E">
      <w:pPr>
        <w:pStyle w:val="104"/>
        <w:spacing w:before="240" w:after="240" w:line="360" w:lineRule="auto"/>
      </w:pPr>
      <w:bookmarkStart w:id="48" w:name="_Toc97192966"/>
      <w:bookmarkStart w:id="49" w:name="_Toc220228675"/>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40D6DF3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精准筛查 precision screening</w:t>
      </w:r>
    </w:p>
    <w:p w14:paraId="7169E083">
      <w:pPr>
        <w:pStyle w:val="56"/>
        <w:spacing w:line="360" w:lineRule="auto"/>
        <w:ind w:firstLine="420"/>
      </w:pPr>
      <w:r>
        <w:rPr>
          <w:rFonts w:hint="eastAsia"/>
        </w:rPr>
        <w:t>以风险导向与数据驱动为基础，采用高通量、快速、灵敏的检测技术对样品进行初步风险识别、分层与排序，并为确证检测与处置提供决策依据的筛查活动。</w:t>
      </w:r>
    </w:p>
    <w:p w14:paraId="0BB435E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筛查方法 screening method</w:t>
      </w:r>
    </w:p>
    <w:p w14:paraId="20C384A8">
      <w:pPr>
        <w:pStyle w:val="56"/>
        <w:spacing w:line="360" w:lineRule="auto"/>
        <w:ind w:firstLine="420"/>
      </w:pPr>
      <w:r>
        <w:rPr>
          <w:rFonts w:hint="eastAsia"/>
        </w:rPr>
        <w:t>用于对目标物或疑似风险因子进行快速检测并给出初步判定的检测方法，包括免疫学方法、快速色谱方法、质谱快速筛查方法、高分辨质谱疑似筛查方法、生物传感方法等。</w:t>
      </w:r>
    </w:p>
    <w:p w14:paraId="128EB9D7">
      <w:pPr>
        <w:pStyle w:val="56"/>
        <w:spacing w:line="360" w:lineRule="auto"/>
        <w:ind w:firstLine="420"/>
      </w:pPr>
    </w:p>
    <w:p w14:paraId="399C61E8">
      <w:pPr>
        <w:pStyle w:val="56"/>
        <w:spacing w:line="360" w:lineRule="auto"/>
        <w:ind w:firstLine="420"/>
      </w:pPr>
    </w:p>
    <w:p w14:paraId="5E91A2C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确证方法 confirmatory method</w:t>
      </w:r>
    </w:p>
    <w:p w14:paraId="2630245B">
      <w:pPr>
        <w:pStyle w:val="56"/>
        <w:spacing w:line="360" w:lineRule="auto"/>
        <w:ind w:firstLine="420"/>
      </w:pPr>
      <w:r>
        <w:rPr>
          <w:rFonts w:hint="eastAsia"/>
        </w:rPr>
        <w:t>用于对筛查结果进行特异性验证并形成可追溯判定证据的检测方法，通常具备更高的选择性、定性确证能力与可定量能力。</w:t>
      </w:r>
    </w:p>
    <w:p w14:paraId="1EA90C6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目标物 target analyte</w:t>
      </w:r>
    </w:p>
    <w:p w14:paraId="421B55CF">
      <w:pPr>
        <w:pStyle w:val="56"/>
        <w:spacing w:line="360" w:lineRule="auto"/>
        <w:ind w:firstLine="420"/>
      </w:pPr>
      <w:r>
        <w:rPr>
          <w:rFonts w:hint="eastAsia"/>
        </w:rPr>
        <w:t>在筛查或确证中被明确列入检测清单、具有明确化学或生物学定义且可被方法识别与响应的物质或指标。</w:t>
      </w:r>
    </w:p>
    <w:p w14:paraId="628314E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疑似物 suspect</w:t>
      </w:r>
    </w:p>
    <w:p w14:paraId="7BBF8347">
      <w:pPr>
        <w:pStyle w:val="56"/>
        <w:spacing w:line="360" w:lineRule="auto"/>
        <w:ind w:firstLine="420"/>
      </w:pPr>
      <w:r>
        <w:rPr>
          <w:rFonts w:hint="eastAsia"/>
        </w:rPr>
        <w:t>在高分辨质谱等技术框架下，依据精确质量、同位素分布、碎片特征或数据库信息被推断可能存在于样品中的候选物质。</w:t>
      </w:r>
    </w:p>
    <w:p w14:paraId="708B6E5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非靶向筛查 non-target screening</w:t>
      </w:r>
    </w:p>
    <w:p w14:paraId="3E9A3FC3">
      <w:pPr>
        <w:pStyle w:val="56"/>
        <w:spacing w:line="360" w:lineRule="auto"/>
        <w:ind w:firstLine="420"/>
      </w:pPr>
      <w:r>
        <w:rPr>
          <w:rFonts w:hint="eastAsia"/>
        </w:rPr>
        <w:t>不预先限定目标物清单，基于谱图特征、模式识别或数据库比对对样品中未知或新型风险因子进行发现与提示的筛查方式。</w:t>
      </w:r>
    </w:p>
    <w:p w14:paraId="65E06D4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基质 matrix</w:t>
      </w:r>
    </w:p>
    <w:p w14:paraId="3F5575EB">
      <w:pPr>
        <w:pStyle w:val="56"/>
        <w:spacing w:line="360" w:lineRule="auto"/>
        <w:ind w:firstLine="420"/>
      </w:pPr>
      <w:r>
        <w:rPr>
          <w:rFonts w:hint="eastAsia"/>
        </w:rPr>
        <w:t>样品中除待测目标物之外的其他成分集合，对检测信号产生抑制、增强或干扰影响的物质体系。</w:t>
      </w:r>
    </w:p>
    <w:p w14:paraId="56516B7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基质效应 matrix effect</w:t>
      </w:r>
    </w:p>
    <w:p w14:paraId="3C511EDB">
      <w:pPr>
        <w:pStyle w:val="56"/>
        <w:spacing w:line="360" w:lineRule="auto"/>
        <w:ind w:firstLine="420"/>
      </w:pPr>
      <w:r>
        <w:rPr>
          <w:rFonts w:hint="eastAsia"/>
        </w:rPr>
        <w:t>基质成分对目标物响应信号造成抑制或增强的现象，可能影响筛查灵敏度、定量准确性与判定一致性。</w:t>
      </w:r>
    </w:p>
    <w:p w14:paraId="27961A4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筛查阈值 screening threshold</w:t>
      </w:r>
    </w:p>
    <w:p w14:paraId="6302C6B1">
      <w:pPr>
        <w:pStyle w:val="56"/>
        <w:spacing w:line="360" w:lineRule="auto"/>
        <w:ind w:firstLine="420"/>
      </w:pPr>
      <w:r>
        <w:rPr>
          <w:rFonts w:hint="eastAsia"/>
        </w:rPr>
        <w:t>用于区分筛查阴性与筛查阳性或高风险的判定界值，可基于方法学性能、质控统计分布、法规限量或风险管理需求设定。</w:t>
      </w:r>
    </w:p>
    <w:p w14:paraId="4987BCD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假阳性 false positive</w:t>
      </w:r>
    </w:p>
    <w:p w14:paraId="54B94437">
      <w:pPr>
        <w:pStyle w:val="56"/>
        <w:spacing w:line="360" w:lineRule="auto"/>
        <w:ind w:firstLine="420"/>
      </w:pPr>
      <w:r>
        <w:rPr>
          <w:rFonts w:hint="eastAsia"/>
        </w:rPr>
        <w:t>样品实际不符合确证判定条件，但筛查结果判定为阳性或高风险的情形。</w:t>
      </w:r>
    </w:p>
    <w:p w14:paraId="53BD238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假阴性 false negative</w:t>
      </w:r>
    </w:p>
    <w:p w14:paraId="1B548FB0">
      <w:pPr>
        <w:pStyle w:val="56"/>
        <w:spacing w:line="360" w:lineRule="auto"/>
        <w:ind w:firstLine="420"/>
      </w:pPr>
      <w:r>
        <w:rPr>
          <w:rFonts w:hint="eastAsia"/>
        </w:rPr>
        <w:t>样品实际符合确证判定条件，但筛查结果判定为阴性或低风险的情形。</w:t>
      </w:r>
    </w:p>
    <w:p w14:paraId="75E9369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质量控制 quality control</w:t>
      </w:r>
    </w:p>
    <w:p w14:paraId="5C64FC28">
      <w:pPr>
        <w:pStyle w:val="56"/>
        <w:spacing w:line="360" w:lineRule="auto"/>
        <w:ind w:firstLine="420"/>
      </w:pPr>
      <w:r>
        <w:rPr>
          <w:rFonts w:hint="eastAsia"/>
        </w:rPr>
        <w:t>为保证筛查结果可靠性而实施的控制活动与技术措施，包括空白、加标回收、平行样、质控样、校准与漂移监控等。</w:t>
      </w:r>
    </w:p>
    <w:p w14:paraId="3F283E1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批次 batch</w:t>
      </w:r>
    </w:p>
    <w:p w14:paraId="5CAF4748">
      <w:pPr>
        <w:pStyle w:val="56"/>
        <w:spacing w:line="360" w:lineRule="auto"/>
        <w:ind w:firstLine="420"/>
      </w:pPr>
      <w:r>
        <w:rPr>
          <w:rFonts w:hint="eastAsia"/>
        </w:rPr>
        <w:t>在相同条件下完成样品前处理与检测的一组样品集合，通常共享同一套试剂、校准、仪器状态与操作人员。</w:t>
      </w:r>
    </w:p>
    <w:p w14:paraId="2266D82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复核 retest</w:t>
      </w:r>
    </w:p>
    <w:p w14:paraId="1EB993A2">
      <w:pPr>
        <w:pStyle w:val="56"/>
        <w:spacing w:line="360" w:lineRule="auto"/>
        <w:ind w:firstLine="420"/>
      </w:pPr>
      <w:r>
        <w:rPr>
          <w:rFonts w:hint="eastAsia"/>
        </w:rPr>
        <w:t>对筛查阳性或结果异常的样品采用同一方法或同等筛查方法进行重复检测，以确认结果稳定性并排除偶发误差的活动。</w:t>
      </w:r>
    </w:p>
    <w:p w14:paraId="7E6A9EE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证据等级 evidence level</w:t>
      </w:r>
    </w:p>
    <w:p w14:paraId="11ED0D72">
      <w:pPr>
        <w:pStyle w:val="56"/>
        <w:spacing w:line="360" w:lineRule="auto"/>
        <w:ind w:firstLine="420"/>
      </w:pPr>
      <w:r>
        <w:rPr>
          <w:rFonts w:hint="eastAsia"/>
        </w:rPr>
        <w:t>用于表征筛查或疑似鉴定结果可靠程度的分级体系，通常结合保留时间匹配、碎片一致性、标准品对照与定量一致性等指标确定。</w:t>
      </w:r>
    </w:p>
    <w:p w14:paraId="123EBCE7">
      <w:pPr>
        <w:pStyle w:val="104"/>
        <w:spacing w:before="240" w:after="240" w:line="360" w:lineRule="auto"/>
      </w:pPr>
      <w:bookmarkStart w:id="51" w:name="_Toc220228676"/>
      <w:r>
        <w:rPr>
          <w:rFonts w:hint="eastAsia"/>
        </w:rPr>
        <w:t>总体要求</w:t>
      </w:r>
      <w:bookmarkEnd w:id="51"/>
    </w:p>
    <w:p w14:paraId="45F9017E">
      <w:pPr>
        <w:pStyle w:val="105"/>
        <w:spacing w:before="120" w:after="120" w:line="360" w:lineRule="auto"/>
      </w:pPr>
      <w:r>
        <w:rPr>
          <w:rFonts w:hint="eastAsia"/>
        </w:rPr>
        <w:t>基本原则</w:t>
      </w:r>
    </w:p>
    <w:p w14:paraId="32A03A35">
      <w:pPr>
        <w:pStyle w:val="56"/>
        <w:spacing w:line="360" w:lineRule="auto"/>
        <w:ind w:firstLine="420"/>
      </w:pPr>
      <w:r>
        <w:rPr>
          <w:rFonts w:hint="eastAsia"/>
        </w:rPr>
        <w:t>食品检测精准筛查应以风险管理目标为导向，建立覆盖样品、方法、质控、判定与数据的全链条控制。筛查体系应保证在既定资源约束下实现更高的风险覆盖效率，并通过明确的阈值与确证触发条件控制假阳性与假阴性带来的管理成本与监管风险。筛查方法的选取与应用应坚持可验证、可复现、可追溯，避免因方法迁移、基质差异与批次漂移导致结果不可比。</w:t>
      </w:r>
    </w:p>
    <w:p w14:paraId="5454E1F2">
      <w:pPr>
        <w:pStyle w:val="56"/>
        <w:spacing w:line="360" w:lineRule="auto"/>
        <w:ind w:firstLine="420"/>
      </w:pPr>
      <w:r>
        <w:rPr>
          <w:rFonts w:hint="eastAsia"/>
        </w:rPr>
        <w:t>在执行层面，实施单位应将筛查工作纳入质量管理体系，明确岗位职责、操作规程、仪器维护、数据审核与结果发布流程，确保筛查结论可用于后续确证与风险处置。</w:t>
      </w:r>
    </w:p>
    <w:p w14:paraId="1BE4256C">
      <w:pPr>
        <w:pStyle w:val="56"/>
        <w:spacing w:line="360" w:lineRule="auto"/>
        <w:ind w:firstLine="420"/>
      </w:pPr>
      <w:r>
        <w:rPr>
          <w:rFonts w:hint="eastAsia"/>
        </w:rPr>
        <w:t>在上述原则下，精准筛查应至少满足以下要求：</w:t>
      </w:r>
    </w:p>
    <w:p w14:paraId="1A7C7368">
      <w:pPr>
        <w:pStyle w:val="56"/>
        <w:spacing w:line="360" w:lineRule="auto"/>
        <w:ind w:firstLine="420"/>
      </w:pPr>
      <w:r>
        <w:rPr>
          <w:rFonts w:hint="eastAsia"/>
        </w:rPr>
        <w:t>a) 风险导向：基于食品类别、工艺特征、供应链与历史风险建立筛查因子库与优先级；</w:t>
      </w:r>
    </w:p>
    <w:p w14:paraId="33642816">
      <w:pPr>
        <w:pStyle w:val="56"/>
        <w:spacing w:line="360" w:lineRule="auto"/>
        <w:ind w:firstLine="420"/>
      </w:pPr>
      <w:r>
        <w:rPr>
          <w:rFonts w:hint="eastAsia"/>
        </w:rPr>
        <w:t>b) 分层控制：建立筛查、复核、确证的分层流程与触发条件，保证证据链完整；</w:t>
      </w:r>
    </w:p>
    <w:p w14:paraId="24629C86">
      <w:pPr>
        <w:pStyle w:val="56"/>
        <w:spacing w:line="360" w:lineRule="auto"/>
        <w:ind w:firstLine="420"/>
      </w:pPr>
      <w:r>
        <w:rPr>
          <w:rFonts w:hint="eastAsia"/>
        </w:rPr>
        <w:t>c) 方法适配：筛查方法应与目标物属性、基质特性、通量需求与现场条件相匹配；</w:t>
      </w:r>
    </w:p>
    <w:p w14:paraId="761B93EC">
      <w:pPr>
        <w:pStyle w:val="56"/>
        <w:spacing w:line="360" w:lineRule="auto"/>
        <w:ind w:firstLine="420"/>
      </w:pPr>
      <w:r>
        <w:rPr>
          <w:rFonts w:hint="eastAsia"/>
        </w:rPr>
        <w:t>d) 质控完善：建立批内与批间质量控制，保证信号稳定性与判定一致性；</w:t>
      </w:r>
    </w:p>
    <w:p w14:paraId="1B06BD5F">
      <w:pPr>
        <w:pStyle w:val="56"/>
        <w:spacing w:line="360" w:lineRule="auto"/>
        <w:ind w:firstLine="420"/>
      </w:pPr>
      <w:r>
        <w:rPr>
          <w:rFonts w:hint="eastAsia"/>
        </w:rPr>
        <w:t>e) 数据可用：筛查数据应结构化管理，支持追溯、统计分析与风险预警；</w:t>
      </w:r>
    </w:p>
    <w:p w14:paraId="09DC8414">
      <w:pPr>
        <w:pStyle w:val="56"/>
        <w:spacing w:line="360" w:lineRule="auto"/>
        <w:ind w:firstLine="420"/>
      </w:pPr>
      <w:r>
        <w:rPr>
          <w:rFonts w:hint="eastAsia"/>
        </w:rPr>
        <w:t>f) 结果可解释：报告应明确筛查属性、阈值依据、证据等级与不确定性说明。</w:t>
      </w:r>
    </w:p>
    <w:p w14:paraId="4A092DE8">
      <w:pPr>
        <w:pStyle w:val="105"/>
        <w:spacing w:before="120" w:after="120" w:line="360" w:lineRule="auto"/>
      </w:pPr>
      <w:r>
        <w:rPr>
          <w:rFonts w:hint="eastAsia"/>
        </w:rPr>
        <w:t>组织与能力</w:t>
      </w:r>
    </w:p>
    <w:p w14:paraId="05004BCD">
      <w:pPr>
        <w:pStyle w:val="56"/>
        <w:spacing w:line="360" w:lineRule="auto"/>
        <w:ind w:firstLine="420"/>
      </w:pPr>
      <w:r>
        <w:rPr>
          <w:rFonts w:hint="eastAsia"/>
        </w:rPr>
        <w:t>精准筛查对实验室组织保障与人员能力要求较高。实施单位应配备能够覆盖样品制备、仪器分析、方法学评价与数据判读的人员，并建立分工协作机制。对采用高分辨质谱、非靶向或疑似筛查的，应特别强调数据库管理、谱图判读与证据分级能力。</w:t>
      </w:r>
    </w:p>
    <w:p w14:paraId="76805AE7">
      <w:pPr>
        <w:pStyle w:val="56"/>
        <w:spacing w:line="360" w:lineRule="auto"/>
        <w:ind w:firstLine="420"/>
      </w:pPr>
      <w:r>
        <w:rPr>
          <w:rFonts w:hint="eastAsia"/>
        </w:rPr>
        <w:t>能力建设应至少包含：</w:t>
      </w:r>
    </w:p>
    <w:p w14:paraId="352C5571">
      <w:pPr>
        <w:pStyle w:val="56"/>
        <w:spacing w:line="360" w:lineRule="auto"/>
        <w:ind w:firstLine="420"/>
      </w:pPr>
      <w:r>
        <w:rPr>
          <w:rFonts w:hint="eastAsia"/>
        </w:rPr>
        <w:t>a) 人员培训与授权：关键岗位人员经培训考核后上岗，形成授权清单；</w:t>
      </w:r>
    </w:p>
    <w:p w14:paraId="00D69DE8">
      <w:pPr>
        <w:pStyle w:val="56"/>
        <w:spacing w:line="360" w:lineRule="auto"/>
        <w:ind w:firstLine="420"/>
      </w:pPr>
      <w:r>
        <w:rPr>
          <w:rFonts w:hint="eastAsia"/>
        </w:rPr>
        <w:t>b) 仪器与设施：具备与筛查任务匹配的前处理设施、分析仪器与信息化条件；</w:t>
      </w:r>
    </w:p>
    <w:p w14:paraId="44747631">
      <w:pPr>
        <w:pStyle w:val="56"/>
        <w:spacing w:line="360" w:lineRule="auto"/>
        <w:ind w:firstLine="420"/>
      </w:pPr>
      <w:r>
        <w:rPr>
          <w:rFonts w:hint="eastAsia"/>
        </w:rPr>
        <w:t>c) 方法与文件：建立并受控筛查方法文件、质控方案、判定规则与报告模板；</w:t>
      </w:r>
    </w:p>
    <w:p w14:paraId="082A9EA8">
      <w:pPr>
        <w:pStyle w:val="56"/>
        <w:spacing w:line="360" w:lineRule="auto"/>
        <w:ind w:firstLine="420"/>
      </w:pPr>
      <w:r>
        <w:rPr>
          <w:rFonts w:hint="eastAsia"/>
        </w:rPr>
        <w:t>d) 能力验证：通过内部比对、留样复测或外部能力验证等方式持续验证能力。</w:t>
      </w:r>
    </w:p>
    <w:p w14:paraId="59333B6A">
      <w:pPr>
        <w:pStyle w:val="105"/>
        <w:spacing w:before="120" w:after="120" w:line="360" w:lineRule="auto"/>
      </w:pPr>
      <w:r>
        <w:rPr>
          <w:rFonts w:hint="eastAsia"/>
        </w:rPr>
        <w:t>设施设备</w:t>
      </w:r>
    </w:p>
    <w:p w14:paraId="1BA1EB55">
      <w:pPr>
        <w:pStyle w:val="56"/>
        <w:spacing w:line="360" w:lineRule="auto"/>
        <w:ind w:firstLine="420"/>
      </w:pPr>
      <w:r>
        <w:rPr>
          <w:rFonts w:hint="eastAsia"/>
        </w:rPr>
        <w:t>精准筛查设备应满足稳定性与通量要求。仪器设备应建立维护与校准计划，并保留可追溯记录。对于自动化前处理、在线净化、批量进样等高通量配置，应明确故障模式与应急替代方案，避免批次中断造成数据不可比。</w:t>
      </w:r>
    </w:p>
    <w:p w14:paraId="4BB659D9">
      <w:pPr>
        <w:pStyle w:val="56"/>
        <w:spacing w:line="360" w:lineRule="auto"/>
        <w:ind w:firstLine="420"/>
      </w:pPr>
      <w:r>
        <w:rPr>
          <w:rFonts w:hint="eastAsia"/>
        </w:rPr>
        <w:t>设备管理应至少包括：</w:t>
      </w:r>
    </w:p>
    <w:p w14:paraId="2DA1B492">
      <w:pPr>
        <w:pStyle w:val="56"/>
        <w:spacing w:line="360" w:lineRule="auto"/>
        <w:ind w:firstLine="420"/>
      </w:pPr>
      <w:r>
        <w:rPr>
          <w:rFonts w:hint="eastAsia"/>
        </w:rPr>
        <w:t>a) 日常点检：关键部件状态、耗材寿命与报警记录；</w:t>
      </w:r>
    </w:p>
    <w:p w14:paraId="2F991D9B">
      <w:pPr>
        <w:pStyle w:val="56"/>
        <w:spacing w:line="360" w:lineRule="auto"/>
        <w:ind w:firstLine="420"/>
      </w:pPr>
      <w:r>
        <w:rPr>
          <w:rFonts w:hint="eastAsia"/>
        </w:rPr>
        <w:t>b) 校准与核查：校准曲线、漂移核查与校准有效期；</w:t>
      </w:r>
    </w:p>
    <w:p w14:paraId="2011919C">
      <w:pPr>
        <w:pStyle w:val="56"/>
        <w:spacing w:line="360" w:lineRule="auto"/>
        <w:ind w:firstLine="420"/>
      </w:pPr>
      <w:r>
        <w:rPr>
          <w:rFonts w:hint="eastAsia"/>
        </w:rPr>
        <w:t>c) 环境控制：温湿度、洁净度与交叉污染控制；</w:t>
      </w:r>
    </w:p>
    <w:p w14:paraId="4B98A7BB">
      <w:pPr>
        <w:pStyle w:val="56"/>
        <w:spacing w:line="360" w:lineRule="auto"/>
        <w:ind w:firstLine="420"/>
      </w:pPr>
      <w:r>
        <w:rPr>
          <w:rFonts w:hint="eastAsia"/>
        </w:rPr>
        <w:t>d) 数据接口：采集软件版本、方法文件版本与权限管理。</w:t>
      </w:r>
    </w:p>
    <w:p w14:paraId="31326061">
      <w:pPr>
        <w:pStyle w:val="105"/>
        <w:spacing w:before="120" w:after="120" w:line="360" w:lineRule="auto"/>
      </w:pPr>
      <w:r>
        <w:rPr>
          <w:rFonts w:hint="eastAsia"/>
        </w:rPr>
        <w:t>试剂与标准物质</w:t>
      </w:r>
    </w:p>
    <w:p w14:paraId="7405C03F">
      <w:pPr>
        <w:pStyle w:val="56"/>
        <w:spacing w:line="360" w:lineRule="auto"/>
        <w:ind w:firstLine="420"/>
      </w:pPr>
      <w:r>
        <w:rPr>
          <w:rFonts w:hint="eastAsia"/>
        </w:rPr>
        <w:t>筛查活动应保证试剂与标准物质来源可靠、批次可追溯、有效期受控。对用于阈值设定、证据确认与漂移监控的关键标准物质，应建立更严格的保存与使用规则，并记录配制、储存与使用次数。</w:t>
      </w:r>
    </w:p>
    <w:p w14:paraId="6C72C55D">
      <w:pPr>
        <w:pStyle w:val="56"/>
        <w:spacing w:line="360" w:lineRule="auto"/>
        <w:ind w:firstLine="420"/>
      </w:pPr>
      <w:r>
        <w:rPr>
          <w:rFonts w:hint="eastAsia"/>
        </w:rPr>
        <w:t>试剂与标准物质管理应至少明确：</w:t>
      </w:r>
    </w:p>
    <w:p w14:paraId="0A0A6C9C">
      <w:pPr>
        <w:pStyle w:val="56"/>
        <w:spacing w:line="360" w:lineRule="auto"/>
        <w:ind w:firstLine="420"/>
      </w:pPr>
      <w:r>
        <w:rPr>
          <w:rFonts w:hint="eastAsia"/>
        </w:rPr>
        <w:t>a) 采购与验收要求；</w:t>
      </w:r>
    </w:p>
    <w:p w14:paraId="4CF55ED5">
      <w:pPr>
        <w:pStyle w:val="56"/>
        <w:spacing w:line="360" w:lineRule="auto"/>
        <w:ind w:firstLine="420"/>
      </w:pPr>
      <w:r>
        <w:rPr>
          <w:rFonts w:hint="eastAsia"/>
        </w:rPr>
        <w:t>b) 批次与有效期管理；</w:t>
      </w:r>
    </w:p>
    <w:p w14:paraId="7C43FA20">
      <w:pPr>
        <w:pStyle w:val="56"/>
        <w:spacing w:line="360" w:lineRule="auto"/>
        <w:ind w:firstLine="420"/>
      </w:pPr>
      <w:r>
        <w:rPr>
          <w:rFonts w:hint="eastAsia"/>
        </w:rPr>
        <w:t>c) 配制与标定记录；</w:t>
      </w:r>
    </w:p>
    <w:p w14:paraId="4E298868">
      <w:pPr>
        <w:pStyle w:val="56"/>
        <w:spacing w:line="360" w:lineRule="auto"/>
        <w:ind w:firstLine="420"/>
      </w:pPr>
      <w:r>
        <w:rPr>
          <w:rFonts w:hint="eastAsia"/>
        </w:rPr>
        <w:t>d) 异常处置与报废规则。</w:t>
      </w:r>
    </w:p>
    <w:p w14:paraId="769D0C76">
      <w:pPr>
        <w:pStyle w:val="104"/>
        <w:spacing w:before="240" w:after="240" w:line="360" w:lineRule="auto"/>
      </w:pPr>
      <w:bookmarkStart w:id="52" w:name="_Toc220228677"/>
      <w:r>
        <w:rPr>
          <w:rFonts w:hint="eastAsia"/>
        </w:rPr>
        <w:t>技术路线</w:t>
      </w:r>
      <w:bookmarkEnd w:id="52"/>
    </w:p>
    <w:p w14:paraId="5F5504AF">
      <w:pPr>
        <w:pStyle w:val="105"/>
        <w:spacing w:before="120" w:after="120" w:line="360" w:lineRule="auto"/>
      </w:pPr>
      <w:r>
        <w:rPr>
          <w:rFonts w:hint="eastAsia"/>
        </w:rPr>
        <w:t>总则</w:t>
      </w:r>
    </w:p>
    <w:p w14:paraId="63C2A667">
      <w:pPr>
        <w:pStyle w:val="56"/>
        <w:spacing w:line="360" w:lineRule="auto"/>
        <w:ind w:firstLine="420"/>
      </w:pPr>
      <w:r>
        <w:rPr>
          <w:rFonts w:hint="eastAsia"/>
        </w:rPr>
        <w:t>精准筛查技术路线的核心是以风险为导向，把有限检测资源优先投入到“更可能出现问题、后果更严重、需要更快响应”的样品与因子上，并通过分层处置机制实现效率与准确性的平衡。技术路线应明确筛查、复核与确证三类活动的边界与触发条件，确保筛查结果能够顺畅转入确证环节，同时避免因筛查误判造成不必要的确证负担或监管处置偏差。</w:t>
      </w:r>
    </w:p>
    <w:p w14:paraId="3F292711">
      <w:pPr>
        <w:pStyle w:val="56"/>
        <w:spacing w:line="360" w:lineRule="auto"/>
        <w:ind w:firstLine="420"/>
      </w:pPr>
      <w:r>
        <w:rPr>
          <w:rFonts w:hint="eastAsia"/>
        </w:rPr>
        <w:t>技术路线设计应满足以下基本要求：</w:t>
      </w:r>
    </w:p>
    <w:p w14:paraId="28CC9553">
      <w:pPr>
        <w:pStyle w:val="56"/>
        <w:spacing w:line="360" w:lineRule="auto"/>
        <w:ind w:firstLine="420"/>
      </w:pPr>
      <w:r>
        <w:rPr>
          <w:rFonts w:hint="eastAsia"/>
        </w:rPr>
        <w:t>a) 分层清晰：筛查、复核、确证的目的、方法学属性与证据强度要求明确；</w:t>
      </w:r>
    </w:p>
    <w:p w14:paraId="4B8960BA">
      <w:pPr>
        <w:pStyle w:val="56"/>
        <w:spacing w:line="360" w:lineRule="auto"/>
        <w:ind w:firstLine="420"/>
      </w:pPr>
      <w:r>
        <w:rPr>
          <w:rFonts w:hint="eastAsia"/>
        </w:rPr>
        <w:t>b) 触发明确：筛查阳性、高风险、异常信号等进入复核或确证的条件明确；</w:t>
      </w:r>
    </w:p>
    <w:p w14:paraId="705095A9">
      <w:pPr>
        <w:pStyle w:val="56"/>
        <w:spacing w:line="360" w:lineRule="auto"/>
        <w:ind w:firstLine="420"/>
      </w:pPr>
      <w:r>
        <w:rPr>
          <w:rFonts w:hint="eastAsia"/>
        </w:rPr>
        <w:t>c) 可追溯：每一层级的输入样品、方法版本、阈值依据、质控结果与判定结论可追溯；</w:t>
      </w:r>
    </w:p>
    <w:p w14:paraId="5E8A6948">
      <w:pPr>
        <w:pStyle w:val="56"/>
        <w:spacing w:line="360" w:lineRule="auto"/>
        <w:ind w:firstLine="420"/>
      </w:pPr>
      <w:r>
        <w:rPr>
          <w:rFonts w:hint="eastAsia"/>
        </w:rPr>
        <w:t>d) 可扩展：能够支持风险因子库更新、新污染物纳入与方法升级；</w:t>
      </w:r>
    </w:p>
    <w:p w14:paraId="0E5B39B0">
      <w:pPr>
        <w:pStyle w:val="56"/>
        <w:spacing w:line="360" w:lineRule="auto"/>
        <w:ind w:firstLine="420"/>
      </w:pPr>
      <w:r>
        <w:rPr>
          <w:rFonts w:hint="eastAsia"/>
        </w:rPr>
        <w:t>e) 可实施：适配实验室能力与设备条件，具备应急情况下的快速切换与替代路径。</w:t>
      </w:r>
    </w:p>
    <w:p w14:paraId="6CC0E610">
      <w:pPr>
        <w:pStyle w:val="105"/>
        <w:spacing w:before="120" w:after="120" w:line="360" w:lineRule="auto"/>
      </w:pPr>
      <w:r>
        <w:rPr>
          <w:rFonts w:hint="eastAsia"/>
        </w:rPr>
        <w:t>分层流程</w:t>
      </w:r>
    </w:p>
    <w:p w14:paraId="52639F8F">
      <w:pPr>
        <w:pStyle w:val="56"/>
        <w:spacing w:line="360" w:lineRule="auto"/>
        <w:ind w:firstLine="420"/>
      </w:pPr>
      <w:r>
        <w:rPr>
          <w:rFonts w:hint="eastAsia"/>
        </w:rPr>
        <w:t>分层流程通常由“风险分层—筛查—复核—确证—处置与反馈”构成，其中风险分层用于确定筛查优先级与目标物清单；复核用于排除偶发误差与批次漂移；确证用于形成最终判定证据；处置与反馈用于驱动溯源与因子库更新，实现持续改进。精准筛查分层流程见图1。</w:t>
      </w:r>
    </w:p>
    <w:p w14:paraId="305AD961">
      <w:pPr>
        <w:pStyle w:val="56"/>
        <w:ind w:firstLine="0" w:firstLineChars="0"/>
        <w:jc w:val="center"/>
      </w:pPr>
      <w:r>
        <w:rPr>
          <w:rFonts w:hint="eastAsia"/>
        </w:rPr>
        <w:drawing>
          <wp:inline distT="0" distB="0" distL="0" distR="0">
            <wp:extent cx="5936615" cy="4038600"/>
            <wp:effectExtent l="0" t="0" r="6985" b="0"/>
            <wp:docPr id="135928455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284558" name="图片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936615" cy="4038600"/>
                    </a:xfrm>
                    <a:prstGeom prst="rect">
                      <a:avLst/>
                    </a:prstGeom>
                    <a:noFill/>
                    <a:ln>
                      <a:noFill/>
                    </a:ln>
                  </pic:spPr>
                </pic:pic>
              </a:graphicData>
            </a:graphic>
          </wp:inline>
        </w:drawing>
      </w:r>
    </w:p>
    <w:p w14:paraId="285226B2">
      <w:pPr>
        <w:pStyle w:val="114"/>
        <w:spacing w:before="120" w:after="120"/>
      </w:pPr>
      <w:r>
        <w:rPr>
          <w:rFonts w:hint="eastAsia"/>
        </w:rPr>
        <w:t>精准筛查分层流程</w:t>
      </w:r>
    </w:p>
    <w:p w14:paraId="1DDB8859">
      <w:pPr>
        <w:pStyle w:val="105"/>
        <w:spacing w:before="120" w:after="120" w:line="360" w:lineRule="auto"/>
      </w:pPr>
      <w:r>
        <w:rPr>
          <w:rFonts w:hint="eastAsia"/>
        </w:rPr>
        <w:t>方法组合策略</w:t>
      </w:r>
    </w:p>
    <w:p w14:paraId="4D5E0823">
      <w:pPr>
        <w:pStyle w:val="56"/>
        <w:spacing w:line="360" w:lineRule="auto"/>
        <w:ind w:firstLine="420"/>
      </w:pPr>
      <w:r>
        <w:rPr>
          <w:rFonts w:hint="eastAsia"/>
        </w:rPr>
        <w:t>精准筛查不强调单一技术“包打天下”，更强调按目标物属性与基质特性选择合适的技术组合。一般而言，免疫学与生物传感类方法适于现场或快速初筛，色谱/质谱类方法适于实验室高通量筛查与半定量分层，高分辨质谱方法适于疑似筛查与新污染物发现；确证通常依赖更高选择性的色谱-质谱定量方法或等效确证方法。</w:t>
      </w:r>
    </w:p>
    <w:p w14:paraId="3BBC76DD">
      <w:pPr>
        <w:pStyle w:val="56"/>
        <w:spacing w:line="360" w:lineRule="auto"/>
        <w:ind w:firstLine="420"/>
      </w:pPr>
      <w:r>
        <w:rPr>
          <w:rFonts w:hint="eastAsia"/>
        </w:rPr>
        <w:t>方法组合策略宜满足以下要求：</w:t>
      </w:r>
    </w:p>
    <w:p w14:paraId="4828D1EE">
      <w:pPr>
        <w:pStyle w:val="56"/>
        <w:spacing w:line="360" w:lineRule="auto"/>
        <w:ind w:firstLine="420"/>
      </w:pPr>
      <w:r>
        <w:rPr>
          <w:rFonts w:hint="eastAsia"/>
        </w:rPr>
        <w:t>a) 覆盖性：对高风险因子应至少具备一种可稳定实施的筛查方法；</w:t>
      </w:r>
    </w:p>
    <w:p w14:paraId="610A628A">
      <w:pPr>
        <w:pStyle w:val="56"/>
        <w:spacing w:line="360" w:lineRule="auto"/>
        <w:ind w:firstLine="420"/>
      </w:pPr>
      <w:r>
        <w:rPr>
          <w:rFonts w:hint="eastAsia"/>
        </w:rPr>
        <w:t>b) 匹配性：方法抗基质干扰能力与样品基质复杂度相匹配；</w:t>
      </w:r>
    </w:p>
    <w:p w14:paraId="6673221F">
      <w:pPr>
        <w:pStyle w:val="56"/>
        <w:spacing w:line="360" w:lineRule="auto"/>
        <w:ind w:firstLine="420"/>
      </w:pPr>
      <w:r>
        <w:rPr>
          <w:rFonts w:hint="eastAsia"/>
        </w:rPr>
        <w:t>c) 可衔接：筛查方法输出能够支持确证方法的目标物定位与定量范围选择；</w:t>
      </w:r>
    </w:p>
    <w:p w14:paraId="69F0DEDE">
      <w:pPr>
        <w:pStyle w:val="56"/>
        <w:spacing w:line="360" w:lineRule="auto"/>
        <w:ind w:firstLine="420"/>
      </w:pPr>
      <w:r>
        <w:rPr>
          <w:rFonts w:hint="eastAsia"/>
        </w:rPr>
        <w:t>d) 经济性：在满足假阴性控制要求前提下，优先选择单位样品成本更优的筛查路径；</w:t>
      </w:r>
    </w:p>
    <w:p w14:paraId="16738010">
      <w:pPr>
        <w:pStyle w:val="56"/>
        <w:spacing w:line="360" w:lineRule="auto"/>
        <w:ind w:firstLine="420"/>
      </w:pPr>
      <w:r>
        <w:rPr>
          <w:rFonts w:hint="eastAsia"/>
        </w:rPr>
        <w:t>e) 可维护：标准物质、试剂与数据库可获得，方法维护成本可控。</w:t>
      </w:r>
    </w:p>
    <w:p w14:paraId="07398F9C">
      <w:pPr>
        <w:pStyle w:val="56"/>
        <w:spacing w:line="360" w:lineRule="auto"/>
        <w:ind w:firstLine="420"/>
      </w:pPr>
      <w:r>
        <w:rPr>
          <w:rFonts w:hint="eastAsia"/>
        </w:rPr>
        <w:t>筛查技术选型对比见表1。</w:t>
      </w:r>
    </w:p>
    <w:p w14:paraId="6D491751">
      <w:pPr>
        <w:pStyle w:val="112"/>
        <w:spacing w:before="120" w:after="120" w:line="360" w:lineRule="auto"/>
      </w:pPr>
      <w:r>
        <w:t>筛查技术选型对比</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1701"/>
        <w:gridCol w:w="1701"/>
        <w:gridCol w:w="1948"/>
        <w:gridCol w:w="1867"/>
      </w:tblGrid>
      <w:tr w14:paraId="4672C3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8" w:space="0"/>
            </w:tcBorders>
            <w:vAlign w:val="center"/>
          </w:tcPr>
          <w:p w14:paraId="50DE6137">
            <w:pPr>
              <w:pStyle w:val="178"/>
            </w:pPr>
            <w:r>
              <w:rPr>
                <w:rFonts w:hint="eastAsia"/>
              </w:rPr>
              <w:t>技术类型</w:t>
            </w:r>
          </w:p>
        </w:tc>
        <w:tc>
          <w:tcPr>
            <w:tcW w:w="1701" w:type="dxa"/>
            <w:tcBorders>
              <w:top w:val="single" w:color="auto" w:sz="8" w:space="0"/>
              <w:bottom w:val="single" w:color="auto" w:sz="8" w:space="0"/>
            </w:tcBorders>
            <w:vAlign w:val="center"/>
          </w:tcPr>
          <w:p w14:paraId="7E445617">
            <w:pPr>
              <w:pStyle w:val="178"/>
            </w:pPr>
            <w:r>
              <w:rPr>
                <w:rFonts w:hint="eastAsia"/>
              </w:rPr>
              <w:t>典型对象</w:t>
            </w:r>
          </w:p>
        </w:tc>
        <w:tc>
          <w:tcPr>
            <w:tcW w:w="1701" w:type="dxa"/>
            <w:tcBorders>
              <w:top w:val="single" w:color="auto" w:sz="8" w:space="0"/>
              <w:bottom w:val="single" w:color="auto" w:sz="8" w:space="0"/>
            </w:tcBorders>
            <w:vAlign w:val="center"/>
          </w:tcPr>
          <w:p w14:paraId="1EA7ABC4">
            <w:pPr>
              <w:pStyle w:val="178"/>
            </w:pPr>
            <w:r>
              <w:rPr>
                <w:rFonts w:hint="eastAsia"/>
              </w:rPr>
              <w:t>主要优势</w:t>
            </w:r>
          </w:p>
        </w:tc>
        <w:tc>
          <w:tcPr>
            <w:tcW w:w="1948" w:type="dxa"/>
            <w:tcBorders>
              <w:top w:val="single" w:color="auto" w:sz="8" w:space="0"/>
              <w:bottom w:val="single" w:color="auto" w:sz="8" w:space="0"/>
            </w:tcBorders>
            <w:vAlign w:val="center"/>
          </w:tcPr>
          <w:p w14:paraId="217537FA">
            <w:pPr>
              <w:pStyle w:val="178"/>
            </w:pPr>
            <w:r>
              <w:rPr>
                <w:rFonts w:hint="eastAsia"/>
              </w:rPr>
              <w:t>主要局限</w:t>
            </w:r>
          </w:p>
        </w:tc>
        <w:tc>
          <w:tcPr>
            <w:tcW w:w="1867" w:type="dxa"/>
            <w:tcBorders>
              <w:top w:val="single" w:color="auto" w:sz="8" w:space="0"/>
              <w:bottom w:val="single" w:color="auto" w:sz="8" w:space="0"/>
            </w:tcBorders>
            <w:vAlign w:val="center"/>
          </w:tcPr>
          <w:p w14:paraId="28F12705">
            <w:pPr>
              <w:pStyle w:val="178"/>
            </w:pPr>
            <w:r>
              <w:rPr>
                <w:rFonts w:hint="eastAsia"/>
              </w:rPr>
              <w:t>适用场景建议</w:t>
            </w:r>
          </w:p>
        </w:tc>
      </w:tr>
      <w:tr w14:paraId="30A339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8" w:space="0"/>
            </w:tcBorders>
            <w:vAlign w:val="center"/>
          </w:tcPr>
          <w:p w14:paraId="27165DC9">
            <w:pPr>
              <w:pStyle w:val="178"/>
            </w:pPr>
            <w:r>
              <w:rPr>
                <w:rFonts w:hint="eastAsia"/>
              </w:rPr>
              <w:t>免疫学筛查</w:t>
            </w:r>
          </w:p>
          <w:p w14:paraId="3BBB7508">
            <w:pPr>
              <w:pStyle w:val="178"/>
            </w:pPr>
            <w:r>
              <w:rPr>
                <w:rFonts w:hint="eastAsia"/>
              </w:rPr>
              <w:t>（试纸条、ELISA等）</w:t>
            </w:r>
          </w:p>
        </w:tc>
        <w:tc>
          <w:tcPr>
            <w:tcW w:w="1701" w:type="dxa"/>
            <w:tcBorders>
              <w:top w:val="single" w:color="auto" w:sz="8" w:space="0"/>
            </w:tcBorders>
            <w:vAlign w:val="center"/>
          </w:tcPr>
          <w:p w14:paraId="7BD0BDF5">
            <w:pPr>
              <w:pStyle w:val="178"/>
            </w:pPr>
            <w:r>
              <w:rPr>
                <w:rFonts w:hint="eastAsia"/>
              </w:rPr>
              <w:t>真菌毒素、</w:t>
            </w:r>
          </w:p>
          <w:p w14:paraId="21858AC0">
            <w:pPr>
              <w:pStyle w:val="178"/>
            </w:pPr>
            <w:r>
              <w:rPr>
                <w:rFonts w:hint="eastAsia"/>
              </w:rPr>
              <w:t>部分兽药/非法添加</w:t>
            </w:r>
          </w:p>
        </w:tc>
        <w:tc>
          <w:tcPr>
            <w:tcW w:w="1701" w:type="dxa"/>
            <w:tcBorders>
              <w:top w:val="single" w:color="auto" w:sz="8" w:space="0"/>
            </w:tcBorders>
            <w:vAlign w:val="center"/>
          </w:tcPr>
          <w:p w14:paraId="240D849D">
            <w:pPr>
              <w:pStyle w:val="178"/>
            </w:pPr>
            <w:r>
              <w:rPr>
                <w:rFonts w:hint="eastAsia"/>
              </w:rPr>
              <w:t>快速、成本低、</w:t>
            </w:r>
          </w:p>
          <w:p w14:paraId="1B28AF3C">
            <w:pPr>
              <w:pStyle w:val="178"/>
            </w:pPr>
            <w:r>
              <w:rPr>
                <w:rFonts w:hint="eastAsia"/>
              </w:rPr>
              <w:t>操作简便</w:t>
            </w:r>
          </w:p>
        </w:tc>
        <w:tc>
          <w:tcPr>
            <w:tcW w:w="1948" w:type="dxa"/>
            <w:tcBorders>
              <w:top w:val="single" w:color="auto" w:sz="8" w:space="0"/>
            </w:tcBorders>
            <w:vAlign w:val="center"/>
          </w:tcPr>
          <w:p w14:paraId="02D74F37">
            <w:pPr>
              <w:pStyle w:val="178"/>
            </w:pPr>
            <w:r>
              <w:rPr>
                <w:rFonts w:hint="eastAsia"/>
              </w:rPr>
              <w:t>特异性受抗体影响，易受交叉反应与基质影响</w:t>
            </w:r>
          </w:p>
        </w:tc>
        <w:tc>
          <w:tcPr>
            <w:tcW w:w="1867" w:type="dxa"/>
            <w:tcBorders>
              <w:top w:val="single" w:color="auto" w:sz="8" w:space="0"/>
            </w:tcBorders>
            <w:vAlign w:val="center"/>
          </w:tcPr>
          <w:p w14:paraId="1906B039">
            <w:pPr>
              <w:pStyle w:val="178"/>
            </w:pPr>
            <w:r>
              <w:rPr>
                <w:rFonts w:hint="eastAsia"/>
              </w:rPr>
              <w:t>现场初筛、企业快速自检、应急初筛</w:t>
            </w:r>
          </w:p>
        </w:tc>
      </w:tr>
      <w:tr w14:paraId="66321D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00F01594">
            <w:pPr>
              <w:pStyle w:val="178"/>
            </w:pPr>
            <w:r>
              <w:rPr>
                <w:rFonts w:hint="eastAsia"/>
              </w:rPr>
              <w:t>快速色谱筛查（LC/GC结合选择性检测器）</w:t>
            </w:r>
          </w:p>
        </w:tc>
        <w:tc>
          <w:tcPr>
            <w:tcW w:w="1701" w:type="dxa"/>
            <w:vAlign w:val="center"/>
          </w:tcPr>
          <w:p w14:paraId="1E100D60">
            <w:pPr>
              <w:pStyle w:val="178"/>
            </w:pPr>
            <w:r>
              <w:rPr>
                <w:rFonts w:hint="eastAsia"/>
              </w:rPr>
              <w:t>部分农兽药、</w:t>
            </w:r>
          </w:p>
          <w:p w14:paraId="15788205">
            <w:pPr>
              <w:pStyle w:val="178"/>
            </w:pPr>
            <w:r>
              <w:rPr>
                <w:rFonts w:hint="eastAsia"/>
              </w:rPr>
              <w:t>添加剂、污染物</w:t>
            </w:r>
          </w:p>
        </w:tc>
        <w:tc>
          <w:tcPr>
            <w:tcW w:w="1701" w:type="dxa"/>
            <w:vAlign w:val="center"/>
          </w:tcPr>
          <w:p w14:paraId="4B20B696">
            <w:pPr>
              <w:pStyle w:val="178"/>
            </w:pPr>
            <w:r>
              <w:rPr>
                <w:rFonts w:hint="eastAsia"/>
              </w:rPr>
              <w:t>通量高、适用面较广</w:t>
            </w:r>
          </w:p>
        </w:tc>
        <w:tc>
          <w:tcPr>
            <w:tcW w:w="1948" w:type="dxa"/>
            <w:vAlign w:val="center"/>
          </w:tcPr>
          <w:p w14:paraId="41096362">
            <w:pPr>
              <w:pStyle w:val="178"/>
            </w:pPr>
            <w:r>
              <w:rPr>
                <w:rFonts w:hint="eastAsia"/>
              </w:rPr>
              <w:t>定性证据有限，复杂基质易干扰</w:t>
            </w:r>
          </w:p>
        </w:tc>
        <w:tc>
          <w:tcPr>
            <w:tcW w:w="1867" w:type="dxa"/>
            <w:vAlign w:val="center"/>
          </w:tcPr>
          <w:p w14:paraId="211296EB">
            <w:pPr>
              <w:pStyle w:val="178"/>
            </w:pPr>
            <w:r>
              <w:rPr>
                <w:rFonts w:hint="eastAsia"/>
              </w:rPr>
              <w:t>实验室批量筛查、</w:t>
            </w:r>
          </w:p>
          <w:p w14:paraId="20368251">
            <w:pPr>
              <w:pStyle w:val="178"/>
            </w:pPr>
            <w:r>
              <w:rPr>
                <w:rFonts w:hint="eastAsia"/>
              </w:rPr>
              <w:t>区域专项筛查</w:t>
            </w:r>
          </w:p>
        </w:tc>
      </w:tr>
      <w:tr w14:paraId="761378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05632536">
            <w:pPr>
              <w:pStyle w:val="178"/>
            </w:pPr>
            <w:r>
              <w:rPr>
                <w:rFonts w:hint="eastAsia"/>
              </w:rPr>
              <w:t>三重四极杆质谱筛查</w:t>
            </w:r>
          </w:p>
          <w:p w14:paraId="2BA229DD">
            <w:pPr>
              <w:pStyle w:val="178"/>
            </w:pPr>
            <w:r>
              <w:rPr>
                <w:rFonts w:hint="eastAsia"/>
              </w:rPr>
              <w:t>（LC-MS/MS、GC-MS/MS）</w:t>
            </w:r>
          </w:p>
        </w:tc>
        <w:tc>
          <w:tcPr>
            <w:tcW w:w="1701" w:type="dxa"/>
            <w:vAlign w:val="center"/>
          </w:tcPr>
          <w:p w14:paraId="3E46AE6D">
            <w:pPr>
              <w:pStyle w:val="178"/>
            </w:pPr>
            <w:r>
              <w:rPr>
                <w:rFonts w:hint="eastAsia"/>
              </w:rPr>
              <w:t>多残留农兽药、</w:t>
            </w:r>
          </w:p>
          <w:p w14:paraId="072CDAE1">
            <w:pPr>
              <w:pStyle w:val="178"/>
            </w:pPr>
            <w:r>
              <w:rPr>
                <w:rFonts w:hint="eastAsia"/>
              </w:rPr>
              <w:t>非法添加物</w:t>
            </w:r>
          </w:p>
        </w:tc>
        <w:tc>
          <w:tcPr>
            <w:tcW w:w="1701" w:type="dxa"/>
            <w:vAlign w:val="center"/>
          </w:tcPr>
          <w:p w14:paraId="5ED5AA2D">
            <w:pPr>
              <w:pStyle w:val="178"/>
            </w:pPr>
            <w:r>
              <w:rPr>
                <w:rFonts w:hint="eastAsia"/>
              </w:rPr>
              <w:t>灵敏度高、选择性好、适于多目标物</w:t>
            </w:r>
          </w:p>
        </w:tc>
        <w:tc>
          <w:tcPr>
            <w:tcW w:w="1948" w:type="dxa"/>
            <w:vAlign w:val="center"/>
          </w:tcPr>
          <w:p w14:paraId="45EE6247">
            <w:pPr>
              <w:pStyle w:val="178"/>
            </w:pPr>
            <w:r>
              <w:rPr>
                <w:rFonts w:hint="eastAsia"/>
              </w:rPr>
              <w:t>方法库维护成本高，目标物需预设</w:t>
            </w:r>
          </w:p>
        </w:tc>
        <w:tc>
          <w:tcPr>
            <w:tcW w:w="1867" w:type="dxa"/>
            <w:vAlign w:val="center"/>
          </w:tcPr>
          <w:p w14:paraId="653D2724">
            <w:pPr>
              <w:pStyle w:val="178"/>
            </w:pPr>
            <w:r>
              <w:rPr>
                <w:rFonts w:hint="eastAsia"/>
              </w:rPr>
              <w:t>监管抽检、企业放行前筛查、复核筛查</w:t>
            </w:r>
          </w:p>
        </w:tc>
      </w:tr>
      <w:tr w14:paraId="76EAEE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640C546F">
            <w:pPr>
              <w:pStyle w:val="178"/>
            </w:pPr>
            <w:r>
              <w:rPr>
                <w:rFonts w:hint="eastAsia"/>
              </w:rPr>
              <w:t>高分辨质谱疑似/非靶向筛查（HRMS）</w:t>
            </w:r>
          </w:p>
        </w:tc>
        <w:tc>
          <w:tcPr>
            <w:tcW w:w="1701" w:type="dxa"/>
            <w:vAlign w:val="center"/>
          </w:tcPr>
          <w:p w14:paraId="14B8D2D0">
            <w:pPr>
              <w:pStyle w:val="178"/>
            </w:pPr>
            <w:r>
              <w:rPr>
                <w:rFonts w:hint="eastAsia"/>
              </w:rPr>
              <w:t>新污染物、</w:t>
            </w:r>
          </w:p>
          <w:p w14:paraId="48101BBD">
            <w:pPr>
              <w:pStyle w:val="178"/>
            </w:pPr>
            <w:r>
              <w:rPr>
                <w:rFonts w:hint="eastAsia"/>
              </w:rPr>
              <w:t>未知风险因子</w:t>
            </w:r>
          </w:p>
        </w:tc>
        <w:tc>
          <w:tcPr>
            <w:tcW w:w="1701" w:type="dxa"/>
            <w:vAlign w:val="center"/>
          </w:tcPr>
          <w:p w14:paraId="7C33E08E">
            <w:pPr>
              <w:pStyle w:val="178"/>
            </w:pPr>
            <w:r>
              <w:rPr>
                <w:rFonts w:hint="eastAsia"/>
              </w:rPr>
              <w:t>发现能力强、</w:t>
            </w:r>
          </w:p>
          <w:p w14:paraId="2D04ED57">
            <w:pPr>
              <w:pStyle w:val="178"/>
            </w:pPr>
            <w:r>
              <w:rPr>
                <w:rFonts w:hint="eastAsia"/>
              </w:rPr>
              <w:t>可扩展性好</w:t>
            </w:r>
          </w:p>
        </w:tc>
        <w:tc>
          <w:tcPr>
            <w:tcW w:w="1948" w:type="dxa"/>
            <w:vAlign w:val="center"/>
          </w:tcPr>
          <w:p w14:paraId="3111E79E">
            <w:pPr>
              <w:pStyle w:val="178"/>
            </w:pPr>
            <w:r>
              <w:rPr>
                <w:rFonts w:hint="eastAsia"/>
              </w:rPr>
              <w:t>数据判读复杂，证据分级要求高</w:t>
            </w:r>
          </w:p>
        </w:tc>
        <w:tc>
          <w:tcPr>
            <w:tcW w:w="1867" w:type="dxa"/>
            <w:vAlign w:val="center"/>
          </w:tcPr>
          <w:p w14:paraId="16EF570B">
            <w:pPr>
              <w:pStyle w:val="178"/>
            </w:pPr>
            <w:r>
              <w:rPr>
                <w:rFonts w:hint="eastAsia"/>
              </w:rPr>
              <w:t>风险研判、专项排查、趋势监测与溯源</w:t>
            </w:r>
          </w:p>
        </w:tc>
      </w:tr>
      <w:tr w14:paraId="215CDB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2DD72176">
            <w:pPr>
              <w:pStyle w:val="178"/>
            </w:pPr>
            <w:r>
              <w:rPr>
                <w:rFonts w:hint="eastAsia"/>
              </w:rPr>
              <w:t>生物传感与快速分子检测</w:t>
            </w:r>
          </w:p>
        </w:tc>
        <w:tc>
          <w:tcPr>
            <w:tcW w:w="1701" w:type="dxa"/>
            <w:vAlign w:val="center"/>
          </w:tcPr>
          <w:p w14:paraId="771B826B">
            <w:pPr>
              <w:pStyle w:val="178"/>
            </w:pPr>
            <w:r>
              <w:rPr>
                <w:rFonts w:hint="eastAsia"/>
              </w:rPr>
              <w:t>过敏原、</w:t>
            </w:r>
          </w:p>
          <w:p w14:paraId="312B6557">
            <w:pPr>
              <w:pStyle w:val="178"/>
            </w:pPr>
            <w:r>
              <w:rPr>
                <w:rFonts w:hint="eastAsia"/>
              </w:rPr>
              <w:t>部分微生物与毒素</w:t>
            </w:r>
          </w:p>
        </w:tc>
        <w:tc>
          <w:tcPr>
            <w:tcW w:w="1701" w:type="dxa"/>
            <w:vAlign w:val="center"/>
          </w:tcPr>
          <w:p w14:paraId="0FB6C0AE">
            <w:pPr>
              <w:pStyle w:val="178"/>
            </w:pPr>
            <w:r>
              <w:rPr>
                <w:rFonts w:hint="eastAsia"/>
              </w:rPr>
              <w:t>快速、可便携、</w:t>
            </w:r>
          </w:p>
          <w:p w14:paraId="68DB7A4B">
            <w:pPr>
              <w:pStyle w:val="178"/>
            </w:pPr>
            <w:r>
              <w:rPr>
                <w:rFonts w:hint="eastAsia"/>
              </w:rPr>
              <w:t>适于现场</w:t>
            </w:r>
          </w:p>
        </w:tc>
        <w:tc>
          <w:tcPr>
            <w:tcW w:w="1948" w:type="dxa"/>
            <w:vAlign w:val="center"/>
          </w:tcPr>
          <w:p w14:paraId="46EF7838">
            <w:pPr>
              <w:pStyle w:val="178"/>
            </w:pPr>
            <w:r>
              <w:rPr>
                <w:rFonts w:hint="eastAsia"/>
              </w:rPr>
              <w:t>通用性有限，标准化与比对要求高</w:t>
            </w:r>
          </w:p>
        </w:tc>
        <w:tc>
          <w:tcPr>
            <w:tcW w:w="1867" w:type="dxa"/>
            <w:vAlign w:val="center"/>
          </w:tcPr>
          <w:p w14:paraId="6BE3E88A">
            <w:pPr>
              <w:pStyle w:val="178"/>
            </w:pPr>
            <w:r>
              <w:rPr>
                <w:rFonts w:hint="eastAsia"/>
              </w:rPr>
              <w:t>现场巡查、应急处置、快速分层</w:t>
            </w:r>
          </w:p>
        </w:tc>
      </w:tr>
    </w:tbl>
    <w:p w14:paraId="4611D5F4">
      <w:pPr>
        <w:pStyle w:val="105"/>
        <w:spacing w:before="120" w:after="120" w:line="360" w:lineRule="auto"/>
      </w:pPr>
      <w:r>
        <w:rPr>
          <w:rFonts w:hint="eastAsia"/>
        </w:rPr>
        <w:t>阈值与分级原则</w:t>
      </w:r>
    </w:p>
    <w:p w14:paraId="691EB5BA">
      <w:pPr>
        <w:pStyle w:val="56"/>
        <w:spacing w:line="360" w:lineRule="auto"/>
        <w:ind w:firstLine="420"/>
      </w:pPr>
      <w:r>
        <w:rPr>
          <w:rFonts w:hint="eastAsia"/>
        </w:rPr>
        <w:t>筛查结果的阈值与分级用于把“信号”转换为“可执行的处置动作”。阈值设置应同时考虑法规限量、方法学检出能力、基质效应与质控统计分布，并通过复核与确证机制约束筛查固有的不确定性。对不同风险因子，可采用不同的阈值策略，如“限量导向阈值”“统计学阈值”“证据分级阈值”等。</w:t>
      </w:r>
    </w:p>
    <w:p w14:paraId="041A502D">
      <w:pPr>
        <w:pStyle w:val="56"/>
        <w:spacing w:line="360" w:lineRule="auto"/>
        <w:ind w:firstLine="420"/>
      </w:pPr>
      <w:r>
        <w:rPr>
          <w:rFonts w:hint="eastAsia"/>
        </w:rPr>
        <w:t>阈值与分级设置宜遵循以下原则：</w:t>
      </w:r>
    </w:p>
    <w:p w14:paraId="00828ABE">
      <w:pPr>
        <w:pStyle w:val="132"/>
        <w:spacing w:line="360" w:lineRule="auto"/>
      </w:pPr>
      <w:r>
        <w:rPr>
          <w:rFonts w:hint="eastAsia"/>
        </w:rPr>
        <w:t>以防漏为底线：对高危因子优先控制假阴性，必要时采用更保守阈值；</w:t>
      </w:r>
    </w:p>
    <w:p w14:paraId="2B115DF0">
      <w:pPr>
        <w:pStyle w:val="132"/>
        <w:spacing w:line="360" w:lineRule="auto"/>
      </w:pPr>
      <w:r>
        <w:rPr>
          <w:rFonts w:hint="eastAsia"/>
        </w:rPr>
        <w:t>分级处置：将结果划分为阴性、可疑、阳性或高风险等等级，并对应不同处置动作；</w:t>
      </w:r>
    </w:p>
    <w:p w14:paraId="544D7B88">
      <w:pPr>
        <w:pStyle w:val="132"/>
        <w:spacing w:line="360" w:lineRule="auto"/>
      </w:pPr>
      <w:r>
        <w:rPr>
          <w:rFonts w:hint="eastAsia"/>
        </w:rPr>
        <w:t>与质控联动：当批次质控异常时，阈值判定应暂停或转入异常处置流程；</w:t>
      </w:r>
    </w:p>
    <w:p w14:paraId="70676A7A">
      <w:pPr>
        <w:pStyle w:val="132"/>
        <w:spacing w:line="360" w:lineRule="auto"/>
      </w:pPr>
      <w:r>
        <w:rPr>
          <w:rFonts w:hint="eastAsia"/>
        </w:rPr>
        <w:t>可解释可追溯：阈值依据、计算方法与适用范围应形成文件并版本化管理。</w:t>
      </w:r>
    </w:p>
    <w:p w14:paraId="0ED3831D">
      <w:pPr>
        <w:pStyle w:val="104"/>
        <w:spacing w:before="240" w:after="240" w:line="360" w:lineRule="auto"/>
      </w:pPr>
      <w:bookmarkStart w:id="53" w:name="_Toc220228678"/>
      <w:r>
        <w:rPr>
          <w:rFonts w:hint="eastAsia"/>
        </w:rPr>
        <w:t>样品采集与制备</w:t>
      </w:r>
      <w:bookmarkEnd w:id="53"/>
    </w:p>
    <w:p w14:paraId="476519EC">
      <w:pPr>
        <w:pStyle w:val="105"/>
        <w:spacing w:before="120" w:after="120" w:line="360" w:lineRule="auto"/>
      </w:pPr>
      <w:r>
        <w:rPr>
          <w:rFonts w:hint="eastAsia"/>
        </w:rPr>
        <w:t>采样计划与现场控制</w:t>
      </w:r>
    </w:p>
    <w:p w14:paraId="7F9A730F">
      <w:pPr>
        <w:pStyle w:val="56"/>
        <w:spacing w:line="360" w:lineRule="auto"/>
        <w:ind w:firstLine="420"/>
      </w:pPr>
      <w:r>
        <w:rPr>
          <w:rFonts w:hint="eastAsia"/>
        </w:rPr>
        <w:t>采样计划应与风险分层一致，明确样品来源、食品类别、抽样点位、批次代表性与样品量要求。对易受时间与温度影响的样品，应优先保证冷链与时效；对挥发性或光敏性目标物，应采取避光、密封与温控措施。采样器具应洁净、一次性或经验证的去污染处理，并避免使用可能引入目标物或抑制剂的材料。</w:t>
      </w:r>
    </w:p>
    <w:p w14:paraId="35B0F7CD">
      <w:pPr>
        <w:pStyle w:val="105"/>
        <w:spacing w:before="120" w:after="120" w:line="360" w:lineRule="auto"/>
      </w:pPr>
      <w:r>
        <w:rPr>
          <w:rFonts w:hint="eastAsia"/>
        </w:rPr>
        <w:t>样品接收与储存</w:t>
      </w:r>
    </w:p>
    <w:p w14:paraId="05F7897E">
      <w:pPr>
        <w:pStyle w:val="56"/>
        <w:spacing w:line="360" w:lineRule="auto"/>
        <w:ind w:firstLine="420"/>
      </w:pPr>
      <w:r>
        <w:rPr>
          <w:rFonts w:hint="eastAsia"/>
        </w:rPr>
        <w:t>样品接收应进行完整性核查与登记，包括样品标识、封签状态、采样信息、运输条件、到达时间与温度记录。对不满足基本条件的样品，应按不符合项程序记录并评估是否可用。样品储存应根据基质与目标物特性确定温度与期限，优先避免反复冻融；需要留样复测或确证的，应在接收时同步分装留样并建立链路标识，确保后续复核与确证使用同源样品。</w:t>
      </w:r>
    </w:p>
    <w:p w14:paraId="4C52793D">
      <w:pPr>
        <w:pStyle w:val="105"/>
        <w:spacing w:before="120" w:after="120" w:line="360" w:lineRule="auto"/>
      </w:pPr>
      <w:r>
        <w:rPr>
          <w:rFonts w:hint="eastAsia"/>
        </w:rPr>
        <w:t>均质分样与防交叉污染</w:t>
      </w:r>
    </w:p>
    <w:p w14:paraId="503B117C">
      <w:pPr>
        <w:pStyle w:val="56"/>
        <w:spacing w:line="360" w:lineRule="auto"/>
        <w:ind w:firstLine="420"/>
      </w:pPr>
      <w:r>
        <w:rPr>
          <w:rFonts w:hint="eastAsia"/>
        </w:rPr>
        <w:t>均质与分样决定筛查的代表性与重复性。固体样品应充分均质后再分样；液体样品应混匀并避免分层。处理高污染风险样品或高浓度标准品时，应采取空间或时间隔离，并设置工具专用、一次性耗材与流程“由低到高”的顺序。对易造成实验室污染的目标物，应设置专门操作区并建立污染监测与清洁验证。</w:t>
      </w:r>
    </w:p>
    <w:p w14:paraId="6B61E809">
      <w:pPr>
        <w:pStyle w:val="105"/>
        <w:spacing w:before="120" w:after="120" w:line="360" w:lineRule="auto"/>
      </w:pPr>
      <w:r>
        <w:rPr>
          <w:rFonts w:hint="eastAsia"/>
        </w:rPr>
        <w:t>前处理方法与批次组织</w:t>
      </w:r>
    </w:p>
    <w:p w14:paraId="201F9574">
      <w:pPr>
        <w:pStyle w:val="56"/>
        <w:spacing w:line="360" w:lineRule="auto"/>
        <w:ind w:firstLine="420"/>
      </w:pPr>
      <w:r>
        <w:rPr>
          <w:rFonts w:hint="eastAsia"/>
        </w:rPr>
        <w:t>前处理方法应与筛查技术路线匹配并尽可能实现批量化。对多残留质谱筛查，应优先选用通用型提取净化路线，并通过基质匹配校准或内标策略控制基质效应；对免疫学筛查，应确保提取液配方与稀释倍数满足抗干扰要求。批次组织应定义“同批次”的边界，例如同一套试剂、同一校准、同一仪器方法文件与相近的仪器状态，避免把不可比的数据混入同一批次统计。样品接收与保存控制要点见表2。</w:t>
      </w:r>
    </w:p>
    <w:p w14:paraId="17D8D602">
      <w:pPr>
        <w:pStyle w:val="112"/>
        <w:spacing w:before="120" w:after="120" w:line="360" w:lineRule="auto"/>
      </w:pPr>
      <w:r>
        <w:rPr>
          <w:rFonts w:hint="eastAsia"/>
        </w:rPr>
        <w:t>样品接收与保存控制要点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400"/>
        <w:gridCol w:w="1843"/>
        <w:gridCol w:w="2835"/>
        <w:gridCol w:w="2256"/>
      </w:tblGrid>
      <w:tr w14:paraId="02B582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2400" w:type="dxa"/>
            <w:tcBorders>
              <w:top w:val="single" w:color="auto" w:sz="8" w:space="0"/>
              <w:bottom w:val="single" w:color="auto" w:sz="8" w:space="0"/>
            </w:tcBorders>
            <w:vAlign w:val="center"/>
          </w:tcPr>
          <w:p w14:paraId="694DCA55">
            <w:pPr>
              <w:pStyle w:val="178"/>
            </w:pPr>
            <w:r>
              <w:rPr>
                <w:rFonts w:hint="eastAsia"/>
              </w:rPr>
              <w:t>样品类型</w:t>
            </w:r>
          </w:p>
        </w:tc>
        <w:tc>
          <w:tcPr>
            <w:tcW w:w="1843" w:type="dxa"/>
            <w:tcBorders>
              <w:top w:val="single" w:color="auto" w:sz="8" w:space="0"/>
              <w:bottom w:val="single" w:color="auto" w:sz="8" w:space="0"/>
            </w:tcBorders>
            <w:vAlign w:val="center"/>
          </w:tcPr>
          <w:p w14:paraId="68581A5C">
            <w:pPr>
              <w:pStyle w:val="178"/>
            </w:pPr>
            <w:r>
              <w:rPr>
                <w:rFonts w:hint="eastAsia"/>
              </w:rPr>
              <w:t>建议保存条件</w:t>
            </w:r>
          </w:p>
        </w:tc>
        <w:tc>
          <w:tcPr>
            <w:tcW w:w="2835" w:type="dxa"/>
            <w:tcBorders>
              <w:top w:val="single" w:color="auto" w:sz="8" w:space="0"/>
              <w:bottom w:val="single" w:color="auto" w:sz="8" w:space="0"/>
            </w:tcBorders>
            <w:vAlign w:val="center"/>
          </w:tcPr>
          <w:p w14:paraId="16F82273">
            <w:pPr>
              <w:pStyle w:val="178"/>
            </w:pPr>
            <w:r>
              <w:rPr>
                <w:rFonts w:hint="eastAsia"/>
              </w:rPr>
              <w:t>建议保存期限要点</w:t>
            </w:r>
          </w:p>
        </w:tc>
        <w:tc>
          <w:tcPr>
            <w:tcW w:w="2256" w:type="dxa"/>
            <w:tcBorders>
              <w:top w:val="single" w:color="auto" w:sz="8" w:space="0"/>
              <w:bottom w:val="single" w:color="auto" w:sz="8" w:space="0"/>
            </w:tcBorders>
            <w:vAlign w:val="center"/>
          </w:tcPr>
          <w:p w14:paraId="484E6640">
            <w:pPr>
              <w:pStyle w:val="178"/>
            </w:pPr>
            <w:r>
              <w:rPr>
                <w:rFonts w:hint="eastAsia"/>
              </w:rPr>
              <w:t>关键风险提示</w:t>
            </w:r>
          </w:p>
        </w:tc>
      </w:tr>
      <w:tr w14:paraId="72C796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Borders>
              <w:top w:val="single" w:color="auto" w:sz="8" w:space="0"/>
            </w:tcBorders>
            <w:vAlign w:val="center"/>
          </w:tcPr>
          <w:p w14:paraId="08522199">
            <w:pPr>
              <w:pStyle w:val="178"/>
            </w:pPr>
            <w:r>
              <w:rPr>
                <w:rFonts w:hint="eastAsia"/>
              </w:rPr>
              <w:t>生鲜肉蛋奶与即食食品</w:t>
            </w:r>
          </w:p>
        </w:tc>
        <w:tc>
          <w:tcPr>
            <w:tcW w:w="1843" w:type="dxa"/>
            <w:tcBorders>
              <w:top w:val="single" w:color="auto" w:sz="8" w:space="0"/>
            </w:tcBorders>
            <w:vAlign w:val="center"/>
          </w:tcPr>
          <w:p w14:paraId="51DFB058">
            <w:pPr>
              <w:pStyle w:val="178"/>
            </w:pPr>
            <w:r>
              <w:rPr>
                <w:rFonts w:hint="eastAsia"/>
              </w:rPr>
              <w:t>冷藏或冷冻，保持冷链</w:t>
            </w:r>
          </w:p>
        </w:tc>
        <w:tc>
          <w:tcPr>
            <w:tcW w:w="2835" w:type="dxa"/>
            <w:tcBorders>
              <w:top w:val="single" w:color="auto" w:sz="8" w:space="0"/>
            </w:tcBorders>
            <w:vAlign w:val="center"/>
          </w:tcPr>
          <w:p w14:paraId="0D7CEE90">
            <w:pPr>
              <w:pStyle w:val="178"/>
            </w:pPr>
            <w:r>
              <w:rPr>
                <w:rFonts w:hint="eastAsia"/>
              </w:rPr>
              <w:t>优先短期完成筛查，留样单独分装</w:t>
            </w:r>
          </w:p>
        </w:tc>
        <w:tc>
          <w:tcPr>
            <w:tcW w:w="2256" w:type="dxa"/>
            <w:tcBorders>
              <w:top w:val="single" w:color="auto" w:sz="8" w:space="0"/>
            </w:tcBorders>
            <w:vAlign w:val="center"/>
          </w:tcPr>
          <w:p w14:paraId="0CD8C343">
            <w:pPr>
              <w:pStyle w:val="178"/>
            </w:pPr>
            <w:r>
              <w:rPr>
                <w:rFonts w:hint="eastAsia"/>
              </w:rPr>
              <w:t>微生物变化与降解导致结果漂移</w:t>
            </w:r>
          </w:p>
        </w:tc>
      </w:tr>
      <w:tr w14:paraId="26ED86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vAlign w:val="center"/>
          </w:tcPr>
          <w:p w14:paraId="6DE9E47E">
            <w:pPr>
              <w:pStyle w:val="178"/>
            </w:pPr>
            <w:r>
              <w:rPr>
                <w:rFonts w:hint="eastAsia"/>
              </w:rPr>
              <w:t>油脂与高脂食品</w:t>
            </w:r>
          </w:p>
        </w:tc>
        <w:tc>
          <w:tcPr>
            <w:tcW w:w="1843" w:type="dxa"/>
            <w:vAlign w:val="center"/>
          </w:tcPr>
          <w:p w14:paraId="40EF9F7F">
            <w:pPr>
              <w:pStyle w:val="178"/>
            </w:pPr>
            <w:r>
              <w:rPr>
                <w:rFonts w:hint="eastAsia"/>
              </w:rPr>
              <w:t>避光密封，低温保存</w:t>
            </w:r>
          </w:p>
        </w:tc>
        <w:tc>
          <w:tcPr>
            <w:tcW w:w="2835" w:type="dxa"/>
            <w:vAlign w:val="center"/>
          </w:tcPr>
          <w:p w14:paraId="43C6B05D">
            <w:pPr>
              <w:pStyle w:val="178"/>
            </w:pPr>
            <w:r>
              <w:rPr>
                <w:rFonts w:hint="eastAsia"/>
              </w:rPr>
              <w:t>防氧化，避免反复开封</w:t>
            </w:r>
          </w:p>
        </w:tc>
        <w:tc>
          <w:tcPr>
            <w:tcW w:w="2256" w:type="dxa"/>
            <w:vAlign w:val="center"/>
          </w:tcPr>
          <w:p w14:paraId="3868C8D6">
            <w:pPr>
              <w:pStyle w:val="178"/>
            </w:pPr>
            <w:r>
              <w:rPr>
                <w:rFonts w:hint="eastAsia"/>
              </w:rPr>
              <w:t>氧化产物与基质效应增强</w:t>
            </w:r>
          </w:p>
        </w:tc>
      </w:tr>
      <w:tr w14:paraId="502B54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vAlign w:val="center"/>
          </w:tcPr>
          <w:p w14:paraId="014F634F">
            <w:pPr>
              <w:pStyle w:val="178"/>
            </w:pPr>
            <w:r>
              <w:rPr>
                <w:rFonts w:hint="eastAsia"/>
              </w:rPr>
              <w:t>谷物坚果与干制品</w:t>
            </w:r>
          </w:p>
        </w:tc>
        <w:tc>
          <w:tcPr>
            <w:tcW w:w="1843" w:type="dxa"/>
            <w:vAlign w:val="center"/>
          </w:tcPr>
          <w:p w14:paraId="5DA174E3">
            <w:pPr>
              <w:pStyle w:val="178"/>
            </w:pPr>
            <w:r>
              <w:rPr>
                <w:rFonts w:hint="eastAsia"/>
              </w:rPr>
              <w:t>干燥密封，常温或低温</w:t>
            </w:r>
          </w:p>
        </w:tc>
        <w:tc>
          <w:tcPr>
            <w:tcW w:w="2835" w:type="dxa"/>
            <w:vAlign w:val="center"/>
          </w:tcPr>
          <w:p w14:paraId="160E023C">
            <w:pPr>
              <w:pStyle w:val="178"/>
            </w:pPr>
            <w:r>
              <w:rPr>
                <w:rFonts w:hint="eastAsia"/>
              </w:rPr>
              <w:t>防霉变与吸潮</w:t>
            </w:r>
          </w:p>
        </w:tc>
        <w:tc>
          <w:tcPr>
            <w:tcW w:w="2256" w:type="dxa"/>
            <w:vAlign w:val="center"/>
          </w:tcPr>
          <w:p w14:paraId="3278679A">
            <w:pPr>
              <w:pStyle w:val="178"/>
            </w:pPr>
            <w:r>
              <w:rPr>
                <w:rFonts w:hint="eastAsia"/>
              </w:rPr>
              <w:t>真菌毒素风险随储存变化</w:t>
            </w:r>
          </w:p>
        </w:tc>
      </w:tr>
      <w:tr w14:paraId="65295A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vAlign w:val="center"/>
          </w:tcPr>
          <w:p w14:paraId="29533032">
            <w:pPr>
              <w:pStyle w:val="178"/>
            </w:pPr>
            <w:r>
              <w:rPr>
                <w:rFonts w:hint="eastAsia"/>
              </w:rPr>
              <w:t>饮料与液体调味品</w:t>
            </w:r>
          </w:p>
        </w:tc>
        <w:tc>
          <w:tcPr>
            <w:tcW w:w="1843" w:type="dxa"/>
            <w:vAlign w:val="center"/>
          </w:tcPr>
          <w:p w14:paraId="776CAA07">
            <w:pPr>
              <w:pStyle w:val="178"/>
            </w:pPr>
            <w:r>
              <w:rPr>
                <w:rFonts w:hint="eastAsia"/>
              </w:rPr>
              <w:t>低温密封</w:t>
            </w:r>
          </w:p>
        </w:tc>
        <w:tc>
          <w:tcPr>
            <w:tcW w:w="2835" w:type="dxa"/>
            <w:vAlign w:val="center"/>
          </w:tcPr>
          <w:p w14:paraId="1EC3D3C5">
            <w:pPr>
              <w:pStyle w:val="178"/>
            </w:pPr>
            <w:r>
              <w:rPr>
                <w:rFonts w:hint="eastAsia"/>
              </w:rPr>
              <w:t>避免挥发与分层</w:t>
            </w:r>
          </w:p>
        </w:tc>
        <w:tc>
          <w:tcPr>
            <w:tcW w:w="2256" w:type="dxa"/>
            <w:vAlign w:val="center"/>
          </w:tcPr>
          <w:p w14:paraId="599FDE8B">
            <w:pPr>
              <w:pStyle w:val="178"/>
            </w:pPr>
            <w:r>
              <w:rPr>
                <w:rFonts w:hint="eastAsia"/>
              </w:rPr>
              <w:t>挥发性目标物损失或沉淀</w:t>
            </w:r>
          </w:p>
        </w:tc>
      </w:tr>
      <w:tr w14:paraId="5E90D6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vAlign w:val="center"/>
          </w:tcPr>
          <w:p w14:paraId="7E784EB2">
            <w:pPr>
              <w:pStyle w:val="178"/>
            </w:pPr>
            <w:r>
              <w:rPr>
                <w:rFonts w:hint="eastAsia"/>
              </w:rPr>
              <w:t>高挥发或光敏目标物相关样品</w:t>
            </w:r>
          </w:p>
        </w:tc>
        <w:tc>
          <w:tcPr>
            <w:tcW w:w="1843" w:type="dxa"/>
            <w:vAlign w:val="center"/>
          </w:tcPr>
          <w:p w14:paraId="686FEFC2">
            <w:pPr>
              <w:pStyle w:val="178"/>
            </w:pPr>
            <w:r>
              <w:rPr>
                <w:rFonts w:hint="eastAsia"/>
              </w:rPr>
              <w:t>避光、密封、低温</w:t>
            </w:r>
          </w:p>
        </w:tc>
        <w:tc>
          <w:tcPr>
            <w:tcW w:w="2835" w:type="dxa"/>
            <w:vAlign w:val="center"/>
          </w:tcPr>
          <w:p w14:paraId="294DD14D">
            <w:pPr>
              <w:pStyle w:val="178"/>
            </w:pPr>
            <w:r>
              <w:rPr>
                <w:rFonts w:hint="eastAsia"/>
              </w:rPr>
              <w:t>缩短存放时间</w:t>
            </w:r>
          </w:p>
        </w:tc>
        <w:tc>
          <w:tcPr>
            <w:tcW w:w="2256" w:type="dxa"/>
            <w:vAlign w:val="center"/>
          </w:tcPr>
          <w:p w14:paraId="29633910">
            <w:pPr>
              <w:pStyle w:val="178"/>
            </w:pPr>
            <w:r>
              <w:rPr>
                <w:rFonts w:hint="eastAsia"/>
              </w:rPr>
              <w:t>挥发/光解造成假阴性</w:t>
            </w:r>
          </w:p>
        </w:tc>
      </w:tr>
    </w:tbl>
    <w:p w14:paraId="3FA71CCE">
      <w:pPr>
        <w:pStyle w:val="105"/>
        <w:spacing w:before="120" w:after="120" w:line="360" w:lineRule="auto"/>
      </w:pPr>
      <w:r>
        <w:rPr>
          <w:rFonts w:hint="eastAsia"/>
        </w:rPr>
        <w:t>质控样布设</w:t>
      </w:r>
    </w:p>
    <w:p w14:paraId="61B816A3">
      <w:pPr>
        <w:pStyle w:val="165"/>
        <w:spacing w:line="360" w:lineRule="auto"/>
      </w:pPr>
      <w:r>
        <w:rPr>
          <w:rFonts w:hint="eastAsia"/>
        </w:rPr>
        <w:t>质控样布设应服务于两类目的：一是验证本批次前处理与仪器状态处于受控；二是为阈值判定与漂移监控提供统计依据。</w:t>
      </w:r>
    </w:p>
    <w:p w14:paraId="6756BF45">
      <w:pPr>
        <w:pStyle w:val="165"/>
        <w:spacing w:line="360" w:lineRule="auto"/>
      </w:pPr>
      <w:r>
        <w:rPr>
          <w:rFonts w:hint="eastAsia"/>
        </w:rPr>
        <w:t>通常应设置方法空白、基质空白、加标回收样、平行样与持续校准核查样，并根据样品数量与风险等级确定频次。</w:t>
      </w:r>
    </w:p>
    <w:p w14:paraId="12C26389">
      <w:pPr>
        <w:pStyle w:val="165"/>
        <w:spacing w:line="360" w:lineRule="auto"/>
      </w:pPr>
      <w:r>
        <w:rPr>
          <w:rFonts w:hint="eastAsia"/>
        </w:rPr>
        <w:t>对高通量批次，质控点位应覆盖批首、批中与批末，以识别漂移与污染趋势；对采用HRMS疑似筛查的，应增加系统适用性检查与谱库比对一致性检查，确保证据等级判定可用。</w:t>
      </w:r>
    </w:p>
    <w:p w14:paraId="37309BE3">
      <w:pPr>
        <w:pStyle w:val="104"/>
        <w:spacing w:before="240" w:after="240" w:line="360" w:lineRule="auto"/>
      </w:pPr>
      <w:bookmarkStart w:id="54" w:name="_Toc220228679"/>
      <w:r>
        <w:rPr>
          <w:rFonts w:hint="eastAsia"/>
        </w:rPr>
        <w:t>筛查方法选择与性能评价</w:t>
      </w:r>
      <w:bookmarkEnd w:id="54"/>
    </w:p>
    <w:p w14:paraId="4DC2AE76">
      <w:pPr>
        <w:pStyle w:val="105"/>
        <w:spacing w:before="120" w:after="120" w:line="360" w:lineRule="auto"/>
      </w:pPr>
      <w:r>
        <w:rPr>
          <w:rFonts w:hint="eastAsia"/>
        </w:rPr>
        <w:t>方法选择要求</w:t>
      </w:r>
    </w:p>
    <w:p w14:paraId="1B0471CB">
      <w:pPr>
        <w:pStyle w:val="56"/>
        <w:spacing w:line="360" w:lineRule="auto"/>
        <w:ind w:firstLine="420"/>
      </w:pPr>
      <w:r>
        <w:rPr>
          <w:rFonts w:hint="eastAsia"/>
        </w:rPr>
        <w:t>筛查方法选择应以风险管理需求为导向，综合考虑目标物属性、基质复杂度、通量与时效要求、证据强度需求以及实验室资源条件。方法选择应遵循“适配优先、组合应用、主备路径”的原则，即对同一类风险因子宜形成主路径与备路径：主路径用于常态批量筛查，备路径用于主路径不可用或需要提高证据强度时的替代与补充。</w:t>
      </w:r>
    </w:p>
    <w:p w14:paraId="0306F2DB">
      <w:pPr>
        <w:pStyle w:val="56"/>
        <w:spacing w:line="360" w:lineRule="auto"/>
        <w:ind w:firstLine="420"/>
      </w:pPr>
      <w:r>
        <w:rPr>
          <w:rFonts w:hint="eastAsia"/>
        </w:rPr>
        <w:t>针对不同场景，方法选择宜按以下思路组织：</w:t>
      </w:r>
    </w:p>
    <w:p w14:paraId="5BB19005">
      <w:pPr>
        <w:pStyle w:val="56"/>
        <w:spacing w:line="360" w:lineRule="auto"/>
        <w:ind w:firstLine="420"/>
      </w:pPr>
      <w:r>
        <w:rPr>
          <w:rFonts w:hint="eastAsia"/>
        </w:rPr>
        <w:t>a) 对常规监管抽检与企业放行场景，应优先采用选择性较高、可多目标物覆盖的筛查平台，并确保方法库可维护、阈值可管理；</w:t>
      </w:r>
    </w:p>
    <w:p w14:paraId="79ED034C">
      <w:pPr>
        <w:pStyle w:val="56"/>
        <w:spacing w:line="360" w:lineRule="auto"/>
        <w:ind w:firstLine="420"/>
      </w:pPr>
      <w:r>
        <w:rPr>
          <w:rFonts w:hint="eastAsia"/>
        </w:rPr>
        <w:t>b) 对现场巡查或应急处置场景，可采用快速筛查技术实现前置分层，但应同步强化复核与确证触发规则；</w:t>
      </w:r>
    </w:p>
    <w:p w14:paraId="31738824">
      <w:pPr>
        <w:pStyle w:val="56"/>
        <w:spacing w:line="360" w:lineRule="auto"/>
        <w:ind w:firstLine="420"/>
      </w:pPr>
      <w:r>
        <w:rPr>
          <w:rFonts w:hint="eastAsia"/>
        </w:rPr>
        <w:t>c) 对新污染物排查与趋势监测场景，可引入疑似筛查或非靶向筛查，但必须建立证据分级、数据库维护与结果边界声明，保证提示性发现不被误用为确定性判定。</w:t>
      </w:r>
    </w:p>
    <w:p w14:paraId="3CAC7C59">
      <w:pPr>
        <w:pStyle w:val="105"/>
        <w:spacing w:before="120" w:after="120" w:line="360" w:lineRule="auto"/>
      </w:pPr>
      <w:r>
        <w:rPr>
          <w:rFonts w:hint="eastAsia"/>
        </w:rPr>
        <w:t>性能评价指标</w:t>
      </w:r>
    </w:p>
    <w:p w14:paraId="52323DE0">
      <w:pPr>
        <w:pStyle w:val="56"/>
        <w:spacing w:line="360" w:lineRule="auto"/>
        <w:ind w:firstLine="420"/>
      </w:pPr>
      <w:r>
        <w:rPr>
          <w:rFonts w:hint="eastAsia"/>
        </w:rPr>
        <w:t>筛查方法性能评价应围绕“能否实现稳定筛查与可靠分层”建立指标体系，并以目标基质为边界开展。性能评价不要求所有指标达到确证方法的严苛程度，但应足以支撑阈值设置与误判风险控制。</w:t>
      </w:r>
    </w:p>
    <w:p w14:paraId="27E8EED1">
      <w:pPr>
        <w:pStyle w:val="56"/>
        <w:spacing w:line="360" w:lineRule="auto"/>
        <w:ind w:firstLine="420"/>
      </w:pPr>
      <w:r>
        <w:rPr>
          <w:rFonts w:hint="eastAsia"/>
        </w:rPr>
        <w:t>筛查方法性能评价宜至少覆盖以下方面：</w:t>
      </w:r>
    </w:p>
    <w:p w14:paraId="2E1E9AA6">
      <w:pPr>
        <w:pStyle w:val="56"/>
        <w:spacing w:line="360" w:lineRule="auto"/>
        <w:ind w:firstLine="420"/>
      </w:pPr>
      <w:r>
        <w:rPr>
          <w:rFonts w:hint="eastAsia"/>
        </w:rPr>
        <w:t>a) 筛查检出能力与工作范围，即在目标基质中能够稳定识别目标物的最低水平以及适用的响应范围；</w:t>
      </w:r>
    </w:p>
    <w:p w14:paraId="671F9A29">
      <w:pPr>
        <w:pStyle w:val="56"/>
        <w:spacing w:line="360" w:lineRule="auto"/>
        <w:ind w:firstLine="420"/>
      </w:pPr>
      <w:r>
        <w:rPr>
          <w:rFonts w:hint="eastAsia"/>
        </w:rPr>
        <w:t>b) 选择性与抗干扰能力，即对结构类似物、共洗脱干扰、背景噪声与基质干扰峰的区分能力；</w:t>
      </w:r>
    </w:p>
    <w:p w14:paraId="4269F827">
      <w:pPr>
        <w:pStyle w:val="56"/>
        <w:spacing w:line="360" w:lineRule="auto"/>
        <w:ind w:firstLine="420"/>
      </w:pPr>
      <w:r>
        <w:rPr>
          <w:rFonts w:hint="eastAsia"/>
        </w:rPr>
        <w:t>c) 基质效应与前处理影响，即信号抑制或增强对判定的影响程度及其稳定性；</w:t>
      </w:r>
    </w:p>
    <w:p w14:paraId="7661C12A">
      <w:pPr>
        <w:pStyle w:val="56"/>
        <w:spacing w:line="360" w:lineRule="auto"/>
        <w:ind w:firstLine="420"/>
      </w:pPr>
      <w:r>
        <w:rPr>
          <w:rFonts w:hint="eastAsia"/>
        </w:rPr>
        <w:t>d) 重复性与批间稳定性，即同批与不同批次条件下筛查结论的一致性与漂移水平；</w:t>
      </w:r>
    </w:p>
    <w:p w14:paraId="1F3C4FA9">
      <w:pPr>
        <w:pStyle w:val="56"/>
        <w:spacing w:line="360" w:lineRule="auto"/>
        <w:ind w:firstLine="420"/>
      </w:pPr>
      <w:r>
        <w:rPr>
          <w:rFonts w:hint="eastAsia"/>
        </w:rPr>
        <w:t>e) 系统适用性与运行稳定性，即仪器状态、保留时间、峰形与响应稳定满足批量运行要求。</w:t>
      </w:r>
    </w:p>
    <w:p w14:paraId="04965967">
      <w:pPr>
        <w:pStyle w:val="56"/>
        <w:spacing w:line="360" w:lineRule="auto"/>
        <w:ind w:firstLine="420"/>
      </w:pPr>
      <w:r>
        <w:rPr>
          <w:rFonts w:hint="eastAsia"/>
        </w:rPr>
        <w:t>对疑似筛查或非靶向筛查方法，还应评价质量精度稳定性、同位素匹配一致性、碎片信息一致性与谱库匹配重复性，以支撑证据等级判定。</w:t>
      </w:r>
    </w:p>
    <w:p w14:paraId="234291B5">
      <w:pPr>
        <w:pStyle w:val="105"/>
        <w:spacing w:before="120" w:after="120" w:line="360" w:lineRule="auto"/>
      </w:pPr>
      <w:r>
        <w:rPr>
          <w:rFonts w:hint="eastAsia"/>
        </w:rPr>
        <w:t>方法验证与适用性确认</w:t>
      </w:r>
    </w:p>
    <w:p w14:paraId="6A4EEE21">
      <w:pPr>
        <w:pStyle w:val="56"/>
        <w:spacing w:line="360" w:lineRule="auto"/>
        <w:ind w:firstLine="420"/>
      </w:pPr>
      <w:r>
        <w:rPr>
          <w:rFonts w:hint="eastAsia"/>
        </w:rPr>
        <w:t>筛查方法验证应以“目标物清单—目标基质类别—目标浓度区间”为基本单元组织实施，避免仅以单一基质或单一加标水平代替全范围确认。验证样品应具有代表性，能够反映目标基质的典型干扰特征，并覆盖筛查常见批量运行条件。</w:t>
      </w:r>
    </w:p>
    <w:p w14:paraId="6A39B136">
      <w:pPr>
        <w:pStyle w:val="56"/>
        <w:spacing w:line="360" w:lineRule="auto"/>
        <w:ind w:firstLine="420"/>
      </w:pPr>
      <w:r>
        <w:rPr>
          <w:rFonts w:hint="eastAsia"/>
        </w:rPr>
        <w:t>适用性确认完成后，应形成受控文件，至少包括：适用食品类别范围、目标物清单及版本号、样品前处理路线与关键参数、筛查阈值设定方法与依据、批次质控方案与合格判据、复核与确证触发条件、数据判读规则与证据等级规则。该文件应纳入版本管理，并与实验室信息管理系统或等效记录体系保持一致。</w:t>
      </w:r>
    </w:p>
    <w:p w14:paraId="1FEB2CF7">
      <w:pPr>
        <w:pStyle w:val="105"/>
        <w:spacing w:before="120" w:after="120" w:line="360" w:lineRule="auto"/>
      </w:pPr>
      <w:r>
        <w:rPr>
          <w:rFonts w:hint="eastAsia"/>
        </w:rPr>
        <w:t>阈值设定与判定规则</w:t>
      </w:r>
    </w:p>
    <w:p w14:paraId="6304EC2E">
      <w:pPr>
        <w:pStyle w:val="56"/>
        <w:spacing w:line="360" w:lineRule="auto"/>
        <w:ind w:firstLine="420"/>
      </w:pPr>
      <w:r>
        <w:rPr>
          <w:rFonts w:hint="eastAsia"/>
        </w:rPr>
        <w:t>筛查阈值应能够将检测响应转换为可执行的分级结论，并与筛查方法性能、基质效应、批次质控状态联动。阈值可采用法规限量导向、统计学分布导向或证据等级导向等策略，但应明确阈值与假阳性、假阴性之间的控制目标，并以验证数据与历史运行数据进行校验。</w:t>
      </w:r>
    </w:p>
    <w:p w14:paraId="56393245">
      <w:pPr>
        <w:pStyle w:val="56"/>
        <w:spacing w:line="360" w:lineRule="auto"/>
        <w:ind w:firstLine="420"/>
      </w:pPr>
      <w:r>
        <w:rPr>
          <w:rFonts w:hint="eastAsia"/>
        </w:rPr>
        <w:t>筛查判定应在批次质控合格前提下实施。当批次质控不合格或出现明显漂移时，该批次筛查结论不应直接用于放行或处置，应进入异常处置与复测流程。对疑似筛查或非靶向筛查获得的候选物提示，应以证据等级表述其可靠程度，并至少进入复核或确证环节后方可形成阳性结论。</w:t>
      </w:r>
    </w:p>
    <w:p w14:paraId="218AE58E">
      <w:pPr>
        <w:pStyle w:val="105"/>
        <w:spacing w:before="120" w:after="120" w:line="360" w:lineRule="auto"/>
      </w:pPr>
      <w:r>
        <w:rPr>
          <w:rFonts w:hint="eastAsia"/>
        </w:rPr>
        <w:t>质量控制与批次有效性</w:t>
      </w:r>
    </w:p>
    <w:p w14:paraId="40299811">
      <w:pPr>
        <w:pStyle w:val="56"/>
        <w:spacing w:line="360" w:lineRule="auto"/>
        <w:ind w:firstLine="420"/>
      </w:pPr>
      <w:r>
        <w:rPr>
          <w:rFonts w:hint="eastAsia"/>
        </w:rPr>
        <w:t>筛查质量控制应覆盖前处理、仪器运行与数据判读三个层面，保证批内与批间结果的可比性与可解释性。批次组织应明确同批次边界，并在批首、批中与批末设置漂移监控点位。质控项目设置应能够识别污染、交叉污染、灵敏度衰减、保留时间漂移、基质效应突变与算法/判读偏差等典型风险。</w:t>
      </w:r>
    </w:p>
    <w:p w14:paraId="15FDC62C">
      <w:pPr>
        <w:pStyle w:val="56"/>
        <w:spacing w:line="360" w:lineRule="auto"/>
        <w:ind w:firstLine="420"/>
      </w:pPr>
      <w:r>
        <w:rPr>
          <w:rFonts w:hint="eastAsia"/>
        </w:rPr>
        <w:t>批次合格判据应文件化并可执行。一旦出现空白污染、持续校准核查超限、内标异常普遍发生或其他足以影响判定的质控失控情形，应判定该批次结果无效，并按程序执行停批、排查、纠正与复测。质控项目与频次建议见表3。</w:t>
      </w:r>
    </w:p>
    <w:p w14:paraId="5A74996D">
      <w:pPr>
        <w:pStyle w:val="112"/>
        <w:spacing w:before="120" w:after="120" w:line="360" w:lineRule="auto"/>
      </w:pPr>
      <w:r>
        <w:rPr>
          <w:rFonts w:hint="eastAsia"/>
        </w:rPr>
        <w:t>质控项目与频次建议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33"/>
        <w:gridCol w:w="2268"/>
        <w:gridCol w:w="3119"/>
        <w:gridCol w:w="2114"/>
      </w:tblGrid>
      <w:tr w14:paraId="65965A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33" w:type="dxa"/>
            <w:tcBorders>
              <w:top w:val="single" w:color="auto" w:sz="8" w:space="0"/>
              <w:bottom w:val="single" w:color="auto" w:sz="8" w:space="0"/>
            </w:tcBorders>
            <w:vAlign w:val="center"/>
          </w:tcPr>
          <w:p w14:paraId="38CF83E8">
            <w:pPr>
              <w:pStyle w:val="178"/>
            </w:pPr>
            <w:r>
              <w:rPr>
                <w:rFonts w:hint="eastAsia"/>
              </w:rPr>
              <w:t>质控项目</w:t>
            </w:r>
          </w:p>
        </w:tc>
        <w:tc>
          <w:tcPr>
            <w:tcW w:w="2268" w:type="dxa"/>
            <w:tcBorders>
              <w:top w:val="single" w:color="auto" w:sz="8" w:space="0"/>
              <w:bottom w:val="single" w:color="auto" w:sz="8" w:space="0"/>
            </w:tcBorders>
            <w:vAlign w:val="center"/>
          </w:tcPr>
          <w:p w14:paraId="0C042E28">
            <w:pPr>
              <w:pStyle w:val="178"/>
            </w:pPr>
            <w:r>
              <w:rPr>
                <w:rFonts w:hint="eastAsia"/>
              </w:rPr>
              <w:t>主要目的</w:t>
            </w:r>
          </w:p>
        </w:tc>
        <w:tc>
          <w:tcPr>
            <w:tcW w:w="3119" w:type="dxa"/>
            <w:tcBorders>
              <w:top w:val="single" w:color="auto" w:sz="8" w:space="0"/>
              <w:bottom w:val="single" w:color="auto" w:sz="8" w:space="0"/>
            </w:tcBorders>
            <w:vAlign w:val="center"/>
          </w:tcPr>
          <w:p w14:paraId="176B63F7">
            <w:pPr>
              <w:pStyle w:val="178"/>
            </w:pPr>
            <w:r>
              <w:rPr>
                <w:rFonts w:hint="eastAsia"/>
              </w:rPr>
              <w:t>建议频次与布点</w:t>
            </w:r>
          </w:p>
        </w:tc>
        <w:tc>
          <w:tcPr>
            <w:tcW w:w="2114" w:type="dxa"/>
            <w:tcBorders>
              <w:top w:val="single" w:color="auto" w:sz="8" w:space="0"/>
              <w:bottom w:val="single" w:color="auto" w:sz="8" w:space="0"/>
            </w:tcBorders>
            <w:vAlign w:val="center"/>
          </w:tcPr>
          <w:p w14:paraId="0DE6AD63">
            <w:pPr>
              <w:pStyle w:val="178"/>
            </w:pPr>
            <w:r>
              <w:rPr>
                <w:rFonts w:hint="eastAsia"/>
              </w:rPr>
              <w:t>判定要点</w:t>
            </w:r>
          </w:p>
        </w:tc>
      </w:tr>
      <w:tr w14:paraId="6889D9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top w:val="single" w:color="auto" w:sz="8" w:space="0"/>
            </w:tcBorders>
            <w:vAlign w:val="center"/>
          </w:tcPr>
          <w:p w14:paraId="5414E8B0">
            <w:pPr>
              <w:pStyle w:val="178"/>
            </w:pPr>
            <w:r>
              <w:rPr>
                <w:rFonts w:hint="eastAsia"/>
              </w:rPr>
              <w:t>方法空白/试剂空白</w:t>
            </w:r>
          </w:p>
        </w:tc>
        <w:tc>
          <w:tcPr>
            <w:tcW w:w="2268" w:type="dxa"/>
            <w:tcBorders>
              <w:top w:val="single" w:color="auto" w:sz="8" w:space="0"/>
            </w:tcBorders>
            <w:vAlign w:val="center"/>
          </w:tcPr>
          <w:p w14:paraId="412F9868">
            <w:pPr>
              <w:pStyle w:val="178"/>
            </w:pPr>
            <w:r>
              <w:rPr>
                <w:rFonts w:hint="eastAsia"/>
              </w:rPr>
              <w:t>识别污染与记忆效应</w:t>
            </w:r>
          </w:p>
        </w:tc>
        <w:tc>
          <w:tcPr>
            <w:tcW w:w="3119" w:type="dxa"/>
            <w:tcBorders>
              <w:top w:val="single" w:color="auto" w:sz="8" w:space="0"/>
            </w:tcBorders>
            <w:vAlign w:val="center"/>
          </w:tcPr>
          <w:p w14:paraId="59F699E8">
            <w:pPr>
              <w:pStyle w:val="178"/>
            </w:pPr>
            <w:r>
              <w:rPr>
                <w:rFonts w:hint="eastAsia"/>
              </w:rPr>
              <w:t>每批至少1个，优先批首或高风险样后</w:t>
            </w:r>
          </w:p>
        </w:tc>
        <w:tc>
          <w:tcPr>
            <w:tcW w:w="2114" w:type="dxa"/>
            <w:tcBorders>
              <w:top w:val="single" w:color="auto" w:sz="8" w:space="0"/>
            </w:tcBorders>
            <w:vAlign w:val="center"/>
          </w:tcPr>
          <w:p w14:paraId="647B4819">
            <w:pPr>
              <w:pStyle w:val="178"/>
            </w:pPr>
            <w:r>
              <w:rPr>
                <w:rFonts w:hint="eastAsia"/>
              </w:rPr>
              <w:t>不得出现影响判定的目标物响应</w:t>
            </w:r>
          </w:p>
        </w:tc>
      </w:tr>
      <w:tr w14:paraId="773161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0B72649A">
            <w:pPr>
              <w:pStyle w:val="178"/>
            </w:pPr>
            <w:r>
              <w:rPr>
                <w:rFonts w:hint="eastAsia"/>
              </w:rPr>
              <w:t>基质空白</w:t>
            </w:r>
          </w:p>
        </w:tc>
        <w:tc>
          <w:tcPr>
            <w:tcW w:w="2268" w:type="dxa"/>
            <w:vAlign w:val="center"/>
          </w:tcPr>
          <w:p w14:paraId="3E8A2BFB">
            <w:pPr>
              <w:pStyle w:val="178"/>
            </w:pPr>
            <w:r>
              <w:rPr>
                <w:rFonts w:hint="eastAsia"/>
              </w:rPr>
              <w:t>识别基质干扰与背景</w:t>
            </w:r>
          </w:p>
        </w:tc>
        <w:tc>
          <w:tcPr>
            <w:tcW w:w="3119" w:type="dxa"/>
            <w:vAlign w:val="center"/>
          </w:tcPr>
          <w:p w14:paraId="55C61353">
            <w:pPr>
              <w:pStyle w:val="178"/>
            </w:pPr>
            <w:r>
              <w:rPr>
                <w:rFonts w:hint="eastAsia"/>
              </w:rPr>
              <w:t>每类基质每批至少1个</w:t>
            </w:r>
          </w:p>
        </w:tc>
        <w:tc>
          <w:tcPr>
            <w:tcW w:w="2114" w:type="dxa"/>
            <w:vAlign w:val="center"/>
          </w:tcPr>
          <w:p w14:paraId="2AE03A82">
            <w:pPr>
              <w:pStyle w:val="178"/>
            </w:pPr>
            <w:r>
              <w:rPr>
                <w:rFonts w:hint="eastAsia"/>
              </w:rPr>
              <w:t>干扰峰不得导致阈值误判</w:t>
            </w:r>
          </w:p>
        </w:tc>
      </w:tr>
      <w:tr w14:paraId="6EC784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3C77126B">
            <w:pPr>
              <w:pStyle w:val="178"/>
            </w:pPr>
            <w:r>
              <w:rPr>
                <w:rFonts w:hint="eastAsia"/>
              </w:rPr>
              <w:t>加标回收样</w:t>
            </w:r>
          </w:p>
        </w:tc>
        <w:tc>
          <w:tcPr>
            <w:tcW w:w="2268" w:type="dxa"/>
            <w:vAlign w:val="center"/>
          </w:tcPr>
          <w:p w14:paraId="3F0A6A50">
            <w:pPr>
              <w:pStyle w:val="178"/>
            </w:pPr>
            <w:r>
              <w:rPr>
                <w:rFonts w:hint="eastAsia"/>
              </w:rPr>
              <w:t>验证前处理与响应稳定</w:t>
            </w:r>
          </w:p>
        </w:tc>
        <w:tc>
          <w:tcPr>
            <w:tcW w:w="3119" w:type="dxa"/>
            <w:vAlign w:val="center"/>
          </w:tcPr>
          <w:p w14:paraId="0D9D57EE">
            <w:pPr>
              <w:pStyle w:val="178"/>
            </w:pPr>
            <w:r>
              <w:rPr>
                <w:rFonts w:hint="eastAsia"/>
              </w:rPr>
              <w:t>每批至少1个，必要时批中加设</w:t>
            </w:r>
          </w:p>
        </w:tc>
        <w:tc>
          <w:tcPr>
            <w:tcW w:w="2114" w:type="dxa"/>
            <w:vAlign w:val="center"/>
          </w:tcPr>
          <w:p w14:paraId="68430945">
            <w:pPr>
              <w:pStyle w:val="178"/>
            </w:pPr>
            <w:r>
              <w:rPr>
                <w:rFonts w:hint="eastAsia"/>
              </w:rPr>
              <w:t>回收与响应在控制限内</w:t>
            </w:r>
          </w:p>
        </w:tc>
      </w:tr>
      <w:tr w14:paraId="1A9193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77395D79">
            <w:pPr>
              <w:pStyle w:val="178"/>
            </w:pPr>
            <w:r>
              <w:rPr>
                <w:rFonts w:hint="eastAsia"/>
              </w:rPr>
              <w:t>平行样/重复样</w:t>
            </w:r>
          </w:p>
        </w:tc>
        <w:tc>
          <w:tcPr>
            <w:tcW w:w="2268" w:type="dxa"/>
            <w:vAlign w:val="center"/>
          </w:tcPr>
          <w:p w14:paraId="6EC3E490">
            <w:pPr>
              <w:pStyle w:val="178"/>
            </w:pPr>
            <w:r>
              <w:rPr>
                <w:rFonts w:hint="eastAsia"/>
              </w:rPr>
              <w:t>验证均质分样与重复性</w:t>
            </w:r>
          </w:p>
        </w:tc>
        <w:tc>
          <w:tcPr>
            <w:tcW w:w="3119" w:type="dxa"/>
            <w:vAlign w:val="center"/>
          </w:tcPr>
          <w:p w14:paraId="6C246105">
            <w:pPr>
              <w:pStyle w:val="178"/>
            </w:pPr>
            <w:r>
              <w:rPr>
                <w:rFonts w:hint="eastAsia"/>
              </w:rPr>
              <w:t>每批按比例抽取设置</w:t>
            </w:r>
          </w:p>
        </w:tc>
        <w:tc>
          <w:tcPr>
            <w:tcW w:w="2114" w:type="dxa"/>
            <w:vAlign w:val="center"/>
          </w:tcPr>
          <w:p w14:paraId="4AAAEEA2">
            <w:pPr>
              <w:pStyle w:val="178"/>
            </w:pPr>
            <w:r>
              <w:rPr>
                <w:rFonts w:hint="eastAsia"/>
              </w:rPr>
              <w:t>差异超限应复核或重做</w:t>
            </w:r>
          </w:p>
        </w:tc>
      </w:tr>
      <w:tr w14:paraId="4C88F2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5DD05BA9">
            <w:pPr>
              <w:pStyle w:val="178"/>
            </w:pPr>
            <w:r>
              <w:rPr>
                <w:rFonts w:hint="eastAsia"/>
              </w:rPr>
              <w:t>持续校准核查样</w:t>
            </w:r>
          </w:p>
        </w:tc>
        <w:tc>
          <w:tcPr>
            <w:tcW w:w="2268" w:type="dxa"/>
            <w:vAlign w:val="center"/>
          </w:tcPr>
          <w:p w14:paraId="1D5957A9">
            <w:pPr>
              <w:pStyle w:val="178"/>
            </w:pPr>
            <w:r>
              <w:rPr>
                <w:rFonts w:hint="eastAsia"/>
              </w:rPr>
              <w:t>监控漂移与灵敏度</w:t>
            </w:r>
          </w:p>
        </w:tc>
        <w:tc>
          <w:tcPr>
            <w:tcW w:w="3119" w:type="dxa"/>
            <w:vAlign w:val="center"/>
          </w:tcPr>
          <w:p w14:paraId="0784AC24">
            <w:pPr>
              <w:pStyle w:val="178"/>
            </w:pPr>
            <w:r>
              <w:rPr>
                <w:rFonts w:hint="eastAsia"/>
              </w:rPr>
              <w:t>批首、批中、批末布点或按样品量加密</w:t>
            </w:r>
          </w:p>
        </w:tc>
        <w:tc>
          <w:tcPr>
            <w:tcW w:w="2114" w:type="dxa"/>
            <w:vAlign w:val="center"/>
          </w:tcPr>
          <w:p w14:paraId="07CC87F8">
            <w:pPr>
              <w:pStyle w:val="178"/>
            </w:pPr>
            <w:r>
              <w:rPr>
                <w:rFonts w:hint="eastAsia"/>
              </w:rPr>
              <w:t>偏差超限触发处置</w:t>
            </w:r>
          </w:p>
        </w:tc>
      </w:tr>
      <w:tr w14:paraId="37A8D0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3CDE88BC">
            <w:pPr>
              <w:pStyle w:val="178"/>
            </w:pPr>
            <w:r>
              <w:rPr>
                <w:rFonts w:hint="eastAsia"/>
              </w:rPr>
              <w:t>系统适用性检查</w:t>
            </w:r>
          </w:p>
        </w:tc>
        <w:tc>
          <w:tcPr>
            <w:tcW w:w="2268" w:type="dxa"/>
            <w:vAlign w:val="center"/>
          </w:tcPr>
          <w:p w14:paraId="4030704F">
            <w:pPr>
              <w:pStyle w:val="178"/>
            </w:pPr>
            <w:r>
              <w:rPr>
                <w:rFonts w:hint="eastAsia"/>
              </w:rPr>
              <w:t>验证分离与保留时间稳定</w:t>
            </w:r>
          </w:p>
        </w:tc>
        <w:tc>
          <w:tcPr>
            <w:tcW w:w="3119" w:type="dxa"/>
            <w:vAlign w:val="center"/>
          </w:tcPr>
          <w:p w14:paraId="1D5162A4">
            <w:pPr>
              <w:pStyle w:val="178"/>
            </w:pPr>
            <w:r>
              <w:rPr>
                <w:rFonts w:hint="eastAsia"/>
              </w:rPr>
              <w:t>每次开机或方法切换后</w:t>
            </w:r>
          </w:p>
        </w:tc>
        <w:tc>
          <w:tcPr>
            <w:tcW w:w="2114" w:type="dxa"/>
            <w:vAlign w:val="center"/>
          </w:tcPr>
          <w:p w14:paraId="5641DC2F">
            <w:pPr>
              <w:pStyle w:val="178"/>
            </w:pPr>
            <w:r>
              <w:rPr>
                <w:rFonts w:hint="eastAsia"/>
              </w:rPr>
              <w:t>RT与峰形异常应处置</w:t>
            </w:r>
          </w:p>
        </w:tc>
      </w:tr>
      <w:tr w14:paraId="731E98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6246B3F9">
            <w:pPr>
              <w:pStyle w:val="178"/>
            </w:pPr>
            <w:r>
              <w:rPr>
                <w:rFonts w:hint="eastAsia"/>
              </w:rPr>
              <w:t>内标监控</w:t>
            </w:r>
          </w:p>
        </w:tc>
        <w:tc>
          <w:tcPr>
            <w:tcW w:w="2268" w:type="dxa"/>
            <w:vAlign w:val="center"/>
          </w:tcPr>
          <w:p w14:paraId="4D7333B1">
            <w:pPr>
              <w:pStyle w:val="178"/>
            </w:pPr>
            <w:r>
              <w:rPr>
                <w:rFonts w:hint="eastAsia"/>
              </w:rPr>
              <w:t>控制体积误差与基质效应</w:t>
            </w:r>
          </w:p>
        </w:tc>
        <w:tc>
          <w:tcPr>
            <w:tcW w:w="3119" w:type="dxa"/>
            <w:vAlign w:val="center"/>
          </w:tcPr>
          <w:p w14:paraId="5792FE24">
            <w:pPr>
              <w:pStyle w:val="178"/>
            </w:pPr>
            <w:r>
              <w:rPr>
                <w:rFonts w:hint="eastAsia"/>
              </w:rPr>
              <w:t>全样本覆盖</w:t>
            </w:r>
          </w:p>
        </w:tc>
        <w:tc>
          <w:tcPr>
            <w:tcW w:w="2114" w:type="dxa"/>
            <w:vAlign w:val="center"/>
          </w:tcPr>
          <w:p w14:paraId="3D2C9A0C">
            <w:pPr>
              <w:pStyle w:val="178"/>
            </w:pPr>
            <w:r>
              <w:rPr>
                <w:rFonts w:hint="eastAsia"/>
              </w:rPr>
              <w:t>内标异常样应标记并复核</w:t>
            </w:r>
          </w:p>
        </w:tc>
      </w:tr>
    </w:tbl>
    <w:p w14:paraId="3AF68B4E">
      <w:pPr>
        <w:pStyle w:val="105"/>
        <w:spacing w:before="120" w:after="120" w:line="360" w:lineRule="auto"/>
      </w:pPr>
      <w:r>
        <w:rPr>
          <w:rFonts w:hint="eastAsia"/>
        </w:rPr>
        <w:t>数据判读与证据等级</w:t>
      </w:r>
    </w:p>
    <w:p w14:paraId="1E246415">
      <w:pPr>
        <w:pStyle w:val="56"/>
        <w:spacing w:line="360" w:lineRule="auto"/>
        <w:ind w:firstLine="420"/>
      </w:pPr>
      <w:r>
        <w:rPr>
          <w:rFonts w:hint="eastAsia"/>
        </w:rPr>
        <w:t>数据判读规则应与方法文件一致并保持稳定，主要包括积分规则、峰识别与干扰排除规则、基质匹配或内标校正规则、结果修约与异常值处理规则。为降低人为差异，实验室宜采用双人复核或等效的审核机制，并对关键判定样品保留可复核的原始数据与处理记录。</w:t>
      </w:r>
    </w:p>
    <w:p w14:paraId="6DF39C0A">
      <w:pPr>
        <w:pStyle w:val="56"/>
        <w:spacing w:line="360" w:lineRule="auto"/>
        <w:ind w:firstLine="420"/>
      </w:pPr>
      <w:r>
        <w:rPr>
          <w:rFonts w:hint="eastAsia"/>
        </w:rPr>
        <w:t>当采用疑似筛查或非靶向筛查时，应建立证据等级体系，将精确质量、同位素匹配、保留时间一致性、碎片谱一致性、标准品对照等要素纳入综合分级，并将不同证据等级与后续动作挂钩。证据等级不足的结果应以“提示性发现”表述，进入复核/确证流程后方可形成阳性结论。</w:t>
      </w:r>
    </w:p>
    <w:p w14:paraId="51D060A1">
      <w:pPr>
        <w:pStyle w:val="56"/>
        <w:spacing w:line="360" w:lineRule="auto"/>
        <w:ind w:firstLine="420"/>
        <w:rPr>
          <w:rFonts w:hint="eastAsia"/>
        </w:rPr>
      </w:pPr>
    </w:p>
    <w:p w14:paraId="267D9C5B">
      <w:pPr>
        <w:pStyle w:val="105"/>
        <w:spacing w:before="120" w:after="120" w:line="360" w:lineRule="auto"/>
      </w:pPr>
      <w:r>
        <w:rPr>
          <w:rFonts w:hint="eastAsia"/>
        </w:rPr>
        <w:t>变更控制与再评价</w:t>
      </w:r>
    </w:p>
    <w:p w14:paraId="3905081E">
      <w:pPr>
        <w:pStyle w:val="56"/>
        <w:spacing w:line="360" w:lineRule="auto"/>
        <w:ind w:firstLine="420"/>
      </w:pPr>
      <w:r>
        <w:rPr>
          <w:rFonts w:hint="eastAsia"/>
        </w:rPr>
        <w:t>筛查方法的关键要素变更可能导致阈值不再适用或误判风险上升，因此应实施变更控制与再评价。关键变更包括目标物清单更新、前处理路线变化、仪器平台或关键部件更换、关键试剂或标准物质批次更换、软件版本或算法更新、阈值策略调整以及新增食品基质类别等。</w:t>
      </w:r>
    </w:p>
    <w:p w14:paraId="121E0490">
      <w:pPr>
        <w:pStyle w:val="56"/>
        <w:spacing w:line="360" w:lineRule="auto"/>
        <w:ind w:firstLine="420"/>
      </w:pPr>
      <w:r>
        <w:rPr>
          <w:rFonts w:hint="eastAsia"/>
        </w:rPr>
        <w:t>变更后再评价的深度应与变更风险相匹配，至少应确认方法检出能力、基质效应与批间稳定性不劣于原受控状态，并更新适用性声明、版本记录与必要的培训授权记录。</w:t>
      </w:r>
    </w:p>
    <w:p w14:paraId="05584C6B">
      <w:pPr>
        <w:pStyle w:val="104"/>
        <w:spacing w:before="240" w:after="240" w:line="360" w:lineRule="auto"/>
      </w:pPr>
      <w:bookmarkStart w:id="55" w:name="_Toc220228680"/>
      <w:r>
        <w:rPr>
          <w:rFonts w:hint="eastAsia"/>
        </w:rPr>
        <w:t>结果判定与确证衔接</w:t>
      </w:r>
      <w:bookmarkEnd w:id="55"/>
    </w:p>
    <w:p w14:paraId="021DD5E0">
      <w:pPr>
        <w:pStyle w:val="105"/>
        <w:spacing w:before="120" w:after="120" w:line="360" w:lineRule="auto"/>
      </w:pPr>
      <w:r>
        <w:rPr>
          <w:rFonts w:hint="eastAsia"/>
        </w:rPr>
        <w:t>筛查结果分级</w:t>
      </w:r>
    </w:p>
    <w:p w14:paraId="73097625">
      <w:pPr>
        <w:pStyle w:val="165"/>
        <w:spacing w:line="360" w:lineRule="auto"/>
      </w:pPr>
      <w:r>
        <w:rPr>
          <w:rFonts w:hint="eastAsia"/>
        </w:rPr>
        <w:t>为兼顾效率与风险控制，筛查结果宜采用“阴性、可疑、阳性/高风险”分级表达。分级应以受控阈值与证据强度为基础，并结合目标物风险等级、基质干扰特征与批次质控状态进行判定。分级规则应在方法适用性文件中明确，并在方法、设备、阈值策略或基质类别变化时同步更新。</w:t>
      </w:r>
    </w:p>
    <w:p w14:paraId="06F9342F">
      <w:pPr>
        <w:pStyle w:val="165"/>
        <w:spacing w:line="360" w:lineRule="auto"/>
      </w:pPr>
      <w:r>
        <w:rPr>
          <w:rFonts w:hint="eastAsia"/>
        </w:rPr>
        <w:t>阴性是指在批次质控合格前提下，样品响应低于筛查阈值或不满足最低证据要求，且不存在需要提示的异常特征。可疑是指样品出现接近阈值的响应、证据链不充分但存在风险提示、或受到基质干扰影响导致判定不稳定，需要通过复核或更强证据方法进一步确认。阳性/高风险是指样品响应满足或超过阈值且证据链达到预设水平，或者目标物属于高危类别且出现明确异常信号，应进入确证环节形成最终判定证据。</w:t>
      </w:r>
    </w:p>
    <w:p w14:paraId="1DDB0C10">
      <w:pPr>
        <w:pStyle w:val="105"/>
        <w:spacing w:before="120" w:after="120" w:line="360" w:lineRule="auto"/>
      </w:pPr>
      <w:r>
        <w:rPr>
          <w:rFonts w:hint="eastAsia"/>
        </w:rPr>
        <w:t>复核要求</w:t>
      </w:r>
    </w:p>
    <w:p w14:paraId="4F2D0F7D">
      <w:pPr>
        <w:pStyle w:val="165"/>
        <w:spacing w:line="360" w:lineRule="auto"/>
      </w:pPr>
      <w:r>
        <w:rPr>
          <w:rFonts w:hint="eastAsia"/>
        </w:rPr>
        <w:t>复核用于确认筛查结果的稳定性，排除偶发误差、操作偏差与批次漂移。复核可采用同一筛查方法的重复检测，也可采用等效或证据强度更高的筛查方法进行验证，具体由目标物风险等级与误判成本决定。复核应优先使用同源留样或同批次留样，确保样品一致性；当复核与原筛查结论不一致时，应开展原因分析，重点排查前处理、基质干扰、仪器漂移、积分规则与污染风险，并在必要时扩大复核范围或转入确证。</w:t>
      </w:r>
    </w:p>
    <w:p w14:paraId="43BCE0F5">
      <w:pPr>
        <w:pStyle w:val="165"/>
        <w:spacing w:line="360" w:lineRule="auto"/>
      </w:pPr>
      <w:r>
        <w:rPr>
          <w:rFonts w:hint="eastAsia"/>
        </w:rPr>
        <w:t>复核结论一般可形成三类输出：否定（复核未支持可疑/阳性信号，可按阴性处理并归档原因说明）、维持可疑（信号存在但证据不足或结果波动，需要进入确证或追加复核）、确认（复核支持筛查阳性或高风险，应触发确证）。复核不应替代确证，当后续需要形成最终合格性结论时，仍应进入确证环节。</w:t>
      </w:r>
    </w:p>
    <w:p w14:paraId="1A008BB6">
      <w:pPr>
        <w:pStyle w:val="105"/>
        <w:spacing w:before="120" w:after="120" w:line="360" w:lineRule="auto"/>
      </w:pPr>
      <w:r>
        <w:rPr>
          <w:rFonts w:hint="eastAsia"/>
        </w:rPr>
        <w:t>确证触发与优先级</w:t>
      </w:r>
    </w:p>
    <w:p w14:paraId="6DC22FDA">
      <w:pPr>
        <w:pStyle w:val="165"/>
        <w:spacing w:line="360" w:lineRule="auto"/>
      </w:pPr>
      <w:r>
        <w:rPr>
          <w:rFonts w:hint="eastAsia"/>
        </w:rPr>
        <w:t>确证触发条件应与目标物风险等级、法规限量要求以及筛查证据强度相匹配。对高危风险因子、敏感人群相关因子或对社会影响较大的因子，确证应采取“快速触发、优先处置”的策略；对低危因子或趋势监测因子，可在保证不漏判的前提下优化确证资源投入。</w:t>
      </w:r>
    </w:p>
    <w:p w14:paraId="42A5F14A">
      <w:pPr>
        <w:pStyle w:val="165"/>
        <w:spacing w:line="360" w:lineRule="auto"/>
      </w:pPr>
      <w:r>
        <w:rPr>
          <w:rFonts w:hint="eastAsia"/>
        </w:rPr>
        <w:t>确证触发通常包括以下情形：筛查判定为阳性/高风险；筛查判定为可疑且复核仍维持可疑或确认；同批次出现系统性异常提示可能存在批次污染或供应链问题；应急事件或监管专项要求明确需要确证支撑处置；疑似/非靶向筛查提示具有较高证据等级且风险评估认为有必要进一步确认。</w:t>
      </w:r>
    </w:p>
    <w:p w14:paraId="5DFCD844">
      <w:pPr>
        <w:pStyle w:val="165"/>
        <w:spacing w:line="360" w:lineRule="auto"/>
      </w:pPr>
      <w:r>
        <w:rPr>
          <w:rFonts w:hint="eastAsia"/>
        </w:rPr>
        <w:t>确证的优先级应综合考虑目标物危害性、暴露可能性、样品流通范围与处置时效要求，并形成可执行的优先级规则。</w:t>
      </w:r>
    </w:p>
    <w:p w14:paraId="7D6FBADD">
      <w:pPr>
        <w:pStyle w:val="105"/>
        <w:spacing w:before="120" w:after="120" w:line="360" w:lineRule="auto"/>
      </w:pPr>
      <w:r>
        <w:rPr>
          <w:rFonts w:hint="eastAsia"/>
        </w:rPr>
        <w:t>批次质控异常与判定限制</w:t>
      </w:r>
    </w:p>
    <w:p w14:paraId="3E9C86CD">
      <w:pPr>
        <w:pStyle w:val="165"/>
        <w:spacing w:line="360" w:lineRule="auto"/>
      </w:pPr>
      <w:r>
        <w:rPr>
          <w:rFonts w:hint="eastAsia"/>
        </w:rPr>
        <w:t>当批次质控不合格或出现足以影响判定的漂移、污染或系统适用性失控时，该批次的筛查结论应视为受限结论，不得直接用于放行或处置决策。实施单位应先完成异常处置与批次有效性恢复，包括停批、排查、纠正、重新校准、必要时重做前处理与复测。</w:t>
      </w:r>
    </w:p>
    <w:p w14:paraId="0FFB38C8">
      <w:pPr>
        <w:pStyle w:val="165"/>
        <w:spacing w:line="360" w:lineRule="auto"/>
      </w:pPr>
      <w:r>
        <w:rPr>
          <w:rFonts w:hint="eastAsia"/>
        </w:rPr>
        <w:t>对已产生的可疑或阳性信号，在质控失控条件下应谨慎解读，原则上应在恢复受控状态后使用留样重新筛查，或直接进入确证环节以获得独立证据。</w:t>
      </w:r>
    </w:p>
    <w:p w14:paraId="1D076EA3">
      <w:pPr>
        <w:pStyle w:val="165"/>
        <w:spacing w:line="360" w:lineRule="auto"/>
      </w:pPr>
      <w:r>
        <w:rPr>
          <w:rFonts w:hint="eastAsia"/>
        </w:rPr>
        <w:t>若质控异常仅影响部分目标物或部分基质组，应明确影响范围并对相关结论进行限制性声明，避免对不受影响的目标物或样品结论造成不必要的扩大否定或扩大确认。</w:t>
      </w:r>
    </w:p>
    <w:p w14:paraId="549D2864">
      <w:pPr>
        <w:pStyle w:val="105"/>
        <w:spacing w:before="120" w:after="120" w:line="360" w:lineRule="auto"/>
      </w:pPr>
      <w:r>
        <w:rPr>
          <w:rFonts w:hint="eastAsia"/>
        </w:rPr>
        <w:t>结果报告与边界声明</w:t>
      </w:r>
    </w:p>
    <w:p w14:paraId="276AE2D2">
      <w:pPr>
        <w:pStyle w:val="165"/>
        <w:spacing w:line="360" w:lineRule="auto"/>
      </w:pPr>
      <w:r>
        <w:rPr>
          <w:rFonts w:hint="eastAsia"/>
        </w:rPr>
        <w:t>筛查报告应明确其“筛查属性”，并保证报告信息足以支撑后续确证与处置。报告应至少包含样品信息、检测方法与版本、目标物清单与版本、筛查阈值或行动水平及其依据、质控结论、结果分级、需要复核/确证的建议以及必要的不确定性说明。</w:t>
      </w:r>
    </w:p>
    <w:p w14:paraId="67F3DA58">
      <w:pPr>
        <w:pStyle w:val="165"/>
        <w:spacing w:line="360" w:lineRule="auto"/>
      </w:pPr>
      <w:r>
        <w:rPr>
          <w:rFonts w:hint="eastAsia"/>
        </w:rPr>
        <w:t>对可疑或阳性/高风险样品，应在报告中明确后续动作（复核、确证、留样、封存或溯源建议等）以及触发依据。</w:t>
      </w:r>
    </w:p>
    <w:p w14:paraId="2316640C">
      <w:pPr>
        <w:pStyle w:val="165"/>
        <w:spacing w:line="360" w:lineRule="auto"/>
      </w:pPr>
      <w:r>
        <w:rPr>
          <w:rFonts w:hint="eastAsia"/>
        </w:rPr>
        <w:t>对疑似筛查或非靶向筛查的提示性结果，报告应以证据等级方式呈现，并说明该结果尚未达到确证判定条件；除非已完成标准品对照或确证方法验证，否则不得使用“检出并超标”“不合格”等确定性表述。对批次质控异常情形，报告应明确批次有效性状态与结论限制条件，防止误用。</w:t>
      </w:r>
    </w:p>
    <w:p w14:paraId="487C95DA">
      <w:pPr>
        <w:pStyle w:val="105"/>
        <w:spacing w:before="120" w:after="120" w:line="360" w:lineRule="auto"/>
      </w:pPr>
      <w:r>
        <w:rPr>
          <w:rFonts w:hint="eastAsia"/>
        </w:rPr>
        <w:t>记录与追溯</w:t>
      </w:r>
    </w:p>
    <w:p w14:paraId="5FE01F1B">
      <w:pPr>
        <w:pStyle w:val="56"/>
        <w:spacing w:line="360" w:lineRule="auto"/>
        <w:ind w:firstLine="420"/>
      </w:pPr>
      <w:r>
        <w:rPr>
          <w:rFonts w:hint="eastAsia"/>
        </w:rPr>
        <w:t>结果判定与确证衔接过程应形成可追溯记录，确保从筛查信号到最终处置的每一步都有证据支持。记录应包含筛查原始数据与处理数据、阈值与判定依据、复核计划与复核结果、确证触发记录、样品留样与流转记录、异常处置记录以及最终报告与审批记录。对涉及监管处置或重大风险事件的，应强化数据备份与审计追踪，并确保记录保存期限满足监管与合同要求。</w:t>
      </w:r>
    </w:p>
    <w:bookmarkEnd w:id="26"/>
    <w:p w14:paraId="2F9CE278">
      <w:pPr>
        <w:pStyle w:val="56"/>
        <w:ind w:firstLine="0" w:firstLineChars="0"/>
        <w:jc w:val="center"/>
      </w:pPr>
      <w:bookmarkStart w:id="56" w:name="BookMark8"/>
      <w:r>
        <w:rPr>
          <w:rFonts w:hint="eastAsia"/>
        </w:rPr>
        <w:drawing>
          <wp:inline distT="0" distB="0" distL="0" distR="0">
            <wp:extent cx="1485900" cy="317500"/>
            <wp:effectExtent l="0" t="0" r="0" b="6350"/>
            <wp:docPr id="216110496" name="图片 6"/>
            <wp:cNvGraphicFramePr/>
            <a:graphic xmlns:a="http://schemas.openxmlformats.org/drawingml/2006/main">
              <a:graphicData uri="http://schemas.openxmlformats.org/drawingml/2006/picture">
                <pic:pic xmlns:pic="http://schemas.openxmlformats.org/drawingml/2006/picture">
                  <pic:nvPicPr>
                    <pic:cNvPr id="216110496" name="图片 6"/>
                    <pic:cNvPicPr/>
                  </pic:nvPicPr>
                  <pic:blipFill>
                    <a:blip r:embed="rId3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6"/>
    </w:p>
    <w:sectPr>
      <w:headerReference r:id="rId24" w:type="default"/>
      <w:footerReference r:id="rId26" w:type="default"/>
      <w:headerReference r:id="rId25" w:type="even"/>
      <w:footerReference r:id="rId27"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05DCE">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AC8EE">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CA71E">
    <w:pPr>
      <w:pStyle w:val="51"/>
    </w:pPr>
    <w:r>
      <w:fldChar w:fldCharType="begin"/>
    </w:r>
    <w:r>
      <w:instrText xml:space="preserve"> PAGE   \* MERGEFORMAT \* MERGEFORMAT </w:instrText>
    </w:r>
    <w:r>
      <w:fldChar w:fldCharType="separate"/>
    </w:r>
    <w: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3E4E5">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AE900">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3ED8C">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D942A">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CD531">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7B24F">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0200—2026</w:t>
    </w:r>
    <w:r>
      <w:rPr>
        <w:rFonts w:hint="eastAsia"/>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D6AFB">
    <w:pPr>
      <w:pStyle w:val="61"/>
    </w:pPr>
    <w:r>
      <w:fldChar w:fldCharType="begin"/>
    </w:r>
    <w:r>
      <w:instrText xml:space="preserve"> STYLEREF  标准文件_文件编号  \* MERGEFORMAT </w:instrText>
    </w:r>
    <w:r>
      <w:fldChar w:fldCharType="separate"/>
    </w:r>
    <w:r>
      <w:t>T/XJBX 0200—2026</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D1811">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0200—2026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3827C">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0200—2026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0200—2026</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31D22">
    <w:pPr>
      <w:pStyle w:val="61"/>
    </w:pPr>
    <w:r>
      <w:fldChar w:fldCharType="begin"/>
    </w:r>
    <w:r>
      <w:instrText xml:space="preserve"> STYLEREF  标准文件_文件编号  \* MERGEFORMAT </w:instrText>
    </w:r>
    <w:r>
      <w:fldChar w:fldCharType="separate"/>
    </w:r>
    <w:r>
      <w:t>T/XJBX 0200—2026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32841">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0200—2026</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D855D">
    <w:pPr>
      <w:pStyle w:val="61"/>
    </w:pPr>
    <w:r>
      <w:fldChar w:fldCharType="begin"/>
    </w:r>
    <w:r>
      <w:instrText xml:space="preserve"> STYLEREF  标准文件_文件编号  \* MERGEFORMAT </w:instrText>
    </w:r>
    <w:r>
      <w:fldChar w:fldCharType="separate"/>
    </w:r>
    <w:r>
      <w:t>T/XJBX 0200—2026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6096"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wUAj7mn8CwAAAA="/>
  </w:docVars>
  <w:rsids>
    <w:rsidRoot w:val="00EB4D3D"/>
    <w:rsid w:val="0000040A"/>
    <w:rsid w:val="00000A94"/>
    <w:rsid w:val="00001972"/>
    <w:rsid w:val="00001D9A"/>
    <w:rsid w:val="00001FE9"/>
    <w:rsid w:val="00007B3A"/>
    <w:rsid w:val="000107E0"/>
    <w:rsid w:val="00011FDE"/>
    <w:rsid w:val="0001232B"/>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0CBA"/>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C19"/>
    <w:rsid w:val="002B7F51"/>
    <w:rsid w:val="002C09E7"/>
    <w:rsid w:val="002C1E06"/>
    <w:rsid w:val="002C3F07"/>
    <w:rsid w:val="002C5278"/>
    <w:rsid w:val="002C7EBB"/>
    <w:rsid w:val="002D06C1"/>
    <w:rsid w:val="002D42B5"/>
    <w:rsid w:val="002D4F1A"/>
    <w:rsid w:val="002D6EC6"/>
    <w:rsid w:val="002D7261"/>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28B"/>
    <w:rsid w:val="003E49F6"/>
    <w:rsid w:val="003E660F"/>
    <w:rsid w:val="003F0841"/>
    <w:rsid w:val="003F23D3"/>
    <w:rsid w:val="003F3F08"/>
    <w:rsid w:val="003F49F1"/>
    <w:rsid w:val="003F6272"/>
    <w:rsid w:val="00400E72"/>
    <w:rsid w:val="00401400"/>
    <w:rsid w:val="00401635"/>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692B"/>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CCC"/>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2953"/>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8748F"/>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399B"/>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A4"/>
    <w:rsid w:val="00B758BF"/>
    <w:rsid w:val="00B77EC8"/>
    <w:rsid w:val="00B827A6"/>
    <w:rsid w:val="00B831CE"/>
    <w:rsid w:val="00B86677"/>
    <w:rsid w:val="00B87131"/>
    <w:rsid w:val="00B939B1"/>
    <w:rsid w:val="00B96D40"/>
    <w:rsid w:val="00B97386"/>
    <w:rsid w:val="00BA1CE6"/>
    <w:rsid w:val="00BA263B"/>
    <w:rsid w:val="00BA42B2"/>
    <w:rsid w:val="00BA58D4"/>
    <w:rsid w:val="00BA5B9E"/>
    <w:rsid w:val="00BA7775"/>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41C3"/>
    <w:rsid w:val="00BF51E5"/>
    <w:rsid w:val="00BF74A6"/>
    <w:rsid w:val="00C013AD"/>
    <w:rsid w:val="00C04904"/>
    <w:rsid w:val="00C056B3"/>
    <w:rsid w:val="00C103E5"/>
    <w:rsid w:val="00C13319"/>
    <w:rsid w:val="00C13EE9"/>
    <w:rsid w:val="00C14204"/>
    <w:rsid w:val="00C21540"/>
    <w:rsid w:val="00C21906"/>
    <w:rsid w:val="00C21BFA"/>
    <w:rsid w:val="00C24C8D"/>
    <w:rsid w:val="00C25FE2"/>
    <w:rsid w:val="00C26B53"/>
    <w:rsid w:val="00C27105"/>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6570A"/>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219B"/>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C784F"/>
    <w:rsid w:val="00FD00E6"/>
    <w:rsid w:val="00FD09A1"/>
    <w:rsid w:val="00FD2A7C"/>
    <w:rsid w:val="00FD531A"/>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68886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glossaryDocument" Target="glossary/document.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4.jpeg"/><Relationship Id="rId31" Type="http://schemas.openxmlformats.org/officeDocument/2006/relationships/image" Target="media/image3.png"/><Relationship Id="rId30" Type="http://schemas.openxmlformats.org/officeDocument/2006/relationships/image" Target="media/image2.png"/><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1.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3ED590B3">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7DBF861E">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16C2254B">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23075D"/>
    <w:rsid w:val="00232C79"/>
    <w:rsid w:val="003356F4"/>
    <w:rsid w:val="004F3D55"/>
    <w:rsid w:val="005E6634"/>
    <w:rsid w:val="007146E1"/>
    <w:rsid w:val="007A4AE1"/>
    <w:rsid w:val="00AE1DC6"/>
    <w:rsid w:val="00B23C0A"/>
    <w:rsid w:val="00B758A4"/>
    <w:rsid w:val="00BF41C3"/>
    <w:rsid w:val="00D3115F"/>
    <w:rsid w:val="00E51851"/>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19</Pages>
  <Words>5817</Words>
  <Characters>6175</Characters>
  <Lines>83</Lines>
  <Paragraphs>23</Paragraphs>
  <TotalTime>125</TotalTime>
  <ScaleCrop>false</ScaleCrop>
  <LinksUpToDate>false</LinksUpToDate>
  <CharactersWithSpaces>6298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2026-01-27T09:04:21Z</dcterms:modified>
  <dc:title>团体标准</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89BD256210E74D768CF57D8DEB02E3C5_12</vt:lpwstr>
  </property>
</Properties>
</file>