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5.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25.020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J 31"/>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J 31</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99"/>
            </w:textInput>
          </w:ffData>
        </w:fldChar>
      </w:r>
      <w:bookmarkStart w:id="6" w:name="NSTD_CODE_F"/>
      <w:r>
        <w:instrText xml:space="preserve"> FORMTEXT </w:instrText>
      </w:r>
      <w:r>
        <w:fldChar w:fldCharType="separate"/>
      </w:r>
      <w:r>
        <w:t>0199</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4FBBF6B7">
      <w:pPr>
        <w:pStyle w:val="197"/>
        <w:framePr w:h="6974" w:hRule="exact" w:wrap="around" w:x="1419" w:anchorLock="1"/>
      </w:pPr>
      <w:r>
        <w:fldChar w:fldCharType="begin">
          <w:ffData>
            <w:name w:val="CSTD_NAME"/>
            <w:enabled/>
            <w:calcOnExit w:val="0"/>
            <w:textInput>
              <w:default w:val="复杂机械零件 3D打印工艺参数优化与成型技术规范"/>
            </w:textInput>
          </w:ffData>
        </w:fldChar>
      </w:r>
      <w:bookmarkStart w:id="9" w:name="CSTD_NAME"/>
      <w:r>
        <w:instrText xml:space="preserve"> FORMTEXT </w:instrText>
      </w:r>
      <w:r>
        <w:fldChar w:fldCharType="separate"/>
      </w:r>
      <w:r>
        <w:t>复杂机械零件</w:t>
      </w:r>
    </w:p>
    <w:p w14:paraId="73594FE6">
      <w:pPr>
        <w:pStyle w:val="197"/>
        <w:framePr w:h="6974" w:hRule="exact" w:wrap="around" w:x="1419" w:anchorLock="1"/>
      </w:pPr>
      <w:r>
        <w:t>3D打印工艺参数优化与成型技术规范</w:t>
      </w:r>
      <w:r>
        <w:fldChar w:fldCharType="end"/>
      </w:r>
      <w:bookmarkEnd w:id="9"/>
    </w:p>
    <w:p w14:paraId="445B16AD">
      <w:pPr>
        <w:framePr w:w="9639" w:h="6974" w:hRule="exact" w:wrap="around" w:vAnchor="page" w:hAnchor="page" w:x="1419" w:y="6408" w:anchorLock="1"/>
        <w:ind w:left="-1418"/>
      </w:pPr>
    </w:p>
    <w:p w14:paraId="7EED507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mplex mechanical parts—Specification of 3D printing process parameter optimization and forming technology"/>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Complex mechanical parts—</w:t>
      </w: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t>Specification of 3D printing process parameter optimization and forming technology</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688AB9B">
      <w:pPr>
        <w:pStyle w:val="91"/>
        <w:spacing w:after="360"/>
      </w:pPr>
      <w:bookmarkStart w:id="21" w:name="BookMark1"/>
      <w:r>
        <w:rPr>
          <w:rFonts w:hint="eastAsia"/>
          <w:spacing w:val="320"/>
        </w:rPr>
        <w:t>目</w:t>
      </w:r>
      <w:r>
        <w:rPr>
          <w:rFonts w:hint="eastAsia"/>
        </w:rPr>
        <w:t>次</w:t>
      </w:r>
    </w:p>
    <w:p w14:paraId="161C0D2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"_Toc220077733"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_Toc220077733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D30F7D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"_Toc220077734"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_Toc220077734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6AA0E42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"_Toc220077735"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_Toc220077735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95E497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"_Toc220077736"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_Toc220077736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1365AF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"_Toc220077737"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_Toc220077737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D4D6B2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"_Toc220077738"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_Toc220077738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E15CAC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"_Toc220077739" </w:instrText>
      </w:r>
      <w:r>
        <w:fldChar w:fldCharType="separate"/>
      </w:r>
      <w:r>
        <w:rPr>
          <w:rStyle w:val="32"/>
          <w:rFonts w:hint="eastAsia"/>
        </w:rPr>
        <w:t>5</w:t>
      </w:r>
      <w:r>
        <w:rPr>
          <w:rStyle w:val="32"/>
        </w:rPr>
        <w:t xml:space="preserve"> </w:t>
      </w:r>
      <w:r>
        <w:rPr>
          <w:rStyle w:val="32"/>
          <w:rFonts w:hint="eastAsia"/>
        </w:rPr>
        <w:t xml:space="preserve"> 参数分类优化</w:t>
      </w:r>
      <w:r>
        <w:rPr>
          <w:rFonts w:hint="eastAsia"/>
        </w:rPr>
        <w:tab/>
      </w:r>
      <w:r>
        <w:rPr>
          <w:rFonts w:hint="eastAsia"/>
        </w:rPr>
        <w:fldChar w:fldCharType="begin"/>
      </w:r>
      <w:r>
        <w:rPr>
          <w:rFonts w:hint="eastAsia"/>
        </w:rPr>
        <w:instrText xml:space="preserve"> </w:instrText>
      </w:r>
      <w:r>
        <w:instrText xml:space="preserve">PAGEREF _Toc220077739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5122DC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"_Toc220077740" </w:instrText>
      </w:r>
      <w:r>
        <w:fldChar w:fldCharType="separate"/>
      </w:r>
      <w:r>
        <w:rPr>
          <w:rStyle w:val="32"/>
          <w:rFonts w:hint="eastAsia"/>
        </w:rPr>
        <w:t>6</w:t>
      </w:r>
      <w:r>
        <w:rPr>
          <w:rStyle w:val="32"/>
        </w:rPr>
        <w:t xml:space="preserve"> </w:t>
      </w:r>
      <w:r>
        <w:rPr>
          <w:rStyle w:val="32"/>
          <w:rFonts w:hint="eastAsia"/>
        </w:rPr>
        <w:t xml:space="preserve"> 成形过程控制</w:t>
      </w:r>
      <w:r>
        <w:rPr>
          <w:rFonts w:hint="eastAsia"/>
        </w:rPr>
        <w:tab/>
      </w:r>
      <w:r>
        <w:rPr>
          <w:rFonts w:hint="eastAsia"/>
        </w:rPr>
        <w:fldChar w:fldCharType="begin"/>
      </w:r>
      <w:r>
        <w:rPr>
          <w:rFonts w:hint="eastAsia"/>
        </w:rPr>
        <w:instrText xml:space="preserve"> </w:instrText>
      </w:r>
      <w:r>
        <w:instrText xml:space="preserve">PAGEREF _Toc220077740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5732F8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"_Toc220077741" </w:instrText>
      </w:r>
      <w:r>
        <w:fldChar w:fldCharType="separate"/>
      </w:r>
      <w:r>
        <w:rPr>
          <w:rStyle w:val="32"/>
          <w:rFonts w:hint="eastAsia"/>
        </w:rPr>
        <w:t>7</w:t>
      </w:r>
      <w:r>
        <w:rPr>
          <w:rStyle w:val="32"/>
        </w:rPr>
        <w:t xml:space="preserve"> </w:t>
      </w:r>
      <w:r>
        <w:rPr>
          <w:rStyle w:val="32"/>
          <w:rFonts w:hint="eastAsia"/>
        </w:rPr>
        <w:t xml:space="preserve"> 后处理缺陷控制</w:t>
      </w:r>
      <w:r>
        <w:rPr>
          <w:rFonts w:hint="eastAsia"/>
        </w:rPr>
        <w:tab/>
      </w:r>
      <w:r>
        <w:rPr>
          <w:rFonts w:hint="eastAsia"/>
        </w:rPr>
        <w:fldChar w:fldCharType="begin"/>
      </w:r>
      <w:r>
        <w:rPr>
          <w:rFonts w:hint="eastAsia"/>
        </w:rPr>
        <w:instrText xml:space="preserve"> </w:instrText>
      </w:r>
      <w:r>
        <w:instrText xml:space="preserve">PAGEREF _Toc220077741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EF3B1D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"_Toc220077742" </w:instrText>
      </w:r>
      <w:r>
        <w:fldChar w:fldCharType="separate"/>
      </w:r>
      <w:r>
        <w:rPr>
          <w:rStyle w:val="32"/>
          <w:rFonts w:hint="eastAsia"/>
        </w:rPr>
        <w:t>8</w:t>
      </w:r>
      <w:r>
        <w:rPr>
          <w:rStyle w:val="32"/>
        </w:rPr>
        <w:t xml:space="preserve"> </w:t>
      </w:r>
      <w:r>
        <w:rPr>
          <w:rStyle w:val="32"/>
          <w:rFonts w:hint="eastAsia"/>
        </w:rPr>
        <w:t xml:space="preserve"> 检测评价</w:t>
      </w:r>
      <w:r>
        <w:rPr>
          <w:rFonts w:hint="eastAsia"/>
        </w:rPr>
        <w:tab/>
      </w:r>
      <w:r>
        <w:rPr>
          <w:rFonts w:hint="eastAsia"/>
        </w:rPr>
        <w:fldChar w:fldCharType="begin"/>
      </w:r>
      <w:r>
        <w:rPr>
          <w:rFonts w:hint="eastAsia"/>
        </w:rPr>
        <w:instrText xml:space="preserve"> </w:instrText>
      </w:r>
      <w:r>
        <w:instrText xml:space="preserve">PAGEREF _Toc220077742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45F9CCA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"_Toc220077743" </w:instrText>
      </w:r>
      <w:r>
        <w:fldChar w:fldCharType="separate"/>
      </w:r>
      <w:r>
        <w:rPr>
          <w:rStyle w:val="32"/>
          <w:rFonts w:hint="eastAsia"/>
        </w:rPr>
        <w:t>9</w:t>
      </w:r>
      <w:r>
        <w:rPr>
          <w:rStyle w:val="32"/>
        </w:rPr>
        <w:t xml:space="preserve"> </w:t>
      </w:r>
      <w:r>
        <w:rPr>
          <w:rStyle w:val="32"/>
          <w:rFonts w:hint="eastAsia"/>
        </w:rPr>
        <w:t xml:space="preserve"> 追溯管理</w:t>
      </w:r>
      <w:r>
        <w:rPr>
          <w:rFonts w:hint="eastAsia"/>
        </w:rPr>
        <w:tab/>
      </w:r>
      <w:r>
        <w:rPr>
          <w:rFonts w:hint="eastAsia"/>
        </w:rPr>
        <w:fldChar w:fldCharType="begin"/>
      </w:r>
      <w:r>
        <w:rPr>
          <w:rFonts w:hint="eastAsia"/>
        </w:rPr>
        <w:instrText xml:space="preserve"> </w:instrText>
      </w:r>
      <w:r>
        <w:instrText xml:space="preserve">PAGEREF _Toc220077743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46DA229E">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007773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55EC6792">
      <w:pPr>
        <w:pStyle w:val="56"/>
        <w:spacing w:line="360" w:lineRule="auto"/>
        <w:ind w:firstLine="420"/>
      </w:pPr>
      <w:r>
        <w:rPr>
          <w:rFonts w:hint="eastAsia"/>
        </w:rPr>
        <w:t>本文件起草单位：浙江机电职业技术大学</w:t>
      </w:r>
      <w:bookmarkStart w:id="58" w:name="_GoBack"/>
      <w:bookmarkEnd w:id="58"/>
      <w:r>
        <w:rPr>
          <w:rFonts w:hint="eastAsia"/>
        </w:rPr>
        <w:t>。</w:t>
      </w:r>
    </w:p>
    <w:p w14:paraId="55F4A5D1">
      <w:pPr>
        <w:pStyle w:val="56"/>
        <w:spacing w:line="360" w:lineRule="auto"/>
        <w:ind w:firstLine="420"/>
      </w:pPr>
      <w:r>
        <w:rPr>
          <w:rFonts w:hint="eastAsia"/>
        </w:rPr>
        <w:t>本文件主要起草人：祝勇仁。</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0077734"/>
      <w:bookmarkStart w:id="25" w:name="BookMark3"/>
      <w:r>
        <w:rPr>
          <w:spacing w:val="320"/>
        </w:rPr>
        <w:t>引</w:t>
      </w:r>
      <w:r>
        <w:t>言</w:t>
      </w:r>
      <w:bookmarkEnd w:id="24"/>
    </w:p>
    <w:p w14:paraId="14C25A87">
      <w:pPr>
        <w:pStyle w:val="56"/>
        <w:spacing w:line="360" w:lineRule="auto"/>
        <w:ind w:firstLine="420"/>
      </w:pPr>
      <w:r>
        <w:rPr>
          <w:rFonts w:hint="eastAsia"/>
        </w:rPr>
        <w:t>增材制造技术（3D打印）在复杂机械零件的轻量化设计、功能集成、快速迭代与小批量定制等方面具有显著优势，已在航空航天、能源动力、汽车装备、精密仪器与高端制造等领域得到广泛应用。复杂机械零件通常具有薄壁结构、内流道、异形孔槽、点阵与拓扑优化结构等特征，传统减材加工在可制造性、材料利用率与制造周期方面存在局限，而3D打印能够显著降低结构实现门槛并缩短研发周期。然而，复杂零件对成型质量与一致性的要求更高，且制造过程受材料特性、设备能力、工艺窗口、热历史与路径策略等多因素耦合影响，容易出现翘曲变形、残余应力集中、孔隙与未熔合、裂纹、表面粗糙度超差、尺寸偏差、组织不均与性能离散等问题，导致返工成本上升、交付周期延长与可靠性风险增加。</w:t>
      </w:r>
    </w:p>
    <w:p w14:paraId="496D14DE">
      <w:pPr>
        <w:pStyle w:val="56"/>
        <w:spacing w:line="360" w:lineRule="auto"/>
        <w:ind w:firstLine="420"/>
      </w:pPr>
      <w:r>
        <w:rPr>
          <w:rFonts w:hint="eastAsia"/>
        </w:rPr>
        <w:t>当前行业实践中，3D打印工艺参数优化往往依赖经验与试错，缺乏统一的优化流程、评价指标体系与验证方法；不同设备、不同材料体系与不同零件几何特征之间的参数可迁移性有限，参数记录与版本管理不完善也会削弱可追溯性与稳定复现能力。此外，复杂零件通常需要综合考虑成型方向、支撑设计、扫描策略、层厚与能量密度、预热与气氛控制、热处理与后处理等全流程要素，仅对单一参数进行局部优化难以保证综合性能最优。</w:t>
      </w:r>
    </w:p>
    <w:p w14:paraId="7F4A69FE">
      <w:pPr>
        <w:pStyle w:val="56"/>
        <w:spacing w:line="360" w:lineRule="auto"/>
        <w:ind w:firstLine="420"/>
      </w:pPr>
      <w:r>
        <w:rPr>
          <w:rFonts w:hint="eastAsia"/>
        </w:rPr>
        <w:t>为提升复杂机械零件3D打印过程的可控性、可重复性与交付一致性，有必要建立覆盖材料选用、工艺参数优化、成型过程控制、质量检测与性能评价、数据记录与追溯管理的技术规范。本文件旨在规定复杂机械零件3D打印工艺参数优化与成型的术语、总体要求、参数优化方法、成型技术要求、质量检验与性能评价、过程记录与质量追溯等内容，为设计单位、制造单位、检测机构与用户单位提供统一依据。通过实施本文件，可提升工艺开发效率，降低缺陷率与性能离散，增强产品一致性与可靠性，并支撑增材制造在复杂零件工程化应用中的规模化推广。</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30C69187">
          <w:pPr>
            <w:pStyle w:val="177"/>
            <w:spacing w:after="0"/>
          </w:pPr>
          <w:bookmarkStart w:id="27" w:name="NEW_STAND_NAME"/>
          <w:r>
            <w:rPr>
              <w:rFonts w:hint="eastAsia"/>
            </w:rPr>
            <w:t>复杂机械零件</w:t>
          </w:r>
        </w:p>
        <w:p w14:paraId="7D4E3E1F">
          <w:pPr>
            <w:pStyle w:val="177"/>
            <w:spacing w:before="0"/>
          </w:pPr>
          <w:r>
            <w:rPr>
              <w:rFonts w:hint="eastAsia"/>
            </w:rPr>
            <w:t>3D打印工艺参数优化与成型技术规范</w:t>
          </w:r>
        </w:p>
      </w:sdtContent>
    </w:sdt>
    <w:bookmarkEnd w:id="27"/>
    <w:p w14:paraId="3DB22445">
      <w:pPr>
        <w:pStyle w:val="104"/>
        <w:spacing w:before="240" w:after="240" w:line="360" w:lineRule="auto"/>
      </w:pPr>
      <w:bookmarkStart w:id="28" w:name="_Toc24884211"/>
      <w:bookmarkStart w:id="29" w:name="_Toc17233325"/>
      <w:bookmarkStart w:id="30" w:name="_Toc24884218"/>
      <w:bookmarkStart w:id="31" w:name="_Toc26648465"/>
      <w:bookmarkStart w:id="32" w:name="_Toc17233333"/>
      <w:bookmarkStart w:id="33" w:name="_Toc26986530"/>
      <w:bookmarkStart w:id="34" w:name="_Toc220077735"/>
      <w:bookmarkStart w:id="35" w:name="_Toc97192964"/>
      <w:bookmarkStart w:id="36" w:name="_Toc26718930"/>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7012D045">
      <w:pPr>
        <w:pStyle w:val="56"/>
        <w:spacing w:line="360" w:lineRule="auto"/>
        <w:ind w:firstLine="420"/>
      </w:pPr>
      <w:bookmarkStart w:id="38" w:name="_Toc17233334"/>
      <w:bookmarkStart w:id="39" w:name="_Toc24884212"/>
      <w:bookmarkStart w:id="40" w:name="_Toc24884219"/>
      <w:bookmarkStart w:id="41" w:name="_Toc26648466"/>
      <w:bookmarkStart w:id="42" w:name="_Toc17233326"/>
      <w:r>
        <w:rPr>
          <w:rFonts w:hint="eastAsia"/>
        </w:rPr>
        <w:t>本文件规定了复杂机械零件增材制造（3D打印）工艺参数优化与成型的总体要求、参数分类优化、成形过程控制、后处理缺陷控制、检测评价及追溯管理等内容。</w:t>
      </w:r>
    </w:p>
    <w:p w14:paraId="76265264">
      <w:pPr>
        <w:pStyle w:val="56"/>
        <w:spacing w:line="360" w:lineRule="auto"/>
        <w:ind w:firstLine="420"/>
      </w:pPr>
      <w:r>
        <w:rPr>
          <w:rFonts w:hint="eastAsia"/>
        </w:rPr>
        <w:t>本文件适用于采用粉床熔融类增材制造工艺以及金属定向能量沉积类工艺制造复杂机械零件的工艺开发与批量生产过程。</w:t>
      </w:r>
    </w:p>
    <w:p w14:paraId="3733B2AD">
      <w:pPr>
        <w:pStyle w:val="104"/>
        <w:spacing w:before="240" w:after="240" w:line="360" w:lineRule="auto"/>
      </w:pPr>
      <w:bookmarkStart w:id="43" w:name="_Toc26718931"/>
      <w:bookmarkStart w:id="44" w:name="_Toc26986531"/>
      <w:bookmarkStart w:id="45" w:name="_Toc97192965"/>
      <w:bookmarkStart w:id="46" w:name="_Toc220077736"/>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A7F860">
      <w:pPr>
        <w:pStyle w:val="56"/>
        <w:spacing w:line="360" w:lineRule="auto"/>
        <w:ind w:firstLine="420"/>
      </w:pPr>
      <w:r>
        <w:rPr>
          <w:rFonts w:hint="eastAsia"/>
        </w:rPr>
        <w:t>GB/T 1.1—</w:t>
      </w:r>
      <w:r>
        <w:t>2020</w:t>
      </w:r>
      <w:r>
        <w:rPr>
          <w:rFonts w:hint="eastAsia"/>
        </w:rPr>
        <w:t xml:space="preserve"> 标准化工作导则 </w:t>
      </w:r>
      <w:r>
        <w:t xml:space="preserve"> </w:t>
      </w:r>
      <w:r>
        <w:rPr>
          <w:rFonts w:hint="eastAsia"/>
        </w:rPr>
        <w:t>第1部分：标准化文件的结构和起草规则</w:t>
      </w:r>
    </w:p>
    <w:p w14:paraId="7FCA0D71">
      <w:pPr>
        <w:pStyle w:val="56"/>
        <w:spacing w:line="360" w:lineRule="auto"/>
        <w:ind w:firstLine="420"/>
      </w:pPr>
      <w:r>
        <w:t>GB/T 42156</w:t>
      </w:r>
      <w:r>
        <w:rPr>
          <w:rFonts w:hint="eastAsia"/>
        </w:rPr>
        <w:t>—</w:t>
      </w:r>
      <w:r>
        <w:t xml:space="preserve">2023 </w:t>
      </w:r>
      <w:r>
        <w:rPr>
          <w:rFonts w:hint="eastAsia"/>
        </w:rPr>
        <w:t>铸造砂型3D打印设备  通用技术规范</w:t>
      </w:r>
    </w:p>
    <w:p w14:paraId="51F02A4E">
      <w:pPr>
        <w:pStyle w:val="104"/>
        <w:spacing w:before="240" w:after="240" w:line="360" w:lineRule="auto"/>
      </w:pPr>
      <w:bookmarkStart w:id="48" w:name="_Toc220077737"/>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7335D5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复杂机械零件 complex mechanical part</w:t>
      </w:r>
    </w:p>
    <w:p w14:paraId="355E9D6A">
      <w:pPr>
        <w:pStyle w:val="56"/>
        <w:spacing w:line="360" w:lineRule="auto"/>
        <w:ind w:firstLine="420"/>
      </w:pPr>
      <w:r>
        <w:rPr>
          <w:rFonts w:hint="eastAsia"/>
        </w:rPr>
        <w:t>具有薄壁、内腔流道、异形孔槽、点阵结构、拓扑优化结构或多特征耦合等几何复杂度高、制造约束强、质量一致性要求高的工程零件。</w:t>
      </w:r>
    </w:p>
    <w:p w14:paraId="2DB2A49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增材制造 additive manufacturing</w:t>
      </w:r>
    </w:p>
    <w:p w14:paraId="1B996509">
      <w:pPr>
        <w:pStyle w:val="56"/>
        <w:spacing w:line="360" w:lineRule="auto"/>
        <w:ind w:firstLine="420"/>
      </w:pPr>
      <w:r>
        <w:rPr>
          <w:rFonts w:hint="eastAsia"/>
        </w:rPr>
        <w:t>通过逐层堆积材料形成三维实体的制造方法。</w:t>
      </w:r>
    </w:p>
    <w:p w14:paraId="6C6384D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粉床熔融 powder bed fusion</w:t>
      </w:r>
    </w:p>
    <w:p w14:paraId="4AED7B7B">
      <w:pPr>
        <w:pStyle w:val="56"/>
        <w:spacing w:line="360" w:lineRule="auto"/>
        <w:ind w:firstLine="420"/>
      </w:pPr>
      <w:r>
        <w:rPr>
          <w:rFonts w:hint="eastAsia"/>
        </w:rPr>
        <w:t>在粉末床上按截面选择性熔融或烧结材料并逐层成型的增材制造工艺类别。</w:t>
      </w:r>
    </w:p>
    <w:p w14:paraId="4A9E53BD">
      <w:pPr>
        <w:pStyle w:val="56"/>
        <w:spacing w:line="360" w:lineRule="auto"/>
        <w:ind w:firstLine="420"/>
      </w:pPr>
    </w:p>
    <w:p w14:paraId="08DDBB2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定向能量沉积 directed energy deposition</w:t>
      </w:r>
    </w:p>
    <w:p w14:paraId="086CB61B">
      <w:pPr>
        <w:pStyle w:val="56"/>
        <w:spacing w:line="360" w:lineRule="auto"/>
        <w:ind w:firstLine="420"/>
      </w:pPr>
      <w:r>
        <w:rPr>
          <w:rFonts w:hint="eastAsia"/>
        </w:rPr>
        <w:t>利用聚焦能量束在沉积区域熔化材料并同步送粉或送丝逐层沉积成形的增材制造工艺类别。</w:t>
      </w:r>
    </w:p>
    <w:p w14:paraId="45CD83C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工艺参数 process parameter</w:t>
      </w:r>
    </w:p>
    <w:p w14:paraId="143202DC">
      <w:pPr>
        <w:pStyle w:val="56"/>
        <w:spacing w:line="360" w:lineRule="auto"/>
        <w:ind w:firstLine="420"/>
      </w:pPr>
      <w:r>
        <w:rPr>
          <w:rFonts w:hint="eastAsia"/>
        </w:rPr>
        <w:t>在增材制造过程中影响能量输入、熔池行为、成形精度与组织性能的可调控制量，如激光功率、扫描速度、层厚、道间距、送粉量、预热温度等。</w:t>
      </w:r>
    </w:p>
    <w:p w14:paraId="106F1D1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参数窗口 process window</w:t>
      </w:r>
    </w:p>
    <w:p w14:paraId="0A8A40EC">
      <w:pPr>
        <w:pStyle w:val="56"/>
        <w:spacing w:line="360" w:lineRule="auto"/>
        <w:ind w:firstLine="420"/>
      </w:pPr>
      <w:r>
        <w:rPr>
          <w:rFonts w:hint="eastAsia"/>
        </w:rPr>
        <w:t>在满足成形稳定性与质量要求前提下，关键工艺参数可取值的合理范围集合。</w:t>
      </w:r>
    </w:p>
    <w:p w14:paraId="4ED8D80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能量密度 energy density</w:t>
      </w:r>
    </w:p>
    <w:p w14:paraId="385899B5">
      <w:pPr>
        <w:pStyle w:val="56"/>
        <w:spacing w:line="360" w:lineRule="auto"/>
        <w:ind w:firstLine="420"/>
      </w:pPr>
      <w:r>
        <w:rPr>
          <w:rFonts w:hint="eastAsia"/>
        </w:rPr>
        <w:t>表征单位体积或单位面积材料获得能量输入水平的参数，可由功率、扫描速度、道间距、层厚等组合计算得到，用于工艺参数对比与初步筛选。</w:t>
      </w:r>
    </w:p>
    <w:p w14:paraId="2E81CDF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扫描策略 scanning strategy</w:t>
      </w:r>
    </w:p>
    <w:p w14:paraId="36941E56">
      <w:pPr>
        <w:pStyle w:val="56"/>
        <w:spacing w:line="360" w:lineRule="auto"/>
        <w:ind w:firstLine="420"/>
      </w:pPr>
      <w:r>
        <w:rPr>
          <w:rFonts w:hint="eastAsia"/>
        </w:rPr>
        <w:t>成形过程中扫描路径、分区、旋转角度、填充方式与轮廓扫描等路径规划与执行规则的组合。</w:t>
      </w:r>
    </w:p>
    <w:p w14:paraId="0CEEE58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成形方向 build orientation</w:t>
      </w:r>
    </w:p>
    <w:p w14:paraId="5D47DE86">
      <w:pPr>
        <w:pStyle w:val="56"/>
        <w:spacing w:line="360" w:lineRule="auto"/>
        <w:ind w:firstLine="420"/>
      </w:pPr>
      <w:r>
        <w:rPr>
          <w:rFonts w:hint="eastAsia"/>
        </w:rPr>
        <w:t>零件在成形舱内相对构建平台的放置方向，影响支撑需求、表面质量、各向异性与残余应力分布。</w:t>
      </w:r>
    </w:p>
    <w:p w14:paraId="7E130E1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支撑结构 support structure</w:t>
      </w:r>
    </w:p>
    <w:p w14:paraId="47120BBF">
      <w:pPr>
        <w:pStyle w:val="56"/>
        <w:spacing w:line="360" w:lineRule="auto"/>
        <w:ind w:firstLine="420"/>
      </w:pPr>
      <w:r>
        <w:rPr>
          <w:rFonts w:hint="eastAsia"/>
        </w:rPr>
        <w:t>为提高成形稳定性、散热与抑制变形而在成形过程中生成并在后处理中去除或保留的辅助结构。</w:t>
      </w:r>
    </w:p>
    <w:p w14:paraId="6E83777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残余应力 residual stress</w:t>
      </w:r>
    </w:p>
    <w:p w14:paraId="77E43E07">
      <w:pPr>
        <w:pStyle w:val="56"/>
        <w:spacing w:line="360" w:lineRule="auto"/>
        <w:ind w:firstLine="420"/>
      </w:pPr>
      <w:r>
        <w:rPr>
          <w:rFonts w:hint="eastAsia"/>
        </w:rPr>
        <w:t>由热循环与相变等导致的、在外载为零时仍存在于成形件内部的自平衡应力。</w:t>
      </w:r>
    </w:p>
    <w:p w14:paraId="63C91E9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孔隙 porosity</w:t>
      </w:r>
    </w:p>
    <w:p w14:paraId="6BD571D2">
      <w:pPr>
        <w:pStyle w:val="56"/>
        <w:spacing w:line="360" w:lineRule="auto"/>
        <w:ind w:firstLine="420"/>
      </w:pPr>
      <w:r>
        <w:rPr>
          <w:rFonts w:hint="eastAsia"/>
        </w:rPr>
        <w:t>成形件内部或表面存在的空洞缺陷，包括气孔、收缩孔与未熔合孔隙等。</w:t>
      </w:r>
    </w:p>
    <w:p w14:paraId="2409B3A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未熔合 lack of fusion</w:t>
      </w:r>
    </w:p>
    <w:p w14:paraId="1EDB49F9">
      <w:pPr>
        <w:pStyle w:val="56"/>
        <w:spacing w:line="360" w:lineRule="auto"/>
        <w:ind w:firstLine="420"/>
      </w:pPr>
      <w:r>
        <w:rPr>
          <w:rFonts w:hint="eastAsia"/>
        </w:rPr>
        <w:t>由于能量输入不足或熔池搭接不足导致相邻熔道或层间未充分熔合的缺陷类型。</w:t>
      </w:r>
    </w:p>
    <w:p w14:paraId="1652DB8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致密度 relative density</w:t>
      </w:r>
    </w:p>
    <w:p w14:paraId="0129701E">
      <w:pPr>
        <w:pStyle w:val="56"/>
        <w:spacing w:line="360" w:lineRule="auto"/>
        <w:ind w:firstLine="420"/>
      </w:pPr>
      <w:r>
        <w:rPr>
          <w:rFonts w:hint="eastAsia"/>
        </w:rPr>
        <w:t>成形件实际密度与理论密度的比值，用于表征内部孔隙水平。</w:t>
      </w:r>
    </w:p>
    <w:p w14:paraId="46387C6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后处理 post-processing</w:t>
      </w:r>
    </w:p>
    <w:p w14:paraId="0F6C89A3">
      <w:pPr>
        <w:pStyle w:val="56"/>
        <w:spacing w:line="360" w:lineRule="auto"/>
        <w:ind w:firstLine="420"/>
      </w:pPr>
      <w:r>
        <w:rPr>
          <w:rFonts w:hint="eastAsia"/>
        </w:rPr>
        <w:t>为满足尺寸、表面、组织与性能要求而在成形后进行的处理活动，包括去支撑、热处理、机加工、表面处理与热等静压等。</w:t>
      </w:r>
    </w:p>
    <w:p w14:paraId="15C7008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工艺验证 process qualification</w:t>
      </w:r>
    </w:p>
    <w:p w14:paraId="6FEFCB53">
      <w:pPr>
        <w:pStyle w:val="56"/>
        <w:spacing w:line="360" w:lineRule="auto"/>
        <w:ind w:firstLine="420"/>
      </w:pPr>
      <w:r>
        <w:rPr>
          <w:rFonts w:hint="eastAsia"/>
        </w:rPr>
        <w:t>通过试样或代表性零件的成形与检测，验证工艺参数、设备状态与材料批次能够稳定满足质量与性能要求的活动。</w:t>
      </w:r>
    </w:p>
    <w:p w14:paraId="1733F56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过程监测 process monitoring</w:t>
      </w:r>
    </w:p>
    <w:p w14:paraId="1C009DAB">
      <w:pPr>
        <w:pStyle w:val="56"/>
        <w:spacing w:line="360" w:lineRule="auto"/>
        <w:ind w:firstLine="420"/>
      </w:pPr>
      <w:r>
        <w:rPr>
          <w:rFonts w:hint="eastAsia"/>
        </w:rPr>
        <w:t>对成形过程中的关键变量进行在线或离线监控与记录的活动，如熔池辐射信号、层面成像、氧含量、温度与设备状态等。</w:t>
      </w:r>
    </w:p>
    <w:p w14:paraId="2B228B2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追溯 traceability</w:t>
      </w:r>
    </w:p>
    <w:p w14:paraId="11ED0D72">
      <w:pPr>
        <w:pStyle w:val="56"/>
        <w:spacing w:line="360" w:lineRule="auto"/>
        <w:ind w:firstLine="420"/>
      </w:pPr>
      <w:r>
        <w:rPr>
          <w:rFonts w:hint="eastAsia"/>
        </w:rPr>
        <w:t>对材料、设备、工艺参数、成形批次、检测结果与人员操作等信息实现可查询、可复核与可关联的能力。</w:t>
      </w:r>
    </w:p>
    <w:p w14:paraId="53704786">
      <w:pPr>
        <w:pStyle w:val="104"/>
        <w:spacing w:before="240" w:after="240" w:line="360" w:lineRule="auto"/>
      </w:pPr>
      <w:bookmarkStart w:id="51" w:name="_Toc220077738"/>
      <w:r>
        <w:rPr>
          <w:rFonts w:hint="eastAsia"/>
        </w:rPr>
        <w:t>总体要求</w:t>
      </w:r>
      <w:bookmarkEnd w:id="51"/>
    </w:p>
    <w:p w14:paraId="3AFFD42E">
      <w:pPr>
        <w:pStyle w:val="105"/>
        <w:spacing w:before="120" w:after="120" w:line="360" w:lineRule="auto"/>
      </w:pPr>
      <w:r>
        <w:rPr>
          <w:rFonts w:hint="eastAsia"/>
        </w:rPr>
        <w:t>基本原则</w:t>
      </w:r>
    </w:p>
    <w:p w14:paraId="29224DA7">
      <w:pPr>
        <w:pStyle w:val="56"/>
        <w:spacing w:line="360" w:lineRule="auto"/>
        <w:ind w:firstLine="420"/>
      </w:pPr>
      <w:r>
        <w:rPr>
          <w:rFonts w:hint="eastAsia"/>
        </w:rPr>
        <w:t>工艺参数优化与成型实施应遵循以下原则：</w:t>
      </w:r>
    </w:p>
    <w:p w14:paraId="2409CB59">
      <w:pPr>
        <w:pStyle w:val="56"/>
        <w:spacing w:line="360" w:lineRule="auto"/>
        <w:ind w:firstLine="420"/>
      </w:pPr>
      <w:r>
        <w:rPr>
          <w:rFonts w:hint="eastAsia"/>
        </w:rPr>
        <w:t>a) 目标导向：以零件功能需求与验收指标为约束，兼顾致密度、尺寸精度、表面质量、组织性能与成本效率；</w:t>
      </w:r>
    </w:p>
    <w:p w14:paraId="26CADA58">
      <w:pPr>
        <w:pStyle w:val="56"/>
        <w:spacing w:line="360" w:lineRule="auto"/>
        <w:ind w:firstLine="420"/>
      </w:pPr>
      <w:r>
        <w:rPr>
          <w:rFonts w:hint="eastAsia"/>
        </w:rPr>
        <w:t>b) 系统优化：参数优化应覆盖能量输入、路径策略、热管理、支撑与后处理等全流程要素，避免单参数孤立优化；</w:t>
      </w:r>
    </w:p>
    <w:p w14:paraId="4F27209C">
      <w:pPr>
        <w:pStyle w:val="56"/>
        <w:spacing w:line="360" w:lineRule="auto"/>
        <w:ind w:firstLine="420"/>
      </w:pPr>
      <w:r>
        <w:rPr>
          <w:rFonts w:hint="eastAsia"/>
        </w:rPr>
        <w:t>c) 可复现：工艺与数据应可追溯、可复核，参数版本化管理，确保稳定复现与批次一致性；</w:t>
      </w:r>
    </w:p>
    <w:p w14:paraId="2B1AD4D1">
      <w:pPr>
        <w:pStyle w:val="56"/>
        <w:spacing w:line="360" w:lineRule="auto"/>
        <w:ind w:firstLine="420"/>
      </w:pPr>
      <w:r>
        <w:rPr>
          <w:rFonts w:hint="eastAsia"/>
        </w:rPr>
        <w:t>d) 风险控制：对变形、裂纹、未熔合、孔隙、夹杂、污染与粉尘爆炸等风险应实施预防性控制；</w:t>
      </w:r>
    </w:p>
    <w:p w14:paraId="3A70F499">
      <w:pPr>
        <w:pStyle w:val="56"/>
        <w:spacing w:line="360" w:lineRule="auto"/>
        <w:ind w:firstLine="420"/>
      </w:pPr>
      <w:r>
        <w:rPr>
          <w:rFonts w:hint="eastAsia"/>
        </w:rPr>
        <w:t>e) 分级验证：工艺开发、试生产与批量生产应设置不同验证深度与放行准则。</w:t>
      </w:r>
    </w:p>
    <w:p w14:paraId="12E02669">
      <w:pPr>
        <w:pStyle w:val="56"/>
        <w:spacing w:line="360" w:lineRule="auto"/>
        <w:ind w:firstLine="420"/>
      </w:pPr>
    </w:p>
    <w:p w14:paraId="4C171628">
      <w:pPr>
        <w:pStyle w:val="56"/>
        <w:spacing w:line="360" w:lineRule="auto"/>
        <w:ind w:firstLine="420"/>
      </w:pPr>
    </w:p>
    <w:p w14:paraId="1949021C">
      <w:pPr>
        <w:pStyle w:val="105"/>
        <w:spacing w:before="120" w:after="120" w:line="360" w:lineRule="auto"/>
      </w:pPr>
      <w:r>
        <w:rPr>
          <w:rFonts w:hint="eastAsia"/>
        </w:rPr>
        <w:t>资源要求</w:t>
      </w:r>
    </w:p>
    <w:p w14:paraId="475E9778">
      <w:pPr>
        <w:pStyle w:val="65"/>
        <w:spacing w:before="120" w:after="120" w:line="360" w:lineRule="auto"/>
      </w:pPr>
      <w:r>
        <w:rPr>
          <w:rFonts w:hint="eastAsia"/>
        </w:rPr>
        <w:t>人员能力</w:t>
      </w:r>
    </w:p>
    <w:p w14:paraId="30026144">
      <w:pPr>
        <w:pStyle w:val="56"/>
        <w:spacing w:line="360" w:lineRule="auto"/>
        <w:ind w:firstLine="420"/>
      </w:pPr>
      <w:r>
        <w:rPr>
          <w:rFonts w:hint="eastAsia"/>
        </w:rPr>
        <w:t>实施单位应配备具备增材制造工艺、材料与质量控制能力的人员，并明确工艺工程师、设备工程师、质量工程师与检测人员职责。关键岗位人员应经培训与考核，掌握参数设置、设备维护、粉末管理、缺陷识别与数据记录要求。</w:t>
      </w:r>
    </w:p>
    <w:p w14:paraId="50479C97">
      <w:pPr>
        <w:pStyle w:val="65"/>
        <w:spacing w:before="120" w:after="120" w:line="360" w:lineRule="auto"/>
      </w:pPr>
      <w:r>
        <w:rPr>
          <w:rFonts w:hint="eastAsia"/>
        </w:rPr>
        <w:t>设备能力</w:t>
      </w:r>
    </w:p>
    <w:p w14:paraId="2BD44695">
      <w:pPr>
        <w:pStyle w:val="56"/>
        <w:spacing w:line="360" w:lineRule="auto"/>
        <w:ind w:firstLine="420"/>
      </w:pPr>
      <w:r>
        <w:rPr>
          <w:rFonts w:hint="eastAsia"/>
        </w:rPr>
        <w:t>设备应满足目标材料与零件尺寸的成形能力，并具备稳定的能量输出、运动控制精度与环境控制能力。设备应建立点检、校准与维护制度，关键部件（激光器、振镜、送粉系统、气路与过滤系统等）应具备状态记录与预警机制。</w:t>
      </w:r>
    </w:p>
    <w:p w14:paraId="0B7044C9">
      <w:pPr>
        <w:pStyle w:val="65"/>
        <w:spacing w:before="120" w:after="120" w:line="360" w:lineRule="auto"/>
      </w:pPr>
      <w:r>
        <w:rPr>
          <w:rFonts w:hint="eastAsia"/>
        </w:rPr>
        <w:t>环境与安全</w:t>
      </w:r>
    </w:p>
    <w:p w14:paraId="0748D594">
      <w:pPr>
        <w:pStyle w:val="56"/>
        <w:spacing w:line="360" w:lineRule="auto"/>
        <w:ind w:firstLine="420"/>
      </w:pPr>
      <w:r>
        <w:rPr>
          <w:rFonts w:hint="eastAsia"/>
        </w:rPr>
        <w:t>成形环境应满足温湿度、洁净度与气氛控制要求；涉及金属粉末的，应建立粉末存储、筛分、回收、混粉与废弃处置的安全管理制度，并落实防火防爆、防静电与职业健康防护要求。</w:t>
      </w:r>
    </w:p>
    <w:p w14:paraId="09FA5455">
      <w:pPr>
        <w:pStyle w:val="105"/>
        <w:spacing w:before="120" w:after="120" w:line="360" w:lineRule="auto"/>
      </w:pPr>
      <w:r>
        <w:rPr>
          <w:rFonts w:hint="eastAsia"/>
        </w:rPr>
        <w:t>材料要求</w:t>
      </w:r>
    </w:p>
    <w:p w14:paraId="2606716F">
      <w:pPr>
        <w:pStyle w:val="56"/>
        <w:spacing w:line="360" w:lineRule="auto"/>
        <w:ind w:firstLine="420"/>
      </w:pPr>
      <w:r>
        <w:rPr>
          <w:rFonts w:hint="eastAsia"/>
        </w:rPr>
        <w:t>材料应满足以下要求：</w:t>
      </w:r>
    </w:p>
    <w:p w14:paraId="12198FE3">
      <w:pPr>
        <w:pStyle w:val="56"/>
        <w:spacing w:line="360" w:lineRule="auto"/>
        <w:ind w:firstLine="420"/>
      </w:pPr>
      <w:r>
        <w:rPr>
          <w:rFonts w:hint="eastAsia"/>
        </w:rPr>
        <w:t>a) 原材料应符合供方质量证明文件要求，并建立批次管理；</w:t>
      </w:r>
    </w:p>
    <w:p w14:paraId="79B1C310">
      <w:pPr>
        <w:pStyle w:val="56"/>
        <w:spacing w:line="360" w:lineRule="auto"/>
        <w:ind w:firstLine="420"/>
      </w:pPr>
      <w:r>
        <w:rPr>
          <w:rFonts w:hint="eastAsia"/>
        </w:rPr>
        <w:t>b) 金属粉末应控制粒度分布、形貌、含氧含氮、流动性与松装密度等关键指标；回收粉末使用应设定循环次数或混粉比例上限，并建立再利用准入规则；</w:t>
      </w:r>
    </w:p>
    <w:p w14:paraId="0BA1F792">
      <w:pPr>
        <w:pStyle w:val="56"/>
        <w:spacing w:line="360" w:lineRule="auto"/>
        <w:ind w:firstLine="420"/>
      </w:pPr>
      <w:r>
        <w:rPr>
          <w:rFonts w:hint="eastAsia"/>
        </w:rPr>
        <w:t>c) 丝材或送粉材料应控制化学成分、表面清洁度与一致性，防止污染引发夹杂与裂纹风险。</w:t>
      </w:r>
    </w:p>
    <w:p w14:paraId="174DEB35">
      <w:pPr>
        <w:pStyle w:val="105"/>
        <w:spacing w:before="120" w:after="120" w:line="360" w:lineRule="auto"/>
      </w:pPr>
      <w:r>
        <w:rPr>
          <w:rFonts w:hint="eastAsia"/>
        </w:rPr>
        <w:t>工艺文件要求</w:t>
      </w:r>
    </w:p>
    <w:p w14:paraId="71CE6574">
      <w:pPr>
        <w:pStyle w:val="56"/>
        <w:spacing w:line="360" w:lineRule="auto"/>
        <w:ind w:firstLine="420"/>
      </w:pPr>
      <w:r>
        <w:rPr>
          <w:rFonts w:hint="eastAsia"/>
        </w:rPr>
        <w:t>实施单位应建立并受控以下工艺文件：</w:t>
      </w:r>
    </w:p>
    <w:p w14:paraId="161707BB">
      <w:pPr>
        <w:pStyle w:val="56"/>
        <w:spacing w:line="360" w:lineRule="auto"/>
        <w:ind w:firstLine="420"/>
      </w:pPr>
      <w:r>
        <w:rPr>
          <w:rFonts w:hint="eastAsia"/>
        </w:rPr>
        <w:t>a) 工艺路线与控制计划（含成形方向、支撑策略、扫描策略、热管理与后处理路线）；</w:t>
      </w:r>
    </w:p>
    <w:p w14:paraId="0C905CB1">
      <w:pPr>
        <w:pStyle w:val="56"/>
        <w:spacing w:line="360" w:lineRule="auto"/>
        <w:ind w:firstLine="420"/>
      </w:pPr>
      <w:r>
        <w:rPr>
          <w:rFonts w:hint="eastAsia"/>
        </w:rPr>
        <w:t>b) 参数清单与版本记录（关键参数、可调范围、锁定项与变更审批）；</w:t>
      </w:r>
    </w:p>
    <w:p w14:paraId="194097EB">
      <w:pPr>
        <w:pStyle w:val="56"/>
        <w:spacing w:line="360" w:lineRule="auto"/>
        <w:ind w:firstLine="420"/>
      </w:pPr>
      <w:r>
        <w:rPr>
          <w:rFonts w:hint="eastAsia"/>
        </w:rPr>
        <w:t>c) 设备点检与校准记录；</w:t>
      </w:r>
    </w:p>
    <w:p w14:paraId="5E10CCE3">
      <w:pPr>
        <w:pStyle w:val="56"/>
        <w:spacing w:line="360" w:lineRule="auto"/>
        <w:ind w:firstLine="420"/>
      </w:pPr>
      <w:r>
        <w:rPr>
          <w:rFonts w:hint="eastAsia"/>
        </w:rPr>
        <w:t>d) 材料批次与粉末循环记录；</w:t>
      </w:r>
    </w:p>
    <w:p w14:paraId="45911B59">
      <w:pPr>
        <w:pStyle w:val="56"/>
        <w:spacing w:line="360" w:lineRule="auto"/>
        <w:ind w:firstLine="420"/>
      </w:pPr>
      <w:r>
        <w:rPr>
          <w:rFonts w:hint="eastAsia"/>
        </w:rPr>
        <w:t>e) 过程监测与异常处置记录；</w:t>
      </w:r>
    </w:p>
    <w:p w14:paraId="6AD2FAF9">
      <w:pPr>
        <w:pStyle w:val="56"/>
        <w:spacing w:line="360" w:lineRule="auto"/>
        <w:ind w:firstLine="420"/>
      </w:pPr>
      <w:r>
        <w:rPr>
          <w:rFonts w:hint="eastAsia"/>
        </w:rPr>
        <w:t>f) 检测计划与验收准则；</w:t>
      </w:r>
    </w:p>
    <w:p w14:paraId="4E298868">
      <w:pPr>
        <w:pStyle w:val="56"/>
        <w:spacing w:line="360" w:lineRule="auto"/>
        <w:ind w:firstLine="420"/>
      </w:pPr>
      <w:r>
        <w:rPr>
          <w:rFonts w:hint="eastAsia"/>
        </w:rPr>
        <w:t>g) 不合格品控制与纠正预防措施记录。</w:t>
      </w:r>
    </w:p>
    <w:p w14:paraId="6BACFE8C">
      <w:pPr>
        <w:pStyle w:val="56"/>
        <w:spacing w:line="360" w:lineRule="auto"/>
        <w:ind w:firstLine="420"/>
      </w:pPr>
    </w:p>
    <w:p w14:paraId="3300393F">
      <w:pPr>
        <w:pStyle w:val="56"/>
        <w:spacing w:line="360" w:lineRule="auto"/>
        <w:ind w:firstLine="420"/>
      </w:pPr>
    </w:p>
    <w:p w14:paraId="5A9A08D2">
      <w:pPr>
        <w:pStyle w:val="104"/>
        <w:spacing w:before="240" w:after="240" w:line="360" w:lineRule="auto"/>
      </w:pPr>
      <w:bookmarkStart w:id="52" w:name="_Toc220077739"/>
      <w:r>
        <w:rPr>
          <w:rFonts w:hint="eastAsia"/>
        </w:rPr>
        <w:t>参数分类优化</w:t>
      </w:r>
      <w:bookmarkEnd w:id="52"/>
    </w:p>
    <w:p w14:paraId="28905B69">
      <w:pPr>
        <w:pStyle w:val="105"/>
        <w:spacing w:before="120" w:after="120" w:line="360" w:lineRule="auto"/>
      </w:pPr>
      <w:r>
        <w:rPr>
          <w:rFonts w:hint="eastAsia"/>
        </w:rPr>
        <w:t>总则</w:t>
      </w:r>
    </w:p>
    <w:p w14:paraId="1109E678">
      <w:pPr>
        <w:pStyle w:val="165"/>
        <w:spacing w:line="360" w:lineRule="auto"/>
      </w:pPr>
      <w:r>
        <w:rPr>
          <w:rFonts w:hint="eastAsia"/>
        </w:rPr>
        <w:t>工艺参数优化应以零件功能需求与验收指标为约束，以成形稳定性为前提，以“参数窗口确定—缺陷抑制—组织性能达标—一致性验证”为主线，形成可复现的优化闭环。</w:t>
      </w:r>
    </w:p>
    <w:p w14:paraId="020E622F">
      <w:pPr>
        <w:pStyle w:val="165"/>
        <w:spacing w:line="360" w:lineRule="auto"/>
      </w:pPr>
      <w:r>
        <w:rPr>
          <w:rFonts w:hint="eastAsia"/>
        </w:rPr>
        <w:t>参数优化应避免仅追求致密度或强度单一最优，而忽视尺寸精度、表面质量、残余应力、各向异性与批次稳定性等综合指标。</w:t>
      </w:r>
    </w:p>
    <w:p w14:paraId="378BDD64">
      <w:pPr>
        <w:pStyle w:val="165"/>
        <w:spacing w:line="360" w:lineRule="auto"/>
      </w:pPr>
      <w:r>
        <w:rPr>
          <w:rFonts w:hint="eastAsia"/>
        </w:rPr>
        <w:t>参数优化宜分层开展：先建立基线工艺窗口，再针对复杂特征进行局部强化优化，最后进行代表性零件验证与量产放行。对关键承载零件或安全关键件，应采用更严格的验证路径与更充分的数据支撑。</w:t>
      </w:r>
    </w:p>
    <w:p w14:paraId="57A2C9A7">
      <w:pPr>
        <w:pStyle w:val="105"/>
        <w:spacing w:before="120" w:after="120" w:line="360" w:lineRule="auto"/>
      </w:pPr>
      <w:r>
        <w:rPr>
          <w:rFonts w:hint="eastAsia"/>
        </w:rPr>
        <w:t>参数分类</w:t>
      </w:r>
    </w:p>
    <w:p w14:paraId="2A62EE40">
      <w:pPr>
        <w:pStyle w:val="56"/>
        <w:spacing w:line="360" w:lineRule="auto"/>
        <w:ind w:firstLine="420"/>
      </w:pPr>
      <w:r>
        <w:rPr>
          <w:rFonts w:hint="eastAsia"/>
        </w:rPr>
        <w:t>工艺参数宜按“能量输入—路径策略—热管理—材料供给—环境控制—支撑与成形方向”分类管理，并明确哪些为锁定项、哪些可在窗口内微调。参数分类的目的在于：提升优化效率、降低参数耦合导致的试错成本、支持版本化管理与跨批次复现。关键参数分类与作用见表1。</w:t>
      </w:r>
    </w:p>
    <w:p w14:paraId="305AD961">
      <w:pPr>
        <w:pStyle w:val="112"/>
        <w:spacing w:before="120" w:after="120" w:line="360" w:lineRule="auto"/>
      </w:pPr>
      <w:r>
        <w:rPr>
          <w:rFonts w:hint="eastAsia"/>
        </w:rPr>
        <w:t>关键参数分类与作用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126"/>
        <w:gridCol w:w="2126"/>
        <w:gridCol w:w="2232"/>
        <w:gridCol w:w="1867"/>
      </w:tblGrid>
      <w:tr w14:paraId="0F22D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11ED7481">
            <w:pPr>
              <w:pStyle w:val="178"/>
            </w:pPr>
            <w:r>
              <w:rPr>
                <w:rFonts w:hint="eastAsia"/>
              </w:rPr>
              <w:t>参数类别</w:t>
            </w:r>
          </w:p>
        </w:tc>
        <w:tc>
          <w:tcPr>
            <w:tcW w:w="2126" w:type="dxa"/>
            <w:tcBorders>
              <w:top w:val="single" w:color="auto" w:sz="8" w:space="0"/>
              <w:bottom w:val="single" w:color="auto" w:sz="8" w:space="0"/>
            </w:tcBorders>
            <w:vAlign w:val="center"/>
          </w:tcPr>
          <w:p w14:paraId="5D9B35A1">
            <w:pPr>
              <w:pStyle w:val="178"/>
            </w:pPr>
            <w:r>
              <w:rPr>
                <w:rFonts w:hint="eastAsia"/>
              </w:rPr>
              <w:t>典型参数</w:t>
            </w:r>
          </w:p>
        </w:tc>
        <w:tc>
          <w:tcPr>
            <w:tcW w:w="2126" w:type="dxa"/>
            <w:tcBorders>
              <w:top w:val="single" w:color="auto" w:sz="8" w:space="0"/>
              <w:bottom w:val="single" w:color="auto" w:sz="8" w:space="0"/>
            </w:tcBorders>
            <w:vAlign w:val="center"/>
          </w:tcPr>
          <w:p w14:paraId="2665473E">
            <w:pPr>
              <w:pStyle w:val="178"/>
            </w:pPr>
            <w:r>
              <w:rPr>
                <w:rFonts w:hint="eastAsia"/>
              </w:rPr>
              <w:t>主要作用</w:t>
            </w:r>
          </w:p>
        </w:tc>
        <w:tc>
          <w:tcPr>
            <w:tcW w:w="2232" w:type="dxa"/>
            <w:tcBorders>
              <w:top w:val="single" w:color="auto" w:sz="8" w:space="0"/>
              <w:bottom w:val="single" w:color="auto" w:sz="8" w:space="0"/>
            </w:tcBorders>
            <w:vAlign w:val="center"/>
          </w:tcPr>
          <w:p w14:paraId="166AE2A1">
            <w:pPr>
              <w:pStyle w:val="178"/>
            </w:pPr>
            <w:r>
              <w:rPr>
                <w:rFonts w:hint="eastAsia"/>
              </w:rPr>
              <w:t>典型风险</w:t>
            </w:r>
          </w:p>
        </w:tc>
        <w:tc>
          <w:tcPr>
            <w:tcW w:w="1867" w:type="dxa"/>
            <w:tcBorders>
              <w:top w:val="single" w:color="auto" w:sz="8" w:space="0"/>
              <w:bottom w:val="single" w:color="auto" w:sz="8" w:space="0"/>
            </w:tcBorders>
            <w:vAlign w:val="center"/>
          </w:tcPr>
          <w:p w14:paraId="1D84EA72">
            <w:pPr>
              <w:pStyle w:val="178"/>
            </w:pPr>
            <w:r>
              <w:rPr>
                <w:rFonts w:hint="eastAsia"/>
              </w:rPr>
              <w:t>优化关注点</w:t>
            </w:r>
          </w:p>
        </w:tc>
      </w:tr>
      <w:tr w14:paraId="0DE62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463E4DF2">
            <w:pPr>
              <w:pStyle w:val="178"/>
            </w:pPr>
            <w:r>
              <w:rPr>
                <w:rFonts w:hint="eastAsia"/>
              </w:rPr>
              <w:t>能量输入</w:t>
            </w:r>
          </w:p>
        </w:tc>
        <w:tc>
          <w:tcPr>
            <w:tcW w:w="2126" w:type="dxa"/>
            <w:tcBorders>
              <w:top w:val="single" w:color="auto" w:sz="8" w:space="0"/>
            </w:tcBorders>
            <w:vAlign w:val="center"/>
          </w:tcPr>
          <w:p w14:paraId="5F411FE5">
            <w:pPr>
              <w:pStyle w:val="178"/>
            </w:pPr>
            <w:r>
              <w:rPr>
                <w:rFonts w:hint="eastAsia"/>
              </w:rPr>
              <w:t>功率、扫描速度、道间距、层厚、送粉量</w:t>
            </w:r>
          </w:p>
        </w:tc>
        <w:tc>
          <w:tcPr>
            <w:tcW w:w="2126" w:type="dxa"/>
            <w:tcBorders>
              <w:top w:val="single" w:color="auto" w:sz="8" w:space="0"/>
            </w:tcBorders>
            <w:vAlign w:val="center"/>
          </w:tcPr>
          <w:p w14:paraId="60716C01">
            <w:pPr>
              <w:pStyle w:val="178"/>
            </w:pPr>
            <w:r>
              <w:rPr>
                <w:rFonts w:hint="eastAsia"/>
              </w:rPr>
              <w:t>决定熔池能量与搭接</w:t>
            </w:r>
          </w:p>
        </w:tc>
        <w:tc>
          <w:tcPr>
            <w:tcW w:w="2232" w:type="dxa"/>
            <w:tcBorders>
              <w:top w:val="single" w:color="auto" w:sz="8" w:space="0"/>
            </w:tcBorders>
            <w:vAlign w:val="center"/>
          </w:tcPr>
          <w:p w14:paraId="7A495E11">
            <w:pPr>
              <w:pStyle w:val="178"/>
            </w:pPr>
            <w:r>
              <w:rPr>
                <w:rFonts w:hint="eastAsia"/>
              </w:rPr>
              <w:t>未熔合、过熔、飞溅、孔隙</w:t>
            </w:r>
          </w:p>
        </w:tc>
        <w:tc>
          <w:tcPr>
            <w:tcW w:w="1867" w:type="dxa"/>
            <w:tcBorders>
              <w:top w:val="single" w:color="auto" w:sz="8" w:space="0"/>
            </w:tcBorders>
            <w:vAlign w:val="center"/>
          </w:tcPr>
          <w:p w14:paraId="6BAAAE1B">
            <w:pPr>
              <w:pStyle w:val="178"/>
            </w:pPr>
            <w:r>
              <w:rPr>
                <w:rFonts w:hint="eastAsia"/>
              </w:rPr>
              <w:t>致密度、熔池稳定、搭接充分</w:t>
            </w:r>
          </w:p>
        </w:tc>
      </w:tr>
      <w:tr w14:paraId="0BD56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52436415">
            <w:pPr>
              <w:pStyle w:val="178"/>
            </w:pPr>
            <w:r>
              <w:rPr>
                <w:rFonts w:hint="eastAsia"/>
              </w:rPr>
              <w:t>路径策略</w:t>
            </w:r>
          </w:p>
        </w:tc>
        <w:tc>
          <w:tcPr>
            <w:tcW w:w="2126" w:type="dxa"/>
            <w:vAlign w:val="center"/>
          </w:tcPr>
          <w:p w14:paraId="7E635796">
            <w:pPr>
              <w:pStyle w:val="178"/>
            </w:pPr>
            <w:r>
              <w:rPr>
                <w:rFonts w:hint="eastAsia"/>
              </w:rPr>
              <w:t>扫描旋转角、分区策略、轮廓次数、填充方式</w:t>
            </w:r>
          </w:p>
        </w:tc>
        <w:tc>
          <w:tcPr>
            <w:tcW w:w="2126" w:type="dxa"/>
            <w:vAlign w:val="center"/>
          </w:tcPr>
          <w:p w14:paraId="44240D27">
            <w:pPr>
              <w:pStyle w:val="178"/>
            </w:pPr>
            <w:r>
              <w:rPr>
                <w:rFonts w:hint="eastAsia"/>
              </w:rPr>
              <w:t>影响热累积与各向异性</w:t>
            </w:r>
          </w:p>
        </w:tc>
        <w:tc>
          <w:tcPr>
            <w:tcW w:w="2232" w:type="dxa"/>
            <w:vAlign w:val="center"/>
          </w:tcPr>
          <w:p w14:paraId="36196E28">
            <w:pPr>
              <w:pStyle w:val="178"/>
            </w:pPr>
            <w:r>
              <w:rPr>
                <w:rFonts w:hint="eastAsia"/>
              </w:rPr>
              <w:t>变形、裂纹、表面粗糙</w:t>
            </w:r>
          </w:p>
        </w:tc>
        <w:tc>
          <w:tcPr>
            <w:tcW w:w="1867" w:type="dxa"/>
            <w:vAlign w:val="center"/>
          </w:tcPr>
          <w:p w14:paraId="08A3B7F8">
            <w:pPr>
              <w:pStyle w:val="178"/>
            </w:pPr>
            <w:r>
              <w:rPr>
                <w:rFonts w:hint="eastAsia"/>
              </w:rPr>
              <w:t>分区热均衡、轮廓质量</w:t>
            </w:r>
          </w:p>
        </w:tc>
      </w:tr>
      <w:tr w14:paraId="57407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15710B29">
            <w:pPr>
              <w:pStyle w:val="178"/>
            </w:pPr>
            <w:r>
              <w:rPr>
                <w:rFonts w:hint="eastAsia"/>
              </w:rPr>
              <w:t>热管理</w:t>
            </w:r>
          </w:p>
        </w:tc>
        <w:tc>
          <w:tcPr>
            <w:tcW w:w="2126" w:type="dxa"/>
            <w:vAlign w:val="center"/>
          </w:tcPr>
          <w:p w14:paraId="2CC5CED4">
            <w:pPr>
              <w:pStyle w:val="178"/>
            </w:pPr>
            <w:r>
              <w:rPr>
                <w:rFonts w:hint="eastAsia"/>
              </w:rPr>
              <w:t>预热温度、层间等待、冷却策略</w:t>
            </w:r>
          </w:p>
        </w:tc>
        <w:tc>
          <w:tcPr>
            <w:tcW w:w="2126" w:type="dxa"/>
            <w:vAlign w:val="center"/>
          </w:tcPr>
          <w:p w14:paraId="3B9C77ED">
            <w:pPr>
              <w:pStyle w:val="178"/>
            </w:pPr>
            <w:r>
              <w:rPr>
                <w:rFonts w:hint="eastAsia"/>
              </w:rPr>
              <w:t>控制温差与应力</w:t>
            </w:r>
          </w:p>
        </w:tc>
        <w:tc>
          <w:tcPr>
            <w:tcW w:w="2232" w:type="dxa"/>
            <w:vAlign w:val="center"/>
          </w:tcPr>
          <w:p w14:paraId="7CB1A1ED">
            <w:pPr>
              <w:pStyle w:val="178"/>
            </w:pPr>
            <w:r>
              <w:rPr>
                <w:rFonts w:hint="eastAsia"/>
              </w:rPr>
              <w:t>翘曲、裂纹、应力集中</w:t>
            </w:r>
          </w:p>
        </w:tc>
        <w:tc>
          <w:tcPr>
            <w:tcW w:w="1867" w:type="dxa"/>
            <w:vAlign w:val="center"/>
          </w:tcPr>
          <w:p w14:paraId="459DF157">
            <w:pPr>
              <w:pStyle w:val="178"/>
            </w:pPr>
            <w:r>
              <w:rPr>
                <w:rFonts w:hint="eastAsia"/>
              </w:rPr>
              <w:t>残余应力、变形控制</w:t>
            </w:r>
          </w:p>
        </w:tc>
      </w:tr>
      <w:tr w14:paraId="4FEBA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5EBC105C">
            <w:pPr>
              <w:pStyle w:val="178"/>
            </w:pPr>
            <w:r>
              <w:rPr>
                <w:rFonts w:hint="eastAsia"/>
              </w:rPr>
              <w:t>材料供给</w:t>
            </w:r>
          </w:p>
        </w:tc>
        <w:tc>
          <w:tcPr>
            <w:tcW w:w="2126" w:type="dxa"/>
            <w:vAlign w:val="center"/>
          </w:tcPr>
          <w:p w14:paraId="6FCC82B2">
            <w:pPr>
              <w:pStyle w:val="178"/>
            </w:pPr>
            <w:r>
              <w:rPr>
                <w:rFonts w:hint="eastAsia"/>
              </w:rPr>
              <w:t>粉末粒度、铺粉速度、刮刀间隙、送粉稳定</w:t>
            </w:r>
          </w:p>
        </w:tc>
        <w:tc>
          <w:tcPr>
            <w:tcW w:w="2126" w:type="dxa"/>
            <w:vAlign w:val="center"/>
          </w:tcPr>
          <w:p w14:paraId="13BEC860">
            <w:pPr>
              <w:pStyle w:val="178"/>
            </w:pPr>
            <w:r>
              <w:rPr>
                <w:rFonts w:hint="eastAsia"/>
              </w:rPr>
              <w:t>影响铺粉质量与熔池成分</w:t>
            </w:r>
          </w:p>
        </w:tc>
        <w:tc>
          <w:tcPr>
            <w:tcW w:w="2232" w:type="dxa"/>
            <w:vAlign w:val="center"/>
          </w:tcPr>
          <w:p w14:paraId="1919B8F5">
            <w:pPr>
              <w:pStyle w:val="178"/>
            </w:pPr>
            <w:r>
              <w:rPr>
                <w:rFonts w:hint="eastAsia"/>
              </w:rPr>
              <w:t>缺粉、夹杂、成分偏析</w:t>
            </w:r>
          </w:p>
        </w:tc>
        <w:tc>
          <w:tcPr>
            <w:tcW w:w="1867" w:type="dxa"/>
            <w:vAlign w:val="center"/>
          </w:tcPr>
          <w:p w14:paraId="0AD95DAF">
            <w:pPr>
              <w:pStyle w:val="178"/>
            </w:pPr>
            <w:r>
              <w:rPr>
                <w:rFonts w:hint="eastAsia"/>
              </w:rPr>
              <w:t>铺粉一致性、回收粉控制</w:t>
            </w:r>
          </w:p>
        </w:tc>
      </w:tr>
      <w:tr w14:paraId="2900C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1F1BB4C3">
            <w:pPr>
              <w:pStyle w:val="178"/>
            </w:pPr>
            <w:r>
              <w:rPr>
                <w:rFonts w:hint="eastAsia"/>
              </w:rPr>
              <w:t>环境控制</w:t>
            </w:r>
          </w:p>
        </w:tc>
        <w:tc>
          <w:tcPr>
            <w:tcW w:w="2126" w:type="dxa"/>
            <w:vAlign w:val="center"/>
          </w:tcPr>
          <w:p w14:paraId="04F2599C">
            <w:pPr>
              <w:pStyle w:val="178"/>
            </w:pPr>
            <w:r>
              <w:rPr>
                <w:rFonts w:hint="eastAsia"/>
              </w:rPr>
              <w:t>气氛流量、氧含量、湿度、过滤状态</w:t>
            </w:r>
          </w:p>
        </w:tc>
        <w:tc>
          <w:tcPr>
            <w:tcW w:w="2126" w:type="dxa"/>
            <w:vAlign w:val="center"/>
          </w:tcPr>
          <w:p w14:paraId="6064750F">
            <w:pPr>
              <w:pStyle w:val="178"/>
            </w:pPr>
            <w:r>
              <w:rPr>
                <w:rFonts w:hint="eastAsia"/>
              </w:rPr>
              <w:t>影响氧化与污染</w:t>
            </w:r>
          </w:p>
        </w:tc>
        <w:tc>
          <w:tcPr>
            <w:tcW w:w="2232" w:type="dxa"/>
            <w:vAlign w:val="center"/>
          </w:tcPr>
          <w:p w14:paraId="08EBB3EB">
            <w:pPr>
              <w:pStyle w:val="178"/>
            </w:pPr>
            <w:r>
              <w:rPr>
                <w:rFonts w:hint="eastAsia"/>
              </w:rPr>
              <w:t>夹杂、脆化、性能离散</w:t>
            </w:r>
          </w:p>
        </w:tc>
        <w:tc>
          <w:tcPr>
            <w:tcW w:w="1867" w:type="dxa"/>
            <w:vAlign w:val="center"/>
          </w:tcPr>
          <w:p w14:paraId="5561EE53">
            <w:pPr>
              <w:pStyle w:val="178"/>
            </w:pPr>
            <w:r>
              <w:rPr>
                <w:rFonts w:hint="eastAsia"/>
              </w:rPr>
              <w:t>氧含量阈值、气路稳定</w:t>
            </w:r>
          </w:p>
        </w:tc>
      </w:tr>
      <w:tr w14:paraId="7A3A3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bottom w:val="single" w:color="auto" w:sz="8" w:space="0"/>
            </w:tcBorders>
            <w:vAlign w:val="center"/>
          </w:tcPr>
          <w:p w14:paraId="1E423465">
            <w:pPr>
              <w:pStyle w:val="178"/>
            </w:pPr>
            <w:r>
              <w:rPr>
                <w:rFonts w:hint="eastAsia"/>
              </w:rPr>
              <w:t>布置支撑</w:t>
            </w:r>
          </w:p>
        </w:tc>
        <w:tc>
          <w:tcPr>
            <w:tcW w:w="2126" w:type="dxa"/>
            <w:tcBorders>
              <w:bottom w:val="single" w:color="auto" w:sz="8" w:space="0"/>
            </w:tcBorders>
            <w:vAlign w:val="center"/>
          </w:tcPr>
          <w:p w14:paraId="6CE0C34E">
            <w:pPr>
              <w:pStyle w:val="178"/>
            </w:pPr>
            <w:r>
              <w:rPr>
                <w:rFonts w:hint="eastAsia"/>
              </w:rPr>
              <w:t>成形方向、支撑密度、接触点、热导路径</w:t>
            </w:r>
          </w:p>
        </w:tc>
        <w:tc>
          <w:tcPr>
            <w:tcW w:w="2126" w:type="dxa"/>
            <w:tcBorders>
              <w:bottom w:val="single" w:color="auto" w:sz="8" w:space="0"/>
            </w:tcBorders>
            <w:vAlign w:val="center"/>
          </w:tcPr>
          <w:p w14:paraId="05B18585">
            <w:pPr>
              <w:pStyle w:val="178"/>
            </w:pPr>
            <w:r>
              <w:rPr>
                <w:rFonts w:hint="eastAsia"/>
              </w:rPr>
              <w:t>影响散热与支撑刚度</w:t>
            </w:r>
          </w:p>
        </w:tc>
        <w:tc>
          <w:tcPr>
            <w:tcW w:w="2232" w:type="dxa"/>
            <w:tcBorders>
              <w:bottom w:val="single" w:color="auto" w:sz="8" w:space="0"/>
            </w:tcBorders>
            <w:vAlign w:val="center"/>
          </w:tcPr>
          <w:p w14:paraId="065BEE4D">
            <w:pPr>
              <w:pStyle w:val="178"/>
            </w:pPr>
            <w:r>
              <w:rPr>
                <w:rFonts w:hint="eastAsia"/>
              </w:rPr>
              <w:t>变形、塌陷、去支撑损伤</w:t>
            </w:r>
          </w:p>
        </w:tc>
        <w:tc>
          <w:tcPr>
            <w:tcW w:w="1867" w:type="dxa"/>
            <w:tcBorders>
              <w:bottom w:val="single" w:color="auto" w:sz="8" w:space="0"/>
            </w:tcBorders>
            <w:vAlign w:val="center"/>
          </w:tcPr>
          <w:p w14:paraId="0FD1AF2E">
            <w:pPr>
              <w:pStyle w:val="178"/>
            </w:pPr>
            <w:r>
              <w:rPr>
                <w:rFonts w:hint="eastAsia"/>
              </w:rPr>
              <w:t>支撑可去除、热导与约束平衡</w:t>
            </w:r>
          </w:p>
        </w:tc>
      </w:tr>
      <w:tr w14:paraId="23B14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tcBorders>
              <w:top w:val="single" w:color="auto" w:sz="8" w:space="0"/>
              <w:bottom w:val="single" w:color="auto" w:sz="8" w:space="0"/>
            </w:tcBorders>
          </w:tcPr>
          <w:p w14:paraId="6A9CFD60">
            <w:pPr>
              <w:pStyle w:val="179"/>
            </w:pPr>
            <w:r>
              <w:rPr>
                <w:rFonts w:hint="eastAsia"/>
              </w:rPr>
              <w:t>不同工艺路线（粉床熔融、定向能量沉积）参数集合存在差异，实施单位可在上述框架下补充本工艺专用参数项，并在工艺文件中固化。</w:t>
            </w:r>
          </w:p>
        </w:tc>
      </w:tr>
    </w:tbl>
    <w:p w14:paraId="0FD54A2C">
      <w:pPr>
        <w:pStyle w:val="105"/>
        <w:spacing w:before="120" w:after="120" w:line="360" w:lineRule="auto"/>
      </w:pPr>
      <w:r>
        <w:rPr>
          <w:rFonts w:hint="eastAsia"/>
        </w:rPr>
        <w:t>优化目标</w:t>
      </w:r>
    </w:p>
    <w:p w14:paraId="6A78983E">
      <w:pPr>
        <w:pStyle w:val="56"/>
        <w:spacing w:line="360" w:lineRule="auto"/>
        <w:ind w:firstLine="420"/>
      </w:pPr>
      <w:r>
        <w:rPr>
          <w:rFonts w:hint="eastAsia"/>
        </w:rPr>
        <w:t>参数优化目标应分为硬性目标与综合目标：</w:t>
      </w:r>
    </w:p>
    <w:p w14:paraId="1C4A7828">
      <w:pPr>
        <w:pStyle w:val="132"/>
        <w:spacing w:line="360" w:lineRule="auto"/>
      </w:pPr>
      <w:r>
        <w:rPr>
          <w:rFonts w:hint="eastAsia"/>
        </w:rPr>
        <w:t>硬性目标：致密度或孔隙率、裂纹控制、关键尺寸公差、关键表面粗糙度、材料成分控制、无损检测合格等必须满足项；</w:t>
      </w:r>
    </w:p>
    <w:p w14:paraId="49A670EF">
      <w:pPr>
        <w:pStyle w:val="132"/>
        <w:spacing w:line="360" w:lineRule="auto"/>
      </w:pPr>
      <w:r>
        <w:rPr>
          <w:rFonts w:hint="eastAsia"/>
        </w:rPr>
        <w:t>综合目标：强度、塑性、疲劳、断裂韧性、耐磨耐蚀、残余应力水平、变形量、生产效率与成本等权衡项。</w:t>
      </w:r>
    </w:p>
    <w:p w14:paraId="77CA504F">
      <w:pPr>
        <w:pStyle w:val="56"/>
        <w:spacing w:line="360" w:lineRule="auto"/>
        <w:ind w:firstLine="420"/>
      </w:pPr>
      <w:r>
        <w:rPr>
          <w:rFonts w:hint="eastAsia"/>
        </w:rPr>
        <w:t>对复杂零件，建议建立“关键特征清单”，将薄壁、长悬臂、内流道、密集孔阵列、点阵结构等列为关键特征，并为每类特征指定重点控制指标与验收方法。</w:t>
      </w:r>
    </w:p>
    <w:p w14:paraId="3BFF1364">
      <w:pPr>
        <w:pStyle w:val="105"/>
        <w:spacing w:before="120" w:after="120" w:line="360" w:lineRule="auto"/>
      </w:pPr>
      <w:r>
        <w:rPr>
          <w:rFonts w:hint="eastAsia"/>
        </w:rPr>
        <w:t>基线窗口建立</w:t>
      </w:r>
    </w:p>
    <w:p w14:paraId="6F3DCA6D">
      <w:pPr>
        <w:pStyle w:val="65"/>
        <w:spacing w:before="120" w:after="120" w:line="360" w:lineRule="auto"/>
      </w:pPr>
      <w:r>
        <w:rPr>
          <w:rFonts w:hint="eastAsia"/>
        </w:rPr>
        <w:t>初始参数确定</w:t>
      </w:r>
    </w:p>
    <w:p w14:paraId="307FFDF0">
      <w:pPr>
        <w:pStyle w:val="56"/>
        <w:spacing w:line="360" w:lineRule="auto"/>
        <w:ind w:firstLine="420"/>
      </w:pPr>
      <w:r>
        <w:rPr>
          <w:rFonts w:hint="eastAsia"/>
        </w:rPr>
        <w:t>初始参数应基于材料与设备推荐值、历史成熟参数或相近材料工艺包确定。初始参数应满足：铺粉稳定、熔池连续、成形过程无明显异常。</w:t>
      </w:r>
    </w:p>
    <w:p w14:paraId="314A48E4">
      <w:pPr>
        <w:pStyle w:val="65"/>
        <w:spacing w:before="120" w:after="120" w:line="360" w:lineRule="auto"/>
      </w:pPr>
      <w:r>
        <w:rPr>
          <w:rFonts w:hint="eastAsia"/>
        </w:rPr>
        <w:t>窗口筛选方法</w:t>
      </w:r>
    </w:p>
    <w:p w14:paraId="09DB2D92">
      <w:pPr>
        <w:pStyle w:val="56"/>
        <w:spacing w:line="360" w:lineRule="auto"/>
        <w:ind w:firstLine="420"/>
      </w:pPr>
      <w:r>
        <w:rPr>
          <w:rFonts w:hint="eastAsia"/>
        </w:rPr>
        <w:t>窗口筛选宜优先采用分阶段方法：</w:t>
      </w:r>
    </w:p>
    <w:p w14:paraId="386FEC3E">
      <w:pPr>
        <w:pStyle w:val="56"/>
        <w:spacing w:line="360" w:lineRule="auto"/>
        <w:ind w:firstLine="420"/>
      </w:pPr>
      <w:r>
        <w:rPr>
          <w:rFonts w:hint="eastAsia"/>
        </w:rPr>
        <w:t>a) 粗筛：以能量密度为线索，筛选可形成连续熔道且无明显未熔合的参数组合；</w:t>
      </w:r>
    </w:p>
    <w:p w14:paraId="38C6D4D3">
      <w:pPr>
        <w:pStyle w:val="56"/>
        <w:spacing w:line="360" w:lineRule="auto"/>
        <w:ind w:firstLine="420"/>
      </w:pPr>
      <w:r>
        <w:rPr>
          <w:rFonts w:hint="eastAsia"/>
        </w:rPr>
        <w:t>b) 精筛：针对致密度、表面质量与变形趋势进行细化；</w:t>
      </w:r>
    </w:p>
    <w:p w14:paraId="10754BF3">
      <w:pPr>
        <w:pStyle w:val="56"/>
        <w:spacing w:line="360" w:lineRule="auto"/>
        <w:ind w:firstLine="420"/>
      </w:pPr>
      <w:r>
        <w:rPr>
          <w:rFonts w:hint="eastAsia"/>
        </w:rPr>
        <w:t>c) 固化：锁定关键参数范围，形成基线窗口，并建立对应的过程监测阈值。</w:t>
      </w:r>
    </w:p>
    <w:p w14:paraId="1E170631">
      <w:pPr>
        <w:pStyle w:val="65"/>
        <w:spacing w:before="120" w:after="120" w:line="360" w:lineRule="auto"/>
      </w:pPr>
      <w:r>
        <w:rPr>
          <w:rFonts w:hint="eastAsia"/>
        </w:rPr>
        <w:t>试样设置</w:t>
      </w:r>
    </w:p>
    <w:p w14:paraId="745556CC">
      <w:pPr>
        <w:pStyle w:val="56"/>
        <w:spacing w:line="360" w:lineRule="auto"/>
        <w:ind w:firstLine="420"/>
      </w:pPr>
      <w:r>
        <w:rPr>
          <w:rFonts w:hint="eastAsia"/>
        </w:rPr>
        <w:t>基线窗口建立应至少包含：</w:t>
      </w:r>
    </w:p>
    <w:p w14:paraId="08EFB784">
      <w:pPr>
        <w:pStyle w:val="56"/>
        <w:spacing w:line="360" w:lineRule="auto"/>
        <w:ind w:firstLine="420"/>
      </w:pPr>
      <w:r>
        <w:rPr>
          <w:rFonts w:hint="eastAsia"/>
        </w:rPr>
        <w:t>a) 致密度试样（用于孔隙率与缺陷形态识别）；</w:t>
      </w:r>
    </w:p>
    <w:p w14:paraId="6F5FE98A">
      <w:pPr>
        <w:pStyle w:val="56"/>
        <w:spacing w:line="360" w:lineRule="auto"/>
        <w:ind w:firstLine="420"/>
      </w:pPr>
      <w:r>
        <w:rPr>
          <w:rFonts w:hint="eastAsia"/>
        </w:rPr>
        <w:t>b) 表面与尺寸试样（用于粗糙度与尺寸偏差趋势判断）；</w:t>
      </w:r>
    </w:p>
    <w:p w14:paraId="4D8F41E0">
      <w:pPr>
        <w:pStyle w:val="56"/>
        <w:spacing w:line="360" w:lineRule="auto"/>
        <w:ind w:firstLine="420"/>
      </w:pPr>
      <w:r>
        <w:rPr>
          <w:rFonts w:hint="eastAsia"/>
        </w:rPr>
        <w:t>c) 代表性结构试样（薄壁、悬垂、孔道等，用于复杂特征可制造性验证）；</w:t>
      </w:r>
    </w:p>
    <w:p w14:paraId="4252AC6E">
      <w:pPr>
        <w:pStyle w:val="56"/>
        <w:spacing w:line="360" w:lineRule="auto"/>
        <w:ind w:firstLine="420"/>
      </w:pPr>
      <w:r>
        <w:rPr>
          <w:rFonts w:hint="eastAsia"/>
        </w:rPr>
        <w:t>d) 力学性能试样（按需求选择拉伸、冲击、疲劳等）。</w:t>
      </w:r>
    </w:p>
    <w:p w14:paraId="3D11D145">
      <w:pPr>
        <w:pStyle w:val="105"/>
        <w:spacing w:before="120" w:after="120" w:line="360" w:lineRule="auto"/>
      </w:pPr>
      <w:r>
        <w:rPr>
          <w:rFonts w:hint="eastAsia"/>
        </w:rPr>
        <w:t>试验设计</w:t>
      </w:r>
    </w:p>
    <w:p w14:paraId="0EE20D2A">
      <w:pPr>
        <w:pStyle w:val="56"/>
        <w:spacing w:line="360" w:lineRule="auto"/>
        <w:ind w:firstLine="420"/>
      </w:pPr>
      <w:r>
        <w:rPr>
          <w:rFonts w:hint="eastAsia"/>
        </w:rPr>
        <w:t>参数优化宜采用统计试验设计方法提升效率，常用方法包括正交试验、响应面法、分数因子设计或等效方法。试验设计应满足：</w:t>
      </w:r>
    </w:p>
    <w:p w14:paraId="111FAD79">
      <w:pPr>
        <w:pStyle w:val="56"/>
        <w:spacing w:line="360" w:lineRule="auto"/>
        <w:ind w:firstLine="420"/>
      </w:pPr>
      <w:r>
        <w:rPr>
          <w:rFonts w:hint="eastAsia"/>
        </w:rPr>
        <w:t>a) 因子选择合理，优先选择对缺陷与性能敏感的参数；</w:t>
      </w:r>
    </w:p>
    <w:p w14:paraId="074EAAB1">
      <w:pPr>
        <w:pStyle w:val="56"/>
        <w:spacing w:line="360" w:lineRule="auto"/>
        <w:ind w:firstLine="420"/>
      </w:pPr>
      <w:r>
        <w:rPr>
          <w:rFonts w:hint="eastAsia"/>
        </w:rPr>
        <w:t>b) 因子水平设置覆盖合理窗口，避免过窄导致无法识别趋势；</w:t>
      </w:r>
    </w:p>
    <w:p w14:paraId="6FF6F076">
      <w:pPr>
        <w:pStyle w:val="56"/>
        <w:spacing w:line="360" w:lineRule="auto"/>
        <w:ind w:firstLine="420"/>
      </w:pPr>
      <w:r>
        <w:rPr>
          <w:rFonts w:hint="eastAsia"/>
        </w:rPr>
        <w:t>c) 设置重复试验或中心点用于评估过程波动；</w:t>
      </w:r>
    </w:p>
    <w:p w14:paraId="6B3A33A5">
      <w:pPr>
        <w:pStyle w:val="56"/>
        <w:spacing w:line="360" w:lineRule="auto"/>
        <w:ind w:firstLine="420"/>
      </w:pPr>
      <w:r>
        <w:rPr>
          <w:rFonts w:hint="eastAsia"/>
        </w:rPr>
        <w:t>d) 明确响应指标与权重，避免“多指标相互矛盾”导致结论不可用。</w:t>
      </w:r>
    </w:p>
    <w:p w14:paraId="4204B081">
      <w:pPr>
        <w:pStyle w:val="56"/>
        <w:spacing w:line="360" w:lineRule="auto"/>
        <w:ind w:firstLine="420"/>
      </w:pPr>
      <w:r>
        <w:rPr>
          <w:rFonts w:hint="eastAsia"/>
        </w:rPr>
        <w:t>对安全关键件，建议在统计设计基础上增加“极限边界验证”，确认窗口边界在设备波动与材料批次波动下仍能满足硬性目标。</w:t>
      </w:r>
    </w:p>
    <w:p w14:paraId="59F13E0D">
      <w:pPr>
        <w:pStyle w:val="105"/>
        <w:spacing w:before="120" w:after="120" w:line="360" w:lineRule="auto"/>
      </w:pPr>
      <w:r>
        <w:rPr>
          <w:rFonts w:hint="eastAsia"/>
        </w:rPr>
        <w:t>优化闭环</w:t>
      </w:r>
    </w:p>
    <w:p w14:paraId="3C70BFBE">
      <w:pPr>
        <w:pStyle w:val="56"/>
        <w:spacing w:line="360" w:lineRule="auto"/>
        <w:ind w:firstLine="420"/>
      </w:pPr>
      <w:r>
        <w:rPr>
          <w:rFonts w:hint="eastAsia"/>
        </w:rPr>
        <w:t>参数优化应形成闭环，并将过程监测与结果检测纳入同一链路管理。闭环流程见图1。</w:t>
      </w:r>
    </w:p>
    <w:p w14:paraId="285226B2">
      <w:pPr>
        <w:pStyle w:val="56"/>
        <w:ind w:firstLine="0" w:firstLineChars="0"/>
      </w:pPr>
      <w:r>
        <w:rPr>
          <w:rFonts w:hint="eastAsia"/>
        </w:rPr>
        <w:drawing>
          <wp:inline distT="0" distB="0" distL="0" distR="0">
            <wp:extent cx="5935980" cy="4038600"/>
            <wp:effectExtent l="0" t="0" r="7620" b="0"/>
            <wp:docPr id="327825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25271"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935980" cy="4038600"/>
                    </a:xfrm>
                    <a:prstGeom prst="rect">
                      <a:avLst/>
                    </a:prstGeom>
                    <a:noFill/>
                    <a:ln>
                      <a:noFill/>
                    </a:ln>
                  </pic:spPr>
                </pic:pic>
              </a:graphicData>
            </a:graphic>
          </wp:inline>
        </w:drawing>
      </w:r>
    </w:p>
    <w:p w14:paraId="0B9AA750">
      <w:pPr>
        <w:pStyle w:val="114"/>
        <w:spacing w:before="120" w:after="120" w:line="360" w:lineRule="auto"/>
      </w:pPr>
      <w:r>
        <w:rPr>
          <w:rFonts w:hint="eastAsia"/>
        </w:rPr>
        <w:t>参数优化闭环流程</w:t>
      </w:r>
    </w:p>
    <w:p w14:paraId="1E1C82ED">
      <w:pPr>
        <w:pStyle w:val="105"/>
        <w:spacing w:before="120" w:after="120" w:line="360" w:lineRule="auto"/>
      </w:pPr>
      <w:r>
        <w:rPr>
          <w:rFonts w:hint="eastAsia"/>
        </w:rPr>
        <w:t>结果判定</w:t>
      </w:r>
    </w:p>
    <w:p w14:paraId="73906294">
      <w:pPr>
        <w:pStyle w:val="65"/>
        <w:spacing w:before="120" w:after="120" w:line="360" w:lineRule="auto"/>
      </w:pPr>
      <w:r>
        <w:rPr>
          <w:rFonts w:hint="eastAsia"/>
        </w:rPr>
        <w:t>合格判定</w:t>
      </w:r>
    </w:p>
    <w:p w14:paraId="52F8FCE4">
      <w:pPr>
        <w:pStyle w:val="56"/>
        <w:spacing w:line="360" w:lineRule="auto"/>
        <w:ind w:firstLine="420"/>
      </w:pPr>
      <w:r>
        <w:rPr>
          <w:rFonts w:hint="eastAsia"/>
        </w:rPr>
        <w:t>当试验结果满足硬性目标，且综合目标达到预设阈值或权衡结论被批准时，可判定参数组合为可用。可用参数应进入代表性零件验证阶段。</w:t>
      </w:r>
    </w:p>
    <w:p w14:paraId="35D621BF">
      <w:pPr>
        <w:pStyle w:val="65"/>
        <w:spacing w:before="120" w:after="120" w:line="360" w:lineRule="auto"/>
      </w:pPr>
      <w:r>
        <w:rPr>
          <w:rFonts w:hint="eastAsia"/>
        </w:rPr>
        <w:t>不合格处置</w:t>
      </w:r>
    </w:p>
    <w:p w14:paraId="72D970AE">
      <w:pPr>
        <w:pStyle w:val="56"/>
        <w:spacing w:line="360" w:lineRule="auto"/>
        <w:ind w:firstLine="420"/>
      </w:pPr>
      <w:r>
        <w:rPr>
          <w:rFonts w:hint="eastAsia"/>
        </w:rPr>
        <w:t>出现下列任一情形应判定不合格并进入失效分析：</w:t>
      </w:r>
    </w:p>
    <w:p w14:paraId="1AC4AA51">
      <w:pPr>
        <w:pStyle w:val="56"/>
        <w:spacing w:line="360" w:lineRule="auto"/>
        <w:ind w:firstLine="420"/>
      </w:pPr>
      <w:r>
        <w:rPr>
          <w:rFonts w:hint="eastAsia"/>
        </w:rPr>
        <w:t>a) 出现裂纹、连续未熔合或孔隙率显著超限；</w:t>
      </w:r>
    </w:p>
    <w:p w14:paraId="05C69682">
      <w:pPr>
        <w:pStyle w:val="56"/>
        <w:spacing w:line="360" w:lineRule="auto"/>
        <w:ind w:firstLine="420"/>
      </w:pPr>
      <w:r>
        <w:rPr>
          <w:rFonts w:hint="eastAsia"/>
        </w:rPr>
        <w:t>b) 尺寸偏差或变形导致关键特征不可修复；</w:t>
      </w:r>
    </w:p>
    <w:p w14:paraId="2E88ABBB">
      <w:pPr>
        <w:pStyle w:val="56"/>
        <w:spacing w:line="360" w:lineRule="auto"/>
        <w:ind w:firstLine="420"/>
      </w:pPr>
      <w:r>
        <w:rPr>
          <w:rFonts w:hint="eastAsia"/>
        </w:rPr>
        <w:t>c) 组织异常或性能离散超出控制限；</w:t>
      </w:r>
    </w:p>
    <w:p w14:paraId="737089DD">
      <w:pPr>
        <w:pStyle w:val="56"/>
        <w:spacing w:line="360" w:lineRule="auto"/>
        <w:ind w:firstLine="420"/>
      </w:pPr>
      <w:r>
        <w:rPr>
          <w:rFonts w:hint="eastAsia"/>
        </w:rPr>
        <w:t>d) 过程监测出现超限且与缺陷相关性明确。</w:t>
      </w:r>
    </w:p>
    <w:p w14:paraId="437E9C9A">
      <w:pPr>
        <w:pStyle w:val="56"/>
        <w:spacing w:line="360" w:lineRule="auto"/>
        <w:ind w:firstLine="420"/>
      </w:pPr>
      <w:r>
        <w:rPr>
          <w:rFonts w:hint="eastAsia"/>
        </w:rPr>
        <w:t>不合格分析应区分“参数因素、设备因素、材料因素、环境因素、数据因素”，并形成纠正措施与复验计划。</w:t>
      </w:r>
    </w:p>
    <w:p w14:paraId="280EA4CA">
      <w:pPr>
        <w:pStyle w:val="105"/>
        <w:spacing w:before="120" w:after="120" w:line="360" w:lineRule="auto"/>
      </w:pPr>
      <w:r>
        <w:rPr>
          <w:rFonts w:hint="eastAsia"/>
        </w:rPr>
        <w:t>工艺固化</w:t>
      </w:r>
    </w:p>
    <w:p w14:paraId="36A61C2C">
      <w:pPr>
        <w:pStyle w:val="56"/>
        <w:spacing w:line="360" w:lineRule="auto"/>
        <w:ind w:firstLine="420"/>
      </w:pPr>
      <w:r>
        <w:rPr>
          <w:rFonts w:hint="eastAsia"/>
        </w:rPr>
        <w:t>工艺固化应至少包含：</w:t>
      </w:r>
    </w:p>
    <w:p w14:paraId="1D939642">
      <w:pPr>
        <w:pStyle w:val="56"/>
        <w:spacing w:line="360" w:lineRule="auto"/>
        <w:ind w:firstLine="420"/>
      </w:pPr>
      <w:r>
        <w:rPr>
          <w:rFonts w:hint="eastAsia"/>
        </w:rPr>
        <w:t>a) 参数清单与窗口范围；</w:t>
      </w:r>
    </w:p>
    <w:p w14:paraId="41F82663">
      <w:pPr>
        <w:pStyle w:val="56"/>
        <w:spacing w:line="360" w:lineRule="auto"/>
        <w:ind w:firstLine="420"/>
      </w:pPr>
      <w:r>
        <w:rPr>
          <w:rFonts w:hint="eastAsia"/>
        </w:rPr>
        <w:t>b) 扫描策略、分区规则与轮廓设置；</w:t>
      </w:r>
    </w:p>
    <w:p w14:paraId="67E57795">
      <w:pPr>
        <w:pStyle w:val="56"/>
        <w:spacing w:line="360" w:lineRule="auto"/>
        <w:ind w:firstLine="420"/>
      </w:pPr>
      <w:r>
        <w:rPr>
          <w:rFonts w:hint="eastAsia"/>
        </w:rPr>
        <w:t>c) 成形方向与支撑规范（含可替代方案）；</w:t>
      </w:r>
    </w:p>
    <w:p w14:paraId="6929843D">
      <w:pPr>
        <w:pStyle w:val="56"/>
        <w:spacing w:line="360" w:lineRule="auto"/>
        <w:ind w:firstLine="420"/>
      </w:pPr>
      <w:r>
        <w:rPr>
          <w:rFonts w:hint="eastAsia"/>
        </w:rPr>
        <w:t>d) 预热与气氛控制阈值；</w:t>
      </w:r>
    </w:p>
    <w:p w14:paraId="78C314B0">
      <w:pPr>
        <w:pStyle w:val="56"/>
        <w:spacing w:line="360" w:lineRule="auto"/>
        <w:ind w:firstLine="420"/>
      </w:pPr>
      <w:r>
        <w:rPr>
          <w:rFonts w:hint="eastAsia"/>
        </w:rPr>
        <w:t>e) 过程监测指标与报警阈值；</w:t>
      </w:r>
    </w:p>
    <w:p w14:paraId="6EFD9FCB">
      <w:pPr>
        <w:pStyle w:val="56"/>
        <w:spacing w:line="360" w:lineRule="auto"/>
        <w:ind w:firstLine="420"/>
      </w:pPr>
      <w:r>
        <w:rPr>
          <w:rFonts w:hint="eastAsia"/>
        </w:rPr>
        <w:t>f) 检测项目、抽检比例与放行规则；</w:t>
      </w:r>
    </w:p>
    <w:p w14:paraId="680A500D">
      <w:pPr>
        <w:pStyle w:val="56"/>
        <w:spacing w:line="360" w:lineRule="auto"/>
        <w:ind w:firstLine="420"/>
      </w:pPr>
      <w:r>
        <w:rPr>
          <w:rFonts w:hint="eastAsia"/>
        </w:rPr>
        <w:t>g) 变更控制：任何参数、材料、设备状态或软件版本变更的审批路径与再验证要求。</w:t>
      </w:r>
    </w:p>
    <w:p w14:paraId="0E4C83AA">
      <w:pPr>
        <w:pStyle w:val="104"/>
        <w:spacing w:before="240" w:after="240" w:line="360" w:lineRule="auto"/>
      </w:pPr>
      <w:bookmarkStart w:id="53" w:name="_Toc220077740"/>
      <w:r>
        <w:rPr>
          <w:rFonts w:hint="eastAsia"/>
        </w:rPr>
        <w:t>成形过程控制</w:t>
      </w:r>
      <w:bookmarkEnd w:id="53"/>
    </w:p>
    <w:p w14:paraId="2863D060">
      <w:pPr>
        <w:pStyle w:val="105"/>
        <w:spacing w:before="120" w:after="120" w:line="360" w:lineRule="auto"/>
      </w:pPr>
      <w:r>
        <w:rPr>
          <w:rFonts w:hint="eastAsia"/>
        </w:rPr>
        <w:t>总则</w:t>
      </w:r>
    </w:p>
    <w:p w14:paraId="7A8B55D0">
      <w:pPr>
        <w:pStyle w:val="165"/>
        <w:spacing w:line="360" w:lineRule="auto"/>
      </w:pPr>
      <w:r>
        <w:rPr>
          <w:rFonts w:hint="eastAsia"/>
        </w:rPr>
        <w:t>成形过程控制应覆盖“成形前确认、成形中监控、成形后放行”三个阶段，确保关键变量在受控状态下运行，并实现异常可识别、可追溯、可处置。对复杂机械零件，成形过程控制应重点关注热累积与应力演化、薄壁与悬垂成形稳定性、内腔与流道成形可达性、支撑与热传导路径有效性，以及粉末或送粉稳定性。</w:t>
      </w:r>
    </w:p>
    <w:p w14:paraId="3503F176">
      <w:pPr>
        <w:pStyle w:val="165"/>
        <w:spacing w:line="360" w:lineRule="auto"/>
      </w:pPr>
      <w:r>
        <w:rPr>
          <w:rFonts w:hint="eastAsia"/>
        </w:rPr>
        <w:t>过程控制应与第5章工艺固化文件一致。任何超出窗口或超出监测阈值的异常，应按变更与不合格控制流程处置，不得擅自调整参数继续生产而不留痕。</w:t>
      </w:r>
    </w:p>
    <w:p w14:paraId="534F8B20">
      <w:pPr>
        <w:pStyle w:val="105"/>
        <w:spacing w:before="120" w:after="120" w:line="360" w:lineRule="auto"/>
      </w:pPr>
      <w:r>
        <w:rPr>
          <w:rFonts w:hint="eastAsia"/>
        </w:rPr>
        <w:t>成形前准备</w:t>
      </w:r>
    </w:p>
    <w:p w14:paraId="6A041946">
      <w:pPr>
        <w:pStyle w:val="65"/>
        <w:spacing w:before="120" w:after="120" w:line="360" w:lineRule="auto"/>
      </w:pPr>
      <w:r>
        <w:rPr>
          <w:rFonts w:hint="eastAsia"/>
        </w:rPr>
        <w:t>数据与模型检查</w:t>
      </w:r>
    </w:p>
    <w:p w14:paraId="41D618B9">
      <w:pPr>
        <w:pStyle w:val="56"/>
        <w:spacing w:line="360" w:lineRule="auto"/>
        <w:ind w:firstLine="420"/>
      </w:pPr>
      <w:r>
        <w:rPr>
          <w:rFonts w:hint="eastAsia"/>
        </w:rPr>
        <w:t>数据与模型检查应满足以下方面：</w:t>
      </w:r>
    </w:p>
    <w:p w14:paraId="3A4A94E1">
      <w:pPr>
        <w:pStyle w:val="56"/>
        <w:spacing w:line="360" w:lineRule="auto"/>
        <w:ind w:firstLine="420"/>
      </w:pPr>
      <w:r>
        <w:rPr>
          <w:rFonts w:hint="eastAsia"/>
        </w:rPr>
        <w:t>a) 模型完整性：检查STL/STEP等模型是否存在破面、非流形、重叠体、零厚度特征等缺陷；</w:t>
      </w:r>
    </w:p>
    <w:p w14:paraId="5A3E5EA4">
      <w:pPr>
        <w:pStyle w:val="56"/>
        <w:spacing w:line="360" w:lineRule="auto"/>
        <w:ind w:firstLine="420"/>
      </w:pPr>
      <w:r>
        <w:rPr>
          <w:rFonts w:hint="eastAsia"/>
        </w:rPr>
        <w:t>b) 尺寸基准：核对基准面、装配基准与关键尺寸标注与设计一致；</w:t>
      </w:r>
    </w:p>
    <w:p w14:paraId="25C1B0CA">
      <w:pPr>
        <w:pStyle w:val="56"/>
        <w:spacing w:line="360" w:lineRule="auto"/>
        <w:ind w:firstLine="420"/>
      </w:pPr>
      <w:r>
        <w:rPr>
          <w:rFonts w:hint="eastAsia"/>
        </w:rPr>
        <w:t>c) 关键特征识别：对薄壁、孔阵列、点阵、内流道、密封面等关键特征建立清单并标注检测与加工余量策略；</w:t>
      </w:r>
    </w:p>
    <w:p w14:paraId="12A80EDA">
      <w:pPr>
        <w:pStyle w:val="56"/>
        <w:spacing w:line="360" w:lineRule="auto"/>
        <w:ind w:firstLine="420"/>
      </w:pPr>
      <w:r>
        <w:rPr>
          <w:rFonts w:hint="eastAsia"/>
        </w:rPr>
        <w:t>d) 切片一致性：核对切片层厚、轮廓与填充策略、扫描旋转角、分区规则是否与工艺版本一致；</w:t>
      </w:r>
    </w:p>
    <w:p w14:paraId="081214B7">
      <w:pPr>
        <w:pStyle w:val="56"/>
        <w:spacing w:line="360" w:lineRule="auto"/>
        <w:ind w:firstLine="420"/>
      </w:pPr>
      <w:r>
        <w:rPr>
          <w:rFonts w:hint="eastAsia"/>
        </w:rPr>
        <w:t>e) 数据版本：切片文件、参数文件、软件版本与后处理脚本应纳入版本管理并固化记录。</w:t>
      </w:r>
    </w:p>
    <w:p w14:paraId="26D77EB4">
      <w:pPr>
        <w:pStyle w:val="65"/>
        <w:spacing w:before="120" w:after="120" w:line="360" w:lineRule="auto"/>
      </w:pPr>
      <w:r>
        <w:rPr>
          <w:rFonts w:hint="eastAsia"/>
        </w:rPr>
        <w:t>成形方向与支撑确认</w:t>
      </w:r>
    </w:p>
    <w:p w14:paraId="3A4EA2A7">
      <w:pPr>
        <w:pStyle w:val="56"/>
        <w:spacing w:line="360" w:lineRule="auto"/>
        <w:ind w:firstLine="420"/>
      </w:pPr>
      <w:r>
        <w:rPr>
          <w:rFonts w:hint="eastAsia"/>
        </w:rPr>
        <w:t>成形方向应满足关键受力方向与性能各向异性控制要求，并兼顾表面质量、支撑可达性与后处理可去除性。</w:t>
      </w:r>
    </w:p>
    <w:p w14:paraId="536D9A3A">
      <w:pPr>
        <w:pStyle w:val="56"/>
        <w:spacing w:line="360" w:lineRule="auto"/>
        <w:ind w:firstLine="420"/>
      </w:pPr>
      <w:r>
        <w:rPr>
          <w:rFonts w:hint="eastAsia"/>
        </w:rPr>
        <w:t>支撑应同时满足机械支撑与热支撑要求，避免支撑不足导致塌陷或支撑过强导致去除损伤。支撑接触点应避开关键功能面、密封面与关键配合面，必要时预留加工余量。</w:t>
      </w:r>
    </w:p>
    <w:p w14:paraId="049DA378">
      <w:pPr>
        <w:pStyle w:val="56"/>
        <w:spacing w:line="360" w:lineRule="auto"/>
        <w:ind w:firstLine="420"/>
      </w:pPr>
      <w:r>
        <w:rPr>
          <w:rFonts w:hint="eastAsia"/>
        </w:rPr>
        <w:t>对内腔与流道，应评估粉末清理路径与清理可达性，必要时设计排粉孔或清理窗口，并在图纸或工艺文件中明确封堵或后续处理要求。</w:t>
      </w:r>
    </w:p>
    <w:p w14:paraId="23227D01">
      <w:pPr>
        <w:pStyle w:val="65"/>
        <w:spacing w:before="120" w:after="120" w:line="360" w:lineRule="auto"/>
      </w:pPr>
      <w:r>
        <w:rPr>
          <w:rFonts w:hint="eastAsia"/>
        </w:rPr>
        <w:t>材料确认</w:t>
      </w:r>
    </w:p>
    <w:p w14:paraId="4ABF59E8">
      <w:pPr>
        <w:pStyle w:val="56"/>
        <w:spacing w:line="360" w:lineRule="auto"/>
        <w:ind w:firstLine="420"/>
      </w:pPr>
      <w:r>
        <w:rPr>
          <w:rFonts w:hint="eastAsia"/>
        </w:rPr>
        <w:t>粉末或丝材应按批次核对材质、化学成分、粒度/直径、含氧含氮等关键指标，确认符合工艺准入要求。回收粉末再利用应符合循环次数或混粉比例限制，并建立筛分、除杂与存储条件记录。涉及不同批次材料混用时，应评估对致密度、组织与性能的影响，并按变更流程审批。</w:t>
      </w:r>
    </w:p>
    <w:p w14:paraId="6BF13955">
      <w:pPr>
        <w:pStyle w:val="65"/>
        <w:spacing w:before="120" w:after="120" w:line="360" w:lineRule="auto"/>
      </w:pPr>
      <w:r>
        <w:rPr>
          <w:rFonts w:hint="eastAsia"/>
        </w:rPr>
        <w:t>设备状态确认</w:t>
      </w:r>
    </w:p>
    <w:p w14:paraId="265B0603">
      <w:pPr>
        <w:pStyle w:val="56"/>
        <w:spacing w:line="360" w:lineRule="auto"/>
        <w:ind w:firstLine="420"/>
      </w:pPr>
      <w:r>
        <w:rPr>
          <w:rFonts w:hint="eastAsia"/>
        </w:rPr>
        <w:t>设备状态确认要求如下：</w:t>
      </w:r>
    </w:p>
    <w:p w14:paraId="20316246">
      <w:pPr>
        <w:pStyle w:val="56"/>
        <w:spacing w:line="360" w:lineRule="auto"/>
        <w:ind w:firstLine="420"/>
      </w:pPr>
      <w:r>
        <w:rPr>
          <w:rFonts w:hint="eastAsia"/>
        </w:rPr>
        <w:t>a) 能量系统：检查激光/电子束输出稳定性、光路清洁度、焦点位置与标定状态；</w:t>
      </w:r>
    </w:p>
    <w:p w14:paraId="2193DC97">
      <w:pPr>
        <w:pStyle w:val="56"/>
        <w:spacing w:line="360" w:lineRule="auto"/>
        <w:ind w:firstLine="420"/>
      </w:pPr>
      <w:r>
        <w:rPr>
          <w:rFonts w:hint="eastAsia"/>
        </w:rPr>
        <w:t>b) 运动系统：检查振镜或运动平台定位精度与重复精度，确认扫描场拼接与畸变校正状态；</w:t>
      </w:r>
    </w:p>
    <w:p w14:paraId="4082596F">
      <w:pPr>
        <w:pStyle w:val="56"/>
        <w:spacing w:line="360" w:lineRule="auto"/>
        <w:ind w:firstLine="420"/>
      </w:pPr>
      <w:r>
        <w:rPr>
          <w:rFonts w:hint="eastAsia"/>
        </w:rPr>
        <w:t>c) 铺粉或送粉系统：检查刮刀/滚筒磨损、铺粉厚度一致性、送粉稳定性与堵塞风险；</w:t>
      </w:r>
    </w:p>
    <w:p w14:paraId="63ADC33A">
      <w:pPr>
        <w:pStyle w:val="56"/>
        <w:spacing w:line="360" w:lineRule="auto"/>
        <w:ind w:firstLine="420"/>
      </w:pPr>
      <w:r>
        <w:rPr>
          <w:rFonts w:hint="eastAsia"/>
        </w:rPr>
        <w:t>d) 气氛系统：检查惰性气体流量、循环过滤状态与氧含量传感器校准状态；</w:t>
      </w:r>
    </w:p>
    <w:p w14:paraId="1C2761FD">
      <w:pPr>
        <w:pStyle w:val="56"/>
        <w:spacing w:line="360" w:lineRule="auto"/>
        <w:ind w:firstLine="420"/>
      </w:pPr>
      <w:r>
        <w:rPr>
          <w:rFonts w:hint="eastAsia"/>
        </w:rPr>
        <w:t>e) 平台与预热：检查平台平面度、预热温度控制与温度均匀性；</w:t>
      </w:r>
    </w:p>
    <w:p w14:paraId="061E3928">
      <w:pPr>
        <w:pStyle w:val="56"/>
        <w:spacing w:line="360" w:lineRule="auto"/>
        <w:ind w:firstLine="420"/>
      </w:pPr>
      <w:r>
        <w:rPr>
          <w:rFonts w:hint="eastAsia"/>
        </w:rPr>
        <w:t>f) 安全与联锁：确认门禁联锁、惰化联锁、粉尘与防爆措施处于有效状态。</w:t>
      </w:r>
    </w:p>
    <w:p w14:paraId="49C77D5A">
      <w:pPr>
        <w:pStyle w:val="56"/>
        <w:spacing w:line="360" w:lineRule="auto"/>
        <w:ind w:firstLine="420"/>
      </w:pPr>
      <w:r>
        <w:rPr>
          <w:rFonts w:hint="eastAsia"/>
        </w:rPr>
        <w:t>成形前准备应形成“开机放行清单”，由工艺与设备负责人共同签署确认。</w:t>
      </w:r>
    </w:p>
    <w:p w14:paraId="577CF89E">
      <w:pPr>
        <w:pStyle w:val="105"/>
        <w:spacing w:before="120" w:after="120" w:line="360" w:lineRule="auto"/>
      </w:pPr>
      <w:r>
        <w:rPr>
          <w:rFonts w:hint="eastAsia"/>
        </w:rPr>
        <w:t>成形中控制</w:t>
      </w:r>
    </w:p>
    <w:p w14:paraId="60F1C971">
      <w:pPr>
        <w:pStyle w:val="65"/>
        <w:spacing w:before="120" w:after="120" w:line="360" w:lineRule="auto"/>
      </w:pPr>
      <w:r>
        <w:rPr>
          <w:rFonts w:hint="eastAsia"/>
        </w:rPr>
        <w:t>环境控制</w:t>
      </w:r>
    </w:p>
    <w:p w14:paraId="118C614E">
      <w:pPr>
        <w:pStyle w:val="56"/>
        <w:spacing w:line="360" w:lineRule="auto"/>
        <w:ind w:firstLine="420"/>
      </w:pPr>
      <w:r>
        <w:rPr>
          <w:rFonts w:hint="eastAsia"/>
        </w:rPr>
        <w:t>氧含量、气氛流量与舱内温度应在规定阈值内。气路过滤与循环状态应满足设备要求，防止飞溅粉尘造成光路污染或铺粉缺陷。对易氧化材料或高温材料，应执行更严格的氧含量控制，并记录全过程曲线。</w:t>
      </w:r>
    </w:p>
    <w:p w14:paraId="5A082ED2">
      <w:pPr>
        <w:pStyle w:val="65"/>
        <w:spacing w:before="120" w:after="120" w:line="360" w:lineRule="auto"/>
      </w:pPr>
      <w:r>
        <w:rPr>
          <w:rFonts w:hint="eastAsia"/>
        </w:rPr>
        <w:t>铺粉与材料供给控制</w:t>
      </w:r>
    </w:p>
    <w:p w14:paraId="3025DE54">
      <w:pPr>
        <w:pStyle w:val="56"/>
        <w:spacing w:line="360" w:lineRule="auto"/>
        <w:ind w:firstLine="420"/>
      </w:pPr>
      <w:r>
        <w:rPr>
          <w:rFonts w:hint="eastAsia"/>
        </w:rPr>
        <w:t>粉床熔融应监控铺粉均匀性、层厚一致性与刮刀异常（划痕、堆粉、缺粉）。定向能量沉积应监控送粉量或送丝速度稳定性、喷嘴与保护气同轴性、熔覆道搭接质量。出现连续缺粉、堆粉或道间搭接异常时，应停机评估，避免缺陷扩展。</w:t>
      </w:r>
    </w:p>
    <w:p w14:paraId="1CCAA78E">
      <w:pPr>
        <w:pStyle w:val="65"/>
        <w:spacing w:before="120" w:after="120" w:line="360" w:lineRule="auto"/>
      </w:pPr>
      <w:r>
        <w:rPr>
          <w:rFonts w:hint="eastAsia"/>
        </w:rPr>
        <w:t>熔池与层面监测</w:t>
      </w:r>
    </w:p>
    <w:p w14:paraId="581CB995">
      <w:pPr>
        <w:pStyle w:val="56"/>
        <w:spacing w:line="360" w:lineRule="auto"/>
        <w:ind w:firstLine="420"/>
      </w:pPr>
      <w:r>
        <w:rPr>
          <w:rFonts w:hint="eastAsia"/>
        </w:rPr>
        <w:t>宜采用熔池辐射信号、同轴成像、层面相机等手段进行过程监测，并设置报警阈值。对复杂零件的关键截面或关键高度段，应设置重点监测区，必要时实施分段判定。监测数据应与零件位置、层号与时间戳关联，形成可追溯数据集。</w:t>
      </w:r>
    </w:p>
    <w:p w14:paraId="5524F824">
      <w:pPr>
        <w:pStyle w:val="56"/>
        <w:spacing w:line="360" w:lineRule="auto"/>
        <w:ind w:firstLine="420"/>
      </w:pPr>
    </w:p>
    <w:p w14:paraId="1A704E44">
      <w:pPr>
        <w:pStyle w:val="65"/>
        <w:spacing w:before="120" w:after="120" w:line="360" w:lineRule="auto"/>
      </w:pPr>
      <w:r>
        <w:rPr>
          <w:rFonts w:hint="eastAsia"/>
        </w:rPr>
        <w:t>热管理与变形控制</w:t>
      </w:r>
    </w:p>
    <w:p w14:paraId="536FAE91">
      <w:pPr>
        <w:pStyle w:val="56"/>
        <w:spacing w:line="360" w:lineRule="auto"/>
        <w:ind w:firstLine="420"/>
      </w:pPr>
      <w:r>
        <w:rPr>
          <w:rFonts w:hint="eastAsia"/>
        </w:rPr>
        <w:t>对热累积明显的区域，应通过扫描分区、路径旋转、岛式扫描、层间等待或预热策略进行热均衡。对薄壁与悬垂结构，应控制能量输入与搭接方式，避免过熔导致塌陷或不足导致未熔合。当监测到平台翘曲、支撑失效或异常飞溅增多时，应立即评估是否暂停或终止成形。</w:t>
      </w:r>
    </w:p>
    <w:p w14:paraId="6399BB6C">
      <w:pPr>
        <w:pStyle w:val="65"/>
        <w:spacing w:before="120" w:after="120" w:line="360" w:lineRule="auto"/>
      </w:pPr>
      <w:r>
        <w:rPr>
          <w:rFonts w:hint="eastAsia"/>
        </w:rPr>
        <w:t>异常处置</w:t>
      </w:r>
    </w:p>
    <w:p w14:paraId="1BB8015E">
      <w:pPr>
        <w:pStyle w:val="56"/>
        <w:spacing w:line="360" w:lineRule="auto"/>
        <w:ind w:firstLine="420"/>
      </w:pPr>
      <w:r>
        <w:rPr>
          <w:rFonts w:hint="eastAsia"/>
        </w:rPr>
        <w:t>成形过程出现异常时，应按分级处置：</w:t>
      </w:r>
    </w:p>
    <w:p w14:paraId="7D193289">
      <w:pPr>
        <w:pStyle w:val="56"/>
        <w:spacing w:line="360" w:lineRule="auto"/>
        <w:ind w:firstLine="420"/>
      </w:pPr>
      <w:r>
        <w:rPr>
          <w:rFonts w:hint="eastAsia"/>
        </w:rPr>
        <w:t>a) 信息类异常：记录并持续观察，不影响质量的可继续；</w:t>
      </w:r>
    </w:p>
    <w:p w14:paraId="4AB4A53C">
      <w:pPr>
        <w:pStyle w:val="56"/>
        <w:spacing w:line="360" w:lineRule="auto"/>
        <w:ind w:firstLine="420"/>
      </w:pPr>
      <w:r>
        <w:rPr>
          <w:rFonts w:hint="eastAsia"/>
        </w:rPr>
        <w:t>b) 警戒类异常：触发工艺工程师介入评估，必要时暂停；</w:t>
      </w:r>
    </w:p>
    <w:p w14:paraId="0F33C531">
      <w:pPr>
        <w:pStyle w:val="56"/>
        <w:spacing w:line="360" w:lineRule="auto"/>
        <w:ind w:firstLine="420"/>
      </w:pPr>
      <w:r>
        <w:rPr>
          <w:rFonts w:hint="eastAsia"/>
        </w:rPr>
        <w:t>c) 停机类异常：立即停机，实施原因分析与恢复验证后方可继续。</w:t>
      </w:r>
    </w:p>
    <w:p w14:paraId="109364E3">
      <w:pPr>
        <w:pStyle w:val="56"/>
        <w:spacing w:line="360" w:lineRule="auto"/>
        <w:ind w:firstLine="420"/>
      </w:pPr>
      <w:r>
        <w:rPr>
          <w:rFonts w:hint="eastAsia"/>
        </w:rPr>
        <w:t>所有异常处置必须记录：异常类型、发生层号/时间、影响范围、处置动作、结论与责任人。</w:t>
      </w:r>
    </w:p>
    <w:p w14:paraId="5CF0DF70">
      <w:pPr>
        <w:pStyle w:val="105"/>
        <w:spacing w:before="120" w:after="120" w:line="360" w:lineRule="auto"/>
      </w:pPr>
      <w:r>
        <w:rPr>
          <w:rFonts w:hint="eastAsia"/>
        </w:rPr>
        <w:t>成形后放行</w:t>
      </w:r>
    </w:p>
    <w:p w14:paraId="3DDA9486">
      <w:pPr>
        <w:pStyle w:val="65"/>
        <w:spacing w:before="120" w:after="120" w:line="360" w:lineRule="auto"/>
      </w:pPr>
      <w:r>
        <w:rPr>
          <w:rFonts w:hint="eastAsia"/>
        </w:rPr>
        <w:t>冷却与开舱</w:t>
      </w:r>
    </w:p>
    <w:p w14:paraId="0DD1EE41">
      <w:pPr>
        <w:pStyle w:val="56"/>
        <w:spacing w:line="360" w:lineRule="auto"/>
        <w:ind w:firstLine="420"/>
      </w:pPr>
      <w:r>
        <w:rPr>
          <w:rFonts w:hint="eastAsia"/>
        </w:rPr>
        <w:t>应按工艺要求控制冷却速率与开舱条件，避免热冲击引发裂纹或变形；开舱前应确认温度与氧含量满足安全条件，并执行粉末安全操作规程；粉末回收与清理应避免交叉污染，区分不同材料与不同批次。</w:t>
      </w:r>
    </w:p>
    <w:p w14:paraId="55F49C00">
      <w:pPr>
        <w:pStyle w:val="65"/>
        <w:spacing w:before="120" w:after="120" w:line="360" w:lineRule="auto"/>
      </w:pPr>
      <w:r>
        <w:rPr>
          <w:rFonts w:hint="eastAsia"/>
        </w:rPr>
        <w:t>初检与标识</w:t>
      </w:r>
    </w:p>
    <w:p w14:paraId="32C5E9A7">
      <w:pPr>
        <w:pStyle w:val="56"/>
        <w:spacing w:line="360" w:lineRule="auto"/>
        <w:ind w:firstLine="420"/>
      </w:pPr>
      <w:r>
        <w:rPr>
          <w:rFonts w:hint="eastAsia"/>
        </w:rPr>
        <w:t>成形件应进行外观检查，识别明显塌陷、分层、烧蚀、支撑失效与严重变形；应对成形件及其对应的构建板、支撑方案与批次信息进行标识，确保与过程数据一一对应；对关键件宜实施尺寸初检与关键特征可达性检查，判断是否具备后处理修复空间。</w:t>
      </w:r>
    </w:p>
    <w:p w14:paraId="25639E92">
      <w:pPr>
        <w:pStyle w:val="65"/>
        <w:spacing w:before="120" w:after="120" w:line="360" w:lineRule="auto"/>
      </w:pPr>
      <w:r>
        <w:rPr>
          <w:rFonts w:hint="eastAsia"/>
        </w:rPr>
        <w:t>去支撑前控制</w:t>
      </w:r>
    </w:p>
    <w:p w14:paraId="79C709A6">
      <w:pPr>
        <w:pStyle w:val="56"/>
        <w:spacing w:line="360" w:lineRule="auto"/>
        <w:ind w:firstLine="420"/>
      </w:pPr>
      <w:r>
        <w:rPr>
          <w:rFonts w:hint="eastAsia"/>
        </w:rPr>
        <w:t>去支撑前应评估：支撑去除路径、关键面保护、内腔排粉情况与潜在损伤风险。必要时制定专用工装或保护措施，避免去支撑过程造成裂纹扩展或关键面损伤。</w:t>
      </w:r>
    </w:p>
    <w:p w14:paraId="5A0E406D">
      <w:pPr>
        <w:pStyle w:val="105"/>
        <w:spacing w:before="120" w:after="120" w:line="360" w:lineRule="auto"/>
      </w:pPr>
      <w:r>
        <w:rPr>
          <w:rFonts w:hint="eastAsia"/>
        </w:rPr>
        <w:t>过程记录</w:t>
      </w:r>
    </w:p>
    <w:p w14:paraId="47FBE100">
      <w:pPr>
        <w:pStyle w:val="56"/>
        <w:spacing w:line="360" w:lineRule="auto"/>
        <w:ind w:firstLine="420"/>
      </w:pPr>
      <w:r>
        <w:rPr>
          <w:rFonts w:hint="eastAsia"/>
        </w:rPr>
        <w:t>成形过程应形成完整记录，至少包括：</w:t>
      </w:r>
    </w:p>
    <w:p w14:paraId="24F39C63">
      <w:pPr>
        <w:pStyle w:val="56"/>
        <w:spacing w:line="360" w:lineRule="auto"/>
        <w:ind w:firstLine="420"/>
      </w:pPr>
      <w:r>
        <w:rPr>
          <w:rFonts w:hint="eastAsia"/>
        </w:rPr>
        <w:t>a) 材料批次与粉末循环记录；</w:t>
      </w:r>
    </w:p>
    <w:p w14:paraId="30C33E35">
      <w:pPr>
        <w:pStyle w:val="56"/>
        <w:spacing w:line="360" w:lineRule="auto"/>
        <w:ind w:firstLine="420"/>
      </w:pPr>
      <w:r>
        <w:rPr>
          <w:rFonts w:hint="eastAsia"/>
        </w:rPr>
        <w:t>b) 设备编号、关键部件状态、校准与点检记录；</w:t>
      </w:r>
    </w:p>
    <w:p w14:paraId="4D365297">
      <w:pPr>
        <w:pStyle w:val="56"/>
        <w:spacing w:line="360" w:lineRule="auto"/>
        <w:ind w:firstLine="420"/>
      </w:pPr>
      <w:r>
        <w:rPr>
          <w:rFonts w:hint="eastAsia"/>
        </w:rPr>
        <w:t>c) 参数版本、切片文件版本与扫描策略；</w:t>
      </w:r>
    </w:p>
    <w:p w14:paraId="380B54CE">
      <w:pPr>
        <w:pStyle w:val="56"/>
        <w:spacing w:line="360" w:lineRule="auto"/>
        <w:ind w:firstLine="420"/>
      </w:pPr>
      <w:r>
        <w:rPr>
          <w:rFonts w:hint="eastAsia"/>
        </w:rPr>
        <w:t>d) 气氛、氧含量、温度等环境曲线；</w:t>
      </w:r>
    </w:p>
    <w:p w14:paraId="25C13688">
      <w:pPr>
        <w:pStyle w:val="56"/>
        <w:spacing w:line="360" w:lineRule="auto"/>
        <w:ind w:firstLine="420"/>
      </w:pPr>
      <w:r>
        <w:rPr>
          <w:rFonts w:hint="eastAsia"/>
        </w:rPr>
        <w:t>e) 过程监测数据与报警记录；</w:t>
      </w:r>
    </w:p>
    <w:p w14:paraId="0055D521">
      <w:pPr>
        <w:pStyle w:val="56"/>
        <w:spacing w:line="360" w:lineRule="auto"/>
        <w:ind w:firstLine="420"/>
      </w:pPr>
      <w:r>
        <w:rPr>
          <w:rFonts w:hint="eastAsia"/>
        </w:rPr>
        <w:t>f) 异常处置与停机记录；</w:t>
      </w:r>
    </w:p>
    <w:p w14:paraId="46E2F077">
      <w:pPr>
        <w:pStyle w:val="56"/>
        <w:spacing w:line="360" w:lineRule="auto"/>
        <w:ind w:firstLine="420"/>
      </w:pPr>
      <w:r>
        <w:rPr>
          <w:rFonts w:hint="eastAsia"/>
        </w:rPr>
        <w:t>g) 成形件标识与批次编号对应表。</w:t>
      </w:r>
    </w:p>
    <w:p w14:paraId="087CB1A6">
      <w:pPr>
        <w:pStyle w:val="104"/>
        <w:spacing w:before="240" w:after="240" w:line="360" w:lineRule="auto"/>
      </w:pPr>
      <w:bookmarkStart w:id="54" w:name="_Toc220077741"/>
      <w:r>
        <w:rPr>
          <w:rFonts w:hint="eastAsia"/>
        </w:rPr>
        <w:t>后处理缺陷控制</w:t>
      </w:r>
      <w:bookmarkEnd w:id="54"/>
    </w:p>
    <w:p w14:paraId="32B7DADD">
      <w:pPr>
        <w:pStyle w:val="105"/>
        <w:spacing w:before="120" w:after="120" w:line="360" w:lineRule="auto"/>
      </w:pPr>
      <w:r>
        <w:rPr>
          <w:rFonts w:hint="eastAsia"/>
        </w:rPr>
        <w:t>总则</w:t>
      </w:r>
    </w:p>
    <w:p w14:paraId="1D73D27E">
      <w:pPr>
        <w:pStyle w:val="165"/>
        <w:spacing w:line="360" w:lineRule="auto"/>
      </w:pPr>
      <w:r>
        <w:rPr>
          <w:rFonts w:hint="eastAsia"/>
        </w:rPr>
        <w:t>后处理应与成形工艺版本配套设计，遵循“先消应力后精加工、先定基准后去余量、先内部后外部”的原则，以降低残余应力释放引起的二次变形，控制去支撑与机加工引入的损伤风险，并确保组织性能与尺寸精度满足验收要求。</w:t>
      </w:r>
    </w:p>
    <w:p w14:paraId="7EA5048A">
      <w:pPr>
        <w:pStyle w:val="165"/>
        <w:spacing w:line="360" w:lineRule="auto"/>
      </w:pPr>
      <w:r>
        <w:rPr>
          <w:rFonts w:hint="eastAsia"/>
        </w:rPr>
        <w:t>后处理路线应文件化并受控管理，关键工序不得随意更改；确需更改时，应按变更控制流程进行再验证。</w:t>
      </w:r>
    </w:p>
    <w:p w14:paraId="3540D3E8">
      <w:pPr>
        <w:pStyle w:val="165"/>
        <w:spacing w:line="360" w:lineRule="auto"/>
      </w:pPr>
      <w:r>
        <w:rPr>
          <w:rFonts w:hint="eastAsia"/>
        </w:rPr>
        <w:t>后处理缺陷控制应围绕以下风险开展：</w:t>
      </w:r>
    </w:p>
    <w:p w14:paraId="130E286D">
      <w:pPr>
        <w:pStyle w:val="56"/>
        <w:spacing w:line="360" w:lineRule="auto"/>
        <w:ind w:firstLine="420"/>
      </w:pPr>
      <w:r>
        <w:rPr>
          <w:rFonts w:hint="eastAsia"/>
        </w:rPr>
        <w:t>a) 去支撑引发的崩边、裂纹扩展与关键面损伤；</w:t>
      </w:r>
    </w:p>
    <w:p w14:paraId="21319978">
      <w:pPr>
        <w:pStyle w:val="56"/>
        <w:spacing w:line="360" w:lineRule="auto"/>
        <w:ind w:firstLine="420"/>
      </w:pPr>
      <w:r>
        <w:rPr>
          <w:rFonts w:hint="eastAsia"/>
        </w:rPr>
        <w:t>b) 热处理引起的变形、氧化、晶粒粗化与性能波动；</w:t>
      </w:r>
    </w:p>
    <w:p w14:paraId="06D94918">
      <w:pPr>
        <w:pStyle w:val="56"/>
        <w:spacing w:line="360" w:lineRule="auto"/>
        <w:ind w:firstLine="420"/>
      </w:pPr>
      <w:r>
        <w:rPr>
          <w:rFonts w:hint="eastAsia"/>
        </w:rPr>
        <w:t>c) 热等静压导致的尺寸变化与表面影响；</w:t>
      </w:r>
    </w:p>
    <w:p w14:paraId="58D5CF8B">
      <w:pPr>
        <w:pStyle w:val="56"/>
        <w:spacing w:line="360" w:lineRule="auto"/>
        <w:ind w:firstLine="420"/>
      </w:pPr>
      <w:r>
        <w:rPr>
          <w:rFonts w:hint="eastAsia"/>
        </w:rPr>
        <w:t>d) 机加工引入的热影响层、残余应力再分布与表面微裂纹；</w:t>
      </w:r>
    </w:p>
    <w:p w14:paraId="1D87FFAF">
      <w:pPr>
        <w:pStyle w:val="56"/>
        <w:spacing w:line="360" w:lineRule="auto"/>
        <w:ind w:firstLine="420"/>
      </w:pPr>
      <w:r>
        <w:rPr>
          <w:rFonts w:hint="eastAsia"/>
        </w:rPr>
        <w:t>e) 表面处理引起的尺寸偏差、孔道堵塞或腐蚀风险；</w:t>
      </w:r>
    </w:p>
    <w:p w14:paraId="05689D8A">
      <w:pPr>
        <w:pStyle w:val="56"/>
        <w:spacing w:line="360" w:lineRule="auto"/>
        <w:ind w:firstLine="420"/>
      </w:pPr>
      <w:r>
        <w:rPr>
          <w:rFonts w:hint="eastAsia"/>
        </w:rPr>
        <w:t>f) 内腔粉末残留导致的堵塞、磨损或服役失效风险。</w:t>
      </w:r>
    </w:p>
    <w:p w14:paraId="0B7CB467">
      <w:pPr>
        <w:pStyle w:val="105"/>
        <w:spacing w:before="120" w:after="120" w:line="360" w:lineRule="auto"/>
      </w:pPr>
      <w:r>
        <w:rPr>
          <w:rFonts w:hint="eastAsia"/>
        </w:rPr>
        <w:t>去支撑</w:t>
      </w:r>
    </w:p>
    <w:p w14:paraId="05DE92BC">
      <w:pPr>
        <w:pStyle w:val="65"/>
        <w:spacing w:before="120" w:after="120" w:line="360" w:lineRule="auto"/>
      </w:pPr>
      <w:r>
        <w:rPr>
          <w:rFonts w:hint="eastAsia"/>
        </w:rPr>
        <w:t>工序要求</w:t>
      </w:r>
    </w:p>
    <w:p w14:paraId="7F668656">
      <w:pPr>
        <w:pStyle w:val="56"/>
        <w:spacing w:line="360" w:lineRule="auto"/>
        <w:ind w:firstLine="420"/>
      </w:pPr>
      <w:r>
        <w:rPr>
          <w:rFonts w:hint="eastAsia"/>
        </w:rPr>
        <w:t>工序要求如下：</w:t>
      </w:r>
    </w:p>
    <w:p w14:paraId="46AFE833">
      <w:pPr>
        <w:pStyle w:val="56"/>
        <w:spacing w:line="360" w:lineRule="auto"/>
        <w:ind w:firstLine="420"/>
      </w:pPr>
      <w:r>
        <w:rPr>
          <w:rFonts w:hint="eastAsia"/>
        </w:rPr>
        <w:t>a) 去支撑前宜优先完成消应力热处理（适用于对残余应力敏感且易变形的零件），以降低去支撑过程中的应力释放风险；</w:t>
      </w:r>
    </w:p>
    <w:p w14:paraId="656BC551">
      <w:pPr>
        <w:pStyle w:val="56"/>
        <w:spacing w:line="360" w:lineRule="auto"/>
        <w:ind w:firstLine="420"/>
      </w:pPr>
      <w:r>
        <w:rPr>
          <w:rFonts w:hint="eastAsia"/>
        </w:rPr>
        <w:t>b) 去支撑应采用专用夹具或定位工装，避免夹持导致薄壁变形；</w:t>
      </w:r>
    </w:p>
    <w:p w14:paraId="727D97A1">
      <w:pPr>
        <w:pStyle w:val="56"/>
        <w:spacing w:line="360" w:lineRule="auto"/>
        <w:ind w:firstLine="420"/>
      </w:pPr>
      <w:r>
        <w:rPr>
          <w:rFonts w:hint="eastAsia"/>
        </w:rPr>
        <w:t>c) 去支撑工具选择应兼顾效率与损伤控制，可采用线切割、锯切、铣削、手工切除等方式；对薄壁与精密结构，应优先选择低冲击方式；</w:t>
      </w:r>
    </w:p>
    <w:p w14:paraId="683841A6">
      <w:pPr>
        <w:pStyle w:val="56"/>
        <w:spacing w:line="360" w:lineRule="auto"/>
        <w:ind w:firstLine="420"/>
      </w:pPr>
      <w:r>
        <w:rPr>
          <w:rFonts w:hint="eastAsia"/>
        </w:rPr>
        <w:t>d) 去支撑后应对关键面进行保护处理，并开展毛刺清理与边缘修整。</w:t>
      </w:r>
    </w:p>
    <w:p w14:paraId="38182C25">
      <w:pPr>
        <w:pStyle w:val="65"/>
        <w:spacing w:before="120" w:after="120" w:line="360" w:lineRule="auto"/>
      </w:pPr>
      <w:r>
        <w:rPr>
          <w:rFonts w:hint="eastAsia"/>
        </w:rPr>
        <w:t>质量控制</w:t>
      </w:r>
    </w:p>
    <w:p w14:paraId="0BFA4AC9">
      <w:pPr>
        <w:pStyle w:val="56"/>
        <w:spacing w:line="360" w:lineRule="auto"/>
        <w:ind w:firstLine="420"/>
      </w:pPr>
      <w:r>
        <w:rPr>
          <w:rFonts w:hint="eastAsia"/>
        </w:rPr>
        <w:t>质量控制要求如下：</w:t>
      </w:r>
    </w:p>
    <w:p w14:paraId="1262633B">
      <w:pPr>
        <w:pStyle w:val="56"/>
        <w:spacing w:line="360" w:lineRule="auto"/>
        <w:ind w:firstLine="420"/>
      </w:pPr>
      <w:r>
        <w:rPr>
          <w:rFonts w:hint="eastAsia"/>
        </w:rPr>
        <w:t>a) 去支撑后应检查支撑接触点残留高度与表面损伤，必要时进行局部修复或预加工；</w:t>
      </w:r>
    </w:p>
    <w:p w14:paraId="63859577">
      <w:pPr>
        <w:pStyle w:val="56"/>
        <w:spacing w:line="360" w:lineRule="auto"/>
        <w:ind w:firstLine="420"/>
      </w:pPr>
      <w:r>
        <w:rPr>
          <w:rFonts w:hint="eastAsia"/>
        </w:rPr>
        <w:t>b) 对内腔结构，去支撑过程中不得堵塞排粉孔或破坏流道关键结构；</w:t>
      </w:r>
    </w:p>
    <w:p w14:paraId="6D263121">
      <w:pPr>
        <w:pStyle w:val="56"/>
        <w:spacing w:line="360" w:lineRule="auto"/>
        <w:ind w:firstLine="420"/>
      </w:pPr>
      <w:r>
        <w:rPr>
          <w:rFonts w:hint="eastAsia"/>
        </w:rPr>
        <w:t>c) 发现裂纹或疑似裂纹时，应立即停止后续加工并实施无损检测确认。</w:t>
      </w:r>
    </w:p>
    <w:p w14:paraId="4B2532D3">
      <w:pPr>
        <w:pStyle w:val="56"/>
        <w:spacing w:line="360" w:lineRule="auto"/>
        <w:ind w:firstLine="420"/>
      </w:pPr>
    </w:p>
    <w:p w14:paraId="0A02C25A">
      <w:pPr>
        <w:pStyle w:val="105"/>
        <w:spacing w:before="120" w:after="120" w:line="360" w:lineRule="auto"/>
      </w:pPr>
      <w:r>
        <w:rPr>
          <w:rFonts w:hint="eastAsia"/>
        </w:rPr>
        <w:t>热处理</w:t>
      </w:r>
    </w:p>
    <w:p w14:paraId="50FF6C3D">
      <w:pPr>
        <w:pStyle w:val="65"/>
        <w:spacing w:before="120" w:after="120" w:line="360" w:lineRule="auto"/>
      </w:pPr>
      <w:r>
        <w:rPr>
          <w:rFonts w:hint="eastAsia"/>
        </w:rPr>
        <w:t>消应力热处理</w:t>
      </w:r>
    </w:p>
    <w:p w14:paraId="71E83A12">
      <w:pPr>
        <w:pStyle w:val="56"/>
        <w:spacing w:line="360" w:lineRule="auto"/>
        <w:ind w:firstLine="420"/>
      </w:pPr>
      <w:r>
        <w:rPr>
          <w:rFonts w:hint="eastAsia"/>
        </w:rPr>
        <w:t>消应力热处理应根据材料体系确定温度、保温时间与冷却方式，并在工艺文件中固化。消应力处理应关注：</w:t>
      </w:r>
    </w:p>
    <w:p w14:paraId="7508C38A">
      <w:pPr>
        <w:pStyle w:val="56"/>
        <w:spacing w:line="360" w:lineRule="auto"/>
        <w:ind w:firstLine="420"/>
      </w:pPr>
      <w:r>
        <w:rPr>
          <w:rFonts w:hint="eastAsia"/>
        </w:rPr>
        <w:t>a) 控制变形：采用合理装夹与支撑，必要时使用夹具限位；</w:t>
      </w:r>
    </w:p>
    <w:p w14:paraId="6C4280D6">
      <w:pPr>
        <w:pStyle w:val="56"/>
        <w:spacing w:line="360" w:lineRule="auto"/>
        <w:ind w:firstLine="420"/>
      </w:pPr>
      <w:r>
        <w:rPr>
          <w:rFonts w:hint="eastAsia"/>
        </w:rPr>
        <w:t>b) 控制氧化：采用真空、惰性气氛或保护介质，避免表面氧化影响后续加工与性能；</w:t>
      </w:r>
    </w:p>
    <w:p w14:paraId="794C34F7">
      <w:pPr>
        <w:pStyle w:val="56"/>
        <w:spacing w:line="360" w:lineRule="auto"/>
        <w:ind w:firstLine="420"/>
      </w:pPr>
      <w:r>
        <w:rPr>
          <w:rFonts w:hint="eastAsia"/>
        </w:rPr>
        <w:t>c) 控制一致性：炉温均匀性与装炉方式应受控，并记录炉温曲线与批次信息。</w:t>
      </w:r>
    </w:p>
    <w:p w14:paraId="01ED83E1">
      <w:pPr>
        <w:pStyle w:val="65"/>
        <w:spacing w:before="120" w:after="120" w:line="360" w:lineRule="auto"/>
      </w:pPr>
      <w:r>
        <w:rPr>
          <w:rFonts w:hint="eastAsia"/>
        </w:rPr>
        <w:t>固溶时效与强化热处理</w:t>
      </w:r>
    </w:p>
    <w:p w14:paraId="326E5FF0">
      <w:pPr>
        <w:pStyle w:val="56"/>
        <w:spacing w:line="360" w:lineRule="auto"/>
        <w:ind w:firstLine="420"/>
      </w:pPr>
      <w:r>
        <w:rPr>
          <w:rFonts w:hint="eastAsia"/>
        </w:rPr>
        <w:t>对需通过热处理获得目标强度、硬度或耐蚀性的材料，应执行固溶、时效、回火等工艺。强化热处理应与成形组织特点匹配，避免晶粒粗化或脆性相析出导致韧性下降。</w:t>
      </w:r>
    </w:p>
    <w:p w14:paraId="0E8015A9">
      <w:pPr>
        <w:pStyle w:val="65"/>
        <w:spacing w:before="120" w:after="120" w:line="360" w:lineRule="auto"/>
      </w:pPr>
      <w:r>
        <w:rPr>
          <w:rFonts w:hint="eastAsia"/>
        </w:rPr>
        <w:t>热处理后检验</w:t>
      </w:r>
    </w:p>
    <w:p w14:paraId="2D4E483D">
      <w:pPr>
        <w:pStyle w:val="56"/>
        <w:spacing w:line="360" w:lineRule="auto"/>
        <w:ind w:firstLine="420"/>
      </w:pPr>
      <w:r>
        <w:rPr>
          <w:rFonts w:hint="eastAsia"/>
        </w:rPr>
        <w:t>热处理后应至少进行外观与关键尺寸复测，对易变形零件应进行变形量评估。必要时进行硬度或显微组织抽检，验证热处理效果。</w:t>
      </w:r>
    </w:p>
    <w:p w14:paraId="48E43C20">
      <w:pPr>
        <w:pStyle w:val="105"/>
        <w:spacing w:before="120" w:after="120" w:line="360" w:lineRule="auto"/>
      </w:pPr>
      <w:r>
        <w:rPr>
          <w:rFonts w:hint="eastAsia"/>
        </w:rPr>
        <w:t>热等静压</w:t>
      </w:r>
    </w:p>
    <w:p w14:paraId="4D791C3E">
      <w:pPr>
        <w:pStyle w:val="56"/>
        <w:spacing w:line="360" w:lineRule="auto"/>
        <w:ind w:firstLine="420"/>
      </w:pPr>
      <w:r>
        <w:rPr>
          <w:rFonts w:hint="eastAsia"/>
        </w:rPr>
        <w:t>当零件对内部缺陷敏感或致密度要求更高时，可采用热等静压。热等静压应明确：</w:t>
      </w:r>
    </w:p>
    <w:p w14:paraId="3A3D45CC">
      <w:pPr>
        <w:pStyle w:val="56"/>
        <w:spacing w:line="360" w:lineRule="auto"/>
        <w:ind w:firstLine="420"/>
      </w:pPr>
      <w:r>
        <w:rPr>
          <w:rFonts w:hint="eastAsia"/>
        </w:rPr>
        <w:t>a) 适用条件：材料体系、缺陷类型、零件尺寸与结构限制；</w:t>
      </w:r>
    </w:p>
    <w:p w14:paraId="5BAB83B1">
      <w:pPr>
        <w:pStyle w:val="56"/>
        <w:spacing w:line="360" w:lineRule="auto"/>
        <w:ind w:firstLine="420"/>
      </w:pPr>
      <w:r>
        <w:rPr>
          <w:rFonts w:hint="eastAsia"/>
        </w:rPr>
        <w:t>b) 工艺路线：温度、压力、保温时间与升降速率；</w:t>
      </w:r>
    </w:p>
    <w:p w14:paraId="5DE7FC4F">
      <w:pPr>
        <w:pStyle w:val="56"/>
        <w:spacing w:line="360" w:lineRule="auto"/>
        <w:ind w:firstLine="420"/>
      </w:pPr>
      <w:r>
        <w:rPr>
          <w:rFonts w:hint="eastAsia"/>
        </w:rPr>
        <w:t>c) 尺寸影响：热等静压可能引起尺寸变化，应预留加工余量并在工艺文件中明确；</w:t>
      </w:r>
    </w:p>
    <w:p w14:paraId="0C570CFF">
      <w:pPr>
        <w:pStyle w:val="56"/>
        <w:spacing w:line="360" w:lineRule="auto"/>
        <w:ind w:firstLine="420"/>
      </w:pPr>
      <w:r>
        <w:rPr>
          <w:rFonts w:hint="eastAsia"/>
        </w:rPr>
        <w:t>d) 验证要求：热等静压前后缺陷水平与性能变化应通过检测验证。</w:t>
      </w:r>
    </w:p>
    <w:p w14:paraId="7283A396">
      <w:pPr>
        <w:pStyle w:val="105"/>
        <w:spacing w:before="120" w:after="120" w:line="360" w:lineRule="auto"/>
      </w:pPr>
      <w:r>
        <w:rPr>
          <w:rFonts w:hint="eastAsia"/>
        </w:rPr>
        <w:t>机加工与表面处理</w:t>
      </w:r>
    </w:p>
    <w:p w14:paraId="48A239E1">
      <w:pPr>
        <w:pStyle w:val="65"/>
        <w:spacing w:before="120" w:after="120" w:line="360" w:lineRule="auto"/>
      </w:pPr>
      <w:r>
        <w:rPr>
          <w:rFonts w:hint="eastAsia"/>
        </w:rPr>
        <w:t>机加工</w:t>
      </w:r>
    </w:p>
    <w:p w14:paraId="6DA2C753">
      <w:pPr>
        <w:pStyle w:val="56"/>
        <w:spacing w:line="360" w:lineRule="auto"/>
        <w:ind w:firstLine="420"/>
      </w:pPr>
      <w:r>
        <w:rPr>
          <w:rFonts w:hint="eastAsia"/>
        </w:rPr>
        <w:t>机加工应以建立基准为先，采用分阶段去余量策略，避免一次性去除导致应力释放变形。对薄壁与点阵邻近区域，应控制切削力与夹持力，必要时使用软夹具或填充支撑。机加工参数应避免产生过大热影响层，必要时采用冷却润滑与分步加工。内流道加工或清理应避免残屑残留与二次堵塞。</w:t>
      </w:r>
    </w:p>
    <w:p w14:paraId="00A72299">
      <w:pPr>
        <w:pStyle w:val="65"/>
        <w:spacing w:before="120" w:after="120" w:line="360" w:lineRule="auto"/>
      </w:pPr>
      <w:r>
        <w:rPr>
          <w:rFonts w:hint="eastAsia"/>
        </w:rPr>
        <w:t>表面处理</w:t>
      </w:r>
    </w:p>
    <w:p w14:paraId="26E70912">
      <w:pPr>
        <w:pStyle w:val="56"/>
        <w:spacing w:line="360" w:lineRule="auto"/>
        <w:ind w:firstLine="420"/>
      </w:pPr>
      <w:r>
        <w:rPr>
          <w:rFonts w:hint="eastAsia"/>
        </w:rPr>
        <w:t>表面处理可包括喷砂、抛丸、化学抛光、电解抛光、涂层、阳极化等。应明确：</w:t>
      </w:r>
    </w:p>
    <w:p w14:paraId="0853C7F1">
      <w:pPr>
        <w:pStyle w:val="56"/>
        <w:spacing w:line="360" w:lineRule="auto"/>
        <w:ind w:firstLine="420"/>
      </w:pPr>
      <w:r>
        <w:rPr>
          <w:rFonts w:hint="eastAsia"/>
        </w:rPr>
        <w:t>a) 处理目的：改善粗糙度、提高耐磨耐蚀或增强疲劳性能等；</w:t>
      </w:r>
    </w:p>
    <w:p w14:paraId="112A23B6">
      <w:pPr>
        <w:pStyle w:val="56"/>
        <w:spacing w:line="360" w:lineRule="auto"/>
        <w:ind w:firstLine="420"/>
      </w:pPr>
      <w:r>
        <w:rPr>
          <w:rFonts w:hint="eastAsia"/>
        </w:rPr>
        <w:t>b) 尺寸影响：表面处理可能改变尺寸与孔径，应在图纸或工艺文件中明确允许变化范围；</w:t>
      </w:r>
    </w:p>
    <w:p w14:paraId="18A8ACF6">
      <w:pPr>
        <w:pStyle w:val="56"/>
        <w:spacing w:line="360" w:lineRule="auto"/>
        <w:ind w:firstLine="420"/>
      </w:pPr>
      <w:r>
        <w:rPr>
          <w:rFonts w:hint="eastAsia"/>
        </w:rPr>
        <w:t>c) 流道与孔道保护：对内腔与小孔应采取防堵塞措施，必要时实施处理前封堵与处理后清理验证；</w:t>
      </w:r>
    </w:p>
    <w:p w14:paraId="71AC26AB">
      <w:pPr>
        <w:pStyle w:val="56"/>
        <w:spacing w:line="360" w:lineRule="auto"/>
        <w:ind w:firstLine="420"/>
      </w:pPr>
      <w:r>
        <w:rPr>
          <w:rFonts w:hint="eastAsia"/>
        </w:rPr>
        <w:t>d) 表面残留：化学处理后应控制残留介质，避免腐蚀或污染。</w:t>
      </w:r>
    </w:p>
    <w:p w14:paraId="61C689C3">
      <w:pPr>
        <w:pStyle w:val="105"/>
        <w:spacing w:before="120" w:after="120" w:line="360" w:lineRule="auto"/>
      </w:pPr>
      <w:r>
        <w:rPr>
          <w:rFonts w:hint="eastAsia"/>
        </w:rPr>
        <w:t>内腔清理与残粉控制</w:t>
      </w:r>
    </w:p>
    <w:p w14:paraId="4B3850CF">
      <w:pPr>
        <w:pStyle w:val="56"/>
        <w:spacing w:line="360" w:lineRule="auto"/>
        <w:ind w:firstLine="420"/>
      </w:pPr>
      <w:r>
        <w:rPr>
          <w:rFonts w:hint="eastAsia"/>
        </w:rPr>
        <w:t>对内腔流道与点阵结构，应制定专用排粉与清理方案，包括振动、气吹、真空抽吸、超声清洗或流体冲洗等。应验证清理效果，必要时采用称重法、内窥镜、工业CT或流量压降测试进行确认。对承压或流体功能件，应将残粉与堵塞风险纳入验收指标，明确不可接受缺陷类型。</w:t>
      </w:r>
    </w:p>
    <w:p w14:paraId="2851676A">
      <w:pPr>
        <w:pStyle w:val="105"/>
        <w:spacing w:before="120" w:after="120" w:line="360" w:lineRule="auto"/>
      </w:pPr>
      <w:r>
        <w:rPr>
          <w:rFonts w:hint="eastAsia"/>
        </w:rPr>
        <w:t>缺陷预防与处置</w:t>
      </w:r>
    </w:p>
    <w:p w14:paraId="20DD6FA4">
      <w:pPr>
        <w:pStyle w:val="165"/>
        <w:spacing w:line="360" w:lineRule="auto"/>
      </w:pPr>
      <w:r>
        <w:rPr>
          <w:rFonts w:hint="eastAsia"/>
        </w:rPr>
        <w:t>若发现裂纹、连续未熔合、关键部位孔隙超限等不可修复缺陷，应判定不合格并按不合格控制流程处置。</w:t>
      </w:r>
    </w:p>
    <w:p w14:paraId="6EABC926">
      <w:pPr>
        <w:pStyle w:val="165"/>
        <w:spacing w:line="360" w:lineRule="auto"/>
      </w:pPr>
      <w:r>
        <w:rPr>
          <w:rFonts w:hint="eastAsia"/>
        </w:rPr>
        <w:t>对可修复缺陷可按批准的返工方案修复，但必须记录返工范围、方法与复检结果。</w:t>
      </w:r>
    </w:p>
    <w:p w14:paraId="0540FF06">
      <w:pPr>
        <w:pStyle w:val="165"/>
        <w:spacing w:line="360" w:lineRule="auto"/>
      </w:pPr>
      <w:r>
        <w:rPr>
          <w:rFonts w:hint="eastAsia"/>
        </w:rPr>
        <w:t>返工不得改变零件关键尺寸基准与功能面要求；必要时应重新进行关键性能验证。后处理工序与质量控制要点见表</w:t>
      </w:r>
      <w:r>
        <w:t>2</w:t>
      </w:r>
      <w:r>
        <w:rPr>
          <w:rFonts w:hint="eastAsia"/>
        </w:rPr>
        <w:t>。</w:t>
      </w:r>
    </w:p>
    <w:p w14:paraId="3BD57E4C">
      <w:pPr>
        <w:pStyle w:val="112"/>
        <w:spacing w:before="120" w:after="120" w:line="360" w:lineRule="auto"/>
      </w:pPr>
      <w:r>
        <w:rPr>
          <w:rFonts w:hint="eastAsia"/>
        </w:rPr>
        <w:t>后处理工序与质量控制要点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2183"/>
        <w:gridCol w:w="1867"/>
        <w:gridCol w:w="1867"/>
        <w:gridCol w:w="1867"/>
      </w:tblGrid>
      <w:tr w14:paraId="1BFD1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7F2AF8FB">
            <w:pPr>
              <w:pStyle w:val="178"/>
            </w:pPr>
            <w:r>
              <w:rPr>
                <w:rFonts w:hint="eastAsia"/>
              </w:rPr>
              <w:t>工序</w:t>
            </w:r>
          </w:p>
        </w:tc>
        <w:tc>
          <w:tcPr>
            <w:tcW w:w="2183" w:type="dxa"/>
            <w:tcBorders>
              <w:top w:val="single" w:color="auto" w:sz="8" w:space="0"/>
              <w:bottom w:val="single" w:color="auto" w:sz="8" w:space="0"/>
            </w:tcBorders>
            <w:vAlign w:val="center"/>
          </w:tcPr>
          <w:p w14:paraId="2E9EAC79">
            <w:pPr>
              <w:pStyle w:val="178"/>
            </w:pPr>
            <w:r>
              <w:rPr>
                <w:rFonts w:hint="eastAsia"/>
              </w:rPr>
              <w:t>主要目的</w:t>
            </w:r>
          </w:p>
        </w:tc>
        <w:tc>
          <w:tcPr>
            <w:tcW w:w="1867" w:type="dxa"/>
            <w:tcBorders>
              <w:top w:val="single" w:color="auto" w:sz="8" w:space="0"/>
              <w:bottom w:val="single" w:color="auto" w:sz="8" w:space="0"/>
            </w:tcBorders>
            <w:vAlign w:val="center"/>
          </w:tcPr>
          <w:p w14:paraId="184B5807">
            <w:pPr>
              <w:pStyle w:val="178"/>
            </w:pPr>
            <w:r>
              <w:rPr>
                <w:rFonts w:hint="eastAsia"/>
              </w:rPr>
              <w:t>关键控制点</w:t>
            </w:r>
          </w:p>
        </w:tc>
        <w:tc>
          <w:tcPr>
            <w:tcW w:w="1867" w:type="dxa"/>
            <w:tcBorders>
              <w:top w:val="single" w:color="auto" w:sz="8" w:space="0"/>
              <w:bottom w:val="single" w:color="auto" w:sz="8" w:space="0"/>
            </w:tcBorders>
            <w:vAlign w:val="center"/>
          </w:tcPr>
          <w:p w14:paraId="1D7CD59E">
            <w:pPr>
              <w:pStyle w:val="178"/>
            </w:pPr>
            <w:r>
              <w:rPr>
                <w:rFonts w:hint="eastAsia"/>
              </w:rPr>
              <w:t>常见缺陷风险</w:t>
            </w:r>
          </w:p>
        </w:tc>
        <w:tc>
          <w:tcPr>
            <w:tcW w:w="1867" w:type="dxa"/>
            <w:tcBorders>
              <w:top w:val="single" w:color="auto" w:sz="8" w:space="0"/>
              <w:bottom w:val="single" w:color="auto" w:sz="8" w:space="0"/>
            </w:tcBorders>
            <w:vAlign w:val="center"/>
          </w:tcPr>
          <w:p w14:paraId="591BD667">
            <w:pPr>
              <w:pStyle w:val="178"/>
            </w:pPr>
            <w:r>
              <w:rPr>
                <w:rFonts w:hint="eastAsia"/>
              </w:rPr>
              <w:t>典型检测与确认</w:t>
            </w:r>
          </w:p>
        </w:tc>
      </w:tr>
      <w:tr w14:paraId="60D24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vAlign w:val="center"/>
          </w:tcPr>
          <w:p w14:paraId="583F7BCA">
            <w:pPr>
              <w:pStyle w:val="178"/>
            </w:pPr>
            <w:r>
              <w:rPr>
                <w:rFonts w:hint="eastAsia"/>
              </w:rPr>
              <w:t>去支撑</w:t>
            </w:r>
          </w:p>
        </w:tc>
        <w:tc>
          <w:tcPr>
            <w:tcW w:w="2183" w:type="dxa"/>
            <w:tcBorders>
              <w:top w:val="single" w:color="auto" w:sz="8" w:space="0"/>
            </w:tcBorders>
            <w:vAlign w:val="center"/>
          </w:tcPr>
          <w:p w14:paraId="167CDC89">
            <w:pPr>
              <w:pStyle w:val="178"/>
            </w:pPr>
            <w:r>
              <w:rPr>
                <w:rFonts w:hint="eastAsia"/>
              </w:rPr>
              <w:t>去除支撑与建立加工可达性</w:t>
            </w:r>
          </w:p>
        </w:tc>
        <w:tc>
          <w:tcPr>
            <w:tcW w:w="1867" w:type="dxa"/>
            <w:tcBorders>
              <w:top w:val="single" w:color="auto" w:sz="8" w:space="0"/>
            </w:tcBorders>
            <w:vAlign w:val="center"/>
          </w:tcPr>
          <w:p w14:paraId="4F2539AD">
            <w:pPr>
              <w:pStyle w:val="178"/>
            </w:pPr>
            <w:r>
              <w:rPr>
                <w:rFonts w:hint="eastAsia"/>
              </w:rPr>
              <w:t>夹持与切除路径、接触点残留、关键面保护</w:t>
            </w:r>
          </w:p>
        </w:tc>
        <w:tc>
          <w:tcPr>
            <w:tcW w:w="1867" w:type="dxa"/>
            <w:tcBorders>
              <w:top w:val="single" w:color="auto" w:sz="8" w:space="0"/>
            </w:tcBorders>
            <w:vAlign w:val="center"/>
          </w:tcPr>
          <w:p w14:paraId="2B9CA46A">
            <w:pPr>
              <w:pStyle w:val="178"/>
            </w:pPr>
            <w:r>
              <w:rPr>
                <w:rFonts w:hint="eastAsia"/>
              </w:rPr>
              <w:t>崩边、裂纹扩展、</w:t>
            </w:r>
          </w:p>
          <w:p w14:paraId="62228DBE">
            <w:pPr>
              <w:pStyle w:val="178"/>
            </w:pPr>
            <w:r>
              <w:rPr>
                <w:rFonts w:hint="eastAsia"/>
              </w:rPr>
              <w:t>关键面损伤</w:t>
            </w:r>
          </w:p>
        </w:tc>
        <w:tc>
          <w:tcPr>
            <w:tcW w:w="1867" w:type="dxa"/>
            <w:tcBorders>
              <w:top w:val="single" w:color="auto" w:sz="8" w:space="0"/>
            </w:tcBorders>
            <w:vAlign w:val="center"/>
          </w:tcPr>
          <w:p w14:paraId="09689C73">
            <w:pPr>
              <w:pStyle w:val="178"/>
            </w:pPr>
            <w:r>
              <w:rPr>
                <w:rFonts w:hint="eastAsia"/>
              </w:rPr>
              <w:t>外观检查、</w:t>
            </w:r>
          </w:p>
          <w:p w14:paraId="62A4A171">
            <w:pPr>
              <w:pStyle w:val="178"/>
            </w:pPr>
            <w:r>
              <w:rPr>
                <w:rFonts w:hint="eastAsia"/>
              </w:rPr>
              <w:t>重点部位PT/MT</w:t>
            </w:r>
          </w:p>
        </w:tc>
      </w:tr>
      <w:tr w14:paraId="7DC12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7E62A6E7">
            <w:pPr>
              <w:pStyle w:val="178"/>
            </w:pPr>
            <w:r>
              <w:rPr>
                <w:rFonts w:hint="eastAsia"/>
              </w:rPr>
              <w:t>消应力热处理</w:t>
            </w:r>
          </w:p>
        </w:tc>
        <w:tc>
          <w:tcPr>
            <w:tcW w:w="2183" w:type="dxa"/>
            <w:vAlign w:val="center"/>
          </w:tcPr>
          <w:p w14:paraId="29A9D951">
            <w:pPr>
              <w:pStyle w:val="178"/>
            </w:pPr>
            <w:r>
              <w:rPr>
                <w:rFonts w:hint="eastAsia"/>
              </w:rPr>
              <w:t>降低残余应力与变形风险</w:t>
            </w:r>
          </w:p>
        </w:tc>
        <w:tc>
          <w:tcPr>
            <w:tcW w:w="1867" w:type="dxa"/>
            <w:vAlign w:val="center"/>
          </w:tcPr>
          <w:p w14:paraId="7402B364">
            <w:pPr>
              <w:pStyle w:val="178"/>
            </w:pPr>
            <w:r>
              <w:rPr>
                <w:rFonts w:hint="eastAsia"/>
              </w:rPr>
              <w:t>炉温曲线、装夹方式、气氛保护</w:t>
            </w:r>
          </w:p>
        </w:tc>
        <w:tc>
          <w:tcPr>
            <w:tcW w:w="1867" w:type="dxa"/>
            <w:vAlign w:val="center"/>
          </w:tcPr>
          <w:p w14:paraId="26A901A9">
            <w:pPr>
              <w:pStyle w:val="178"/>
            </w:pPr>
            <w:r>
              <w:rPr>
                <w:rFonts w:hint="eastAsia"/>
              </w:rPr>
              <w:t>变形、氧化、性能波动</w:t>
            </w:r>
          </w:p>
        </w:tc>
        <w:tc>
          <w:tcPr>
            <w:tcW w:w="1867" w:type="dxa"/>
            <w:vAlign w:val="center"/>
          </w:tcPr>
          <w:p w14:paraId="3CB16D76">
            <w:pPr>
              <w:pStyle w:val="178"/>
            </w:pPr>
            <w:r>
              <w:rPr>
                <w:rFonts w:hint="eastAsia"/>
              </w:rPr>
              <w:t>尺寸复测、硬度抽检</w:t>
            </w:r>
          </w:p>
        </w:tc>
      </w:tr>
      <w:tr w14:paraId="4A92CD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756D8BF7">
            <w:pPr>
              <w:pStyle w:val="178"/>
            </w:pPr>
            <w:r>
              <w:rPr>
                <w:rFonts w:hint="eastAsia"/>
              </w:rPr>
              <w:t>热等静压</w:t>
            </w:r>
          </w:p>
        </w:tc>
        <w:tc>
          <w:tcPr>
            <w:tcW w:w="2183" w:type="dxa"/>
            <w:vAlign w:val="center"/>
          </w:tcPr>
          <w:p w14:paraId="069F80FD">
            <w:pPr>
              <w:pStyle w:val="178"/>
            </w:pPr>
            <w:r>
              <w:rPr>
                <w:rFonts w:hint="eastAsia"/>
              </w:rPr>
              <w:t>降低内部孔隙提升疲劳性能</w:t>
            </w:r>
          </w:p>
        </w:tc>
        <w:tc>
          <w:tcPr>
            <w:tcW w:w="1867" w:type="dxa"/>
            <w:vAlign w:val="center"/>
          </w:tcPr>
          <w:p w14:paraId="30241FEF">
            <w:pPr>
              <w:pStyle w:val="178"/>
            </w:pPr>
            <w:r>
              <w:rPr>
                <w:rFonts w:hint="eastAsia"/>
              </w:rPr>
              <w:t>工艺参数、尺寸影响、前后对比</w:t>
            </w:r>
          </w:p>
        </w:tc>
        <w:tc>
          <w:tcPr>
            <w:tcW w:w="1867" w:type="dxa"/>
            <w:vAlign w:val="center"/>
          </w:tcPr>
          <w:p w14:paraId="74E9EC3D">
            <w:pPr>
              <w:pStyle w:val="178"/>
            </w:pPr>
            <w:r>
              <w:rPr>
                <w:rFonts w:hint="eastAsia"/>
              </w:rPr>
              <w:t>尺寸变化、表面影响</w:t>
            </w:r>
          </w:p>
        </w:tc>
        <w:tc>
          <w:tcPr>
            <w:tcW w:w="1867" w:type="dxa"/>
            <w:vAlign w:val="center"/>
          </w:tcPr>
          <w:p w14:paraId="260769BD">
            <w:pPr>
              <w:pStyle w:val="178"/>
            </w:pPr>
            <w:r>
              <w:rPr>
                <w:rFonts w:hint="eastAsia"/>
              </w:rPr>
              <w:t>CT或致密度对比、</w:t>
            </w:r>
          </w:p>
          <w:p w14:paraId="4D18C6E3">
            <w:pPr>
              <w:pStyle w:val="178"/>
            </w:pPr>
            <w:r>
              <w:rPr>
                <w:rFonts w:hint="eastAsia"/>
              </w:rPr>
              <w:t>性能抽检</w:t>
            </w:r>
          </w:p>
        </w:tc>
      </w:tr>
      <w:tr w14:paraId="3B46A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7CE29BEF">
            <w:pPr>
              <w:pStyle w:val="178"/>
            </w:pPr>
            <w:r>
              <w:rPr>
                <w:rFonts w:hint="eastAsia"/>
              </w:rPr>
              <w:t>机加工</w:t>
            </w:r>
          </w:p>
        </w:tc>
        <w:tc>
          <w:tcPr>
            <w:tcW w:w="2183" w:type="dxa"/>
            <w:vAlign w:val="center"/>
          </w:tcPr>
          <w:p w14:paraId="1C852A5E">
            <w:pPr>
              <w:pStyle w:val="178"/>
            </w:pPr>
            <w:r>
              <w:rPr>
                <w:rFonts w:hint="eastAsia"/>
              </w:rPr>
              <w:t>达到尺寸与形位要求</w:t>
            </w:r>
          </w:p>
        </w:tc>
        <w:tc>
          <w:tcPr>
            <w:tcW w:w="1867" w:type="dxa"/>
            <w:vAlign w:val="center"/>
          </w:tcPr>
          <w:p w14:paraId="3BB72C71">
            <w:pPr>
              <w:pStyle w:val="178"/>
            </w:pPr>
            <w:r>
              <w:rPr>
                <w:rFonts w:hint="eastAsia"/>
              </w:rPr>
              <w:t>分步去余量、基准控制、切削热</w:t>
            </w:r>
          </w:p>
        </w:tc>
        <w:tc>
          <w:tcPr>
            <w:tcW w:w="1867" w:type="dxa"/>
            <w:vAlign w:val="center"/>
          </w:tcPr>
          <w:p w14:paraId="4E72D95A">
            <w:pPr>
              <w:pStyle w:val="178"/>
            </w:pPr>
            <w:r>
              <w:rPr>
                <w:rFonts w:hint="eastAsia"/>
              </w:rPr>
              <w:t>变形、表面微裂纹、</w:t>
            </w:r>
          </w:p>
          <w:p w14:paraId="7D30D226">
            <w:pPr>
              <w:pStyle w:val="178"/>
            </w:pPr>
            <w:r>
              <w:rPr>
                <w:rFonts w:hint="eastAsia"/>
              </w:rPr>
              <w:t>残应力再分布</w:t>
            </w:r>
          </w:p>
        </w:tc>
        <w:tc>
          <w:tcPr>
            <w:tcW w:w="1867" w:type="dxa"/>
            <w:vAlign w:val="center"/>
          </w:tcPr>
          <w:p w14:paraId="41FB63B9">
            <w:pPr>
              <w:pStyle w:val="178"/>
            </w:pPr>
            <w:r>
              <w:rPr>
                <w:rFonts w:hint="eastAsia"/>
              </w:rPr>
              <w:t>三坐标/形位检测、</w:t>
            </w:r>
          </w:p>
          <w:p w14:paraId="54FAF99C">
            <w:pPr>
              <w:pStyle w:val="178"/>
            </w:pPr>
            <w:r>
              <w:rPr>
                <w:rFonts w:hint="eastAsia"/>
              </w:rPr>
              <w:t>粗糙度</w:t>
            </w:r>
          </w:p>
        </w:tc>
      </w:tr>
      <w:tr w14:paraId="326A9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21A587D1">
            <w:pPr>
              <w:pStyle w:val="178"/>
            </w:pPr>
            <w:r>
              <w:rPr>
                <w:rFonts w:hint="eastAsia"/>
              </w:rPr>
              <w:t>表面处理</w:t>
            </w:r>
          </w:p>
        </w:tc>
        <w:tc>
          <w:tcPr>
            <w:tcW w:w="2183" w:type="dxa"/>
            <w:vAlign w:val="center"/>
          </w:tcPr>
          <w:p w14:paraId="66581B0A">
            <w:pPr>
              <w:pStyle w:val="178"/>
            </w:pPr>
            <w:r>
              <w:rPr>
                <w:rFonts w:hint="eastAsia"/>
              </w:rPr>
              <w:t>改善粗糙度与耐蚀耐磨</w:t>
            </w:r>
          </w:p>
        </w:tc>
        <w:tc>
          <w:tcPr>
            <w:tcW w:w="1867" w:type="dxa"/>
            <w:vAlign w:val="center"/>
          </w:tcPr>
          <w:p w14:paraId="5D123EB9">
            <w:pPr>
              <w:pStyle w:val="178"/>
            </w:pPr>
            <w:r>
              <w:rPr>
                <w:rFonts w:hint="eastAsia"/>
              </w:rPr>
              <w:t>处理时间、介质残留、孔道保护</w:t>
            </w:r>
          </w:p>
        </w:tc>
        <w:tc>
          <w:tcPr>
            <w:tcW w:w="1867" w:type="dxa"/>
            <w:vAlign w:val="center"/>
          </w:tcPr>
          <w:p w14:paraId="1FFD3539">
            <w:pPr>
              <w:pStyle w:val="178"/>
            </w:pPr>
            <w:r>
              <w:rPr>
                <w:rFonts w:hint="eastAsia"/>
              </w:rPr>
              <w:t>堵塞、过蚀、尺寸偏差</w:t>
            </w:r>
          </w:p>
        </w:tc>
        <w:tc>
          <w:tcPr>
            <w:tcW w:w="1867" w:type="dxa"/>
            <w:vAlign w:val="center"/>
          </w:tcPr>
          <w:p w14:paraId="54A7DA67">
            <w:pPr>
              <w:pStyle w:val="178"/>
            </w:pPr>
            <w:r>
              <w:rPr>
                <w:rFonts w:hint="eastAsia"/>
              </w:rPr>
              <w:t>粗糙度、</w:t>
            </w:r>
          </w:p>
          <w:p w14:paraId="4FEF8267">
            <w:pPr>
              <w:pStyle w:val="178"/>
            </w:pPr>
            <w:r>
              <w:rPr>
                <w:rFonts w:hint="eastAsia"/>
              </w:rPr>
              <w:t>孔道通畅性验证</w:t>
            </w:r>
          </w:p>
        </w:tc>
      </w:tr>
    </w:tbl>
    <w:p w14:paraId="4A41CB63">
      <w:pPr>
        <w:pStyle w:val="104"/>
        <w:spacing w:before="240" w:after="240" w:line="360" w:lineRule="auto"/>
      </w:pPr>
      <w:bookmarkStart w:id="55" w:name="_Toc220077742"/>
      <w:r>
        <w:rPr>
          <w:rFonts w:hint="eastAsia"/>
        </w:rPr>
        <w:t>检测评价</w:t>
      </w:r>
      <w:bookmarkEnd w:id="55"/>
    </w:p>
    <w:p w14:paraId="4EB86BCE">
      <w:pPr>
        <w:pStyle w:val="105"/>
        <w:spacing w:before="120" w:after="120" w:line="360" w:lineRule="auto"/>
      </w:pPr>
      <w:r>
        <w:rPr>
          <w:rFonts w:hint="eastAsia"/>
        </w:rPr>
        <w:t>总则</w:t>
      </w:r>
    </w:p>
    <w:p w14:paraId="3852E9E6">
      <w:pPr>
        <w:pStyle w:val="165"/>
        <w:spacing w:line="360" w:lineRule="auto"/>
      </w:pPr>
      <w:r>
        <w:rPr>
          <w:rFonts w:hint="eastAsia"/>
        </w:rPr>
        <w:t>检测评价应覆盖成形件从毛坯状态到成品交付的全过程，遵循“关键特征优先、风险导向抽检、过程数据支撑放行”的原则。</w:t>
      </w:r>
    </w:p>
    <w:p w14:paraId="0FF8D036">
      <w:pPr>
        <w:pStyle w:val="165"/>
        <w:spacing w:line="360" w:lineRule="auto"/>
      </w:pPr>
      <w:r>
        <w:rPr>
          <w:rFonts w:hint="eastAsia"/>
        </w:rPr>
        <w:t>检测项目与抽样比例应与零件用途、失效后果严重度、工艺成熟度与批量稳定性相匹配，并在工艺验证阶段固化为质量控制计划。</w:t>
      </w:r>
    </w:p>
    <w:p w14:paraId="43658B09">
      <w:pPr>
        <w:pStyle w:val="165"/>
        <w:spacing w:line="360" w:lineRule="auto"/>
      </w:pPr>
      <w:r>
        <w:rPr>
          <w:rFonts w:hint="eastAsia"/>
        </w:rPr>
        <w:t>检测评价宜形成“外观与标识—尺寸形位—表面质量—内部缺陷—组织性能—功能验证”的链路，确保结论可复核、可追溯。</w:t>
      </w:r>
    </w:p>
    <w:p w14:paraId="21E570B1">
      <w:pPr>
        <w:pStyle w:val="165"/>
        <w:spacing w:line="360" w:lineRule="auto"/>
      </w:pPr>
      <w:r>
        <w:rPr>
          <w:rFonts w:hint="eastAsia"/>
        </w:rPr>
        <w:t>对安全关键件或疲劳敏感件，应在无损检测与性能验证方面采用更严格的控制策略，并将关键区域、关键层段或关键高度段纳入重点检测范围。</w:t>
      </w:r>
    </w:p>
    <w:p w14:paraId="0DF1FC92">
      <w:pPr>
        <w:pStyle w:val="165"/>
        <w:numPr>
          <w:ilvl w:val="0"/>
          <w:numId w:val="0"/>
        </w:numPr>
        <w:spacing w:line="360" w:lineRule="auto"/>
        <w:rPr>
          <w:rFonts w:hint="eastAsia"/>
        </w:rPr>
      </w:pPr>
    </w:p>
    <w:p w14:paraId="5DBAB1AF">
      <w:pPr>
        <w:pStyle w:val="105"/>
        <w:spacing w:before="120" w:after="120" w:line="360" w:lineRule="auto"/>
      </w:pPr>
      <w:r>
        <w:rPr>
          <w:rFonts w:hint="eastAsia"/>
        </w:rPr>
        <w:t>外观与标识检查</w:t>
      </w:r>
    </w:p>
    <w:p w14:paraId="442868BA">
      <w:pPr>
        <w:pStyle w:val="56"/>
        <w:spacing w:line="360" w:lineRule="auto"/>
        <w:ind w:firstLine="420"/>
      </w:pPr>
      <w:r>
        <w:rPr>
          <w:rFonts w:hint="eastAsia"/>
        </w:rPr>
        <w:t>外观与标识检查用于在后处理与精加工前尽早识别明显成形异常与批次信息缺失风险，确保后续检测、返工与追溯的对象一致。检查应在规定的照明条件下进行，并对关键部位进行必要的放大观察与记录。</w:t>
      </w:r>
    </w:p>
    <w:p w14:paraId="2A40A3C3">
      <w:pPr>
        <w:pStyle w:val="56"/>
        <w:spacing w:line="360" w:lineRule="auto"/>
        <w:ind w:firstLine="420"/>
      </w:pPr>
      <w:r>
        <w:rPr>
          <w:rFonts w:hint="eastAsia"/>
        </w:rPr>
        <w:t>检查内容应至少包括：</w:t>
      </w:r>
    </w:p>
    <w:p w14:paraId="0CD72F28">
      <w:pPr>
        <w:pStyle w:val="56"/>
        <w:spacing w:line="360" w:lineRule="auto"/>
        <w:ind w:firstLine="420"/>
      </w:pPr>
      <w:r>
        <w:rPr>
          <w:rFonts w:hint="eastAsia"/>
        </w:rPr>
        <w:t>a) 外观应无明显烧蚀、塌陷、分层、严重飞溅附着、裂纹可见迹象、污染与腐蚀；</w:t>
      </w:r>
    </w:p>
    <w:p w14:paraId="3638D7AA">
      <w:pPr>
        <w:pStyle w:val="56"/>
        <w:spacing w:line="360" w:lineRule="auto"/>
        <w:ind w:firstLine="420"/>
      </w:pPr>
      <w:r>
        <w:rPr>
          <w:rFonts w:hint="eastAsia"/>
        </w:rPr>
        <w:t>b) 支撑去除后关键面应无不可接受的崩边、划伤与压痕；</w:t>
      </w:r>
    </w:p>
    <w:p w14:paraId="3DB66F32">
      <w:pPr>
        <w:pStyle w:val="56"/>
        <w:spacing w:line="360" w:lineRule="auto"/>
        <w:ind w:firstLine="420"/>
      </w:pPr>
      <w:r>
        <w:rPr>
          <w:rFonts w:hint="eastAsia"/>
        </w:rPr>
        <w:t>c) 零件应具备唯一标识，标识信息应与批次、设备、参数版本、材料批次与检测记录关联；</w:t>
      </w:r>
    </w:p>
    <w:p w14:paraId="744431CC">
      <w:pPr>
        <w:pStyle w:val="56"/>
        <w:spacing w:line="360" w:lineRule="auto"/>
        <w:ind w:firstLine="420"/>
      </w:pPr>
      <w:r>
        <w:rPr>
          <w:rFonts w:hint="eastAsia"/>
        </w:rPr>
        <w:t>d) 对存在内腔的零件，应确认排粉孔、清理孔状态与封堵状态符合工艺文件要求。</w:t>
      </w:r>
    </w:p>
    <w:p w14:paraId="2119DFC7">
      <w:pPr>
        <w:pStyle w:val="105"/>
        <w:spacing w:before="120" w:after="120" w:line="360" w:lineRule="auto"/>
      </w:pPr>
      <w:r>
        <w:rPr>
          <w:rFonts w:hint="eastAsia"/>
        </w:rPr>
        <w:t>尺寸与形位检测</w:t>
      </w:r>
    </w:p>
    <w:p w14:paraId="4A4C483B">
      <w:pPr>
        <w:pStyle w:val="65"/>
        <w:spacing w:before="120" w:after="120" w:line="360" w:lineRule="auto"/>
      </w:pPr>
      <w:r>
        <w:rPr>
          <w:rFonts w:hint="eastAsia"/>
        </w:rPr>
        <w:t>检测对象与方法</w:t>
      </w:r>
    </w:p>
    <w:p w14:paraId="6B7BE93B">
      <w:pPr>
        <w:pStyle w:val="56"/>
        <w:spacing w:line="360" w:lineRule="auto"/>
        <w:ind w:firstLine="420"/>
      </w:pPr>
      <w:r>
        <w:rPr>
          <w:rFonts w:hint="eastAsia"/>
        </w:rPr>
        <w:t>尺寸与形位检测应以关键基准、关键配合面、密封面与关键功能特征为重点，并根据结构可达性选择适宜方法：</w:t>
      </w:r>
    </w:p>
    <w:p w14:paraId="0BAF688F">
      <w:pPr>
        <w:pStyle w:val="132"/>
        <w:spacing w:line="360" w:lineRule="auto"/>
      </w:pPr>
      <w:r>
        <w:rPr>
          <w:rFonts w:hint="eastAsia"/>
        </w:rPr>
        <w:t>检测方法可采用三坐标测量、激光扫描、光学测量或专用检具；对内流道与不可达部位，可采用CT或内窥镜辅助评价；</w:t>
      </w:r>
    </w:p>
    <w:p w14:paraId="634AED9E">
      <w:pPr>
        <w:pStyle w:val="132"/>
        <w:spacing w:line="360" w:lineRule="auto"/>
      </w:pPr>
      <w:r>
        <w:rPr>
          <w:rFonts w:hint="eastAsia"/>
        </w:rPr>
        <w:t>对薄壁与易变形结构，应在规定的装夹方式与环境条件下检测，必要时采用专用工装限制自由度；</w:t>
      </w:r>
    </w:p>
    <w:p w14:paraId="7CCC9F7B">
      <w:pPr>
        <w:pStyle w:val="132"/>
        <w:spacing w:line="360" w:lineRule="auto"/>
      </w:pPr>
      <w:r>
        <w:rPr>
          <w:rFonts w:hint="eastAsia"/>
        </w:rPr>
        <w:t>对“成形+机加工”路线，应在毛坯阶段完成关键定位特征与加工余量核验，为后续加工基准建立提供依据。</w:t>
      </w:r>
    </w:p>
    <w:p w14:paraId="06897E16">
      <w:pPr>
        <w:pStyle w:val="65"/>
        <w:spacing w:before="120" w:after="120" w:line="360" w:lineRule="auto"/>
      </w:pPr>
      <w:r>
        <w:rPr>
          <w:rFonts w:hint="eastAsia"/>
        </w:rPr>
        <w:t>判定原则</w:t>
      </w:r>
    </w:p>
    <w:p w14:paraId="63B6D85A">
      <w:pPr>
        <w:pStyle w:val="56"/>
        <w:spacing w:line="360" w:lineRule="auto"/>
        <w:ind w:firstLine="420"/>
      </w:pPr>
      <w:r>
        <w:rPr>
          <w:rFonts w:hint="eastAsia"/>
        </w:rPr>
        <w:t>判定应以设计图样或技术条件为准，并确保毛坯与成品的控制口径一致：</w:t>
      </w:r>
    </w:p>
    <w:p w14:paraId="7896D4AA">
      <w:pPr>
        <w:pStyle w:val="132"/>
        <w:spacing w:line="360" w:lineRule="auto"/>
      </w:pPr>
      <w:r>
        <w:rPr>
          <w:rFonts w:hint="eastAsia"/>
        </w:rPr>
        <w:t>尺寸与形位公差应以设计图样要求为准；</w:t>
      </w:r>
    </w:p>
    <w:p w14:paraId="4D6988D3">
      <w:pPr>
        <w:pStyle w:val="132"/>
        <w:spacing w:line="360" w:lineRule="auto"/>
      </w:pPr>
      <w:r>
        <w:rPr>
          <w:rFonts w:hint="eastAsia"/>
        </w:rPr>
        <w:t>若采用“成形+机加工”路线，应明确毛坯余量与加工基准，并对毛坯关键定位特征设置控制要求；</w:t>
      </w:r>
    </w:p>
    <w:p w14:paraId="64B2E549">
      <w:pPr>
        <w:pStyle w:val="132"/>
        <w:spacing w:line="360" w:lineRule="auto"/>
      </w:pPr>
      <w:r>
        <w:rPr>
          <w:rFonts w:hint="eastAsia"/>
        </w:rPr>
        <w:t>对仅靠成形达到公差的特征，应在工艺固化阶段验证可达性，并在质量计划中设置更高抽检频次；</w:t>
      </w:r>
    </w:p>
    <w:p w14:paraId="4F611E8E">
      <w:pPr>
        <w:pStyle w:val="132"/>
        <w:spacing w:line="360" w:lineRule="auto"/>
      </w:pPr>
      <w:r>
        <w:rPr>
          <w:rFonts w:hint="eastAsia"/>
        </w:rPr>
        <w:t>当测量方法不同可能导致系统差异时，应在质量计划中固化方法与评估规则，避免口径不一致。</w:t>
      </w:r>
    </w:p>
    <w:p w14:paraId="18AD1E09">
      <w:pPr>
        <w:pStyle w:val="56"/>
        <w:spacing w:line="360" w:lineRule="auto"/>
        <w:ind w:firstLine="420"/>
      </w:pPr>
    </w:p>
    <w:p w14:paraId="2EB33470">
      <w:pPr>
        <w:pStyle w:val="56"/>
        <w:spacing w:line="360" w:lineRule="auto"/>
        <w:ind w:firstLine="420"/>
      </w:pPr>
    </w:p>
    <w:p w14:paraId="634689E2">
      <w:pPr>
        <w:pStyle w:val="56"/>
        <w:spacing w:line="360" w:lineRule="auto"/>
        <w:ind w:firstLine="420"/>
      </w:pPr>
    </w:p>
    <w:p w14:paraId="718D3E39">
      <w:pPr>
        <w:pStyle w:val="105"/>
        <w:spacing w:before="120" w:after="120" w:line="360" w:lineRule="auto"/>
      </w:pPr>
      <w:r>
        <w:rPr>
          <w:rFonts w:hint="eastAsia"/>
        </w:rPr>
        <w:t>表面质量评价</w:t>
      </w:r>
    </w:p>
    <w:p w14:paraId="515C1828">
      <w:pPr>
        <w:pStyle w:val="56"/>
        <w:spacing w:line="360" w:lineRule="auto"/>
        <w:ind w:firstLine="420"/>
      </w:pPr>
      <w:r>
        <w:rPr>
          <w:rFonts w:hint="eastAsia"/>
        </w:rPr>
        <w:t>表面质量评价用于确认成形、去支撑、机加工与表面处理后的表面状态满足功能要求，尤其是密封、摩擦、疲劳敏感与流体边界层相关的表面。评价应明确检测位置、取样长度、方向与统计方式，必要时对不同工序前后进行对比复测。</w:t>
      </w:r>
    </w:p>
    <w:p w14:paraId="00CEB4D3">
      <w:pPr>
        <w:pStyle w:val="56"/>
        <w:spacing w:line="360" w:lineRule="auto"/>
        <w:ind w:firstLine="420"/>
      </w:pPr>
      <w:r>
        <w:rPr>
          <w:rFonts w:hint="eastAsia"/>
        </w:rPr>
        <w:t>表面质量评价应至少包括：</w:t>
      </w:r>
    </w:p>
    <w:p w14:paraId="14FBB6BB">
      <w:pPr>
        <w:pStyle w:val="56"/>
        <w:spacing w:line="360" w:lineRule="auto"/>
        <w:ind w:firstLine="420"/>
      </w:pPr>
      <w:r>
        <w:rPr>
          <w:rFonts w:hint="eastAsia"/>
        </w:rPr>
        <w:t>a) 表面粗糙度检测应覆盖关键功能面、密封面、摩擦副表面与流道内表面；</w:t>
      </w:r>
    </w:p>
    <w:p w14:paraId="179DE0A1">
      <w:pPr>
        <w:pStyle w:val="56"/>
        <w:spacing w:line="360" w:lineRule="auto"/>
        <w:ind w:firstLine="420"/>
      </w:pPr>
      <w:r>
        <w:rPr>
          <w:rFonts w:hint="eastAsia"/>
        </w:rPr>
        <w:t>b) 粗糙度指标以设计要求为准；当设计未规定时，应在工艺文件中规定控制目标、测量方法与判定口径；</w:t>
      </w:r>
    </w:p>
    <w:p w14:paraId="1EBF446A">
      <w:pPr>
        <w:pStyle w:val="56"/>
        <w:spacing w:line="360" w:lineRule="auto"/>
        <w:ind w:firstLine="420"/>
      </w:pPr>
      <w:r>
        <w:rPr>
          <w:rFonts w:hint="eastAsia"/>
        </w:rPr>
        <w:t>c) 对流道内表面，可采用内窥镜、复制胶膜或CT重建等间接方法评价，并结合流量压降或清理验证形成综合判定；</w:t>
      </w:r>
    </w:p>
    <w:p w14:paraId="065D636B">
      <w:pPr>
        <w:pStyle w:val="56"/>
        <w:spacing w:line="360" w:lineRule="auto"/>
        <w:ind w:firstLine="420"/>
      </w:pPr>
      <w:r>
        <w:rPr>
          <w:rFonts w:hint="eastAsia"/>
        </w:rPr>
        <w:t>d) 涂层或化学处理后应进行复测，确认处理引起的尺寸与粗糙度变化在允许范围内。</w:t>
      </w:r>
    </w:p>
    <w:p w14:paraId="056F1F6F">
      <w:pPr>
        <w:pStyle w:val="105"/>
        <w:spacing w:before="120" w:after="120" w:line="360" w:lineRule="auto"/>
      </w:pPr>
      <w:r>
        <w:rPr>
          <w:rFonts w:hint="eastAsia"/>
        </w:rPr>
        <w:t>内部缺陷检测</w:t>
      </w:r>
    </w:p>
    <w:p w14:paraId="4576260F">
      <w:pPr>
        <w:pStyle w:val="65"/>
        <w:spacing w:before="120" w:after="120" w:line="360" w:lineRule="auto"/>
      </w:pPr>
      <w:r>
        <w:rPr>
          <w:rFonts w:hint="eastAsia"/>
        </w:rPr>
        <w:t>方法选择</w:t>
      </w:r>
    </w:p>
    <w:p w14:paraId="609EE198">
      <w:pPr>
        <w:pStyle w:val="56"/>
        <w:spacing w:line="360" w:lineRule="auto"/>
        <w:ind w:firstLine="420"/>
      </w:pPr>
      <w:r>
        <w:rPr>
          <w:rFonts w:hint="eastAsia"/>
        </w:rPr>
        <w:t>方法选择应以缺陷可检出性与结构适配性为原则：</w:t>
      </w:r>
    </w:p>
    <w:p w14:paraId="4A415D62">
      <w:pPr>
        <w:pStyle w:val="56"/>
        <w:spacing w:line="360" w:lineRule="auto"/>
        <w:ind w:firstLine="420"/>
      </w:pPr>
      <w:r>
        <w:rPr>
          <w:rFonts w:hint="eastAsia"/>
        </w:rPr>
        <w:t>a) 复杂内腔与点阵结构优先采用工业CT；</w:t>
      </w:r>
    </w:p>
    <w:p w14:paraId="48A85849">
      <w:pPr>
        <w:pStyle w:val="56"/>
        <w:spacing w:line="360" w:lineRule="auto"/>
        <w:ind w:firstLine="420"/>
      </w:pPr>
      <w:r>
        <w:rPr>
          <w:rFonts w:hint="eastAsia"/>
        </w:rPr>
        <w:t>b) 厚壁或大尺寸件可采用UT/RT组合，并对关键区域实施重点扫描；</w:t>
      </w:r>
    </w:p>
    <w:p w14:paraId="32992948">
      <w:pPr>
        <w:pStyle w:val="56"/>
        <w:spacing w:line="360" w:lineRule="auto"/>
        <w:ind w:firstLine="420"/>
      </w:pPr>
      <w:r>
        <w:rPr>
          <w:rFonts w:hint="eastAsia"/>
        </w:rPr>
        <w:t>c) 对表面开口缺陷或去支撑损伤疑点，可结合PT/MT等方法进行补充确认。</w:t>
      </w:r>
    </w:p>
    <w:p w14:paraId="02428FB4">
      <w:pPr>
        <w:pStyle w:val="65"/>
        <w:spacing w:before="120" w:after="120" w:line="360" w:lineRule="auto"/>
      </w:pPr>
      <w:r>
        <w:rPr>
          <w:rFonts w:hint="eastAsia"/>
        </w:rPr>
        <w:t>缺陷判定</w:t>
      </w:r>
    </w:p>
    <w:p w14:paraId="4E8F92AE">
      <w:pPr>
        <w:pStyle w:val="56"/>
        <w:spacing w:line="360" w:lineRule="auto"/>
        <w:ind w:firstLine="420"/>
      </w:pPr>
      <w:r>
        <w:rPr>
          <w:rFonts w:hint="eastAsia"/>
        </w:rPr>
        <w:t>缺陷判定应区分不可接受缺陷与限值缺陷，并明确关键区域的加严原则：</w:t>
      </w:r>
    </w:p>
    <w:p w14:paraId="74FAF015">
      <w:pPr>
        <w:pStyle w:val="56"/>
        <w:spacing w:line="360" w:lineRule="auto"/>
        <w:ind w:firstLine="420"/>
      </w:pPr>
      <w:r>
        <w:rPr>
          <w:rFonts w:hint="eastAsia"/>
        </w:rPr>
        <w:t>a) 不允许缺陷：裂纹、连续未熔合、关键承载截面的大面积疏松或分层；</w:t>
      </w:r>
    </w:p>
    <w:p w14:paraId="59D9426C">
      <w:pPr>
        <w:pStyle w:val="56"/>
        <w:spacing w:line="360" w:lineRule="auto"/>
        <w:ind w:firstLine="420"/>
      </w:pPr>
      <w:r>
        <w:rPr>
          <w:rFonts w:hint="eastAsia"/>
        </w:rPr>
        <w:t>b) 限值缺陷：孔隙率、最大孔径、孔隙聚集度与缺陷位置应按零件用途设定限值；</w:t>
      </w:r>
    </w:p>
    <w:p w14:paraId="59679179">
      <w:pPr>
        <w:pStyle w:val="56"/>
        <w:spacing w:line="360" w:lineRule="auto"/>
        <w:ind w:firstLine="420"/>
      </w:pPr>
      <w:r>
        <w:rPr>
          <w:rFonts w:hint="eastAsia"/>
        </w:rPr>
        <w:t>c) 对疲劳敏感区与应力集中区，应采用更严格缺陷限值，并在工艺验证阶段通过疲劳或寿命试验建立缺陷容限依据。</w:t>
      </w:r>
    </w:p>
    <w:p w14:paraId="46D42C65">
      <w:pPr>
        <w:pStyle w:val="65"/>
        <w:spacing w:before="120" w:after="120" w:line="360" w:lineRule="auto"/>
      </w:pPr>
      <w:r>
        <w:rPr>
          <w:rFonts w:hint="eastAsia"/>
        </w:rPr>
        <w:t>致密度评价</w:t>
      </w:r>
    </w:p>
    <w:p w14:paraId="54B7EFD6">
      <w:pPr>
        <w:pStyle w:val="56"/>
        <w:spacing w:line="360" w:lineRule="auto"/>
        <w:ind w:firstLine="420"/>
      </w:pPr>
      <w:r>
        <w:rPr>
          <w:rFonts w:hint="eastAsia"/>
        </w:rPr>
        <w:t>致密度评价用于从统计层面表征内部孔隙水平并支撑工艺稳定性判断：</w:t>
      </w:r>
    </w:p>
    <w:p w14:paraId="2F78DA15">
      <w:pPr>
        <w:pStyle w:val="56"/>
        <w:spacing w:line="360" w:lineRule="auto"/>
        <w:ind w:firstLine="420"/>
      </w:pPr>
      <w:r>
        <w:rPr>
          <w:rFonts w:hint="eastAsia"/>
        </w:rPr>
        <w:t>a) 致密度可采用阿基米德法、金相图像分析或CT体素统计等方法；</w:t>
      </w:r>
    </w:p>
    <w:p w14:paraId="4A531C56">
      <w:pPr>
        <w:pStyle w:val="56"/>
        <w:spacing w:line="360" w:lineRule="auto"/>
        <w:ind w:firstLine="420"/>
      </w:pPr>
      <w:r>
        <w:rPr>
          <w:rFonts w:hint="eastAsia"/>
        </w:rPr>
        <w:t>b) 方法选择应一致并固化；不同方法之间若存在系统差异，应给出对照验证依据；</w:t>
      </w:r>
    </w:p>
    <w:p w14:paraId="65CA4EC1">
      <w:pPr>
        <w:pStyle w:val="56"/>
        <w:spacing w:line="360" w:lineRule="auto"/>
        <w:ind w:firstLine="420"/>
      </w:pPr>
      <w:r>
        <w:rPr>
          <w:rFonts w:hint="eastAsia"/>
        </w:rPr>
        <w:t>c) 致密度结果应与过程监测数据联动分析，用于识别批次漂移与设备状态异常。</w:t>
      </w:r>
    </w:p>
    <w:p w14:paraId="28AF92CB">
      <w:pPr>
        <w:pStyle w:val="105"/>
        <w:spacing w:before="120" w:after="120" w:line="360" w:lineRule="auto"/>
      </w:pPr>
      <w:r>
        <w:rPr>
          <w:rFonts w:hint="eastAsia"/>
        </w:rPr>
        <w:t>组织与性能评价</w:t>
      </w:r>
    </w:p>
    <w:p w14:paraId="101BC871">
      <w:pPr>
        <w:pStyle w:val="165"/>
        <w:spacing w:line="360" w:lineRule="auto"/>
      </w:pPr>
      <w:r>
        <w:rPr>
          <w:rFonts w:hint="eastAsia"/>
        </w:rPr>
        <w:t>组织与性能评价用于验证工艺路线（含热处理与必要的致密化处理）能稳定获得目标组织状态与力学/服役性能，并评估各向异性与性能离散。</w:t>
      </w:r>
    </w:p>
    <w:p w14:paraId="62A65738">
      <w:pPr>
        <w:pStyle w:val="165"/>
        <w:spacing w:line="360" w:lineRule="auto"/>
      </w:pPr>
      <w:r>
        <w:rPr>
          <w:rFonts w:hint="eastAsia"/>
        </w:rPr>
        <w:t>评价项目应根据用途进行裁剪：对高风险用途增加项目与抽样频次，对成熟工艺在保持安全边界的前提下可优化抽检策略。</w:t>
      </w:r>
    </w:p>
    <w:p w14:paraId="6A639F4D">
      <w:pPr>
        <w:pStyle w:val="165"/>
        <w:spacing w:line="360" w:lineRule="auto"/>
      </w:pPr>
      <w:r>
        <w:rPr>
          <w:rFonts w:hint="eastAsia"/>
        </w:rPr>
        <w:t>组织与性能评价宜包括：</w:t>
      </w:r>
    </w:p>
    <w:p w14:paraId="0AE340D1">
      <w:pPr>
        <w:pStyle w:val="132"/>
        <w:spacing w:line="360" w:lineRule="auto"/>
      </w:pPr>
      <w:r>
        <w:rPr>
          <w:rFonts w:hint="eastAsia"/>
        </w:rPr>
        <w:t>当零件用途对组织敏感时，应进行显微组织抽检，关注晶粒尺寸、相组成、析出物、织构特征与缺陷形态，并与热处理批次绑定；</w:t>
      </w:r>
    </w:p>
    <w:p w14:paraId="4B3A3E5C">
      <w:pPr>
        <w:pStyle w:val="132"/>
        <w:spacing w:line="360" w:lineRule="auto"/>
      </w:pPr>
      <w:r>
        <w:rPr>
          <w:rFonts w:hint="eastAsia"/>
        </w:rPr>
        <w:t>力学性能试验项目应根据用途确定，常见包括室温拉伸、高温拉伸、硬度、冲击、断裂韧性、疲劳等；试样方向应覆盖各向异性风险；</w:t>
      </w:r>
    </w:p>
    <w:p w14:paraId="14771E40">
      <w:pPr>
        <w:pStyle w:val="132"/>
        <w:spacing w:line="360" w:lineRule="auto"/>
      </w:pPr>
      <w:r>
        <w:rPr>
          <w:rFonts w:hint="eastAsia"/>
        </w:rPr>
        <w:t>对承压或密封件，可增加压力试验、爆破试验或循环压力试验（按需求选取），并将试验条件与判定准则固化；</w:t>
      </w:r>
    </w:p>
    <w:p w14:paraId="44A6B3D1">
      <w:pPr>
        <w:pStyle w:val="132"/>
        <w:spacing w:line="360" w:lineRule="auto"/>
      </w:pPr>
      <w:r>
        <w:rPr>
          <w:rFonts w:hint="eastAsia"/>
        </w:rPr>
        <w:t>当采用热等静压或关键表面处理时，应评估处理前后性能变化并形成对比记录。</w:t>
      </w:r>
    </w:p>
    <w:p w14:paraId="0CF22E47">
      <w:pPr>
        <w:pStyle w:val="105"/>
        <w:spacing w:before="120" w:after="120" w:line="360" w:lineRule="auto"/>
      </w:pPr>
      <w:r>
        <w:rPr>
          <w:rFonts w:hint="eastAsia"/>
        </w:rPr>
        <w:t>抽样规则与放行</w:t>
      </w:r>
    </w:p>
    <w:p w14:paraId="1DFC3917">
      <w:pPr>
        <w:pStyle w:val="165"/>
        <w:spacing w:line="360" w:lineRule="auto"/>
      </w:pPr>
      <w:r>
        <w:rPr>
          <w:rFonts w:hint="eastAsia"/>
        </w:rPr>
        <w:t>抽样与放行用于在质量与成本之间建立可解释、可执行的平衡机制，确保在工艺稳定期以过程能力支撑抽检优化，在工艺变更或异常期以强化检测控制风险。</w:t>
      </w:r>
    </w:p>
    <w:p w14:paraId="322D5B04">
      <w:pPr>
        <w:pStyle w:val="165"/>
        <w:spacing w:line="360" w:lineRule="auto"/>
      </w:pPr>
      <w:r>
        <w:rPr>
          <w:rFonts w:hint="eastAsia"/>
        </w:rPr>
        <w:t>抽样方案应与工艺验证结论、过程监测能力与失效后果等级相衔接，并形成可审计的放行记录。</w:t>
      </w:r>
    </w:p>
    <w:p w14:paraId="0FF1F136">
      <w:pPr>
        <w:pStyle w:val="165"/>
        <w:spacing w:line="360" w:lineRule="auto"/>
      </w:pPr>
      <w:r>
        <w:rPr>
          <w:rFonts w:hint="eastAsia"/>
        </w:rPr>
        <w:t>抽样与放行应至少满足：</w:t>
      </w:r>
    </w:p>
    <w:p w14:paraId="4FBF4B48">
      <w:pPr>
        <w:pStyle w:val="56"/>
        <w:spacing w:line="360" w:lineRule="auto"/>
        <w:ind w:firstLine="420"/>
      </w:pPr>
      <w:r>
        <w:rPr>
          <w:rFonts w:hint="eastAsia"/>
        </w:rPr>
        <w:t>a) 工艺验证阶段应采用较高抽样比例，并覆盖关键特征与关键位置；</w:t>
      </w:r>
    </w:p>
    <w:p w14:paraId="78B7D881">
      <w:pPr>
        <w:pStyle w:val="56"/>
        <w:spacing w:line="360" w:lineRule="auto"/>
        <w:ind w:firstLine="420"/>
      </w:pPr>
      <w:r>
        <w:rPr>
          <w:rFonts w:hint="eastAsia"/>
        </w:rPr>
        <w:t>b) 批量生产阶段抽样比例可依据过程能力与历史稳定性调整，但关键特征与安全关键件不得低于质量计划规定；</w:t>
      </w:r>
    </w:p>
    <w:p w14:paraId="3FF9B46A">
      <w:pPr>
        <w:pStyle w:val="56"/>
        <w:spacing w:line="360" w:lineRule="auto"/>
        <w:ind w:firstLine="420"/>
      </w:pPr>
      <w:r>
        <w:rPr>
          <w:rFonts w:hint="eastAsia"/>
        </w:rPr>
        <w:t>c) 放行应同时满足过程监测无超限或超限已评估放行、无损检测合格、关键尺寸合格、后处理记录完整；</w:t>
      </w:r>
    </w:p>
    <w:p w14:paraId="0A6A5BA0">
      <w:pPr>
        <w:pStyle w:val="56"/>
        <w:spacing w:line="360" w:lineRule="auto"/>
        <w:ind w:firstLine="420"/>
      </w:pPr>
      <w:r>
        <w:rPr>
          <w:rFonts w:hint="eastAsia"/>
        </w:rPr>
        <w:t>d) 出现批次性缺陷趋势时，应启动原因分析与工艺再验证，必要时暂停放行。</w:t>
      </w:r>
    </w:p>
    <w:p w14:paraId="2D99DC8D">
      <w:pPr>
        <w:pStyle w:val="56"/>
        <w:spacing w:line="360" w:lineRule="auto"/>
        <w:ind w:firstLine="420"/>
      </w:pPr>
      <w:r>
        <w:rPr>
          <w:rFonts w:hint="eastAsia"/>
        </w:rPr>
        <w:t>检测项目与适用性建议见表3。</w:t>
      </w:r>
    </w:p>
    <w:p w14:paraId="15E5A70B">
      <w:pPr>
        <w:pStyle w:val="112"/>
        <w:spacing w:before="120" w:after="120" w:line="360" w:lineRule="auto"/>
      </w:pPr>
      <w:r>
        <w:rPr>
          <w:rFonts w:hint="eastAsia"/>
        </w:rPr>
        <w:t>检测项目与适用性建议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418"/>
        <w:gridCol w:w="2693"/>
        <w:gridCol w:w="2232"/>
        <w:gridCol w:w="1867"/>
      </w:tblGrid>
      <w:tr w14:paraId="04ADA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6CC942B3">
            <w:pPr>
              <w:pStyle w:val="178"/>
            </w:pPr>
            <w:r>
              <w:rPr>
                <w:rFonts w:hint="eastAsia"/>
              </w:rPr>
              <w:t>检测类别</w:t>
            </w:r>
          </w:p>
        </w:tc>
        <w:tc>
          <w:tcPr>
            <w:tcW w:w="1418" w:type="dxa"/>
            <w:tcBorders>
              <w:top w:val="single" w:color="auto" w:sz="8" w:space="0"/>
              <w:bottom w:val="single" w:color="auto" w:sz="8" w:space="0"/>
            </w:tcBorders>
            <w:vAlign w:val="center"/>
          </w:tcPr>
          <w:p w14:paraId="0010C9A3">
            <w:pPr>
              <w:pStyle w:val="178"/>
            </w:pPr>
            <w:r>
              <w:rPr>
                <w:rFonts w:hint="eastAsia"/>
              </w:rPr>
              <w:t>适用对象</w:t>
            </w:r>
          </w:p>
        </w:tc>
        <w:tc>
          <w:tcPr>
            <w:tcW w:w="2693" w:type="dxa"/>
            <w:tcBorders>
              <w:top w:val="single" w:color="auto" w:sz="8" w:space="0"/>
              <w:bottom w:val="single" w:color="auto" w:sz="8" w:space="0"/>
            </w:tcBorders>
            <w:vAlign w:val="center"/>
          </w:tcPr>
          <w:p w14:paraId="1F142864">
            <w:pPr>
              <w:pStyle w:val="178"/>
            </w:pPr>
            <w:r>
              <w:rPr>
                <w:rFonts w:hint="eastAsia"/>
              </w:rPr>
              <w:t>典型方法</w:t>
            </w:r>
          </w:p>
        </w:tc>
        <w:tc>
          <w:tcPr>
            <w:tcW w:w="2232" w:type="dxa"/>
            <w:tcBorders>
              <w:top w:val="single" w:color="auto" w:sz="8" w:space="0"/>
              <w:bottom w:val="single" w:color="auto" w:sz="8" w:space="0"/>
            </w:tcBorders>
            <w:vAlign w:val="center"/>
          </w:tcPr>
          <w:p w14:paraId="635E4451">
            <w:pPr>
              <w:pStyle w:val="178"/>
            </w:pPr>
            <w:r>
              <w:rPr>
                <w:rFonts w:hint="eastAsia"/>
              </w:rPr>
              <w:t>重点关注</w:t>
            </w:r>
          </w:p>
        </w:tc>
        <w:tc>
          <w:tcPr>
            <w:tcW w:w="1867" w:type="dxa"/>
            <w:tcBorders>
              <w:top w:val="single" w:color="auto" w:sz="8" w:space="0"/>
              <w:bottom w:val="single" w:color="auto" w:sz="8" w:space="0"/>
            </w:tcBorders>
            <w:vAlign w:val="center"/>
          </w:tcPr>
          <w:p w14:paraId="326FC38C">
            <w:pPr>
              <w:pStyle w:val="178"/>
            </w:pPr>
            <w:r>
              <w:rPr>
                <w:rFonts w:hint="eastAsia"/>
              </w:rPr>
              <w:t>备注</w:t>
            </w:r>
          </w:p>
        </w:tc>
      </w:tr>
      <w:tr w14:paraId="05BE8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163EDC97">
            <w:pPr>
              <w:pStyle w:val="178"/>
            </w:pPr>
            <w:r>
              <w:rPr>
                <w:rFonts w:hint="eastAsia"/>
              </w:rPr>
              <w:t>尺寸形位</w:t>
            </w:r>
          </w:p>
        </w:tc>
        <w:tc>
          <w:tcPr>
            <w:tcW w:w="1418" w:type="dxa"/>
            <w:tcBorders>
              <w:top w:val="single" w:color="auto" w:sz="8" w:space="0"/>
            </w:tcBorders>
            <w:vAlign w:val="center"/>
          </w:tcPr>
          <w:p w14:paraId="04A14368">
            <w:pPr>
              <w:pStyle w:val="178"/>
            </w:pPr>
            <w:r>
              <w:rPr>
                <w:rFonts w:hint="eastAsia"/>
              </w:rPr>
              <w:t>所有零件</w:t>
            </w:r>
          </w:p>
        </w:tc>
        <w:tc>
          <w:tcPr>
            <w:tcW w:w="2693" w:type="dxa"/>
            <w:tcBorders>
              <w:top w:val="single" w:color="auto" w:sz="8" w:space="0"/>
            </w:tcBorders>
            <w:vAlign w:val="center"/>
          </w:tcPr>
          <w:p w14:paraId="39A3A940">
            <w:pPr>
              <w:pStyle w:val="178"/>
            </w:pPr>
            <w:r>
              <w:rPr>
                <w:rFonts w:hint="eastAsia"/>
              </w:rPr>
              <w:t>三坐标、扫描、检具</w:t>
            </w:r>
          </w:p>
        </w:tc>
        <w:tc>
          <w:tcPr>
            <w:tcW w:w="2232" w:type="dxa"/>
            <w:tcBorders>
              <w:top w:val="single" w:color="auto" w:sz="8" w:space="0"/>
            </w:tcBorders>
            <w:vAlign w:val="center"/>
          </w:tcPr>
          <w:p w14:paraId="56A0C621">
            <w:pPr>
              <w:pStyle w:val="178"/>
            </w:pPr>
            <w:r>
              <w:rPr>
                <w:rFonts w:hint="eastAsia"/>
              </w:rPr>
              <w:t>关键基准、配合面、变形</w:t>
            </w:r>
          </w:p>
        </w:tc>
        <w:tc>
          <w:tcPr>
            <w:tcW w:w="1867" w:type="dxa"/>
            <w:tcBorders>
              <w:top w:val="single" w:color="auto" w:sz="8" w:space="0"/>
            </w:tcBorders>
            <w:vAlign w:val="center"/>
          </w:tcPr>
          <w:p w14:paraId="70DDBD92">
            <w:pPr>
              <w:pStyle w:val="178"/>
            </w:pPr>
            <w:r>
              <w:rPr>
                <w:rFonts w:hint="eastAsia"/>
              </w:rPr>
              <w:t>内腔可用CT辅助</w:t>
            </w:r>
          </w:p>
        </w:tc>
      </w:tr>
      <w:tr w14:paraId="1993B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7909A6DB">
            <w:pPr>
              <w:pStyle w:val="178"/>
            </w:pPr>
            <w:r>
              <w:rPr>
                <w:rFonts w:hint="eastAsia"/>
              </w:rPr>
              <w:t>表面质量</w:t>
            </w:r>
          </w:p>
        </w:tc>
        <w:tc>
          <w:tcPr>
            <w:tcW w:w="1418" w:type="dxa"/>
            <w:vAlign w:val="center"/>
          </w:tcPr>
          <w:p w14:paraId="025326E2">
            <w:pPr>
              <w:pStyle w:val="178"/>
            </w:pPr>
            <w:r>
              <w:rPr>
                <w:rFonts w:hint="eastAsia"/>
              </w:rPr>
              <w:t>功能面与流道</w:t>
            </w:r>
          </w:p>
        </w:tc>
        <w:tc>
          <w:tcPr>
            <w:tcW w:w="2693" w:type="dxa"/>
            <w:vAlign w:val="center"/>
          </w:tcPr>
          <w:p w14:paraId="4B076160">
            <w:pPr>
              <w:pStyle w:val="178"/>
            </w:pPr>
            <w:r>
              <w:rPr>
                <w:rFonts w:hint="eastAsia"/>
              </w:rPr>
              <w:t>粗糙度仪、复制法、内窥镜</w:t>
            </w:r>
          </w:p>
        </w:tc>
        <w:tc>
          <w:tcPr>
            <w:tcW w:w="2232" w:type="dxa"/>
            <w:vAlign w:val="center"/>
          </w:tcPr>
          <w:p w14:paraId="752F7F55">
            <w:pPr>
              <w:pStyle w:val="178"/>
            </w:pPr>
            <w:r>
              <w:rPr>
                <w:rFonts w:hint="eastAsia"/>
              </w:rPr>
              <w:t>密封面、摩擦面、内表面</w:t>
            </w:r>
          </w:p>
        </w:tc>
        <w:tc>
          <w:tcPr>
            <w:tcW w:w="1867" w:type="dxa"/>
            <w:vAlign w:val="center"/>
          </w:tcPr>
          <w:p w14:paraId="3A34E075">
            <w:pPr>
              <w:pStyle w:val="178"/>
            </w:pPr>
            <w:r>
              <w:rPr>
                <w:rFonts w:hint="eastAsia"/>
              </w:rPr>
              <w:t>处理后复测</w:t>
            </w:r>
          </w:p>
        </w:tc>
      </w:tr>
      <w:tr w14:paraId="503B6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52D30FD1">
            <w:pPr>
              <w:pStyle w:val="178"/>
            </w:pPr>
            <w:r>
              <w:rPr>
                <w:rFonts w:hint="eastAsia"/>
              </w:rPr>
              <w:t>内部缺陷</w:t>
            </w:r>
          </w:p>
        </w:tc>
        <w:tc>
          <w:tcPr>
            <w:tcW w:w="1418" w:type="dxa"/>
            <w:vAlign w:val="center"/>
          </w:tcPr>
          <w:p w14:paraId="06129507">
            <w:pPr>
              <w:pStyle w:val="178"/>
            </w:pPr>
            <w:r>
              <w:rPr>
                <w:rFonts w:hint="eastAsia"/>
              </w:rPr>
              <w:t>疲劳承压关键件</w:t>
            </w:r>
          </w:p>
        </w:tc>
        <w:tc>
          <w:tcPr>
            <w:tcW w:w="2693" w:type="dxa"/>
            <w:vAlign w:val="center"/>
          </w:tcPr>
          <w:p w14:paraId="11EBE7B1">
            <w:pPr>
              <w:pStyle w:val="178"/>
            </w:pPr>
            <w:r>
              <w:rPr>
                <w:rFonts w:hint="eastAsia"/>
              </w:rPr>
              <w:t>CT、UT、RT</w:t>
            </w:r>
          </w:p>
        </w:tc>
        <w:tc>
          <w:tcPr>
            <w:tcW w:w="2232" w:type="dxa"/>
            <w:vAlign w:val="center"/>
          </w:tcPr>
          <w:p w14:paraId="222422FB">
            <w:pPr>
              <w:pStyle w:val="178"/>
            </w:pPr>
            <w:r>
              <w:rPr>
                <w:rFonts w:hint="eastAsia"/>
              </w:rPr>
              <w:t>裂纹、未熔合、孔隙聚集</w:t>
            </w:r>
          </w:p>
        </w:tc>
        <w:tc>
          <w:tcPr>
            <w:tcW w:w="1867" w:type="dxa"/>
            <w:vAlign w:val="center"/>
          </w:tcPr>
          <w:p w14:paraId="5F5EBB11">
            <w:pPr>
              <w:pStyle w:val="178"/>
            </w:pPr>
            <w:r>
              <w:rPr>
                <w:rFonts w:hint="eastAsia"/>
              </w:rPr>
              <w:t>关键区加严</w:t>
            </w:r>
          </w:p>
        </w:tc>
      </w:tr>
      <w:tr w14:paraId="7F474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27AE6A0">
            <w:pPr>
              <w:pStyle w:val="178"/>
            </w:pPr>
            <w:r>
              <w:rPr>
                <w:rFonts w:hint="eastAsia"/>
              </w:rPr>
              <w:t>致密度</w:t>
            </w:r>
          </w:p>
        </w:tc>
        <w:tc>
          <w:tcPr>
            <w:tcW w:w="1418" w:type="dxa"/>
            <w:vAlign w:val="center"/>
          </w:tcPr>
          <w:p w14:paraId="0FEE354F">
            <w:pPr>
              <w:pStyle w:val="178"/>
            </w:pPr>
            <w:r>
              <w:rPr>
                <w:rFonts w:hint="eastAsia"/>
              </w:rPr>
              <w:t>工艺验证与抽检</w:t>
            </w:r>
          </w:p>
        </w:tc>
        <w:tc>
          <w:tcPr>
            <w:tcW w:w="2693" w:type="dxa"/>
            <w:vAlign w:val="center"/>
          </w:tcPr>
          <w:p w14:paraId="407FDF7B">
            <w:pPr>
              <w:pStyle w:val="178"/>
            </w:pPr>
            <w:r>
              <w:rPr>
                <w:rFonts w:hint="eastAsia"/>
              </w:rPr>
              <w:t>阿基米德、金相、CT统计</w:t>
            </w:r>
          </w:p>
        </w:tc>
        <w:tc>
          <w:tcPr>
            <w:tcW w:w="2232" w:type="dxa"/>
            <w:vAlign w:val="center"/>
          </w:tcPr>
          <w:p w14:paraId="04AD4BFA">
            <w:pPr>
              <w:pStyle w:val="178"/>
            </w:pPr>
            <w:r>
              <w:rPr>
                <w:rFonts w:hint="eastAsia"/>
              </w:rPr>
              <w:t>孔隙率与分布</w:t>
            </w:r>
          </w:p>
        </w:tc>
        <w:tc>
          <w:tcPr>
            <w:tcW w:w="1867" w:type="dxa"/>
            <w:vAlign w:val="center"/>
          </w:tcPr>
          <w:p w14:paraId="07486494">
            <w:pPr>
              <w:pStyle w:val="178"/>
            </w:pPr>
            <w:r>
              <w:rPr>
                <w:rFonts w:hint="eastAsia"/>
              </w:rPr>
              <w:t>方法需固化</w:t>
            </w:r>
          </w:p>
        </w:tc>
      </w:tr>
      <w:tr w14:paraId="3511C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6BCC466E">
            <w:pPr>
              <w:pStyle w:val="178"/>
            </w:pPr>
            <w:r>
              <w:rPr>
                <w:rFonts w:hint="eastAsia"/>
              </w:rPr>
              <w:t>组织性能</w:t>
            </w:r>
          </w:p>
        </w:tc>
        <w:tc>
          <w:tcPr>
            <w:tcW w:w="1418" w:type="dxa"/>
            <w:vAlign w:val="center"/>
          </w:tcPr>
          <w:p w14:paraId="16B6ED77">
            <w:pPr>
              <w:pStyle w:val="178"/>
            </w:pPr>
            <w:r>
              <w:rPr>
                <w:rFonts w:hint="eastAsia"/>
              </w:rPr>
              <w:t>材料敏感件</w:t>
            </w:r>
          </w:p>
        </w:tc>
        <w:tc>
          <w:tcPr>
            <w:tcW w:w="2693" w:type="dxa"/>
            <w:vAlign w:val="center"/>
          </w:tcPr>
          <w:p w14:paraId="02C09951">
            <w:pPr>
              <w:pStyle w:val="178"/>
            </w:pPr>
            <w:r>
              <w:rPr>
                <w:rFonts w:hint="eastAsia"/>
              </w:rPr>
              <w:t>金相、硬度、拉伸、疲劳</w:t>
            </w:r>
          </w:p>
        </w:tc>
        <w:tc>
          <w:tcPr>
            <w:tcW w:w="2232" w:type="dxa"/>
            <w:vAlign w:val="center"/>
          </w:tcPr>
          <w:p w14:paraId="31C67CE9">
            <w:pPr>
              <w:pStyle w:val="178"/>
            </w:pPr>
            <w:r>
              <w:rPr>
                <w:rFonts w:hint="eastAsia"/>
              </w:rPr>
              <w:t>各向异性与离散</w:t>
            </w:r>
          </w:p>
        </w:tc>
        <w:tc>
          <w:tcPr>
            <w:tcW w:w="1867" w:type="dxa"/>
            <w:vAlign w:val="center"/>
          </w:tcPr>
          <w:p w14:paraId="26B2D13D">
            <w:pPr>
              <w:pStyle w:val="178"/>
            </w:pPr>
            <w:r>
              <w:rPr>
                <w:rFonts w:hint="eastAsia"/>
              </w:rPr>
              <w:t>与热处理绑定</w:t>
            </w:r>
          </w:p>
        </w:tc>
      </w:tr>
      <w:tr w14:paraId="5770B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06DC6571">
            <w:pPr>
              <w:pStyle w:val="178"/>
            </w:pPr>
            <w:r>
              <w:rPr>
                <w:rFonts w:hint="eastAsia"/>
              </w:rPr>
              <w:t>功能验证</w:t>
            </w:r>
          </w:p>
        </w:tc>
        <w:tc>
          <w:tcPr>
            <w:tcW w:w="1418" w:type="dxa"/>
            <w:vAlign w:val="center"/>
          </w:tcPr>
          <w:p w14:paraId="502C4C7C">
            <w:pPr>
              <w:pStyle w:val="178"/>
            </w:pPr>
            <w:r>
              <w:rPr>
                <w:rFonts w:hint="eastAsia"/>
              </w:rPr>
              <w:t>流体与密封件</w:t>
            </w:r>
          </w:p>
        </w:tc>
        <w:tc>
          <w:tcPr>
            <w:tcW w:w="2693" w:type="dxa"/>
            <w:vAlign w:val="center"/>
          </w:tcPr>
          <w:p w14:paraId="4E7EFFDF">
            <w:pPr>
              <w:pStyle w:val="178"/>
            </w:pPr>
            <w:r>
              <w:rPr>
                <w:rFonts w:hint="eastAsia"/>
              </w:rPr>
              <w:t>流量压降、泄漏、压力试验</w:t>
            </w:r>
          </w:p>
        </w:tc>
        <w:tc>
          <w:tcPr>
            <w:tcW w:w="2232" w:type="dxa"/>
            <w:vAlign w:val="center"/>
          </w:tcPr>
          <w:p w14:paraId="792AEB25">
            <w:pPr>
              <w:pStyle w:val="178"/>
            </w:pPr>
            <w:r>
              <w:rPr>
                <w:rFonts w:hint="eastAsia"/>
              </w:rPr>
              <w:t>通畅性与密封</w:t>
            </w:r>
          </w:p>
        </w:tc>
        <w:tc>
          <w:tcPr>
            <w:tcW w:w="1867" w:type="dxa"/>
            <w:vAlign w:val="center"/>
          </w:tcPr>
          <w:p w14:paraId="7E8BE22C">
            <w:pPr>
              <w:pStyle w:val="178"/>
            </w:pPr>
            <w:r>
              <w:rPr>
                <w:rFonts w:hint="eastAsia"/>
              </w:rPr>
              <w:t>视用途选取</w:t>
            </w:r>
          </w:p>
        </w:tc>
      </w:tr>
    </w:tbl>
    <w:p w14:paraId="4CA08292">
      <w:pPr>
        <w:pStyle w:val="56"/>
        <w:spacing w:line="360" w:lineRule="auto"/>
        <w:ind w:firstLine="420"/>
      </w:pPr>
      <w:bookmarkStart w:id="56" w:name="_Toc220077743"/>
    </w:p>
    <w:p w14:paraId="1B6571D0">
      <w:pPr>
        <w:pStyle w:val="56"/>
        <w:spacing w:line="360" w:lineRule="auto"/>
        <w:ind w:firstLine="420"/>
      </w:pPr>
    </w:p>
    <w:p w14:paraId="6B87A199">
      <w:pPr>
        <w:pStyle w:val="56"/>
        <w:spacing w:line="360" w:lineRule="auto"/>
        <w:ind w:firstLine="420"/>
      </w:pPr>
    </w:p>
    <w:p w14:paraId="421BBED6">
      <w:pPr>
        <w:pStyle w:val="104"/>
        <w:spacing w:before="240" w:after="240" w:line="360" w:lineRule="auto"/>
      </w:pPr>
      <w:r>
        <w:rPr>
          <w:rFonts w:hint="eastAsia"/>
        </w:rPr>
        <w:t>追溯管理</w:t>
      </w:r>
      <w:bookmarkEnd w:id="56"/>
    </w:p>
    <w:p w14:paraId="3168B07E">
      <w:pPr>
        <w:pStyle w:val="105"/>
        <w:spacing w:before="120" w:after="120" w:line="360" w:lineRule="auto"/>
      </w:pPr>
      <w:r>
        <w:rPr>
          <w:rFonts w:hint="eastAsia"/>
        </w:rPr>
        <w:t>总则</w:t>
      </w:r>
    </w:p>
    <w:p w14:paraId="38048323">
      <w:pPr>
        <w:pStyle w:val="165"/>
        <w:spacing w:line="360" w:lineRule="auto"/>
      </w:pPr>
      <w:r>
        <w:rPr>
          <w:rFonts w:hint="eastAsia"/>
        </w:rPr>
        <w:t>追溯管理用于保证复杂机械零件3D打印产品在全生命周期内具备“来源可查、过程可控、结果可证、责任可溯”的能力，使材料、设备、工艺参数、过程监测、后处理与检测结论形成闭环关联。</w:t>
      </w:r>
    </w:p>
    <w:p w14:paraId="0FC08106">
      <w:pPr>
        <w:pStyle w:val="165"/>
        <w:spacing w:line="360" w:lineRule="auto"/>
      </w:pPr>
      <w:r>
        <w:rPr>
          <w:rFonts w:hint="eastAsia"/>
        </w:rPr>
        <w:t>追溯体系应与工艺固化、变更控制与不合格控制相衔接，确保在出现质量偏差、批次性缺陷或服役失效时能够快速定位原因并实施纠正预防措施。</w:t>
      </w:r>
    </w:p>
    <w:p w14:paraId="088A9818">
      <w:pPr>
        <w:pStyle w:val="165"/>
        <w:spacing w:line="360" w:lineRule="auto"/>
      </w:pPr>
      <w:r>
        <w:rPr>
          <w:rFonts w:hint="eastAsia"/>
        </w:rPr>
        <w:t>追溯管理应覆盖以下对象：材料批次与流转、设备状态与软件版本、工艺参数与切片文件、构建任务与构建板、过程监测数据、后处理批次、检测记录与放行结论。</w:t>
      </w:r>
    </w:p>
    <w:p w14:paraId="2E96AF12">
      <w:pPr>
        <w:pStyle w:val="165"/>
        <w:spacing w:line="360" w:lineRule="auto"/>
      </w:pPr>
      <w:r>
        <w:rPr>
          <w:rFonts w:hint="eastAsia"/>
        </w:rPr>
        <w:t>追溯信息应实现唯一标识与关联规则一致，并在组织层面明确责任主体与保存期限。</w:t>
      </w:r>
    </w:p>
    <w:p w14:paraId="1EB05017">
      <w:pPr>
        <w:pStyle w:val="105"/>
        <w:spacing w:before="120" w:after="120" w:line="360" w:lineRule="auto"/>
      </w:pPr>
      <w:r>
        <w:rPr>
          <w:rFonts w:hint="eastAsia"/>
        </w:rPr>
        <w:t>标识与编码</w:t>
      </w:r>
    </w:p>
    <w:p w14:paraId="4CDE11D2">
      <w:pPr>
        <w:pStyle w:val="56"/>
        <w:spacing w:line="360" w:lineRule="auto"/>
        <w:ind w:firstLine="420"/>
      </w:pPr>
      <w:r>
        <w:rPr>
          <w:rFonts w:hint="eastAsia"/>
        </w:rPr>
        <w:t>为建立唯一对应关系，实施单位应对“零件—构建任务—构建板—材料批次—工艺版本—检测记录”建立统一编码规则。编码体系宜分层设置，既便于人工识别，又便于信息系统检索与统计。</w:t>
      </w:r>
    </w:p>
    <w:p w14:paraId="2CB7A80C">
      <w:pPr>
        <w:pStyle w:val="56"/>
        <w:spacing w:line="360" w:lineRule="auto"/>
        <w:ind w:firstLine="420"/>
      </w:pPr>
      <w:r>
        <w:rPr>
          <w:rFonts w:hint="eastAsia"/>
        </w:rPr>
        <w:t>标识与编码应满足以下要求：</w:t>
      </w:r>
    </w:p>
    <w:p w14:paraId="1CB69314">
      <w:pPr>
        <w:pStyle w:val="56"/>
        <w:spacing w:line="360" w:lineRule="auto"/>
        <w:ind w:firstLine="420"/>
      </w:pPr>
      <w:r>
        <w:rPr>
          <w:rFonts w:hint="eastAsia"/>
        </w:rPr>
        <w:t>a) 每件零件应具备唯一标识，标识应在不影响功能与强度的位置实现永久或半永久可读；</w:t>
      </w:r>
    </w:p>
    <w:p w14:paraId="23351B04">
      <w:pPr>
        <w:pStyle w:val="56"/>
        <w:spacing w:line="360" w:lineRule="auto"/>
        <w:ind w:firstLine="420"/>
      </w:pPr>
      <w:r>
        <w:rPr>
          <w:rFonts w:hint="eastAsia"/>
        </w:rPr>
        <w:t>b) 同一构建任务应具备唯一任务编号，并与设备编号、操作者、开始结束时间、切片文件版本关联；</w:t>
      </w:r>
    </w:p>
    <w:p w14:paraId="475A3D7F">
      <w:pPr>
        <w:pStyle w:val="56"/>
        <w:spacing w:line="360" w:lineRule="auto"/>
        <w:ind w:firstLine="420"/>
      </w:pPr>
      <w:r>
        <w:rPr>
          <w:rFonts w:hint="eastAsia"/>
        </w:rPr>
        <w:t>c) 构建板（或基板）应具备唯一编号，并与零件布局图、支撑方案与拆板记录关联；</w:t>
      </w:r>
    </w:p>
    <w:p w14:paraId="6BF61131">
      <w:pPr>
        <w:pStyle w:val="56"/>
        <w:spacing w:line="360" w:lineRule="auto"/>
        <w:ind w:firstLine="420"/>
      </w:pPr>
      <w:r>
        <w:rPr>
          <w:rFonts w:hint="eastAsia"/>
        </w:rPr>
        <w:t>d) 材料批次编号应贯穿“入厂—存储—筛分—混粉—使用—回收—再利用—报废”全过程；</w:t>
      </w:r>
    </w:p>
    <w:p w14:paraId="59FE7FC2">
      <w:pPr>
        <w:pStyle w:val="56"/>
        <w:spacing w:line="360" w:lineRule="auto"/>
        <w:ind w:firstLine="420"/>
      </w:pPr>
      <w:r>
        <w:rPr>
          <w:rFonts w:hint="eastAsia"/>
        </w:rPr>
        <w:t>e) 后处理批次应单独编号并与零件清单关联；</w:t>
      </w:r>
    </w:p>
    <w:p w14:paraId="0BAFD61C">
      <w:pPr>
        <w:pStyle w:val="56"/>
        <w:spacing w:line="360" w:lineRule="auto"/>
        <w:ind w:firstLine="420"/>
      </w:pPr>
      <w:r>
        <w:rPr>
          <w:rFonts w:hint="eastAsia"/>
        </w:rPr>
        <w:t>f) 检测报告编号应与零件唯一标识一致，并可追溯至原始数据与设备校准状态。</w:t>
      </w:r>
    </w:p>
    <w:p w14:paraId="1BB858F1">
      <w:pPr>
        <w:pStyle w:val="105"/>
        <w:spacing w:before="120" w:after="120" w:line="360" w:lineRule="auto"/>
      </w:pPr>
      <w:r>
        <w:rPr>
          <w:rFonts w:hint="eastAsia"/>
        </w:rPr>
        <w:t>材料追溯</w:t>
      </w:r>
    </w:p>
    <w:p w14:paraId="4361B6BA">
      <w:pPr>
        <w:pStyle w:val="56"/>
        <w:spacing w:line="360" w:lineRule="auto"/>
        <w:ind w:firstLine="420"/>
      </w:pPr>
      <w:r>
        <w:rPr>
          <w:rFonts w:hint="eastAsia"/>
        </w:rPr>
        <w:t>材料追溯应建立从供方到成形任务的全链路记录，以防止材料污染、混用或回收粉失控引发的质量波动。材料追溯记录应支持按批次快速定位其参与的所有构建任务与对应零件。</w:t>
      </w:r>
    </w:p>
    <w:p w14:paraId="19FA27FB">
      <w:pPr>
        <w:pStyle w:val="56"/>
        <w:spacing w:line="360" w:lineRule="auto"/>
        <w:ind w:firstLine="420"/>
      </w:pPr>
      <w:r>
        <w:rPr>
          <w:rFonts w:hint="eastAsia"/>
        </w:rPr>
        <w:t>材料追溯应至少记录以下信息：</w:t>
      </w:r>
    </w:p>
    <w:p w14:paraId="2CDC89D3">
      <w:pPr>
        <w:pStyle w:val="56"/>
        <w:spacing w:line="360" w:lineRule="auto"/>
        <w:ind w:firstLine="420"/>
      </w:pPr>
      <w:r>
        <w:rPr>
          <w:rFonts w:hint="eastAsia"/>
        </w:rPr>
        <w:t>a) 供方信息、材质牌号、批号、入厂日期与质量证明文件；</w:t>
      </w:r>
    </w:p>
    <w:p w14:paraId="23A01BA0">
      <w:pPr>
        <w:pStyle w:val="56"/>
        <w:spacing w:line="360" w:lineRule="auto"/>
        <w:ind w:firstLine="420"/>
      </w:pPr>
      <w:r>
        <w:rPr>
          <w:rFonts w:hint="eastAsia"/>
        </w:rPr>
        <w:t>b) 关键指标检测结果（如粉末粒度分布、含氧含氮、流动性、松装密度等或丝材直径与表面状态）；</w:t>
      </w:r>
    </w:p>
    <w:p w14:paraId="505096E6">
      <w:pPr>
        <w:pStyle w:val="56"/>
        <w:spacing w:line="360" w:lineRule="auto"/>
        <w:ind w:firstLine="420"/>
      </w:pPr>
      <w:r>
        <w:rPr>
          <w:rFonts w:hint="eastAsia"/>
        </w:rPr>
        <w:t>c) 存储条件与库位、开封次数、干燥或烘烤记录；</w:t>
      </w:r>
    </w:p>
    <w:p w14:paraId="3EB9E439">
      <w:pPr>
        <w:pStyle w:val="56"/>
        <w:spacing w:line="360" w:lineRule="auto"/>
        <w:ind w:firstLine="420"/>
      </w:pPr>
      <w:r>
        <w:rPr>
          <w:rFonts w:hint="eastAsia"/>
        </w:rPr>
        <w:t>d) 筛分记录、除杂记录、混粉比例、回收粉循环次数或等效控制指标；</w:t>
      </w:r>
    </w:p>
    <w:p w14:paraId="7C754368">
      <w:pPr>
        <w:pStyle w:val="56"/>
        <w:spacing w:line="360" w:lineRule="auto"/>
        <w:ind w:firstLine="420"/>
      </w:pPr>
      <w:r>
        <w:rPr>
          <w:rFonts w:hint="eastAsia"/>
        </w:rPr>
        <w:t>e) 使用记录：用于哪台设备、哪次构建任务、用量与剩余量；</w:t>
      </w:r>
    </w:p>
    <w:p w14:paraId="59A7667D">
      <w:pPr>
        <w:pStyle w:val="56"/>
        <w:spacing w:line="360" w:lineRule="auto"/>
        <w:ind w:firstLine="420"/>
      </w:pPr>
      <w:r>
        <w:rPr>
          <w:rFonts w:hint="eastAsia"/>
        </w:rPr>
        <w:t>f) 回收与处置记录：回收方式、回收量、报废判定与处置方式。</w:t>
      </w:r>
    </w:p>
    <w:p w14:paraId="3B1598C0">
      <w:pPr>
        <w:pStyle w:val="56"/>
        <w:spacing w:line="360" w:lineRule="auto"/>
        <w:ind w:firstLine="420"/>
      </w:pPr>
    </w:p>
    <w:p w14:paraId="3ABB1C4D">
      <w:pPr>
        <w:pStyle w:val="105"/>
        <w:spacing w:before="120" w:after="120" w:line="360" w:lineRule="auto"/>
      </w:pPr>
      <w:r>
        <w:rPr>
          <w:rFonts w:hint="eastAsia"/>
        </w:rPr>
        <w:t>设备与软件追溯</w:t>
      </w:r>
    </w:p>
    <w:p w14:paraId="36323187">
      <w:pPr>
        <w:pStyle w:val="56"/>
        <w:spacing w:line="360" w:lineRule="auto"/>
        <w:ind w:firstLine="420"/>
      </w:pPr>
      <w:r>
        <w:rPr>
          <w:rFonts w:hint="eastAsia"/>
        </w:rPr>
        <w:t>设备与软件追溯用于控制“同参数不同结果”的风险来源，确保设备状态波动、维护行为与软件版本变化可被识别并纳入工艺再验证决策。对关键设备，宜建立状态基线并记录关键部件寿命与维护周期。</w:t>
      </w:r>
    </w:p>
    <w:p w14:paraId="40E0DA0D">
      <w:pPr>
        <w:pStyle w:val="56"/>
        <w:spacing w:line="360" w:lineRule="auto"/>
        <w:ind w:firstLine="420"/>
      </w:pPr>
      <w:r>
        <w:rPr>
          <w:rFonts w:hint="eastAsia"/>
        </w:rPr>
        <w:t>设备与软件追溯应至少包括：</w:t>
      </w:r>
    </w:p>
    <w:p w14:paraId="0D1A0C0D">
      <w:pPr>
        <w:pStyle w:val="56"/>
        <w:spacing w:line="360" w:lineRule="auto"/>
        <w:ind w:firstLine="420"/>
      </w:pPr>
      <w:r>
        <w:rPr>
          <w:rFonts w:hint="eastAsia"/>
        </w:rPr>
        <w:t>a) 设备编号、型号、关键配置（激光器类型、扫描场尺寸、铺粉机构类型等）；</w:t>
      </w:r>
    </w:p>
    <w:p w14:paraId="3B4D14B5">
      <w:pPr>
        <w:pStyle w:val="56"/>
        <w:spacing w:line="360" w:lineRule="auto"/>
        <w:ind w:firstLine="420"/>
      </w:pPr>
      <w:r>
        <w:rPr>
          <w:rFonts w:hint="eastAsia"/>
        </w:rPr>
        <w:t>b) 点检、校准与维护记录（光路清洁、焦点校准、运动系统校准、氧传感器校准、过滤器更换等）；</w:t>
      </w:r>
    </w:p>
    <w:p w14:paraId="17203042">
      <w:pPr>
        <w:pStyle w:val="56"/>
        <w:spacing w:line="360" w:lineRule="auto"/>
        <w:ind w:firstLine="420"/>
      </w:pPr>
      <w:r>
        <w:rPr>
          <w:rFonts w:hint="eastAsia"/>
        </w:rPr>
        <w:t>c) 关键部件更换记录与更换原因；</w:t>
      </w:r>
    </w:p>
    <w:p w14:paraId="48E818E9">
      <w:pPr>
        <w:pStyle w:val="56"/>
        <w:spacing w:line="360" w:lineRule="auto"/>
        <w:ind w:firstLine="420"/>
      </w:pPr>
      <w:r>
        <w:rPr>
          <w:rFonts w:hint="eastAsia"/>
        </w:rPr>
        <w:t>d) 设备报警与停机事件记录及处置结论；</w:t>
      </w:r>
    </w:p>
    <w:p w14:paraId="0B1080AF">
      <w:pPr>
        <w:pStyle w:val="56"/>
        <w:spacing w:line="360" w:lineRule="auto"/>
        <w:ind w:firstLine="420"/>
      </w:pPr>
      <w:r>
        <w:rPr>
          <w:rFonts w:hint="eastAsia"/>
        </w:rPr>
        <w:t>e) 设备控制软件版本、切片软件版本、参数文件版本与变更记录；</w:t>
      </w:r>
    </w:p>
    <w:p w14:paraId="0A1C68A3">
      <w:pPr>
        <w:pStyle w:val="56"/>
        <w:spacing w:line="360" w:lineRule="auto"/>
        <w:ind w:firstLine="420"/>
      </w:pPr>
      <w:r>
        <w:rPr>
          <w:rFonts w:hint="eastAsia"/>
        </w:rPr>
        <w:t>f) 关键工艺脚本、监测算法或数据处理工具版本与校验记录。</w:t>
      </w:r>
    </w:p>
    <w:p w14:paraId="7EA43B80">
      <w:pPr>
        <w:pStyle w:val="105"/>
        <w:spacing w:before="120" w:after="120" w:line="360" w:lineRule="auto"/>
      </w:pPr>
      <w:r>
        <w:rPr>
          <w:rFonts w:hint="eastAsia"/>
        </w:rPr>
        <w:t>工艺版本与过程数据追溯</w:t>
      </w:r>
    </w:p>
    <w:p w14:paraId="6E6D684F">
      <w:pPr>
        <w:pStyle w:val="56"/>
        <w:spacing w:line="360" w:lineRule="auto"/>
        <w:ind w:firstLine="420"/>
      </w:pPr>
      <w:r>
        <w:rPr>
          <w:rFonts w:hint="eastAsia"/>
        </w:rPr>
        <w:t>工艺版本追溯的目标是在任何时间点都能明确“当时采用了什么参数、什么策略、什么监测阈值、什么后处理路线”，并能复现其形成过程。过程数据追溯则用于将监测信号、报警事件与最终缺陷或性能结果关联起来，支撑过程能力评价与持续改进。</w:t>
      </w:r>
    </w:p>
    <w:p w14:paraId="5E227B45">
      <w:pPr>
        <w:pStyle w:val="56"/>
        <w:spacing w:line="360" w:lineRule="auto"/>
        <w:ind w:firstLine="420"/>
      </w:pPr>
      <w:r>
        <w:rPr>
          <w:rFonts w:hint="eastAsia"/>
        </w:rPr>
        <w:t>工艺版本与过程数据追溯应至少包括：</w:t>
      </w:r>
    </w:p>
    <w:p w14:paraId="6BDFF316">
      <w:pPr>
        <w:pStyle w:val="56"/>
        <w:spacing w:line="360" w:lineRule="auto"/>
        <w:ind w:firstLine="420"/>
      </w:pPr>
      <w:r>
        <w:rPr>
          <w:rFonts w:hint="eastAsia"/>
        </w:rPr>
        <w:t>a) 工艺路线与控制计划版本号；</w:t>
      </w:r>
    </w:p>
    <w:p w14:paraId="097D77D9">
      <w:pPr>
        <w:pStyle w:val="56"/>
        <w:spacing w:line="360" w:lineRule="auto"/>
        <w:ind w:firstLine="420"/>
      </w:pPr>
      <w:r>
        <w:rPr>
          <w:rFonts w:hint="eastAsia"/>
        </w:rPr>
        <w:t>b) 切片文件、扫描策略、支撑方案、成形方向与布局图；</w:t>
      </w:r>
    </w:p>
    <w:p w14:paraId="2D6B8631">
      <w:pPr>
        <w:pStyle w:val="56"/>
        <w:spacing w:line="360" w:lineRule="auto"/>
        <w:ind w:firstLine="420"/>
      </w:pPr>
      <w:r>
        <w:rPr>
          <w:rFonts w:hint="eastAsia"/>
        </w:rPr>
        <w:t>c) 关键参数清单、参数窗口、锁定项与允许调整项；</w:t>
      </w:r>
    </w:p>
    <w:p w14:paraId="1107CEC9">
      <w:pPr>
        <w:pStyle w:val="56"/>
        <w:spacing w:line="360" w:lineRule="auto"/>
        <w:ind w:firstLine="420"/>
      </w:pPr>
      <w:r>
        <w:rPr>
          <w:rFonts w:hint="eastAsia"/>
        </w:rPr>
        <w:t>d) 预热温度、气氛流量、氧含量阈值与实际曲线；</w:t>
      </w:r>
    </w:p>
    <w:p w14:paraId="7394A558">
      <w:pPr>
        <w:pStyle w:val="56"/>
        <w:spacing w:line="360" w:lineRule="auto"/>
        <w:ind w:firstLine="420"/>
      </w:pPr>
      <w:r>
        <w:rPr>
          <w:rFonts w:hint="eastAsia"/>
        </w:rPr>
        <w:t>e) 过程监测数据及其与层号、位置的关联索引；</w:t>
      </w:r>
    </w:p>
    <w:p w14:paraId="2898273E">
      <w:pPr>
        <w:pStyle w:val="56"/>
        <w:spacing w:line="360" w:lineRule="auto"/>
        <w:ind w:firstLine="420"/>
      </w:pPr>
      <w:r>
        <w:rPr>
          <w:rFonts w:hint="eastAsia"/>
        </w:rPr>
        <w:t>f) 异常与处置记录（发生时间、层号、影响范围、是否继续、处置结论）；</w:t>
      </w:r>
    </w:p>
    <w:p w14:paraId="34405A52">
      <w:pPr>
        <w:pStyle w:val="56"/>
        <w:spacing w:line="360" w:lineRule="auto"/>
        <w:ind w:firstLine="420"/>
      </w:pPr>
      <w:r>
        <w:rPr>
          <w:rFonts w:hint="eastAsia"/>
        </w:rPr>
        <w:t>g) 过程数据的存储格式、校验规则与访问权限。</w:t>
      </w:r>
    </w:p>
    <w:p w14:paraId="5DAAD092">
      <w:pPr>
        <w:pStyle w:val="105"/>
        <w:spacing w:before="120" w:after="120" w:line="360" w:lineRule="auto"/>
      </w:pPr>
      <w:r>
        <w:rPr>
          <w:rFonts w:hint="eastAsia"/>
        </w:rPr>
        <w:t>后处理追溯</w:t>
      </w:r>
    </w:p>
    <w:p w14:paraId="79E973CC">
      <w:pPr>
        <w:pStyle w:val="56"/>
        <w:spacing w:line="360" w:lineRule="auto"/>
        <w:ind w:firstLine="420"/>
      </w:pPr>
      <w:r>
        <w:rPr>
          <w:rFonts w:hint="eastAsia"/>
        </w:rPr>
        <w:t>后处理追溯用于将热处理、热等静压、机加工与表面处理等关键工序与零件质量结论关联，防止“同成形件不同后处理”导致的性能漂移与不可解释差异。后处理追溯应确保炉次与零件清单一一对应，并记录关键过程参数与装夹方式。</w:t>
      </w:r>
    </w:p>
    <w:p w14:paraId="6C6E932D">
      <w:pPr>
        <w:pStyle w:val="56"/>
        <w:spacing w:line="360" w:lineRule="auto"/>
        <w:ind w:firstLine="420"/>
      </w:pPr>
      <w:r>
        <w:rPr>
          <w:rFonts w:hint="eastAsia"/>
        </w:rPr>
        <w:t>后处理追溯应至少包括：</w:t>
      </w:r>
    </w:p>
    <w:p w14:paraId="691106D4">
      <w:pPr>
        <w:pStyle w:val="56"/>
        <w:spacing w:line="360" w:lineRule="auto"/>
        <w:ind w:firstLine="420"/>
      </w:pPr>
      <w:r>
        <w:rPr>
          <w:rFonts w:hint="eastAsia"/>
        </w:rPr>
        <w:t>a) 去支撑方式、工具与关键保护措施记录；</w:t>
      </w:r>
    </w:p>
    <w:p w14:paraId="4D3FEFEC">
      <w:pPr>
        <w:pStyle w:val="56"/>
        <w:spacing w:line="360" w:lineRule="auto"/>
        <w:ind w:firstLine="420"/>
      </w:pPr>
      <w:r>
        <w:rPr>
          <w:rFonts w:hint="eastAsia"/>
        </w:rPr>
        <w:t>b) 热处理炉次、装炉方式、温度时间曲线、气氛条件、冷却方式与出炉检验；</w:t>
      </w:r>
    </w:p>
    <w:p w14:paraId="28E402B5">
      <w:pPr>
        <w:pStyle w:val="56"/>
        <w:spacing w:line="360" w:lineRule="auto"/>
        <w:ind w:firstLine="420"/>
      </w:pPr>
      <w:r>
        <w:rPr>
          <w:rFonts w:hint="eastAsia"/>
        </w:rPr>
        <w:t>c) 热等静压批次、工艺参数、前后尺寸变化记录；</w:t>
      </w:r>
    </w:p>
    <w:p w14:paraId="4E48A8A7">
      <w:pPr>
        <w:pStyle w:val="56"/>
        <w:spacing w:line="360" w:lineRule="auto"/>
        <w:ind w:firstLine="420"/>
      </w:pPr>
      <w:r>
        <w:rPr>
          <w:rFonts w:hint="eastAsia"/>
        </w:rPr>
        <w:t>d) 机加工工序卡、基准建立方式、关键尺寸过程测量记录；</w:t>
      </w:r>
    </w:p>
    <w:p w14:paraId="547AF2C5">
      <w:pPr>
        <w:pStyle w:val="56"/>
        <w:spacing w:line="360" w:lineRule="auto"/>
        <w:ind w:firstLine="420"/>
      </w:pPr>
      <w:r>
        <w:rPr>
          <w:rFonts w:hint="eastAsia"/>
        </w:rPr>
        <w:t>e) 表面处理批次、介质与工艺参数、处理后清洗与残留控制记录；</w:t>
      </w:r>
    </w:p>
    <w:p w14:paraId="4FA03142">
      <w:pPr>
        <w:pStyle w:val="56"/>
        <w:spacing w:line="360" w:lineRule="auto"/>
        <w:ind w:firstLine="420"/>
      </w:pPr>
      <w:r>
        <w:rPr>
          <w:rFonts w:hint="eastAsia"/>
        </w:rPr>
        <w:t>f) 内腔清理方式、验证方法与结果记录。</w:t>
      </w:r>
    </w:p>
    <w:p w14:paraId="2C674EF8">
      <w:pPr>
        <w:pStyle w:val="105"/>
        <w:spacing w:before="120" w:after="120" w:line="360" w:lineRule="auto"/>
      </w:pPr>
      <w:r>
        <w:rPr>
          <w:rFonts w:hint="eastAsia"/>
        </w:rPr>
        <w:t>检测记录与放行追溯</w:t>
      </w:r>
    </w:p>
    <w:p w14:paraId="37D70D2B">
      <w:pPr>
        <w:pStyle w:val="56"/>
        <w:spacing w:line="360" w:lineRule="auto"/>
        <w:ind w:firstLine="420"/>
      </w:pPr>
      <w:r>
        <w:rPr>
          <w:rFonts w:hint="eastAsia"/>
        </w:rPr>
        <w:t>检测追溯应保证检测结果可复核、检测设备可追溯、判定口径一致，并可支持审计与外部认证需求。放行追溯应明确放行依据、放行责任与偏离放行的批准路径。</w:t>
      </w:r>
    </w:p>
    <w:p w14:paraId="792E74E2">
      <w:pPr>
        <w:pStyle w:val="56"/>
        <w:spacing w:line="360" w:lineRule="auto"/>
        <w:ind w:firstLine="420"/>
      </w:pPr>
      <w:r>
        <w:rPr>
          <w:rFonts w:hint="eastAsia"/>
        </w:rPr>
        <w:t>检测与放行追溯应至少包括：</w:t>
      </w:r>
    </w:p>
    <w:p w14:paraId="0646FE1D">
      <w:pPr>
        <w:pStyle w:val="56"/>
        <w:spacing w:line="360" w:lineRule="auto"/>
        <w:ind w:firstLine="420"/>
      </w:pPr>
      <w:r>
        <w:rPr>
          <w:rFonts w:hint="eastAsia"/>
        </w:rPr>
        <w:t>a) 检测计划版本、抽样方案与执行记录；</w:t>
      </w:r>
    </w:p>
    <w:p w14:paraId="6C8F4353">
      <w:pPr>
        <w:pStyle w:val="56"/>
        <w:spacing w:line="360" w:lineRule="auto"/>
        <w:ind w:firstLine="420"/>
      </w:pPr>
      <w:r>
        <w:rPr>
          <w:rFonts w:hint="eastAsia"/>
        </w:rPr>
        <w:t>b) 检测设备编号、校准状态与操作者信息；</w:t>
      </w:r>
    </w:p>
    <w:p w14:paraId="4F16A81C">
      <w:pPr>
        <w:pStyle w:val="56"/>
        <w:spacing w:line="360" w:lineRule="auto"/>
        <w:ind w:firstLine="420"/>
      </w:pPr>
      <w:r>
        <w:rPr>
          <w:rFonts w:hint="eastAsia"/>
        </w:rPr>
        <w:t>c) 原始数据与处理数据（CT体数据、UT波形、三坐标测量数据等）及其保存路径；</w:t>
      </w:r>
    </w:p>
    <w:p w14:paraId="333C15CF">
      <w:pPr>
        <w:pStyle w:val="56"/>
        <w:spacing w:line="360" w:lineRule="auto"/>
        <w:ind w:firstLine="420"/>
      </w:pPr>
      <w:r>
        <w:rPr>
          <w:rFonts w:hint="eastAsia"/>
        </w:rPr>
        <w:t>d) 判定依据与结论（合格、不合格、返工后合格、偏离放行等）；</w:t>
      </w:r>
    </w:p>
    <w:p w14:paraId="231D85A9">
      <w:pPr>
        <w:pStyle w:val="56"/>
        <w:spacing w:line="360" w:lineRule="auto"/>
        <w:ind w:firstLine="420"/>
      </w:pPr>
      <w:r>
        <w:rPr>
          <w:rFonts w:hint="eastAsia"/>
        </w:rPr>
        <w:t>e) 不合格处置记录与复检记录；</w:t>
      </w:r>
    </w:p>
    <w:p w14:paraId="1B39B11F">
      <w:pPr>
        <w:pStyle w:val="56"/>
        <w:spacing w:line="360" w:lineRule="auto"/>
        <w:ind w:firstLine="420"/>
      </w:pPr>
      <w:r>
        <w:rPr>
          <w:rFonts w:hint="eastAsia"/>
        </w:rPr>
        <w:t>f) 放行签署记录与交付文件清单。</w:t>
      </w:r>
    </w:p>
    <w:p w14:paraId="0EAF4519">
      <w:pPr>
        <w:pStyle w:val="105"/>
        <w:spacing w:before="120" w:after="120" w:line="360" w:lineRule="auto"/>
      </w:pPr>
      <w:r>
        <w:rPr>
          <w:rFonts w:hint="eastAsia"/>
        </w:rPr>
        <w:t>信息保存与权限管理</w:t>
      </w:r>
    </w:p>
    <w:p w14:paraId="491FFBEC">
      <w:pPr>
        <w:pStyle w:val="56"/>
        <w:spacing w:line="360" w:lineRule="auto"/>
        <w:ind w:firstLine="420"/>
      </w:pPr>
      <w:r>
        <w:rPr>
          <w:rFonts w:hint="eastAsia"/>
        </w:rPr>
        <w:t>追溯信息应按“可用、可查、可控”的原则进行存储与管理，确保数据完整性与安全性。建议采用集中式数据管理系统或等效机制，保证版本一致与访问可控。</w:t>
      </w:r>
    </w:p>
    <w:p w14:paraId="72766D75">
      <w:pPr>
        <w:pStyle w:val="56"/>
        <w:spacing w:line="360" w:lineRule="auto"/>
        <w:ind w:firstLine="420"/>
      </w:pPr>
      <w:r>
        <w:rPr>
          <w:rFonts w:hint="eastAsia"/>
        </w:rPr>
        <w:t>信息保存与权限管理应至少满足：</w:t>
      </w:r>
    </w:p>
    <w:p w14:paraId="44520D8D">
      <w:pPr>
        <w:pStyle w:val="56"/>
        <w:spacing w:line="360" w:lineRule="auto"/>
        <w:ind w:firstLine="420"/>
      </w:pPr>
      <w:r>
        <w:rPr>
          <w:rFonts w:hint="eastAsia"/>
        </w:rPr>
        <w:t>a) 保存期限应根据合同要求、行业监管要求与产品寿命确定；无明确要求时，关键记录宜不少于产品设计寿命或不少于规定年限；</w:t>
      </w:r>
    </w:p>
    <w:p w14:paraId="1ADEB15E">
      <w:pPr>
        <w:pStyle w:val="56"/>
        <w:spacing w:line="360" w:lineRule="auto"/>
        <w:ind w:firstLine="420"/>
      </w:pPr>
      <w:r>
        <w:rPr>
          <w:rFonts w:hint="eastAsia"/>
        </w:rPr>
        <w:t>b) 数据应具备备份与恢复机制，防止丢失或篡改；</w:t>
      </w:r>
    </w:p>
    <w:p w14:paraId="6C472023">
      <w:pPr>
        <w:pStyle w:val="56"/>
        <w:spacing w:line="360" w:lineRule="auto"/>
        <w:ind w:firstLine="420"/>
      </w:pPr>
      <w:r>
        <w:rPr>
          <w:rFonts w:hint="eastAsia"/>
        </w:rPr>
        <w:t>c) 应设置访问权限与审计日志，明确数据读取、修改与导出的授权流程；</w:t>
      </w:r>
    </w:p>
    <w:p w14:paraId="7FA8D95E">
      <w:pPr>
        <w:pStyle w:val="56"/>
        <w:spacing w:line="360" w:lineRule="auto"/>
        <w:ind w:firstLine="420"/>
      </w:pPr>
      <w:r>
        <w:rPr>
          <w:rFonts w:hint="eastAsia"/>
        </w:rPr>
        <w:t>d) 变更记录应不可覆盖原始数据，采用追加记录方式保留历史版本；</w:t>
      </w:r>
    </w:p>
    <w:p w14:paraId="00859943">
      <w:pPr>
        <w:pStyle w:val="56"/>
        <w:spacing w:line="360" w:lineRule="auto"/>
        <w:ind w:firstLine="420"/>
      </w:pPr>
      <w:r>
        <w:rPr>
          <w:rFonts w:hint="eastAsia"/>
        </w:rPr>
        <w:t>e) 对外提供数据时应执行脱敏与保密要求，确保知识产权与商业信息安全。</w:t>
      </w:r>
    </w:p>
    <w:bookmarkEnd w:id="26"/>
    <w:p w14:paraId="5C719B77">
      <w:pPr>
        <w:pStyle w:val="56"/>
        <w:ind w:firstLine="0" w:firstLineChars="0"/>
        <w:jc w:val="center"/>
      </w:pPr>
      <w:bookmarkStart w:id="57" w:name="BookMark8"/>
      <w:r>
        <w:rPr>
          <w:rFonts w:hint="eastAsia"/>
        </w:rPr>
        <w:drawing>
          <wp:inline distT="0" distB="0" distL="0" distR="0">
            <wp:extent cx="1485900" cy="317500"/>
            <wp:effectExtent l="0" t="0" r="0" b="6350"/>
            <wp:docPr id="2134663832" name="图片 2"/>
            <wp:cNvGraphicFramePr/>
            <a:graphic xmlns:a="http://schemas.openxmlformats.org/drawingml/2006/main">
              <a:graphicData uri="http://schemas.openxmlformats.org/drawingml/2006/picture">
                <pic:pic xmlns:pic="http://schemas.openxmlformats.org/drawingml/2006/picture">
                  <pic:nvPicPr>
                    <pic:cNvPr id="2134663832" name="图片 2"/>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01E3">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19B7">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5D5A">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6AD2">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EA9B">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A07D4">
    <w:pPr>
      <w:pStyle w:val="51"/>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88E6A">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2E6B">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EEDC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0199—2026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EE148">
    <w:pPr>
      <w:pStyle w:val="61"/>
    </w:pPr>
    <w:r>
      <w:fldChar w:fldCharType="begin"/>
    </w:r>
    <w:r>
      <w:instrText xml:space="preserve"> STYLEREF  标准文件_文件编号  \* MERGEFORMAT </w:instrText>
    </w:r>
    <w:r>
      <w:fldChar w:fldCharType="separate"/>
    </w:r>
    <w:r>
      <w:t>T/XJBX 0199—2026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A74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0199—2026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CF55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0199—2026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0199—2026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3F1E7">
    <w:pPr>
      <w:pStyle w:val="61"/>
    </w:pPr>
    <w:r>
      <w:fldChar w:fldCharType="begin"/>
    </w:r>
    <w:r>
      <w:instrText xml:space="preserve"> STYLEREF  标准文件_文件编号  \* MERGEFORMAT </w:instrText>
    </w:r>
    <w:r>
      <w:fldChar w:fldCharType="separate"/>
    </w:r>
    <w:r>
      <w:t>T/XJBX 0199—2026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5C8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0199—2026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98339">
    <w:pPr>
      <w:pStyle w:val="61"/>
    </w:pPr>
    <w:r>
      <w:fldChar w:fldCharType="begin"/>
    </w:r>
    <w:r>
      <w:instrText xml:space="preserve"> STYLEREF  标准文件_文件编号  \* MERGEFORMAT </w:instrText>
    </w:r>
    <w:r>
      <w:fldChar w:fldCharType="separate"/>
    </w:r>
    <w:r>
      <w:t>T/XJBX 0199—2026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1A7F"/>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92D"/>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025"/>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AC3"/>
    <w:rsid w:val="00373CA8"/>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2980"/>
    <w:rsid w:val="003B5BF0"/>
    <w:rsid w:val="003B60BF"/>
    <w:rsid w:val="003B6BE3"/>
    <w:rsid w:val="003C010C"/>
    <w:rsid w:val="003C0A6C"/>
    <w:rsid w:val="003C14F8"/>
    <w:rsid w:val="003C5A43"/>
    <w:rsid w:val="003D0519"/>
    <w:rsid w:val="003D0FF6"/>
    <w:rsid w:val="003D262C"/>
    <w:rsid w:val="003D6D61"/>
    <w:rsid w:val="003D76FA"/>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3953"/>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CDE"/>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F89"/>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788"/>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CD"/>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E8A"/>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024"/>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3640"/>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137"/>
    <w:rsid w:val="00B66567"/>
    <w:rsid w:val="00B66F52"/>
    <w:rsid w:val="00B66FE5"/>
    <w:rsid w:val="00B70F13"/>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ACA"/>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0DC"/>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032"/>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440"/>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4C64"/>
    <w:rsid w:val="00FB54E8"/>
    <w:rsid w:val="00FB7054"/>
    <w:rsid w:val="00FC17B7"/>
    <w:rsid w:val="00FC27F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0E5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4.jpe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62D6297">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3344FA30">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8E0B5C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373AC3"/>
    <w:rsid w:val="003B2980"/>
    <w:rsid w:val="00446DB8"/>
    <w:rsid w:val="005E6634"/>
    <w:rsid w:val="007146E1"/>
    <w:rsid w:val="00891587"/>
    <w:rsid w:val="00906C7E"/>
    <w:rsid w:val="00A67664"/>
    <w:rsid w:val="00AE1DC6"/>
    <w:rsid w:val="00B614EC"/>
    <w:rsid w:val="00D120DC"/>
    <w:rsid w:val="00E22927"/>
    <w:rsid w:val="00E51851"/>
    <w:rsid w:val="00E96324"/>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27</Pages>
  <Words>5244</Words>
  <Characters>5693</Characters>
  <Lines>113</Lines>
  <Paragraphs>31</Paragraphs>
  <TotalTime>356</TotalTime>
  <ScaleCrop>false</ScaleCrop>
  <LinksUpToDate>false</LinksUpToDate>
  <CharactersWithSpaces>5833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2026-01-27T09:03:11Z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62468C7D7AFD41569D7D9A0ACCA87A4C_12</vt:lpwstr>
  </property>
</Properties>
</file>