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19C05D81">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hint="eastAsia" w:ascii="黑体" w:hAnsi="黑体" w:eastAsia="黑体"/>
                <w:sz w:val="21"/>
                <w:szCs w:val="21"/>
              </w:rPr>
              <w:fldChar w:fldCharType="begin">
                <w:ffData>
                  <w:name w:val="ICS"/>
                  <w:enabled/>
                  <w:calcOnExit w:val="0"/>
                  <w:textInput>
                    <w:default w:val="11.020"/>
                  </w:textInput>
                </w:ffData>
              </w:fldChar>
            </w:r>
            <w:bookmarkStart w:id="0" w:name="ICS"/>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11.020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JBX"/>
                          <w:maxLength w:val="7"/>
                        </w:textInput>
                      </w:ffData>
                    </w:fldChar>
                  </w:r>
                  <w:bookmarkStart w:id="1" w:name="c1"/>
                  <w:r>
                    <w:instrText xml:space="preserve"> FORMTEXT </w:instrText>
                  </w:r>
                  <w:r>
                    <w:fldChar w:fldCharType="separate"/>
                  </w:r>
                  <w:r>
                    <w:t>XJBX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hint="eastAsia" w:ascii="黑体" w:hAnsi="黑体" w:eastAsia="黑体"/>
                <w:sz w:val="21"/>
                <w:szCs w:val="21"/>
              </w:rPr>
              <w:fldChar w:fldCharType="begin">
                <w:ffData>
                  <w:name w:val="CSDN"/>
                  <w:enabled/>
                  <w:calcOnExit w:val="0"/>
                  <w:textInput>
                    <w:default w:val="C 04"/>
                  </w:textInput>
                </w:ffData>
              </w:fldChar>
            </w:r>
            <w:bookmarkStart w:id="2" w:name="CSDN"/>
            <w:r>
              <w:rPr>
                <w:rFonts w:hint="eastAsia" w:ascii="黑体" w:hAnsi="黑体" w:eastAsia="黑体"/>
                <w:sz w:val="21"/>
                <w:szCs w:val="21"/>
              </w:rPr>
              <w:instrText xml:space="preserve"> </w:instrText>
            </w:r>
            <w:r>
              <w:rPr>
                <w:rFonts w:ascii="黑体" w:hAnsi="黑体" w:eastAsia="黑体"/>
                <w:sz w:val="21"/>
                <w:szCs w:val="21"/>
              </w:rPr>
              <w:instrText xml:space="preserve">FORMTEXT</w:instrText>
            </w:r>
            <w:r>
              <w:rPr>
                <w:rFonts w:hint="eastAsia" w:ascii="黑体" w:hAnsi="黑体" w:eastAsia="黑体"/>
                <w:sz w:val="21"/>
                <w:szCs w:val="21"/>
              </w:rPr>
              <w:instrText xml:space="preserve"> </w:instrText>
            </w:r>
            <w:r>
              <w:rPr>
                <w:rFonts w:hint="eastAsia" w:ascii="黑体" w:hAnsi="黑体" w:eastAsia="黑体"/>
                <w:sz w:val="21"/>
                <w:szCs w:val="21"/>
              </w:rPr>
              <w:fldChar w:fldCharType="separate"/>
            </w:r>
            <w:r>
              <w:rPr>
                <w:rFonts w:hint="eastAsia" w:ascii="黑体" w:hAnsi="黑体" w:eastAsia="黑体"/>
                <w:sz w:val="21"/>
                <w:szCs w:val="21"/>
              </w:rPr>
              <w:t>C 04</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计量标准检测认证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西安市计量标准检测认证协会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JBX"/>
            </w:textInput>
          </w:ffData>
        </w:fldChar>
      </w:r>
      <w:bookmarkStart w:id="5" w:name="文字1"/>
      <w:r>
        <w:instrText xml:space="preserve"> FORMTEXT </w:instrText>
      </w:r>
      <w:r>
        <w:fldChar w:fldCharType="separate"/>
      </w:r>
      <w:r>
        <w:t>XJBX</w:t>
      </w:r>
      <w:r>
        <w:fldChar w:fldCharType="end"/>
      </w:r>
      <w:bookmarkEnd w:id="5"/>
      <w:r>
        <w:t xml:space="preserve"> </w:t>
      </w:r>
      <w:r>
        <w:fldChar w:fldCharType="begin">
          <w:ffData>
            <w:name w:val="NSTD_CODE_F"/>
            <w:enabled/>
            <w:calcOnExit w:val="0"/>
            <w:textInput>
              <w:default w:val="0196"/>
            </w:textInput>
          </w:ffData>
        </w:fldChar>
      </w:r>
      <w:bookmarkStart w:id="6" w:name="NSTD_CODE_F"/>
      <w:r>
        <w:instrText xml:space="preserve"> FORMTEXT </w:instrText>
      </w:r>
      <w:r>
        <w:fldChar w:fldCharType="separate"/>
      </w:r>
      <w:r>
        <w:t>0196</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hint="eastAsia" w:ascii="黑体" w:hAnsi="黑体" w:eastAsia="黑体"/>
          <w:b w:val="0"/>
          <w:bCs w:val="0"/>
          <w:w w:val="100"/>
        </w:rPr>
      </w:pPr>
    </w:p>
    <w:p w14:paraId="73594FE6">
      <w:pPr>
        <w:pStyle w:val="197"/>
        <w:framePr w:h="6974" w:hRule="exact" w:wrap="around" w:x="1419" w:anchorLock="1"/>
        <w:rPr>
          <w:rFonts w:hint="eastAsia"/>
        </w:rPr>
      </w:pPr>
      <w:r>
        <w:fldChar w:fldCharType="begin">
          <w:ffData>
            <w:name w:val="CSTD_NAME"/>
            <w:enabled/>
            <w:calcOnExit w:val="0"/>
            <w:textInput>
              <w:default w:val="内科门诊质量与安全控制指标规范"/>
            </w:textInput>
          </w:ffData>
        </w:fldChar>
      </w:r>
      <w:bookmarkStart w:id="9" w:name="CSTD_NAME"/>
      <w:r>
        <w:instrText xml:space="preserve"> FORMTEXT </w:instrText>
      </w:r>
      <w:r>
        <w:fldChar w:fldCharType="separate"/>
      </w:r>
      <w:r>
        <w:t>内科门诊质量与安全控制指标规范</w:t>
      </w:r>
      <w: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hint="eastAsia" w:ascii="黑体" w:hAnsi="黑体" w:eastAsia="黑体"/>
          <w:szCs w:val="28"/>
        </w:rPr>
      </w:pPr>
      <w:r>
        <w:rPr>
          <w:rFonts w:ascii="黑体" w:hAnsi="黑体" w:eastAsia="黑体"/>
          <w:szCs w:val="28"/>
        </w:rPr>
        <w:fldChar w:fldCharType="begin">
          <w:ffData>
            <w:name w:val="ESTD_NAME"/>
            <w:enabled/>
            <w:calcOnExit w:val="0"/>
            <w:textInput>
              <w:default w:val="Specification for quality and safety control indicators of internal medicine outpatient services"/>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ascii="黑体" w:hAnsi="黑体" w:eastAsia="黑体"/>
          <w:szCs w:val="28"/>
        </w:rPr>
        <w:t>Specification for quality and safety control indicators of internal medicine outpatient services</w:t>
      </w:r>
      <w:r>
        <w:rPr>
          <w:rFonts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default w:val="西安市计量标准检测认证协会"/>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西安市计量标准检测认证协会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hint="eastAsia"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2F62E162">
      <w:pPr>
        <w:pStyle w:val="91"/>
        <w:spacing w:after="360"/>
      </w:pPr>
      <w:bookmarkStart w:id="21" w:name="BookMark1"/>
      <w:r>
        <w:rPr>
          <w:rFonts w:hint="eastAsia"/>
          <w:spacing w:val="320"/>
        </w:rPr>
        <w:t>目</w:t>
      </w:r>
      <w:r>
        <w:rPr>
          <w:rFonts w:hint="eastAsia"/>
        </w:rPr>
        <w:t>次</w:t>
      </w:r>
    </w:p>
    <w:p w14:paraId="2DDAC31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"_Toc220058732"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_Toc220058732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3C7A742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"_Toc220058733"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_Toc220058733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40C734F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_Toc220058734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546D8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_Toc220058735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9EE21E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_Toc220058736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F97EA8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"_Toc220058737" </w:instrText>
      </w:r>
      <w:r>
        <w:fldChar w:fldCharType="separate"/>
      </w:r>
      <w:r>
        <w:rPr>
          <w:rStyle w:val="32"/>
          <w:rFonts w:hint="eastAsia"/>
        </w:rPr>
        <w:t>4</w:t>
      </w:r>
      <w:r>
        <w:rPr>
          <w:rStyle w:val="32"/>
        </w:rPr>
        <w:t xml:space="preserve"> </w:t>
      </w:r>
      <w:r>
        <w:rPr>
          <w:rStyle w:val="32"/>
          <w:rFonts w:hint="eastAsia"/>
        </w:rPr>
        <w:t xml:space="preserve"> 指标体系总体要求</w:t>
      </w:r>
      <w:r>
        <w:rPr>
          <w:rFonts w:hint="eastAsia"/>
        </w:rPr>
        <w:tab/>
      </w:r>
      <w:r>
        <w:rPr>
          <w:rFonts w:hint="eastAsia"/>
        </w:rPr>
        <w:fldChar w:fldCharType="begin"/>
      </w:r>
      <w:r>
        <w:rPr>
          <w:rFonts w:hint="eastAsia"/>
        </w:rPr>
        <w:instrText xml:space="preserve"> </w:instrText>
      </w:r>
      <w:r>
        <w:instrText xml:space="preserve">PAGEREF _Toc220058737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420DBCE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"_Toc220058738" </w:instrText>
      </w:r>
      <w:r>
        <w:fldChar w:fldCharType="separate"/>
      </w:r>
      <w:r>
        <w:rPr>
          <w:rStyle w:val="32"/>
          <w:rFonts w:hint="eastAsia"/>
        </w:rPr>
        <w:t>5</w:t>
      </w:r>
      <w:r>
        <w:rPr>
          <w:rStyle w:val="32"/>
        </w:rPr>
        <w:t xml:space="preserve"> </w:t>
      </w:r>
      <w:r>
        <w:rPr>
          <w:rStyle w:val="32"/>
          <w:rFonts w:hint="eastAsia"/>
        </w:rPr>
        <w:t xml:space="preserve"> 指标分类与指标库</w:t>
      </w:r>
      <w:r>
        <w:rPr>
          <w:rFonts w:hint="eastAsia"/>
        </w:rPr>
        <w:tab/>
      </w:r>
      <w:r>
        <w:rPr>
          <w:rFonts w:hint="eastAsia"/>
        </w:rPr>
        <w:fldChar w:fldCharType="begin"/>
      </w:r>
      <w:r>
        <w:rPr>
          <w:rFonts w:hint="eastAsia"/>
        </w:rPr>
        <w:instrText xml:space="preserve"> </w:instrText>
      </w:r>
      <w:r>
        <w:instrText xml:space="preserve">PAGEREF _Toc220058738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4158F3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"_Toc220058739" </w:instrText>
      </w:r>
      <w:r>
        <w:fldChar w:fldCharType="separate"/>
      </w:r>
      <w:r>
        <w:rPr>
          <w:rStyle w:val="32"/>
          <w:rFonts w:hint="eastAsia"/>
        </w:rPr>
        <w:t>6</w:t>
      </w:r>
      <w:r>
        <w:rPr>
          <w:rStyle w:val="32"/>
        </w:rPr>
        <w:t xml:space="preserve"> </w:t>
      </w:r>
      <w:r>
        <w:rPr>
          <w:rStyle w:val="32"/>
          <w:rFonts w:hint="eastAsia"/>
        </w:rPr>
        <w:t xml:space="preserve"> 数据采集与质量控制</w:t>
      </w:r>
      <w:r>
        <w:rPr>
          <w:rFonts w:hint="eastAsia"/>
        </w:rPr>
        <w:tab/>
      </w:r>
      <w:r>
        <w:rPr>
          <w:rFonts w:hint="eastAsia"/>
        </w:rPr>
        <w:fldChar w:fldCharType="begin"/>
      </w:r>
      <w:r>
        <w:rPr>
          <w:rFonts w:hint="eastAsia"/>
        </w:rPr>
        <w:instrText xml:space="preserve"> </w:instrText>
      </w:r>
      <w:r>
        <w:instrText xml:space="preserve">PAGEREF _Toc220058739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A22FC0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"_Toc220058740" </w:instrText>
      </w:r>
      <w:r>
        <w:fldChar w:fldCharType="separate"/>
      </w:r>
      <w:r>
        <w:rPr>
          <w:rStyle w:val="32"/>
          <w:rFonts w:hint="eastAsia"/>
        </w:rPr>
        <w:t>7</w:t>
      </w:r>
      <w:r>
        <w:rPr>
          <w:rStyle w:val="32"/>
        </w:rPr>
        <w:t xml:space="preserve"> </w:t>
      </w:r>
      <w:r>
        <w:rPr>
          <w:rStyle w:val="32"/>
          <w:rFonts w:hint="eastAsia"/>
        </w:rPr>
        <w:t xml:space="preserve"> 阈值预警报告</w:t>
      </w:r>
      <w:r>
        <w:rPr>
          <w:rFonts w:hint="eastAsia"/>
        </w:rPr>
        <w:tab/>
      </w:r>
      <w:r>
        <w:rPr>
          <w:rFonts w:hint="eastAsia"/>
        </w:rPr>
        <w:fldChar w:fldCharType="begin"/>
      </w:r>
      <w:r>
        <w:rPr>
          <w:rFonts w:hint="eastAsia"/>
        </w:rPr>
        <w:instrText xml:space="preserve"> </w:instrText>
      </w:r>
      <w:r>
        <w:instrText xml:space="preserve">PAGEREF _Toc220058740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5B2B7F5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"_Toc220058741" </w:instrText>
      </w:r>
      <w:r>
        <w:fldChar w:fldCharType="separate"/>
      </w:r>
      <w:r>
        <w:rPr>
          <w:rStyle w:val="32"/>
          <w:rFonts w:hint="eastAsia"/>
        </w:rPr>
        <w:t>8</w:t>
      </w:r>
      <w:r>
        <w:rPr>
          <w:rStyle w:val="32"/>
        </w:rPr>
        <w:t xml:space="preserve"> </w:t>
      </w:r>
      <w:r>
        <w:rPr>
          <w:rStyle w:val="32"/>
          <w:rFonts w:hint="eastAsia"/>
        </w:rPr>
        <w:t xml:space="preserve"> 改进复盘评审</w:t>
      </w:r>
      <w:r>
        <w:rPr>
          <w:rFonts w:hint="eastAsia"/>
        </w:rPr>
        <w:tab/>
      </w:r>
      <w:r>
        <w:rPr>
          <w:rFonts w:hint="eastAsia"/>
        </w:rPr>
        <w:fldChar w:fldCharType="begin"/>
      </w:r>
      <w:r>
        <w:rPr>
          <w:rFonts w:hint="eastAsia"/>
        </w:rPr>
        <w:instrText xml:space="preserve"> </w:instrText>
      </w:r>
      <w:r>
        <w:instrText xml:space="preserve">PAGEREF _Toc220058741 \h</w:instrText>
      </w:r>
      <w:r>
        <w:rPr>
          <w:rFonts w:hint="eastAsia"/>
        </w:rPr>
        <w:instrText xml:space="preserve"> </w:instrText>
      </w:r>
      <w:r>
        <w:rPr>
          <w:rFonts w:hint="eastAsia"/>
        </w:rPr>
        <w:fldChar w:fldCharType="separate"/>
      </w:r>
      <w:r>
        <w:t>13</w:t>
      </w:r>
      <w:r>
        <w:rPr>
          <w:rFonts w:hint="eastAsia"/>
        </w:rPr>
        <w:fldChar w:fldCharType="end"/>
      </w:r>
      <w:r>
        <w:rPr>
          <w:rFonts w:hint="eastAsia"/>
        </w:rPr>
        <w:fldChar w:fldCharType="end"/>
      </w:r>
    </w:p>
    <w:p w14:paraId="5EEC9B75">
      <w:pPr>
        <w:pStyle w:val="91"/>
        <w:spacing w:after="360"/>
        <w:sectPr>
          <w:headerReference r:id="rId11" w:type="first"/>
          <w:headerReference r:id="rId9" w:type="default"/>
          <w:footerReference r:id="rId12" w:type="default"/>
          <w:headerReference r:id="rId10" w:type="even"/>
          <w:footerReference r:id="rId13"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0058732"/>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本文件由西安市计量标准检测认证协会提出并归口。</w:t>
      </w:r>
    </w:p>
    <w:p w14:paraId="653F2EC4">
      <w:pPr>
        <w:pStyle w:val="56"/>
        <w:spacing w:line="360" w:lineRule="auto"/>
        <w:ind w:firstLine="420"/>
      </w:pPr>
      <w:r>
        <w:rPr>
          <w:rFonts w:hint="eastAsia"/>
        </w:rPr>
        <w:t>本文件起草单位：广东广雅中学</w:t>
      </w:r>
      <w:bookmarkStart w:id="57" w:name="_GoBack"/>
      <w:bookmarkEnd w:id="57"/>
      <w:r>
        <w:rPr>
          <w:rFonts w:hint="eastAsia"/>
        </w:rPr>
        <w:t>。</w:t>
      </w:r>
    </w:p>
    <w:p w14:paraId="55F4A5D1">
      <w:pPr>
        <w:pStyle w:val="56"/>
        <w:spacing w:line="360" w:lineRule="auto"/>
        <w:ind w:firstLine="420"/>
      </w:pPr>
      <w:r>
        <w:rPr>
          <w:rFonts w:hint="eastAsia"/>
        </w:rPr>
        <w:t>本文件主要起草人：刘芷莲。</w:t>
      </w:r>
    </w:p>
    <w:p w14:paraId="1B3EB912">
      <w:pPr>
        <w:pStyle w:val="56"/>
        <w:ind w:firstLine="420"/>
      </w:pPr>
    </w:p>
    <w:p w14:paraId="784B3C9B">
      <w:pPr>
        <w:pStyle w:val="56"/>
        <w:ind w:firstLine="420"/>
        <w:sectPr>
          <w:headerReference r:id="rId14" w:type="default"/>
          <w:footerReference r:id="rId16" w:type="default"/>
          <w:headerReference r:id="rId15" w:type="even"/>
          <w:footerReference r:id="rId17"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0058733"/>
      <w:bookmarkStart w:id="25" w:name="BookMark3"/>
      <w:r>
        <w:rPr>
          <w:spacing w:val="320"/>
        </w:rPr>
        <w:t>引</w:t>
      </w:r>
      <w:r>
        <w:t>言</w:t>
      </w:r>
      <w:bookmarkEnd w:id="24"/>
    </w:p>
    <w:p w14:paraId="08E8E73B">
      <w:pPr>
        <w:pStyle w:val="56"/>
        <w:spacing w:line="360" w:lineRule="auto"/>
        <w:ind w:firstLine="420"/>
      </w:pPr>
      <w:r>
        <w:rPr>
          <w:rFonts w:hint="eastAsia"/>
        </w:rPr>
        <w:t>内科门诊是医疗服务体系中就诊量最大、病种谱最广、诊疗链条最复杂的服务场景之一，涵盖高血压、糖尿病、冠心病、慢阻肺、肾脏疾病、消化系统疾病、风湿免疫疾病、感染性疾病等慢病管理与常见病、多发病诊疗，同时承担分级诊疗中的首诊与转诊枢纽功能。与住院诊疗相比，门诊具有“高流量、短接触、强信息依赖、强流程依赖、强连续性管理依赖”的典型特征：患者在有限时间内完成挂号分诊、病史采集、体格检查、检验检查开立与解读、用药处方、健康教育、随访管理与转诊协同等环节，任何环节的偏差都可能放大为诊疗延误、误诊漏诊、用药错误、院感传播、隐私泄露、医患沟通风险以及不良事件。</w:t>
      </w:r>
    </w:p>
    <w:p w14:paraId="6ECA7E9B">
      <w:pPr>
        <w:pStyle w:val="56"/>
        <w:spacing w:line="360" w:lineRule="auto"/>
        <w:ind w:firstLine="420"/>
      </w:pPr>
      <w:r>
        <w:rPr>
          <w:rFonts w:hint="eastAsia"/>
        </w:rPr>
        <w:t>当前内科门诊质量与安全管理普遍面临以下共性问题：一是质量指标体系不统一，指标定义、统计口径、分母范围与数据来源差异较大，导致同机构跨科室不可比、跨机构难对标；二是安全风险点多且隐蔽，尤其在高龄多病共存、用药种类复杂、检验检查项目多样的场景中，药物相互作用、重复用药、禁忌证漏识别、危急值处置延迟等风险更加突出；三是门诊诊疗高度依赖信息系统与流程衔接，预约资源、候诊秩序、检查预约、检验结果回传、处方审核、转诊协同等环节的系统性缺陷容易造成大范围质量波动；四是慢病管理需要长期随访与连续处方，若缺乏闭环管理与绩效牵引，容易出现随访中断、依从性下降、病情失控与再入院增加等问题。</w:t>
      </w:r>
    </w:p>
    <w:p w14:paraId="56446F32">
      <w:pPr>
        <w:pStyle w:val="56"/>
        <w:spacing w:line="360" w:lineRule="auto"/>
        <w:ind w:firstLine="420"/>
      </w:pPr>
      <w:r>
        <w:rPr>
          <w:rFonts w:hint="eastAsia"/>
        </w:rPr>
        <w:t>为提升内科门诊诊疗服务的同质化水平与风险防控能力，有必要建立一套覆盖结构、过程与结局的质量与安全控制指标体系，明确指标名称、定义、计算方法、数据来源、采集频率、阈值与预警规则，并与门诊流程管理、临床路径、处方审核、危急值管理、院感防控、患者教育与随访管理等关键机制形成闭环。通过指标化、标准化与信息化支撑，可实现门诊质量与安全的可测量、可比较、可追溯与可改进。</w:t>
      </w:r>
    </w:p>
    <w:p w14:paraId="7F4A69FE">
      <w:pPr>
        <w:pStyle w:val="56"/>
        <w:spacing w:line="360" w:lineRule="auto"/>
        <w:ind w:firstLine="420"/>
      </w:pPr>
      <w:r>
        <w:rPr>
          <w:rFonts w:hint="eastAsia"/>
        </w:rPr>
        <w:t>本文件旨在规定内科门诊质量与安全控制指标的构成框架、指标定义与计算口径、数据采集与质量控制要求、指标评价与分级预警、报告与持续改进机制，为医疗机构内科门诊管理部门、临床科室、医务与质控部门、信息化建设单位以及第三方评价机构提供统一依据。通过本文件实施，可提升诊疗规范性与用药安全水平，缩短关键时间指标，降低可预防不良事件发生率，改善患者就医体验，并增强内科门诊对突发公共卫生事件与高峰就诊压力下的韧性与安全保障能力。</w:t>
      </w:r>
    </w:p>
    <w:p w14:paraId="41C59179">
      <w:pPr>
        <w:pStyle w:val="56"/>
        <w:ind w:firstLine="420"/>
      </w:pPr>
    </w:p>
    <w:p w14:paraId="3AC90217">
      <w:pPr>
        <w:pStyle w:val="56"/>
        <w:ind w:firstLine="420"/>
        <w:sectPr>
          <w:headerReference r:id="rId18" w:type="default"/>
          <w:footerReference r:id="rId20" w:type="default"/>
          <w:headerReference r:id="rId19" w:type="even"/>
          <w:footerReference r:id="rId21"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hint="eastAsia" w:ascii="黑体" w:hAnsi="黑体" w:eastAsia="黑体"/>
          <w:sz w:val="32"/>
          <w:szCs w:val="32"/>
        </w:rPr>
      </w:pPr>
      <w:bookmarkStart w:id="26" w:name="BookMark4"/>
    </w:p>
    <w:p w14:paraId="71484A10">
      <w:pPr>
        <w:spacing w:line="20" w:lineRule="exact"/>
        <w:jc w:val="center"/>
        <w:rPr>
          <w:rFonts w:hint="eastAsia" w:ascii="黑体" w:hAnsi="黑体" w:eastAsia="黑体"/>
          <w:sz w:val="32"/>
          <w:szCs w:val="32"/>
        </w:rPr>
      </w:pPr>
    </w:p>
    <w:sdt>
      <w:sdtPr>
        <w:tag w:val="NEW_STAND_NAME"/>
        <w:id w:val="595910757"/>
        <w:lock w:val="sdtLocked"/>
        <w:placeholder>
          <w:docPart w:val="012FB321F5A4443D9AFC61825E0F0C38"/>
        </w:placeholder>
      </w:sdtPr>
      <w:sdtContent>
        <w:p w14:paraId="7D4E3E1F">
          <w:pPr>
            <w:pStyle w:val="177"/>
            <w:rPr>
              <w:rFonts w:hint="eastAsia"/>
            </w:rPr>
          </w:pPr>
          <w:bookmarkStart w:id="27" w:name="NEW_STAND_NAME"/>
          <w:r>
            <w:rPr>
              <w:rFonts w:hint="eastAsia"/>
            </w:rPr>
            <w:t>内科门诊质量与安全控制指标规范</w:t>
          </w:r>
        </w:p>
      </w:sdtContent>
    </w:sdt>
    <w:bookmarkEnd w:id="27"/>
    <w:p w14:paraId="3DB22445">
      <w:pPr>
        <w:pStyle w:val="104"/>
        <w:spacing w:before="240" w:after="240" w:line="360" w:lineRule="auto"/>
      </w:pPr>
      <w:bookmarkStart w:id="28" w:name="_Toc17233325"/>
      <w:bookmarkStart w:id="29" w:name="_Toc24884218"/>
      <w:bookmarkStart w:id="30" w:name="_Toc26648465"/>
      <w:bookmarkStart w:id="31" w:name="_Toc26986530"/>
      <w:bookmarkStart w:id="32" w:name="_Toc97192964"/>
      <w:bookmarkStart w:id="33" w:name="_Toc24884211"/>
      <w:bookmarkStart w:id="34" w:name="_Toc26718930"/>
      <w:bookmarkStart w:id="35" w:name="_Toc26986771"/>
      <w:bookmarkStart w:id="36" w:name="_Toc220058734"/>
      <w:bookmarkStart w:id="37" w:name="_Toc17233333"/>
      <w:r>
        <w:rPr>
          <w:rFonts w:hint="eastAsia"/>
        </w:rPr>
        <w:t>范围</w:t>
      </w:r>
      <w:bookmarkEnd w:id="28"/>
      <w:bookmarkEnd w:id="29"/>
      <w:bookmarkEnd w:id="30"/>
      <w:bookmarkEnd w:id="31"/>
      <w:bookmarkEnd w:id="32"/>
      <w:bookmarkEnd w:id="33"/>
      <w:bookmarkEnd w:id="34"/>
      <w:bookmarkEnd w:id="35"/>
      <w:bookmarkEnd w:id="36"/>
      <w:bookmarkEnd w:id="37"/>
    </w:p>
    <w:p w14:paraId="2B870545">
      <w:pPr>
        <w:pStyle w:val="56"/>
        <w:spacing w:line="360" w:lineRule="auto"/>
        <w:ind w:firstLine="420"/>
      </w:pPr>
      <w:bookmarkStart w:id="38" w:name="_Toc17233334"/>
      <w:bookmarkStart w:id="39" w:name="_Toc17233326"/>
      <w:bookmarkStart w:id="40" w:name="_Toc24884212"/>
      <w:bookmarkStart w:id="41" w:name="_Toc24884219"/>
      <w:bookmarkStart w:id="42" w:name="_Toc26648466"/>
      <w:r>
        <w:rPr>
          <w:rFonts w:hint="eastAsia"/>
        </w:rPr>
        <w:t>本文件规定了内科门诊质量与安全控制指标的指标体系总体要求、指标分类与指标库、数据采集与质量控制、國值预警报告及改进复盘评审等内容。</w:t>
      </w:r>
    </w:p>
    <w:p w14:paraId="76265264">
      <w:pPr>
        <w:pStyle w:val="56"/>
        <w:spacing w:line="360" w:lineRule="auto"/>
        <w:ind w:firstLine="420"/>
      </w:pPr>
      <w:r>
        <w:rPr>
          <w:rFonts w:hint="eastAsia"/>
        </w:rPr>
        <w:t>本文件适用于各级医疗机构内科门诊（包括但不限于综合内科、心血管内科、呼吸与危重症医学科门诊、消化内科门诊、肾内科门诊、内分泌科门诊、风湿免疫科门诊、感染性疾病相关内科门诊等）开展质量与安全管理、绩效考核、对标分析与持续改进。采用互联网医院、门诊慢病管理平台或区域协同转诊平台的内科门诊，可参照本文件执行并补充线上诊疗相关指标。</w:t>
      </w:r>
    </w:p>
    <w:p w14:paraId="3733B2AD">
      <w:pPr>
        <w:pStyle w:val="104"/>
        <w:spacing w:before="240" w:after="240" w:line="360" w:lineRule="auto"/>
      </w:pPr>
      <w:bookmarkStart w:id="43" w:name="_Toc97192965"/>
      <w:bookmarkStart w:id="44" w:name="_Toc220058735"/>
      <w:bookmarkStart w:id="45" w:name="_Toc26718931"/>
      <w:bookmarkStart w:id="46" w:name="_Toc26986772"/>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B1F27F9">
      <w:pPr>
        <w:pStyle w:val="56"/>
        <w:spacing w:line="360" w:lineRule="auto"/>
        <w:ind w:firstLine="420"/>
      </w:pPr>
      <w:r>
        <w:rPr>
          <w:rFonts w:hint="eastAsia"/>
        </w:rPr>
        <w:t>GB/T 1.1 标准化工作导则 第1部分：标准化文件的结构和起草规则</w:t>
      </w:r>
    </w:p>
    <w:p w14:paraId="44D319D4">
      <w:pPr>
        <w:pStyle w:val="56"/>
        <w:spacing w:line="360" w:lineRule="auto"/>
        <w:ind w:firstLine="420"/>
      </w:pPr>
      <w:bookmarkStart w:id="48" w:name="_Toc97192966"/>
      <w:r>
        <w:rPr>
          <w:rFonts w:hint="eastAsia"/>
        </w:rPr>
        <w:t>GB/T 35273 信息安全技术  个人信息安全规范</w:t>
      </w:r>
    </w:p>
    <w:p w14:paraId="7192A11F">
      <w:pPr>
        <w:pStyle w:val="56"/>
        <w:spacing w:line="360" w:lineRule="auto"/>
        <w:ind w:firstLine="420"/>
      </w:pPr>
      <w:r>
        <w:rPr>
          <w:rFonts w:hint="eastAsia"/>
        </w:rPr>
        <w:t>WS/T 312—2023 医院感染监测标准</w:t>
      </w:r>
    </w:p>
    <w:p w14:paraId="00C2054E">
      <w:pPr>
        <w:pStyle w:val="56"/>
        <w:spacing w:line="360" w:lineRule="auto"/>
        <w:ind w:firstLine="420"/>
        <w:rPr>
          <w:rFonts w:ascii="黑体" w:eastAsia="黑体"/>
        </w:rPr>
      </w:pPr>
      <w:r>
        <w:rPr>
          <w:rFonts w:hint="eastAsia"/>
        </w:rPr>
        <w:t>WS/T 431—2023 护理分级标准</w:t>
      </w:r>
    </w:p>
    <w:p w14:paraId="51F02A4E">
      <w:pPr>
        <w:pStyle w:val="104"/>
        <w:spacing w:before="240" w:after="240" w:line="360" w:lineRule="auto"/>
      </w:pPr>
      <w:bookmarkStart w:id="49" w:name="_Toc220058736"/>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3DE95E8F">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内科门诊 internal medicine outpatient clinic</w:t>
      </w:r>
    </w:p>
    <w:p w14:paraId="4A01F889">
      <w:pPr>
        <w:pStyle w:val="56"/>
        <w:spacing w:line="360" w:lineRule="auto"/>
        <w:ind w:firstLine="420"/>
      </w:pPr>
      <w:r>
        <w:rPr>
          <w:rFonts w:hint="eastAsia"/>
        </w:rPr>
        <w:t>以内科系统疾病诊疗、慢病管理与随访服务为主要内容的门诊服务单元，包括现场门诊与与之配套的线上随访/复诊服务。</w:t>
      </w:r>
    </w:p>
    <w:p w14:paraId="602ABE73">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质量与安全控制指标 quality and safety control indicator</w:t>
      </w:r>
    </w:p>
    <w:p w14:paraId="008ADBA7">
      <w:pPr>
        <w:pStyle w:val="56"/>
        <w:spacing w:line="360" w:lineRule="auto"/>
        <w:ind w:firstLine="420"/>
      </w:pPr>
      <w:r>
        <w:rPr>
          <w:rFonts w:hint="eastAsia"/>
        </w:rPr>
        <w:t>用于量化反映内科门诊医疗服务结构、过程与结局质量及其安全风险水平的指标，具有明确的定义、计算口径与数据来源。</w:t>
      </w:r>
    </w:p>
    <w:p w14:paraId="63FC68D1">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结构指标 structure indicator</w:t>
      </w:r>
    </w:p>
    <w:p w14:paraId="66404BD0">
      <w:pPr>
        <w:pStyle w:val="56"/>
        <w:spacing w:line="360" w:lineRule="auto"/>
        <w:ind w:firstLine="420"/>
      </w:pPr>
      <w:r>
        <w:rPr>
          <w:rFonts w:hint="eastAsia"/>
        </w:rPr>
        <w:t>反映门诊服务能力与管理基础的指标，如人员资质、设备与信息系统配置、流程制度与培训等。</w:t>
      </w:r>
    </w:p>
    <w:p w14:paraId="0A38D31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过程指标 process indicator</w:t>
      </w:r>
    </w:p>
    <w:p w14:paraId="39ABDE54">
      <w:pPr>
        <w:pStyle w:val="56"/>
        <w:spacing w:line="360" w:lineRule="auto"/>
        <w:ind w:firstLine="420"/>
      </w:pPr>
      <w:r>
        <w:rPr>
          <w:rFonts w:hint="eastAsia"/>
        </w:rPr>
        <w:t>反映门诊诊疗关键环节执行情况的指标，如首诊评估、分诊准确性、危急值处置、处方审核、随访闭环等。</w:t>
      </w:r>
    </w:p>
    <w:p w14:paraId="28CECA8F">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结局指标 outcome indicator</w:t>
      </w:r>
    </w:p>
    <w:p w14:paraId="07482D4D">
      <w:pPr>
        <w:pStyle w:val="56"/>
        <w:spacing w:line="360" w:lineRule="auto"/>
        <w:ind w:firstLine="420"/>
      </w:pPr>
      <w:r>
        <w:rPr>
          <w:rFonts w:hint="eastAsia"/>
        </w:rPr>
        <w:t>反映门诊诊疗结果与不良事件水平的指标，如再就诊率、非计划转急诊率、药物不良事件报告率等。</w:t>
      </w:r>
    </w:p>
    <w:p w14:paraId="7244A04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指标口径 indicator definition and denominator scope</w:t>
      </w:r>
    </w:p>
    <w:p w14:paraId="229BEBE5">
      <w:pPr>
        <w:pStyle w:val="56"/>
        <w:spacing w:line="360" w:lineRule="auto"/>
        <w:ind w:firstLine="420"/>
      </w:pPr>
      <w:r>
        <w:rPr>
          <w:rFonts w:hint="eastAsia"/>
        </w:rPr>
        <w:t>对指标分子、分母、统计对象、纳入排除、时间窗、数据来源与计算方法的统一规定。</w:t>
      </w:r>
    </w:p>
    <w:p w14:paraId="40C022E4">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危急值 critical value</w:t>
      </w:r>
    </w:p>
    <w:p w14:paraId="183B3511">
      <w:pPr>
        <w:pStyle w:val="56"/>
        <w:spacing w:line="360" w:lineRule="auto"/>
        <w:ind w:firstLine="420"/>
      </w:pPr>
      <w:r>
        <w:rPr>
          <w:rFonts w:hint="eastAsia"/>
        </w:rPr>
        <w:t>检验、检查结果达到规定阈值并提示可能存在危及生命或需要紧急处理的异常结果。</w:t>
      </w:r>
    </w:p>
    <w:p w14:paraId="1F23227B">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危急值处置时效 critical value response time</w:t>
      </w:r>
    </w:p>
    <w:p w14:paraId="7AC4170B">
      <w:pPr>
        <w:pStyle w:val="56"/>
        <w:spacing w:line="360" w:lineRule="auto"/>
        <w:ind w:firstLine="420"/>
      </w:pPr>
      <w:r>
        <w:rPr>
          <w:rFonts w:hint="eastAsia"/>
        </w:rPr>
        <w:t>自危急值生成/推送至被确认并完成初步处置（含告知、复核、转诊或治疗指令）所经历的时间。</w:t>
      </w:r>
    </w:p>
    <w:p w14:paraId="5B357D09">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处方审核 prescription review</w:t>
      </w:r>
    </w:p>
    <w:p w14:paraId="6D7D58F6">
      <w:pPr>
        <w:pStyle w:val="56"/>
        <w:spacing w:line="360" w:lineRule="auto"/>
        <w:ind w:firstLine="420"/>
      </w:pPr>
      <w:r>
        <w:rPr>
          <w:rFonts w:hint="eastAsia"/>
        </w:rPr>
        <w:t>对处方适应证、剂量、用法、疗程、相互作用、禁忌证、重复用药等进行合规性与安全性审查的过程，可由药师、信息系统或两者联合完成。</w:t>
      </w:r>
    </w:p>
    <w:p w14:paraId="1CD6CBFA">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门诊不良事件 outpatient adverse event</w:t>
      </w:r>
    </w:p>
    <w:p w14:paraId="0BD7BAB8">
      <w:pPr>
        <w:pStyle w:val="56"/>
        <w:spacing w:line="360" w:lineRule="auto"/>
        <w:ind w:firstLine="420"/>
      </w:pPr>
      <w:r>
        <w:rPr>
          <w:rFonts w:hint="eastAsia"/>
        </w:rPr>
        <w:t>在门诊诊疗过程中发生的、可能导致患者伤害或风险增加的事件，包括但不限于用药错误、检验检查延误、危急值处置延迟、跌倒、院感暴露、信息泄露等。</w:t>
      </w:r>
    </w:p>
    <w:p w14:paraId="0326F636">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预警阈值 alert threshold</w:t>
      </w:r>
    </w:p>
    <w:p w14:paraId="4A16905B">
      <w:pPr>
        <w:pStyle w:val="56"/>
        <w:spacing w:line="360" w:lineRule="auto"/>
        <w:ind w:firstLine="420"/>
      </w:pPr>
      <w:r>
        <w:rPr>
          <w:rFonts w:hint="eastAsia"/>
        </w:rPr>
        <w:t>用于触发质量风险提示、管理干预或专项复盘的指标阈值，可按目标值、警戒值与红线值分级设置。</w:t>
      </w:r>
    </w:p>
    <w:p w14:paraId="3412BCD2">
      <w:pPr>
        <w:pStyle w:val="223"/>
        <w:spacing w:line="360" w:lineRule="auto"/>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持续改进 continuous improvement</w:t>
      </w:r>
    </w:p>
    <w:p w14:paraId="11ED0D72">
      <w:pPr>
        <w:pStyle w:val="56"/>
        <w:spacing w:line="360" w:lineRule="auto"/>
        <w:ind w:firstLine="420"/>
      </w:pPr>
      <w:r>
        <w:rPr>
          <w:rFonts w:hint="eastAsia"/>
        </w:rPr>
        <w:t>基于指标监测结果，通过原因分析、措施实施、效果验证与再评价形成的闭环管理活动。</w:t>
      </w:r>
    </w:p>
    <w:p w14:paraId="28C8AE98">
      <w:pPr>
        <w:pStyle w:val="104"/>
        <w:spacing w:before="240" w:after="240" w:line="360" w:lineRule="auto"/>
      </w:pPr>
      <w:bookmarkStart w:id="51" w:name="_Toc220058737"/>
      <w:r>
        <w:rPr>
          <w:rFonts w:hint="eastAsia"/>
        </w:rPr>
        <w:t>指标体系总体要求</w:t>
      </w:r>
      <w:bookmarkEnd w:id="51"/>
    </w:p>
    <w:p w14:paraId="289EC9D0">
      <w:pPr>
        <w:pStyle w:val="105"/>
        <w:spacing w:before="120" w:after="120" w:line="360" w:lineRule="auto"/>
      </w:pPr>
      <w:r>
        <w:rPr>
          <w:rFonts w:hint="eastAsia"/>
        </w:rPr>
        <w:t>指标体系框架</w:t>
      </w:r>
    </w:p>
    <w:p w14:paraId="14655715">
      <w:pPr>
        <w:pStyle w:val="165"/>
        <w:spacing w:line="360" w:lineRule="auto"/>
      </w:pPr>
      <w:r>
        <w:rPr>
          <w:rFonts w:hint="eastAsia"/>
        </w:rPr>
        <w:t>内科门诊质量与安全控制指标体系应覆盖结构、过程与结局三个维度，并突出门诊场景的高风险环节。指标体系宜按照“患者路径”组织：预约与分诊—接诊评估—检验检查开立与回传—处方与用药—诊后随访与转诊—不良事件与投诉处置，实现对关键流程的全链路量化控制。</w:t>
      </w:r>
    </w:p>
    <w:p w14:paraId="2409D245">
      <w:pPr>
        <w:pStyle w:val="165"/>
        <w:spacing w:line="360" w:lineRule="auto"/>
      </w:pPr>
      <w:r>
        <w:rPr>
          <w:rFonts w:hint="eastAsia"/>
        </w:rPr>
        <w:t>为便于实施与对标，指标可分为：核心指标、重点指标与扩展指标。</w:t>
      </w:r>
    </w:p>
    <w:p w14:paraId="27D477E9">
      <w:pPr>
        <w:pStyle w:val="56"/>
        <w:spacing w:line="360" w:lineRule="auto"/>
        <w:ind w:firstLine="420"/>
      </w:pPr>
      <w:r>
        <w:rPr>
          <w:rFonts w:hint="eastAsia"/>
        </w:rPr>
        <w:t>a) 核心指标：必须建立、必须监测、用于跨机构对标；</w:t>
      </w:r>
    </w:p>
    <w:p w14:paraId="1D08ED21">
      <w:pPr>
        <w:pStyle w:val="56"/>
        <w:spacing w:line="360" w:lineRule="auto"/>
        <w:ind w:firstLine="420"/>
      </w:pPr>
      <w:r>
        <w:rPr>
          <w:rFonts w:hint="eastAsia"/>
        </w:rPr>
        <w:t>b) 重点指标：与本机构风险谱密切相关，用于专项治理；</w:t>
      </w:r>
    </w:p>
    <w:p w14:paraId="08D1F61A">
      <w:pPr>
        <w:pStyle w:val="56"/>
        <w:spacing w:line="360" w:lineRule="auto"/>
        <w:ind w:firstLine="420"/>
      </w:pPr>
      <w:r>
        <w:rPr>
          <w:rFonts w:hint="eastAsia"/>
        </w:rPr>
        <w:t>c) 扩展指标：依托信息化能力与管理成熟度逐步纳入。</w:t>
      </w:r>
    </w:p>
    <w:p w14:paraId="635329F8">
      <w:pPr>
        <w:pStyle w:val="105"/>
        <w:spacing w:before="120" w:after="120" w:line="360" w:lineRule="auto"/>
      </w:pPr>
      <w:r>
        <w:rPr>
          <w:rFonts w:hint="eastAsia"/>
        </w:rPr>
        <w:t>指标设置原则</w:t>
      </w:r>
    </w:p>
    <w:p w14:paraId="48DDD7A0">
      <w:pPr>
        <w:pStyle w:val="56"/>
        <w:spacing w:line="360" w:lineRule="auto"/>
        <w:ind w:firstLine="420"/>
      </w:pPr>
      <w:r>
        <w:rPr>
          <w:rFonts w:hint="eastAsia"/>
        </w:rPr>
        <w:t>标设置原则如下：</w:t>
      </w:r>
    </w:p>
    <w:p w14:paraId="32B982BA">
      <w:pPr>
        <w:pStyle w:val="56"/>
        <w:spacing w:line="360" w:lineRule="auto"/>
        <w:ind w:firstLine="420"/>
      </w:pPr>
      <w:r>
        <w:rPr>
          <w:rFonts w:hint="eastAsia"/>
        </w:rPr>
        <w:t>a) 可操作性：指标应可通过信息系统、流程记录或可审计证据获得，避免过度依赖主观判断；</w:t>
      </w:r>
    </w:p>
    <w:p w14:paraId="11D8D584">
      <w:pPr>
        <w:pStyle w:val="56"/>
        <w:spacing w:line="360" w:lineRule="auto"/>
        <w:ind w:firstLine="420"/>
      </w:pPr>
      <w:r>
        <w:rPr>
          <w:rFonts w:hint="eastAsia"/>
        </w:rPr>
        <w:t>b) 可比性：指标定义、分母范围、时间窗与数据来源应统一，口径变更需版本化管理；</w:t>
      </w:r>
    </w:p>
    <w:p w14:paraId="4683E86B">
      <w:pPr>
        <w:pStyle w:val="56"/>
        <w:spacing w:line="360" w:lineRule="auto"/>
        <w:ind w:firstLine="420"/>
      </w:pPr>
      <w:r>
        <w:rPr>
          <w:rFonts w:hint="eastAsia"/>
        </w:rPr>
        <w:t>c) 风险导向：优先覆盖误诊漏诊风险、用药安全、危急值处置、院感防控、转诊时效、信息安全等高风险领域；</w:t>
      </w:r>
    </w:p>
    <w:p w14:paraId="4D7824F1">
      <w:pPr>
        <w:pStyle w:val="56"/>
        <w:spacing w:line="360" w:lineRule="auto"/>
        <w:ind w:firstLine="420"/>
      </w:pPr>
      <w:r>
        <w:rPr>
          <w:rFonts w:hint="eastAsia"/>
        </w:rPr>
        <w:t>d) 过程与结局并重：过程指标用于定位问题，结局指标用于验证效果；</w:t>
      </w:r>
    </w:p>
    <w:p w14:paraId="152E03C0">
      <w:pPr>
        <w:pStyle w:val="56"/>
        <w:spacing w:line="360" w:lineRule="auto"/>
        <w:ind w:firstLine="420"/>
      </w:pPr>
      <w:r>
        <w:rPr>
          <w:rFonts w:hint="eastAsia"/>
        </w:rPr>
        <w:t>e) 分层管理：对高龄、多病共存、复杂用药、免疫抑制、感染风险人群宜设置分层指标或分层报告；</w:t>
      </w:r>
    </w:p>
    <w:p w14:paraId="648E45C4">
      <w:pPr>
        <w:pStyle w:val="56"/>
        <w:spacing w:line="360" w:lineRule="auto"/>
        <w:ind w:firstLine="420"/>
      </w:pPr>
      <w:r>
        <w:rPr>
          <w:rFonts w:hint="eastAsia"/>
        </w:rPr>
        <w:t>f) 闭环治理：指标应与预警、处置、复盘与改进机制绑定，形成可执行的管理闭环。</w:t>
      </w:r>
    </w:p>
    <w:p w14:paraId="384379DB">
      <w:pPr>
        <w:pStyle w:val="105"/>
        <w:spacing w:before="120" w:after="120" w:line="360" w:lineRule="auto"/>
      </w:pPr>
      <w:r>
        <w:rPr>
          <w:rFonts w:hint="eastAsia"/>
        </w:rPr>
        <w:t>指标口径统一要求</w:t>
      </w:r>
    </w:p>
    <w:p w14:paraId="129907F2">
      <w:pPr>
        <w:pStyle w:val="65"/>
        <w:spacing w:before="120" w:after="120" w:line="360" w:lineRule="auto"/>
      </w:pPr>
      <w:r>
        <w:rPr>
          <w:rFonts w:hint="eastAsia"/>
        </w:rPr>
        <w:t>分子与分母</w:t>
      </w:r>
    </w:p>
    <w:p w14:paraId="03E057B3">
      <w:pPr>
        <w:pStyle w:val="56"/>
        <w:spacing w:line="360" w:lineRule="auto"/>
        <w:ind w:firstLine="420"/>
      </w:pPr>
      <w:r>
        <w:rPr>
          <w:rFonts w:hint="eastAsia"/>
        </w:rPr>
        <w:t>每项指标应明确分子事件定义、确认方式与证据来源。分母应明确纳入对象，并规定排除情形。统计时间窗应明确（按日、周、月、季度、年度），并说明跨期事件归属规则。</w:t>
      </w:r>
    </w:p>
    <w:p w14:paraId="20D02F71">
      <w:pPr>
        <w:pStyle w:val="65"/>
        <w:spacing w:before="120" w:after="120" w:line="360" w:lineRule="auto"/>
      </w:pPr>
      <w:r>
        <w:rPr>
          <w:rFonts w:hint="eastAsia"/>
        </w:rPr>
        <w:t>数据来源</w:t>
      </w:r>
    </w:p>
    <w:p w14:paraId="6DB8D897">
      <w:pPr>
        <w:pStyle w:val="56"/>
        <w:spacing w:line="360" w:lineRule="auto"/>
        <w:ind w:firstLine="420"/>
      </w:pPr>
      <w:r>
        <w:rPr>
          <w:rFonts w:hint="eastAsia"/>
        </w:rPr>
        <w:t>指标数据来源应优先采用 HIS/EMR、LIS、PACS、处方审核系统、门诊排队叫号系统、互联网医院平台、投诉系统与不良事件上报系统等。</w:t>
      </w:r>
    </w:p>
    <w:p w14:paraId="675A1130">
      <w:pPr>
        <w:pStyle w:val="56"/>
        <w:spacing w:line="360" w:lineRule="auto"/>
        <w:ind w:firstLine="420"/>
      </w:pPr>
      <w:r>
        <w:rPr>
          <w:rFonts w:hint="eastAsia"/>
        </w:rPr>
        <w:t>对人工采集或抽样审核数据，应明确抽样方法、样本量与一致性要求。</w:t>
      </w:r>
    </w:p>
    <w:p w14:paraId="6B09E02C">
      <w:pPr>
        <w:pStyle w:val="56"/>
        <w:spacing w:line="360" w:lineRule="auto"/>
        <w:ind w:firstLine="420"/>
      </w:pPr>
      <w:r>
        <w:rPr>
          <w:rFonts w:hint="eastAsia"/>
        </w:rPr>
        <w:t>不同系统间存在时间戳差异时，应明确以哪个系统为准并进行校准。</w:t>
      </w:r>
    </w:p>
    <w:p w14:paraId="00CD8D32">
      <w:pPr>
        <w:pStyle w:val="56"/>
        <w:spacing w:line="360" w:lineRule="auto"/>
        <w:ind w:firstLine="420"/>
      </w:pPr>
    </w:p>
    <w:p w14:paraId="5D99F905">
      <w:pPr>
        <w:pStyle w:val="56"/>
        <w:spacing w:line="360" w:lineRule="auto"/>
        <w:ind w:firstLine="420"/>
        <w:rPr>
          <w:rFonts w:hint="eastAsia"/>
        </w:rPr>
      </w:pPr>
    </w:p>
    <w:p w14:paraId="1C205F63">
      <w:pPr>
        <w:pStyle w:val="65"/>
        <w:spacing w:before="120" w:after="120" w:line="360" w:lineRule="auto"/>
      </w:pPr>
      <w:r>
        <w:rPr>
          <w:rFonts w:hint="eastAsia"/>
        </w:rPr>
        <w:t>数据质量</w:t>
      </w:r>
    </w:p>
    <w:p w14:paraId="4A42D077">
      <w:pPr>
        <w:pStyle w:val="56"/>
        <w:spacing w:line="360" w:lineRule="auto"/>
        <w:ind w:firstLine="420"/>
      </w:pPr>
      <w:r>
        <w:rPr>
          <w:rFonts w:hint="eastAsia"/>
        </w:rPr>
        <w:t>应建立数据质量控制机制，包括字段完整性校验、异常值识别、重复数据去重、逻辑一致性检查与数据修订留痕。对关键安全指标（危急值处置时效、处方审核拦截、院感筛查漏检等）应设置更严格的数据审计与复核。</w:t>
      </w:r>
    </w:p>
    <w:p w14:paraId="57ACCAC2">
      <w:pPr>
        <w:pStyle w:val="105"/>
        <w:spacing w:before="120" w:after="120" w:line="360" w:lineRule="auto"/>
      </w:pPr>
      <w:r>
        <w:rPr>
          <w:rFonts w:hint="eastAsia"/>
        </w:rPr>
        <w:t>指标运行与闭环管理流程</w:t>
      </w:r>
    </w:p>
    <w:p w14:paraId="4E298868">
      <w:pPr>
        <w:pStyle w:val="56"/>
        <w:spacing w:line="360" w:lineRule="auto"/>
        <w:ind w:firstLine="420"/>
      </w:pPr>
      <w:r>
        <w:rPr>
          <w:rFonts w:hint="eastAsia"/>
        </w:rPr>
        <w:t>内科门诊指标运行宜采用“监测—预警—处置—复盘—改进—再评价”的闭环流程，见图1。</w:t>
      </w:r>
    </w:p>
    <w:p w14:paraId="2A62EE40">
      <w:pPr>
        <w:pStyle w:val="56"/>
        <w:ind w:firstLine="0" w:firstLineChars="0"/>
        <w:jc w:val="center"/>
      </w:pPr>
      <w:r>
        <w:drawing>
          <wp:inline distT="0" distB="0" distL="0" distR="0">
            <wp:extent cx="5939790" cy="3476625"/>
            <wp:effectExtent l="0" t="0" r="3810" b="9525"/>
            <wp:docPr id="18583121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12122" name="图片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939790" cy="3476625"/>
                    </a:xfrm>
                    <a:prstGeom prst="rect">
                      <a:avLst/>
                    </a:prstGeom>
                    <a:noFill/>
                    <a:ln>
                      <a:noFill/>
                    </a:ln>
                  </pic:spPr>
                </pic:pic>
              </a:graphicData>
            </a:graphic>
          </wp:inline>
        </w:drawing>
      </w:r>
    </w:p>
    <w:p w14:paraId="305AD961">
      <w:pPr>
        <w:pStyle w:val="114"/>
        <w:spacing w:before="120" w:after="120" w:line="360" w:lineRule="auto"/>
      </w:pPr>
      <w:r>
        <w:rPr>
          <w:rFonts w:hint="eastAsia"/>
        </w:rPr>
        <w:t>内科门诊指标运行流程</w:t>
      </w:r>
    </w:p>
    <w:p w14:paraId="523381F2">
      <w:pPr>
        <w:pStyle w:val="105"/>
        <w:spacing w:before="120" w:after="120" w:line="360" w:lineRule="auto"/>
      </w:pPr>
      <w:r>
        <w:rPr>
          <w:rFonts w:hint="eastAsia"/>
        </w:rPr>
        <w:t>核心指标清单编制要求</w:t>
      </w:r>
    </w:p>
    <w:p w14:paraId="4C825D62">
      <w:pPr>
        <w:pStyle w:val="56"/>
        <w:spacing w:line="360" w:lineRule="auto"/>
        <w:ind w:firstLine="420"/>
      </w:pPr>
      <w:r>
        <w:rPr>
          <w:rFonts w:hint="eastAsia"/>
        </w:rPr>
        <w:t>核心指标清单至少应覆盖以下领域：</w:t>
      </w:r>
    </w:p>
    <w:p w14:paraId="4045652C">
      <w:pPr>
        <w:pStyle w:val="56"/>
        <w:spacing w:line="360" w:lineRule="auto"/>
        <w:ind w:firstLine="420"/>
      </w:pPr>
      <w:r>
        <w:rPr>
          <w:rFonts w:hint="eastAsia"/>
        </w:rPr>
        <w:t>a) 门诊流程效率与患者安全：候诊与就诊关键时间指标、分诊准确性（如适用）；</w:t>
      </w:r>
    </w:p>
    <w:p w14:paraId="41472A64">
      <w:pPr>
        <w:pStyle w:val="56"/>
        <w:spacing w:line="360" w:lineRule="auto"/>
        <w:ind w:firstLine="420"/>
      </w:pPr>
      <w:r>
        <w:rPr>
          <w:rFonts w:hint="eastAsia"/>
        </w:rPr>
        <w:t>b) 诊疗规范性：病历完整性与关键要素记录、辅助检查适应证合理性（可选）；</w:t>
      </w:r>
    </w:p>
    <w:p w14:paraId="62321D43">
      <w:pPr>
        <w:pStyle w:val="56"/>
        <w:spacing w:line="360" w:lineRule="auto"/>
        <w:ind w:firstLine="420"/>
      </w:pPr>
      <w:r>
        <w:rPr>
          <w:rFonts w:hint="eastAsia"/>
        </w:rPr>
        <w:t>c) 用药安全：处方审核覆盖率、审核拦截率、重复用药/相互作用提示与处置；</w:t>
      </w:r>
    </w:p>
    <w:p w14:paraId="37997280">
      <w:pPr>
        <w:pStyle w:val="56"/>
        <w:spacing w:line="360" w:lineRule="auto"/>
        <w:ind w:firstLine="420"/>
      </w:pPr>
      <w:r>
        <w:rPr>
          <w:rFonts w:hint="eastAsia"/>
        </w:rPr>
        <w:t>d) 危急值管理：危急值确认率、处置及时率、闭环率；</w:t>
      </w:r>
    </w:p>
    <w:p w14:paraId="14CA6634">
      <w:pPr>
        <w:pStyle w:val="56"/>
        <w:spacing w:line="360" w:lineRule="auto"/>
        <w:ind w:firstLine="420"/>
      </w:pPr>
      <w:r>
        <w:rPr>
          <w:rFonts w:hint="eastAsia"/>
        </w:rPr>
        <w:t>e) 感染防控：发热/呼吸道症状筛查执行率（如适用）、手卫生依从性抽检（可选）；</w:t>
      </w:r>
    </w:p>
    <w:p w14:paraId="33BF9A3B">
      <w:pPr>
        <w:pStyle w:val="56"/>
        <w:spacing w:line="360" w:lineRule="auto"/>
        <w:ind w:firstLine="420"/>
      </w:pPr>
      <w:r>
        <w:rPr>
          <w:rFonts w:hint="eastAsia"/>
        </w:rPr>
        <w:t>f) 转诊与连续性管理：非计划转急诊率、转诊到位率、慢病随访覆盖与依从（如适用）；</w:t>
      </w:r>
    </w:p>
    <w:p w14:paraId="285226B2">
      <w:pPr>
        <w:pStyle w:val="56"/>
        <w:spacing w:line="360" w:lineRule="auto"/>
        <w:ind w:firstLine="420"/>
      </w:pPr>
      <w:r>
        <w:rPr>
          <w:rFonts w:hint="eastAsia"/>
        </w:rPr>
        <w:t>g) 不良事件与投诉：门诊不良事件报告率、严重不良事件例数与复盘完成率、投诉响应时效。</w:t>
      </w:r>
    </w:p>
    <w:p w14:paraId="64A4E2AE">
      <w:pPr>
        <w:pStyle w:val="56"/>
        <w:spacing w:line="360" w:lineRule="auto"/>
        <w:ind w:firstLine="420"/>
      </w:pPr>
      <w:r>
        <w:rPr>
          <w:rFonts w:hint="eastAsia"/>
        </w:rPr>
        <w:t>指标体系分层与实施要求见表1。</w:t>
      </w:r>
    </w:p>
    <w:p w14:paraId="0098DDA2">
      <w:pPr>
        <w:pStyle w:val="112"/>
        <w:spacing w:before="120" w:after="120" w:line="360" w:lineRule="auto"/>
      </w:pPr>
      <w:r>
        <w:rPr>
          <w:rFonts w:hint="eastAsia"/>
        </w:rPr>
        <w:t>指标体系分层与实施要求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66"/>
        <w:gridCol w:w="2552"/>
        <w:gridCol w:w="2551"/>
        <w:gridCol w:w="2965"/>
      </w:tblGrid>
      <w:tr w14:paraId="61A0FC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266" w:type="dxa"/>
            <w:tcBorders>
              <w:top w:val="single" w:color="auto" w:sz="8" w:space="0"/>
              <w:bottom w:val="single" w:color="auto" w:sz="8" w:space="0"/>
            </w:tcBorders>
          </w:tcPr>
          <w:p w14:paraId="2BF751F6">
            <w:pPr>
              <w:pStyle w:val="178"/>
            </w:pPr>
            <w:r>
              <w:rPr>
                <w:rFonts w:hint="eastAsia"/>
              </w:rPr>
              <w:t>指标层级</w:t>
            </w:r>
          </w:p>
        </w:tc>
        <w:tc>
          <w:tcPr>
            <w:tcW w:w="2552" w:type="dxa"/>
            <w:tcBorders>
              <w:top w:val="single" w:color="auto" w:sz="8" w:space="0"/>
              <w:bottom w:val="single" w:color="auto" w:sz="8" w:space="0"/>
            </w:tcBorders>
          </w:tcPr>
          <w:p w14:paraId="4A100DE1">
            <w:pPr>
              <w:pStyle w:val="178"/>
            </w:pPr>
            <w:r>
              <w:rPr>
                <w:rFonts w:hint="eastAsia"/>
              </w:rPr>
              <w:t>设置目的</w:t>
            </w:r>
          </w:p>
        </w:tc>
        <w:tc>
          <w:tcPr>
            <w:tcW w:w="2551" w:type="dxa"/>
            <w:tcBorders>
              <w:top w:val="single" w:color="auto" w:sz="8" w:space="0"/>
              <w:bottom w:val="single" w:color="auto" w:sz="8" w:space="0"/>
            </w:tcBorders>
          </w:tcPr>
          <w:p w14:paraId="64F13D77">
            <w:pPr>
              <w:pStyle w:val="178"/>
            </w:pPr>
            <w:r>
              <w:rPr>
                <w:rFonts w:hint="eastAsia"/>
              </w:rPr>
              <w:t>数据要求</w:t>
            </w:r>
          </w:p>
        </w:tc>
        <w:tc>
          <w:tcPr>
            <w:tcW w:w="2965" w:type="dxa"/>
            <w:tcBorders>
              <w:top w:val="single" w:color="auto" w:sz="8" w:space="0"/>
              <w:bottom w:val="single" w:color="auto" w:sz="8" w:space="0"/>
            </w:tcBorders>
          </w:tcPr>
          <w:p w14:paraId="15CFD813">
            <w:pPr>
              <w:pStyle w:val="178"/>
            </w:pPr>
            <w:r>
              <w:rPr>
                <w:rFonts w:hint="eastAsia"/>
              </w:rPr>
              <w:t>管理要求</w:t>
            </w:r>
          </w:p>
        </w:tc>
      </w:tr>
      <w:tr w14:paraId="4607C2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Borders>
              <w:top w:val="single" w:color="auto" w:sz="8" w:space="0"/>
            </w:tcBorders>
          </w:tcPr>
          <w:p w14:paraId="77F87D01">
            <w:pPr>
              <w:pStyle w:val="178"/>
            </w:pPr>
            <w:r>
              <w:rPr>
                <w:rFonts w:hint="eastAsia"/>
              </w:rPr>
              <w:t>核心指标</w:t>
            </w:r>
          </w:p>
        </w:tc>
        <w:tc>
          <w:tcPr>
            <w:tcW w:w="2552" w:type="dxa"/>
            <w:tcBorders>
              <w:top w:val="single" w:color="auto" w:sz="8" w:space="0"/>
            </w:tcBorders>
          </w:tcPr>
          <w:p w14:paraId="12E083F4">
            <w:pPr>
              <w:pStyle w:val="178"/>
            </w:pPr>
            <w:r>
              <w:rPr>
                <w:rFonts w:hint="eastAsia"/>
              </w:rPr>
              <w:t>跨机构对标、底线安全控制</w:t>
            </w:r>
          </w:p>
        </w:tc>
        <w:tc>
          <w:tcPr>
            <w:tcW w:w="2551" w:type="dxa"/>
            <w:tcBorders>
              <w:top w:val="single" w:color="auto" w:sz="8" w:space="0"/>
            </w:tcBorders>
          </w:tcPr>
          <w:p w14:paraId="4A32F365">
            <w:pPr>
              <w:pStyle w:val="178"/>
            </w:pPr>
            <w:r>
              <w:rPr>
                <w:rFonts w:hint="eastAsia"/>
              </w:rPr>
              <w:t>必须可自动采集或可审计</w:t>
            </w:r>
          </w:p>
        </w:tc>
        <w:tc>
          <w:tcPr>
            <w:tcW w:w="2965" w:type="dxa"/>
            <w:tcBorders>
              <w:top w:val="single" w:color="auto" w:sz="8" w:space="0"/>
            </w:tcBorders>
          </w:tcPr>
          <w:p w14:paraId="1FB035AC">
            <w:pPr>
              <w:pStyle w:val="178"/>
            </w:pPr>
            <w:r>
              <w:rPr>
                <w:rFonts w:hint="eastAsia"/>
              </w:rPr>
              <w:t>必须设阈值与预警；月度发布</w:t>
            </w:r>
          </w:p>
        </w:tc>
      </w:tr>
      <w:tr w14:paraId="7E9143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32AA74E2">
            <w:pPr>
              <w:pStyle w:val="178"/>
            </w:pPr>
            <w:r>
              <w:rPr>
                <w:rFonts w:hint="eastAsia"/>
              </w:rPr>
              <w:t>重点指标</w:t>
            </w:r>
          </w:p>
        </w:tc>
        <w:tc>
          <w:tcPr>
            <w:tcW w:w="2552" w:type="dxa"/>
          </w:tcPr>
          <w:p w14:paraId="5052D7BE">
            <w:pPr>
              <w:pStyle w:val="178"/>
            </w:pPr>
            <w:r>
              <w:rPr>
                <w:rFonts w:hint="eastAsia"/>
              </w:rPr>
              <w:t>针对本机构主要风险治理</w:t>
            </w:r>
          </w:p>
        </w:tc>
        <w:tc>
          <w:tcPr>
            <w:tcW w:w="2551" w:type="dxa"/>
          </w:tcPr>
          <w:p w14:paraId="152B8578">
            <w:pPr>
              <w:pStyle w:val="178"/>
            </w:pPr>
            <w:r>
              <w:rPr>
                <w:rFonts w:hint="eastAsia"/>
              </w:rPr>
              <w:t>自动+抽样结合</w:t>
            </w:r>
          </w:p>
        </w:tc>
        <w:tc>
          <w:tcPr>
            <w:tcW w:w="2965" w:type="dxa"/>
          </w:tcPr>
          <w:p w14:paraId="41AC0038">
            <w:pPr>
              <w:pStyle w:val="178"/>
            </w:pPr>
            <w:r>
              <w:rPr>
                <w:rFonts w:hint="eastAsia"/>
              </w:rPr>
              <w:t>必须建立专项改进与复盘</w:t>
            </w:r>
          </w:p>
        </w:tc>
      </w:tr>
      <w:tr w14:paraId="30833A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266" w:type="dxa"/>
          </w:tcPr>
          <w:p w14:paraId="25E8B8CA">
            <w:pPr>
              <w:pStyle w:val="178"/>
            </w:pPr>
            <w:r>
              <w:rPr>
                <w:rFonts w:hint="eastAsia"/>
              </w:rPr>
              <w:t>扩展指标</w:t>
            </w:r>
          </w:p>
        </w:tc>
        <w:tc>
          <w:tcPr>
            <w:tcW w:w="2552" w:type="dxa"/>
          </w:tcPr>
          <w:p w14:paraId="6C05EC6E">
            <w:pPr>
              <w:pStyle w:val="178"/>
            </w:pPr>
            <w:r>
              <w:rPr>
                <w:rFonts w:hint="eastAsia"/>
              </w:rPr>
              <w:t>精细化管理与创新应用</w:t>
            </w:r>
          </w:p>
        </w:tc>
        <w:tc>
          <w:tcPr>
            <w:tcW w:w="2551" w:type="dxa"/>
          </w:tcPr>
          <w:p w14:paraId="3A4C2A01">
            <w:pPr>
              <w:pStyle w:val="178"/>
            </w:pPr>
            <w:r>
              <w:rPr>
                <w:rFonts w:hint="eastAsia"/>
              </w:rPr>
              <w:t>依赖信息化与资源</w:t>
            </w:r>
          </w:p>
        </w:tc>
        <w:tc>
          <w:tcPr>
            <w:tcW w:w="2965" w:type="dxa"/>
          </w:tcPr>
          <w:p w14:paraId="16F42D86">
            <w:pPr>
              <w:pStyle w:val="178"/>
            </w:pPr>
            <w:r>
              <w:rPr>
                <w:rFonts w:hint="eastAsia"/>
              </w:rPr>
              <w:t>可阶段性试点，成熟后固化</w:t>
            </w:r>
          </w:p>
        </w:tc>
      </w:tr>
    </w:tbl>
    <w:p w14:paraId="00DA39A0">
      <w:pPr>
        <w:pStyle w:val="104"/>
        <w:spacing w:before="240" w:after="240" w:line="360" w:lineRule="auto"/>
      </w:pPr>
      <w:bookmarkStart w:id="52" w:name="_Toc220058738"/>
      <w:r>
        <w:rPr>
          <w:rFonts w:hint="eastAsia"/>
        </w:rPr>
        <w:t>指标分类与指标库</w:t>
      </w:r>
      <w:bookmarkEnd w:id="52"/>
    </w:p>
    <w:p w14:paraId="17C87B19">
      <w:pPr>
        <w:pStyle w:val="105"/>
        <w:spacing w:before="120" w:after="120" w:line="360" w:lineRule="auto"/>
      </w:pPr>
      <w:r>
        <w:rPr>
          <w:rFonts w:hint="eastAsia"/>
        </w:rPr>
        <w:t>总则</w:t>
      </w:r>
    </w:p>
    <w:p w14:paraId="2059C6C3">
      <w:pPr>
        <w:pStyle w:val="165"/>
        <w:spacing w:line="360" w:lineRule="auto"/>
      </w:pPr>
      <w:r>
        <w:rPr>
          <w:rFonts w:hint="eastAsia"/>
        </w:rPr>
        <w:t>内科门诊质量与安全控制指标库应在第4章指标体系总体要求基础上建立，并满足以下要求：</w:t>
      </w:r>
    </w:p>
    <w:p w14:paraId="2F2AE93A">
      <w:pPr>
        <w:pStyle w:val="56"/>
        <w:spacing w:line="360" w:lineRule="auto"/>
        <w:ind w:firstLine="420"/>
      </w:pPr>
      <w:r>
        <w:rPr>
          <w:rFonts w:hint="eastAsia"/>
        </w:rPr>
        <w:t>a) 指标分类清晰，能够覆盖门诊关键流程与高风险环节；</w:t>
      </w:r>
    </w:p>
    <w:p w14:paraId="1C422D5D">
      <w:pPr>
        <w:pStyle w:val="56"/>
        <w:spacing w:line="360" w:lineRule="auto"/>
        <w:ind w:firstLine="420"/>
      </w:pPr>
      <w:r>
        <w:rPr>
          <w:rFonts w:hint="eastAsia"/>
        </w:rPr>
        <w:t>b) 指标定义统一，分子、分母、时间窗、纳入排除与数据来源明确；</w:t>
      </w:r>
    </w:p>
    <w:p w14:paraId="31D313B7">
      <w:pPr>
        <w:pStyle w:val="56"/>
        <w:spacing w:line="360" w:lineRule="auto"/>
        <w:ind w:firstLine="420"/>
      </w:pPr>
      <w:r>
        <w:rPr>
          <w:rFonts w:hint="eastAsia"/>
        </w:rPr>
        <w:t>c) 指标可计算、可追溯，支持自动化采集优先、人工抽样补充；</w:t>
      </w:r>
    </w:p>
    <w:p w14:paraId="09A81F89">
      <w:pPr>
        <w:pStyle w:val="56"/>
        <w:spacing w:line="360" w:lineRule="auto"/>
        <w:ind w:firstLine="420"/>
      </w:pPr>
      <w:r>
        <w:rPr>
          <w:rFonts w:hint="eastAsia"/>
        </w:rPr>
        <w:t>d) 指标可治理，配套阈值、预警分级、处置要求与闭环复盘机制；</w:t>
      </w:r>
    </w:p>
    <w:p w14:paraId="541A09D0">
      <w:pPr>
        <w:pStyle w:val="56"/>
        <w:spacing w:line="360" w:lineRule="auto"/>
        <w:ind w:firstLine="420"/>
      </w:pPr>
      <w:r>
        <w:rPr>
          <w:rFonts w:hint="eastAsia"/>
        </w:rPr>
        <w:t>e) 指标可扩展，允许结合学科特色与信息化能力增加重点指标与扩展指标，但不得削弱核心指标。</w:t>
      </w:r>
    </w:p>
    <w:p w14:paraId="7A9DB22C">
      <w:pPr>
        <w:pStyle w:val="165"/>
        <w:spacing w:line="360" w:lineRule="auto"/>
      </w:pPr>
      <w:r>
        <w:rPr>
          <w:rFonts w:hint="eastAsia"/>
        </w:rPr>
        <w:t>指标库宜按“结构—过程—结局”与“患者路径”双轴分类，形成若干指标域：流程与效率、诊疗规范、用药安全、危急值管理、感染防控与公共卫生、转诊与连续性管理、不良事件与投诉、信息安全与数据质量等。</w:t>
      </w:r>
    </w:p>
    <w:p w14:paraId="58C3AB5B">
      <w:pPr>
        <w:pStyle w:val="105"/>
        <w:spacing w:before="120" w:after="120" w:line="360" w:lineRule="auto"/>
      </w:pPr>
      <w:r>
        <w:rPr>
          <w:rFonts w:hint="eastAsia"/>
        </w:rPr>
        <w:t>指标域与指标分类</w:t>
      </w:r>
    </w:p>
    <w:p w14:paraId="6279A905">
      <w:pPr>
        <w:pStyle w:val="65"/>
        <w:spacing w:before="120" w:after="120" w:line="360" w:lineRule="auto"/>
      </w:pPr>
      <w:r>
        <w:rPr>
          <w:rFonts w:hint="eastAsia"/>
        </w:rPr>
        <w:t>流程与效率指标</w:t>
      </w:r>
    </w:p>
    <w:p w14:paraId="1E6FB438">
      <w:pPr>
        <w:pStyle w:val="56"/>
        <w:spacing w:line="360" w:lineRule="auto"/>
        <w:ind w:firstLine="420"/>
      </w:pPr>
      <w:r>
        <w:rPr>
          <w:rFonts w:hint="eastAsia"/>
        </w:rPr>
        <w:t>用于反映门诊运行效率与关键时间节点管理水平，包括预约兑现、候诊时间、就诊时长、检验检查回传时效、复诊安排等，并关注效率与安全的平衡（如过短就诊时长可能伴随病历要素缺失与沟通不足）。</w:t>
      </w:r>
    </w:p>
    <w:p w14:paraId="5CAC6D13">
      <w:pPr>
        <w:pStyle w:val="65"/>
        <w:spacing w:before="120" w:after="120" w:line="360" w:lineRule="auto"/>
      </w:pPr>
      <w:r>
        <w:rPr>
          <w:rFonts w:hint="eastAsia"/>
        </w:rPr>
        <w:t>诊疗规范与病历质量指标</w:t>
      </w:r>
    </w:p>
    <w:p w14:paraId="40A0AD61">
      <w:pPr>
        <w:pStyle w:val="56"/>
        <w:spacing w:line="360" w:lineRule="auto"/>
        <w:ind w:firstLine="420"/>
      </w:pPr>
      <w:r>
        <w:rPr>
          <w:rFonts w:hint="eastAsia"/>
        </w:rPr>
        <w:t>用于反映门诊接诊评估与记录规范性，包括主诉现病史、既往史、过敏史、用药史、体格检查、评估与诊断、处置计划、健康教育与随访安排等关键要素的完整性与一致性。</w:t>
      </w:r>
    </w:p>
    <w:p w14:paraId="7925556D">
      <w:pPr>
        <w:pStyle w:val="65"/>
        <w:spacing w:before="120" w:after="120" w:line="360" w:lineRule="auto"/>
      </w:pPr>
      <w:r>
        <w:rPr>
          <w:rFonts w:hint="eastAsia"/>
        </w:rPr>
        <w:t>用药安全指标</w:t>
      </w:r>
    </w:p>
    <w:p w14:paraId="745C4B08">
      <w:pPr>
        <w:pStyle w:val="56"/>
        <w:spacing w:line="360" w:lineRule="auto"/>
        <w:ind w:firstLine="420"/>
      </w:pPr>
      <w:r>
        <w:rPr>
          <w:rFonts w:hint="eastAsia"/>
        </w:rPr>
        <w:t>用于反映处方开立与审核的安全性，包括处方审核覆盖、禁忌证识别、相互作用提示、重复用药、剂量与疗程合理性、抗菌药物合理使用（如适用）以及用药宣教到位等。</w:t>
      </w:r>
    </w:p>
    <w:p w14:paraId="4B17C371">
      <w:pPr>
        <w:pStyle w:val="65"/>
        <w:spacing w:before="120" w:after="120" w:line="360" w:lineRule="auto"/>
      </w:pPr>
      <w:r>
        <w:rPr>
          <w:rFonts w:hint="eastAsia"/>
        </w:rPr>
        <w:t>危急值管理指标</w:t>
      </w:r>
    </w:p>
    <w:p w14:paraId="7DE6C1D5">
      <w:pPr>
        <w:pStyle w:val="56"/>
        <w:spacing w:line="360" w:lineRule="auto"/>
        <w:ind w:firstLine="420"/>
      </w:pPr>
      <w:r>
        <w:rPr>
          <w:rFonts w:hint="eastAsia"/>
        </w:rPr>
        <w:t>用于反映检验检查危急值识别、确认、通知、处置与闭环管理质量，包括危急值确认率、处置及时率、闭环率与处置延迟事件数等。</w:t>
      </w:r>
    </w:p>
    <w:p w14:paraId="671CB79E">
      <w:pPr>
        <w:pStyle w:val="65"/>
        <w:spacing w:before="120" w:after="120" w:line="360" w:lineRule="auto"/>
      </w:pPr>
      <w:r>
        <w:rPr>
          <w:rFonts w:hint="eastAsia"/>
        </w:rPr>
        <w:t>感染防控与公共卫生指标</w:t>
      </w:r>
    </w:p>
    <w:p w14:paraId="595A80CF">
      <w:pPr>
        <w:pStyle w:val="56"/>
        <w:spacing w:line="360" w:lineRule="auto"/>
        <w:ind w:firstLine="420"/>
      </w:pPr>
      <w:r>
        <w:rPr>
          <w:rFonts w:hint="eastAsia"/>
        </w:rPr>
        <w:t>用于反映门诊感染风险控制与公共卫生应对能力，包括发热/呼吸道症状筛查执行率、分区分流符合率、手卫生依从性抽检、诊室通风与环境清洁执行等（视机构要求设置）。</w:t>
      </w:r>
    </w:p>
    <w:p w14:paraId="1B6F2A54">
      <w:pPr>
        <w:pStyle w:val="65"/>
        <w:spacing w:before="120" w:after="120" w:line="360" w:lineRule="auto"/>
      </w:pPr>
      <w:r>
        <w:rPr>
          <w:rFonts w:hint="eastAsia"/>
        </w:rPr>
        <w:t>转诊与连续性管理指标</w:t>
      </w:r>
    </w:p>
    <w:p w14:paraId="7A21C0B3">
      <w:pPr>
        <w:pStyle w:val="56"/>
        <w:spacing w:line="360" w:lineRule="auto"/>
        <w:ind w:firstLine="420"/>
      </w:pPr>
      <w:r>
        <w:rPr>
          <w:rFonts w:hint="eastAsia"/>
        </w:rPr>
        <w:t>用于反映门诊对急危重症识别与转诊、慢病随访与连续处方管理、检查随访提醒与结果告知等连续性管理能力。</w:t>
      </w:r>
    </w:p>
    <w:p w14:paraId="2FB56CFF">
      <w:pPr>
        <w:pStyle w:val="65"/>
        <w:spacing w:before="120" w:after="120" w:line="360" w:lineRule="auto"/>
      </w:pPr>
      <w:r>
        <w:rPr>
          <w:rFonts w:hint="eastAsia"/>
        </w:rPr>
        <w:t>不良事件与投诉指标</w:t>
      </w:r>
    </w:p>
    <w:p w14:paraId="71D9F57C">
      <w:pPr>
        <w:pStyle w:val="56"/>
        <w:spacing w:line="360" w:lineRule="auto"/>
        <w:ind w:firstLine="420"/>
      </w:pPr>
      <w:r>
        <w:rPr>
          <w:rFonts w:hint="eastAsia"/>
        </w:rPr>
        <w:t>用于反映门诊不良事件发现、上报、处置与复盘，以及投诉响应与整改闭环情况。</w:t>
      </w:r>
    </w:p>
    <w:p w14:paraId="1F16F40B">
      <w:pPr>
        <w:pStyle w:val="65"/>
        <w:spacing w:before="120" w:after="120" w:line="360" w:lineRule="auto"/>
      </w:pPr>
      <w:r>
        <w:rPr>
          <w:rFonts w:hint="eastAsia"/>
        </w:rPr>
        <w:t>信息安全与数据质量指标</w:t>
      </w:r>
    </w:p>
    <w:p w14:paraId="3B688CC3">
      <w:pPr>
        <w:pStyle w:val="56"/>
        <w:spacing w:line="360" w:lineRule="auto"/>
        <w:ind w:firstLine="420"/>
      </w:pPr>
      <w:r>
        <w:rPr>
          <w:rFonts w:hint="eastAsia"/>
        </w:rPr>
        <w:t>用于反映门诊数据安全与信息系统支撑能力，包括权限合规、隐私泄露事件、日志留痕完整性、关键字段完整率、数据一致性等。</w:t>
      </w:r>
    </w:p>
    <w:p w14:paraId="7DE41988">
      <w:pPr>
        <w:pStyle w:val="105"/>
        <w:spacing w:before="120" w:after="120" w:line="360" w:lineRule="auto"/>
      </w:pPr>
      <w:r>
        <w:rPr>
          <w:rFonts w:hint="eastAsia"/>
        </w:rPr>
        <w:t>核心指标库</w:t>
      </w:r>
    </w:p>
    <w:p w14:paraId="2CB9370C">
      <w:pPr>
        <w:pStyle w:val="56"/>
        <w:spacing w:line="360" w:lineRule="auto"/>
        <w:ind w:firstLine="420"/>
      </w:pPr>
      <w:r>
        <w:rPr>
          <w:rFonts w:hint="eastAsia"/>
        </w:rPr>
        <w:t>核心指标应优先选择“数据可得、风险敏感、可干预”的指标。表2给出核心指标库的推荐条目与统一口径。实施单位可依据自身情况设置目标值、警戒值与红线值；当未具备外部基准时，可先以历史基线为参照，通过趋势改进逐步收敛阈值。</w:t>
      </w:r>
    </w:p>
    <w:p w14:paraId="52A51570">
      <w:pPr>
        <w:pStyle w:val="56"/>
        <w:spacing w:line="360" w:lineRule="auto"/>
        <w:ind w:firstLine="420"/>
      </w:pPr>
      <w:r>
        <w:t>阈值建议为通用结构，具体X、Y与时限应由机构结合基线与风险承受能力确定，并形成版本化文件。</w:t>
      </w:r>
    </w:p>
    <w:p w14:paraId="66FE7010">
      <w:pPr>
        <w:pStyle w:val="56"/>
        <w:spacing w:line="360" w:lineRule="auto"/>
        <w:ind w:firstLine="420"/>
      </w:pPr>
      <w:r>
        <w:t>对“原应100%”的指标（如危急值确认）如出现未达标，应直接触发红线预警与专项复盘。</w:t>
      </w:r>
    </w:p>
    <w:p w14:paraId="15774AD2">
      <w:pPr>
        <w:pStyle w:val="56"/>
        <w:spacing w:line="360" w:lineRule="auto"/>
        <w:ind w:firstLine="420"/>
      </w:pPr>
      <w:r>
        <w:t>建议对高龄（如≥65岁）、多病共存、复杂用药患者建立分层报表，避免总体指标掩盖高风险人群问题。</w:t>
      </w:r>
    </w:p>
    <w:p w14:paraId="56CEBD81">
      <w:pPr>
        <w:pStyle w:val="112"/>
        <w:spacing w:before="120" w:after="120" w:line="360" w:lineRule="auto"/>
      </w:pPr>
      <w:r>
        <w:rPr>
          <w:rFonts w:hint="eastAsia"/>
        </w:rPr>
        <w:t>内科门诊质量与安全核心指标库</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72"/>
        <w:gridCol w:w="1712"/>
        <w:gridCol w:w="2766"/>
        <w:gridCol w:w="1090"/>
        <w:gridCol w:w="1823"/>
        <w:gridCol w:w="971"/>
      </w:tblGrid>
      <w:tr w14:paraId="54F9CC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72" w:type="dxa"/>
            <w:tcBorders>
              <w:top w:val="single" w:color="auto" w:sz="8" w:space="0"/>
              <w:bottom w:val="single" w:color="auto" w:sz="8" w:space="0"/>
            </w:tcBorders>
            <w:vAlign w:val="center"/>
          </w:tcPr>
          <w:p w14:paraId="35533AFF">
            <w:pPr>
              <w:pStyle w:val="178"/>
            </w:pPr>
            <w:r>
              <w:rPr>
                <w:rFonts w:hint="eastAsia"/>
              </w:rPr>
              <w:t>指标域</w:t>
            </w:r>
          </w:p>
        </w:tc>
        <w:tc>
          <w:tcPr>
            <w:tcW w:w="1712" w:type="dxa"/>
            <w:tcBorders>
              <w:top w:val="single" w:color="auto" w:sz="8" w:space="0"/>
              <w:bottom w:val="single" w:color="auto" w:sz="8" w:space="0"/>
            </w:tcBorders>
            <w:vAlign w:val="center"/>
          </w:tcPr>
          <w:p w14:paraId="550B191C">
            <w:pPr>
              <w:pStyle w:val="178"/>
            </w:pPr>
            <w:r>
              <w:rPr>
                <w:rFonts w:hint="eastAsia"/>
              </w:rPr>
              <w:t>指标名称</w:t>
            </w:r>
          </w:p>
        </w:tc>
        <w:tc>
          <w:tcPr>
            <w:tcW w:w="2766" w:type="dxa"/>
            <w:tcBorders>
              <w:top w:val="single" w:color="auto" w:sz="8" w:space="0"/>
              <w:bottom w:val="single" w:color="auto" w:sz="8" w:space="0"/>
            </w:tcBorders>
            <w:vAlign w:val="center"/>
          </w:tcPr>
          <w:p w14:paraId="154DA2B6">
            <w:pPr>
              <w:pStyle w:val="178"/>
            </w:pPr>
            <w:r>
              <w:rPr>
                <w:rFonts w:hint="eastAsia"/>
              </w:rPr>
              <w:t>指标定义</w:t>
            </w:r>
          </w:p>
          <w:p w14:paraId="25CF2429">
            <w:pPr>
              <w:pStyle w:val="178"/>
            </w:pPr>
            <w:r>
              <w:rPr>
                <w:rFonts w:hint="eastAsia"/>
              </w:rPr>
              <w:t>（分子/分母、时间窗）</w:t>
            </w:r>
          </w:p>
        </w:tc>
        <w:tc>
          <w:tcPr>
            <w:tcW w:w="1090" w:type="dxa"/>
            <w:tcBorders>
              <w:top w:val="single" w:color="auto" w:sz="8" w:space="0"/>
              <w:bottom w:val="single" w:color="auto" w:sz="8" w:space="0"/>
            </w:tcBorders>
            <w:vAlign w:val="center"/>
          </w:tcPr>
          <w:p w14:paraId="16AAFC55">
            <w:pPr>
              <w:pStyle w:val="178"/>
            </w:pPr>
            <w:r>
              <w:rPr>
                <w:rFonts w:hint="eastAsia"/>
              </w:rPr>
              <w:t>数据来源</w:t>
            </w:r>
          </w:p>
        </w:tc>
        <w:tc>
          <w:tcPr>
            <w:tcW w:w="1823" w:type="dxa"/>
            <w:tcBorders>
              <w:top w:val="single" w:color="auto" w:sz="8" w:space="0"/>
              <w:bottom w:val="single" w:color="auto" w:sz="8" w:space="0"/>
            </w:tcBorders>
            <w:vAlign w:val="center"/>
          </w:tcPr>
          <w:p w14:paraId="045E65FF">
            <w:pPr>
              <w:pStyle w:val="178"/>
            </w:pPr>
            <w:r>
              <w:rPr>
                <w:rFonts w:hint="eastAsia"/>
              </w:rPr>
              <w:t>预警阈值建议</w:t>
            </w:r>
          </w:p>
          <w:p w14:paraId="389F0EA3">
            <w:pPr>
              <w:pStyle w:val="178"/>
            </w:pPr>
            <w:r>
              <w:rPr>
                <w:rFonts w:hint="eastAsia"/>
              </w:rPr>
              <w:t>（目标/警戒/红线）</w:t>
            </w:r>
          </w:p>
        </w:tc>
        <w:tc>
          <w:tcPr>
            <w:tcW w:w="971" w:type="dxa"/>
            <w:tcBorders>
              <w:top w:val="single" w:color="auto" w:sz="8" w:space="0"/>
              <w:bottom w:val="single" w:color="auto" w:sz="8" w:space="0"/>
            </w:tcBorders>
            <w:vAlign w:val="center"/>
          </w:tcPr>
          <w:p w14:paraId="4901612D">
            <w:pPr>
              <w:pStyle w:val="178"/>
            </w:pPr>
            <w:r>
              <w:rPr>
                <w:rFonts w:hint="eastAsia"/>
              </w:rPr>
              <w:t>备注</w:t>
            </w:r>
          </w:p>
        </w:tc>
      </w:tr>
      <w:tr w14:paraId="463D79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tcBorders>
              <w:top w:val="single" w:color="auto" w:sz="8" w:space="0"/>
            </w:tcBorders>
            <w:vAlign w:val="center"/>
          </w:tcPr>
          <w:p w14:paraId="0E2CB2DB">
            <w:pPr>
              <w:pStyle w:val="178"/>
            </w:pPr>
            <w:r>
              <w:rPr>
                <w:rFonts w:hint="eastAsia"/>
              </w:rPr>
              <w:t>流程</w:t>
            </w:r>
          </w:p>
        </w:tc>
        <w:tc>
          <w:tcPr>
            <w:tcW w:w="1712" w:type="dxa"/>
            <w:tcBorders>
              <w:top w:val="single" w:color="auto" w:sz="8" w:space="0"/>
            </w:tcBorders>
            <w:vAlign w:val="center"/>
          </w:tcPr>
          <w:p w14:paraId="63D63806">
            <w:pPr>
              <w:pStyle w:val="178"/>
            </w:pPr>
            <w:r>
              <w:rPr>
                <w:rFonts w:hint="eastAsia"/>
              </w:rPr>
              <w:t>平均候诊时间</w:t>
            </w:r>
          </w:p>
        </w:tc>
        <w:tc>
          <w:tcPr>
            <w:tcW w:w="2766" w:type="dxa"/>
            <w:tcBorders>
              <w:top w:val="single" w:color="auto" w:sz="8" w:space="0"/>
            </w:tcBorders>
            <w:vAlign w:val="center"/>
          </w:tcPr>
          <w:p w14:paraId="2C302E6C">
            <w:pPr>
              <w:pStyle w:val="178"/>
            </w:pPr>
            <w:r>
              <w:rPr>
                <w:rFonts w:hint="eastAsia"/>
              </w:rPr>
              <w:t>分子：候诊时间总和；分母：就诊人次；时间窗：按日/周/月</w:t>
            </w:r>
          </w:p>
        </w:tc>
        <w:tc>
          <w:tcPr>
            <w:tcW w:w="1090" w:type="dxa"/>
            <w:tcBorders>
              <w:top w:val="single" w:color="auto" w:sz="8" w:space="0"/>
            </w:tcBorders>
            <w:vAlign w:val="center"/>
          </w:tcPr>
          <w:p w14:paraId="4F71C2D2">
            <w:pPr>
              <w:pStyle w:val="178"/>
            </w:pPr>
            <w:r>
              <w:rPr>
                <w:rFonts w:hint="eastAsia"/>
              </w:rPr>
              <w:t>叫号系统/HIS</w:t>
            </w:r>
          </w:p>
        </w:tc>
        <w:tc>
          <w:tcPr>
            <w:tcW w:w="1823" w:type="dxa"/>
            <w:tcBorders>
              <w:top w:val="single" w:color="auto" w:sz="8" w:space="0"/>
            </w:tcBorders>
            <w:vAlign w:val="center"/>
          </w:tcPr>
          <w:p w14:paraId="5A4BC71B">
            <w:pPr>
              <w:pStyle w:val="178"/>
            </w:pPr>
            <w:r>
              <w:rPr>
                <w:rFonts w:hint="eastAsia"/>
              </w:rPr>
              <w:t>以本院分层设定</w:t>
            </w:r>
          </w:p>
        </w:tc>
        <w:tc>
          <w:tcPr>
            <w:tcW w:w="971" w:type="dxa"/>
            <w:tcBorders>
              <w:top w:val="single" w:color="auto" w:sz="8" w:space="0"/>
            </w:tcBorders>
            <w:vAlign w:val="center"/>
          </w:tcPr>
          <w:p w14:paraId="28224854">
            <w:pPr>
              <w:pStyle w:val="178"/>
            </w:pPr>
            <w:r>
              <w:rPr>
                <w:rFonts w:hint="eastAsia"/>
              </w:rPr>
              <w:t>可按预约/非预约分层</w:t>
            </w:r>
          </w:p>
        </w:tc>
      </w:tr>
      <w:tr w14:paraId="1AF91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3F5C02A9">
            <w:pPr>
              <w:pStyle w:val="178"/>
            </w:pPr>
            <w:r>
              <w:rPr>
                <w:rFonts w:hint="eastAsia"/>
              </w:rPr>
              <w:t>流程</w:t>
            </w:r>
          </w:p>
        </w:tc>
        <w:tc>
          <w:tcPr>
            <w:tcW w:w="1712" w:type="dxa"/>
            <w:vAlign w:val="center"/>
          </w:tcPr>
          <w:p w14:paraId="47DEDEEB">
            <w:pPr>
              <w:pStyle w:val="178"/>
            </w:pPr>
            <w:r>
              <w:rPr>
                <w:rFonts w:hint="eastAsia"/>
              </w:rPr>
              <w:t>超长候诊比例</w:t>
            </w:r>
          </w:p>
        </w:tc>
        <w:tc>
          <w:tcPr>
            <w:tcW w:w="2766" w:type="dxa"/>
            <w:vAlign w:val="center"/>
          </w:tcPr>
          <w:p w14:paraId="4C1AA8D3">
            <w:pPr>
              <w:pStyle w:val="178"/>
            </w:pPr>
            <w:r>
              <w:rPr>
                <w:rFonts w:hint="eastAsia"/>
              </w:rPr>
              <w:t>分子：候诊时间&gt;阈值人次；分母：就诊人次</w:t>
            </w:r>
          </w:p>
        </w:tc>
        <w:tc>
          <w:tcPr>
            <w:tcW w:w="1090" w:type="dxa"/>
            <w:vAlign w:val="center"/>
          </w:tcPr>
          <w:p w14:paraId="35CB7D1F">
            <w:pPr>
              <w:pStyle w:val="178"/>
            </w:pPr>
            <w:r>
              <w:rPr>
                <w:rFonts w:hint="eastAsia"/>
              </w:rPr>
              <w:t>叫号系统</w:t>
            </w:r>
          </w:p>
        </w:tc>
        <w:tc>
          <w:tcPr>
            <w:tcW w:w="1823" w:type="dxa"/>
            <w:vAlign w:val="center"/>
          </w:tcPr>
          <w:p w14:paraId="5A8BD943">
            <w:pPr>
              <w:pStyle w:val="178"/>
            </w:pPr>
            <w:r>
              <w:rPr>
                <w:rFonts w:hint="eastAsia"/>
              </w:rPr>
              <w:t>目标≤X%；警戒&gt;Y%</w:t>
            </w:r>
          </w:p>
        </w:tc>
        <w:tc>
          <w:tcPr>
            <w:tcW w:w="971" w:type="dxa"/>
            <w:vAlign w:val="center"/>
          </w:tcPr>
          <w:p w14:paraId="421AD8B9">
            <w:pPr>
              <w:pStyle w:val="178"/>
            </w:pPr>
            <w:r>
              <w:rPr>
                <w:rFonts w:hint="eastAsia"/>
              </w:rPr>
              <w:t>阈值按机构设定</w:t>
            </w:r>
          </w:p>
        </w:tc>
      </w:tr>
      <w:tr w14:paraId="10DBF3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60A50BF5">
            <w:pPr>
              <w:pStyle w:val="178"/>
            </w:pPr>
            <w:r>
              <w:rPr>
                <w:rFonts w:hint="eastAsia"/>
              </w:rPr>
              <w:t>诊疗规范</w:t>
            </w:r>
          </w:p>
        </w:tc>
        <w:tc>
          <w:tcPr>
            <w:tcW w:w="1712" w:type="dxa"/>
            <w:vAlign w:val="center"/>
          </w:tcPr>
          <w:p w14:paraId="36C8AEDD">
            <w:pPr>
              <w:pStyle w:val="178"/>
            </w:pPr>
            <w:r>
              <w:rPr>
                <w:rFonts w:hint="eastAsia"/>
              </w:rPr>
              <w:t>门诊病历关键要素完整率</w:t>
            </w:r>
          </w:p>
        </w:tc>
        <w:tc>
          <w:tcPr>
            <w:tcW w:w="2766" w:type="dxa"/>
            <w:vAlign w:val="center"/>
          </w:tcPr>
          <w:p w14:paraId="4BE92D99">
            <w:pPr>
              <w:pStyle w:val="178"/>
            </w:pPr>
            <w:r>
              <w:rPr>
                <w:rFonts w:hint="eastAsia"/>
              </w:rPr>
              <w:t>分子：关键要素齐全病历数；分母：抽样或全量病历数</w:t>
            </w:r>
          </w:p>
        </w:tc>
        <w:tc>
          <w:tcPr>
            <w:tcW w:w="1090" w:type="dxa"/>
            <w:vAlign w:val="center"/>
          </w:tcPr>
          <w:p w14:paraId="4B873434">
            <w:pPr>
              <w:pStyle w:val="178"/>
            </w:pPr>
            <w:r>
              <w:rPr>
                <w:rFonts w:hint="eastAsia"/>
              </w:rPr>
              <w:t>EMR/抽样审核</w:t>
            </w:r>
          </w:p>
        </w:tc>
        <w:tc>
          <w:tcPr>
            <w:tcW w:w="1823" w:type="dxa"/>
            <w:vAlign w:val="center"/>
          </w:tcPr>
          <w:p w14:paraId="1CEA7EC4">
            <w:pPr>
              <w:pStyle w:val="178"/>
            </w:pPr>
            <w:r>
              <w:rPr>
                <w:rFonts w:hint="eastAsia"/>
              </w:rPr>
              <w:t>目标≥98%；警戒&lt;95%</w:t>
            </w:r>
          </w:p>
        </w:tc>
        <w:tc>
          <w:tcPr>
            <w:tcW w:w="971" w:type="dxa"/>
            <w:vAlign w:val="center"/>
          </w:tcPr>
          <w:p w14:paraId="6B0DF0CE">
            <w:pPr>
              <w:pStyle w:val="178"/>
            </w:pPr>
            <w:r>
              <w:rPr>
                <w:rFonts w:hint="eastAsia"/>
              </w:rPr>
              <w:t>关键要素见5.4</w:t>
            </w:r>
          </w:p>
        </w:tc>
      </w:tr>
      <w:tr w14:paraId="7BE9E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610F5448">
            <w:pPr>
              <w:pStyle w:val="178"/>
            </w:pPr>
            <w:r>
              <w:rPr>
                <w:rFonts w:hint="eastAsia"/>
              </w:rPr>
              <w:t>用药安全</w:t>
            </w:r>
          </w:p>
        </w:tc>
        <w:tc>
          <w:tcPr>
            <w:tcW w:w="1712" w:type="dxa"/>
            <w:vAlign w:val="center"/>
          </w:tcPr>
          <w:p w14:paraId="2421484B">
            <w:pPr>
              <w:pStyle w:val="178"/>
            </w:pPr>
            <w:r>
              <w:rPr>
                <w:rFonts w:hint="eastAsia"/>
              </w:rPr>
              <w:t>处方审核覆盖率</w:t>
            </w:r>
          </w:p>
        </w:tc>
        <w:tc>
          <w:tcPr>
            <w:tcW w:w="2766" w:type="dxa"/>
            <w:vAlign w:val="center"/>
          </w:tcPr>
          <w:p w14:paraId="2BDF1B92">
            <w:pPr>
              <w:pStyle w:val="178"/>
            </w:pPr>
            <w:r>
              <w:rPr>
                <w:rFonts w:hint="eastAsia"/>
              </w:rPr>
              <w:t>分子：经审核处方数；分母：门诊处方总数</w:t>
            </w:r>
          </w:p>
        </w:tc>
        <w:tc>
          <w:tcPr>
            <w:tcW w:w="1090" w:type="dxa"/>
            <w:vAlign w:val="center"/>
          </w:tcPr>
          <w:p w14:paraId="29317DF7">
            <w:pPr>
              <w:pStyle w:val="178"/>
            </w:pPr>
            <w:r>
              <w:rPr>
                <w:rFonts w:hint="eastAsia"/>
              </w:rPr>
              <w:t>处方系统/药师系统</w:t>
            </w:r>
          </w:p>
        </w:tc>
        <w:tc>
          <w:tcPr>
            <w:tcW w:w="1823" w:type="dxa"/>
            <w:vAlign w:val="center"/>
          </w:tcPr>
          <w:p w14:paraId="6ABA42F8">
            <w:pPr>
              <w:pStyle w:val="178"/>
            </w:pPr>
            <w:r>
              <w:rPr>
                <w:rFonts w:hint="eastAsia"/>
              </w:rPr>
              <w:t>目标≥99%；警戒&lt;98%</w:t>
            </w:r>
          </w:p>
        </w:tc>
        <w:tc>
          <w:tcPr>
            <w:tcW w:w="971" w:type="dxa"/>
            <w:vAlign w:val="center"/>
          </w:tcPr>
          <w:p w14:paraId="06A826EC">
            <w:pPr>
              <w:pStyle w:val="178"/>
            </w:pPr>
            <w:r>
              <w:rPr>
                <w:rFonts w:hint="eastAsia"/>
              </w:rPr>
              <w:t>自动+人工均计入</w:t>
            </w:r>
          </w:p>
        </w:tc>
      </w:tr>
      <w:tr w14:paraId="11CF8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56F9A2B8">
            <w:pPr>
              <w:pStyle w:val="178"/>
            </w:pPr>
            <w:r>
              <w:rPr>
                <w:rFonts w:hint="eastAsia"/>
              </w:rPr>
              <w:t>用药安全</w:t>
            </w:r>
          </w:p>
        </w:tc>
        <w:tc>
          <w:tcPr>
            <w:tcW w:w="1712" w:type="dxa"/>
            <w:vAlign w:val="center"/>
          </w:tcPr>
          <w:p w14:paraId="41E4482E">
            <w:pPr>
              <w:pStyle w:val="178"/>
            </w:pPr>
            <w:r>
              <w:rPr>
                <w:rFonts w:hint="eastAsia"/>
              </w:rPr>
              <w:t>高风险处方拦截率</w:t>
            </w:r>
          </w:p>
        </w:tc>
        <w:tc>
          <w:tcPr>
            <w:tcW w:w="2766" w:type="dxa"/>
            <w:vAlign w:val="center"/>
          </w:tcPr>
          <w:p w14:paraId="6DB1F6A8">
            <w:pPr>
              <w:pStyle w:val="178"/>
            </w:pPr>
            <w:r>
              <w:rPr>
                <w:rFonts w:hint="eastAsia"/>
              </w:rPr>
              <w:t>分子：被拦截且需干预处方数；分母：触发高风险规则处方数</w:t>
            </w:r>
          </w:p>
        </w:tc>
        <w:tc>
          <w:tcPr>
            <w:tcW w:w="1090" w:type="dxa"/>
            <w:vAlign w:val="center"/>
          </w:tcPr>
          <w:p w14:paraId="5F508516">
            <w:pPr>
              <w:pStyle w:val="178"/>
            </w:pPr>
            <w:r>
              <w:rPr>
                <w:rFonts w:hint="eastAsia"/>
              </w:rPr>
              <w:t>审核系统</w:t>
            </w:r>
          </w:p>
        </w:tc>
        <w:tc>
          <w:tcPr>
            <w:tcW w:w="1823" w:type="dxa"/>
            <w:vAlign w:val="center"/>
          </w:tcPr>
          <w:p w14:paraId="2F0E9926">
            <w:pPr>
              <w:pStyle w:val="178"/>
            </w:pPr>
            <w:r>
              <w:rPr>
                <w:rFonts w:hint="eastAsia"/>
              </w:rPr>
              <w:t>目标≥X%；警戒&lt;Y%</w:t>
            </w:r>
          </w:p>
        </w:tc>
        <w:tc>
          <w:tcPr>
            <w:tcW w:w="971" w:type="dxa"/>
            <w:vAlign w:val="center"/>
          </w:tcPr>
          <w:p w14:paraId="5E161FD1">
            <w:pPr>
              <w:pStyle w:val="178"/>
            </w:pPr>
            <w:r>
              <w:rPr>
                <w:rFonts w:hint="eastAsia"/>
              </w:rPr>
              <w:t>反映规则有效与执行</w:t>
            </w:r>
          </w:p>
        </w:tc>
      </w:tr>
      <w:tr w14:paraId="7C260E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626272A0">
            <w:pPr>
              <w:pStyle w:val="178"/>
            </w:pPr>
            <w:r>
              <w:rPr>
                <w:rFonts w:hint="eastAsia"/>
              </w:rPr>
              <w:t>用药安全</w:t>
            </w:r>
          </w:p>
        </w:tc>
        <w:tc>
          <w:tcPr>
            <w:tcW w:w="1712" w:type="dxa"/>
            <w:vAlign w:val="center"/>
          </w:tcPr>
          <w:p w14:paraId="75D45497">
            <w:pPr>
              <w:pStyle w:val="178"/>
            </w:pPr>
            <w:r>
              <w:rPr>
                <w:rFonts w:hint="eastAsia"/>
              </w:rPr>
              <w:t>重复用药/相互作用处置到位率</w:t>
            </w:r>
          </w:p>
        </w:tc>
        <w:tc>
          <w:tcPr>
            <w:tcW w:w="2766" w:type="dxa"/>
            <w:vAlign w:val="center"/>
          </w:tcPr>
          <w:p w14:paraId="6DBE1758">
            <w:pPr>
              <w:pStyle w:val="178"/>
            </w:pPr>
            <w:r>
              <w:rPr>
                <w:rFonts w:hint="eastAsia"/>
              </w:rPr>
              <w:t>分子：提示后完成调整/确认记录数；分母：提示处方数</w:t>
            </w:r>
          </w:p>
        </w:tc>
        <w:tc>
          <w:tcPr>
            <w:tcW w:w="1090" w:type="dxa"/>
            <w:vAlign w:val="center"/>
          </w:tcPr>
          <w:p w14:paraId="309279CA">
            <w:pPr>
              <w:pStyle w:val="178"/>
            </w:pPr>
            <w:r>
              <w:rPr>
                <w:rFonts w:hint="eastAsia"/>
              </w:rPr>
              <w:t>审核系统/EMR</w:t>
            </w:r>
          </w:p>
        </w:tc>
        <w:tc>
          <w:tcPr>
            <w:tcW w:w="1823" w:type="dxa"/>
            <w:vAlign w:val="center"/>
          </w:tcPr>
          <w:p w14:paraId="7E5706BB">
            <w:pPr>
              <w:pStyle w:val="178"/>
            </w:pPr>
            <w:r>
              <w:rPr>
                <w:rFonts w:hint="eastAsia"/>
              </w:rPr>
              <w:t>目标≥95%；警戒&lt;90%</w:t>
            </w:r>
          </w:p>
        </w:tc>
        <w:tc>
          <w:tcPr>
            <w:tcW w:w="971" w:type="dxa"/>
            <w:vAlign w:val="center"/>
          </w:tcPr>
          <w:p w14:paraId="6BAA37A8">
            <w:pPr>
              <w:pStyle w:val="178"/>
            </w:pPr>
            <w:r>
              <w:rPr>
                <w:rFonts w:hint="eastAsia"/>
              </w:rPr>
              <w:t>“到位”需留痕</w:t>
            </w:r>
          </w:p>
        </w:tc>
      </w:tr>
      <w:tr w14:paraId="767F44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5B058408">
            <w:pPr>
              <w:pStyle w:val="178"/>
            </w:pPr>
            <w:r>
              <w:rPr>
                <w:rFonts w:hint="eastAsia"/>
              </w:rPr>
              <w:t>危急值</w:t>
            </w:r>
          </w:p>
        </w:tc>
        <w:tc>
          <w:tcPr>
            <w:tcW w:w="1712" w:type="dxa"/>
            <w:vAlign w:val="center"/>
          </w:tcPr>
          <w:p w14:paraId="7DA7058A">
            <w:pPr>
              <w:pStyle w:val="178"/>
            </w:pPr>
            <w:r>
              <w:rPr>
                <w:rFonts w:hint="eastAsia"/>
              </w:rPr>
              <w:t>危急值确认率</w:t>
            </w:r>
          </w:p>
        </w:tc>
        <w:tc>
          <w:tcPr>
            <w:tcW w:w="2766" w:type="dxa"/>
            <w:vAlign w:val="center"/>
          </w:tcPr>
          <w:p w14:paraId="0B8C68C9">
            <w:pPr>
              <w:pStyle w:val="178"/>
            </w:pPr>
            <w:r>
              <w:rPr>
                <w:rFonts w:hint="eastAsia"/>
              </w:rPr>
              <w:t>分子：完成确认危急值例数；分母：危急值总例数</w:t>
            </w:r>
          </w:p>
        </w:tc>
        <w:tc>
          <w:tcPr>
            <w:tcW w:w="1090" w:type="dxa"/>
            <w:vAlign w:val="center"/>
          </w:tcPr>
          <w:p w14:paraId="249C9EFE">
            <w:pPr>
              <w:pStyle w:val="178"/>
            </w:pPr>
            <w:r>
              <w:rPr>
                <w:rFonts w:hint="eastAsia"/>
              </w:rPr>
              <w:t>LIS/PACS</w:t>
            </w:r>
          </w:p>
        </w:tc>
        <w:tc>
          <w:tcPr>
            <w:tcW w:w="1823" w:type="dxa"/>
            <w:vAlign w:val="center"/>
          </w:tcPr>
          <w:p w14:paraId="278C440D">
            <w:pPr>
              <w:pStyle w:val="178"/>
            </w:pPr>
            <w:r>
              <w:rPr>
                <w:rFonts w:hint="eastAsia"/>
              </w:rPr>
              <w:t>目标=100%</w:t>
            </w:r>
          </w:p>
        </w:tc>
        <w:tc>
          <w:tcPr>
            <w:tcW w:w="971" w:type="dxa"/>
            <w:vAlign w:val="center"/>
          </w:tcPr>
          <w:p w14:paraId="4B1B6F07">
            <w:pPr>
              <w:pStyle w:val="178"/>
            </w:pPr>
            <w:r>
              <w:rPr>
                <w:rFonts w:hint="eastAsia"/>
              </w:rPr>
              <w:t>原则上零容忍</w:t>
            </w:r>
          </w:p>
        </w:tc>
      </w:tr>
    </w:tbl>
    <w:p w14:paraId="2B14D848">
      <w:pPr>
        <w:pStyle w:val="56"/>
        <w:spacing w:before="120" w:beforeLines="50" w:after="120" w:afterLines="50"/>
        <w:ind w:firstLine="0" w:firstLineChars="0"/>
        <w:jc w:val="center"/>
        <w:rPr>
          <w:rFonts w:hint="eastAsia" w:ascii="黑体" w:hAnsi="黑体" w:eastAsia="黑体"/>
        </w:rPr>
      </w:pPr>
      <w:r>
        <w:rPr>
          <w:rFonts w:hint="eastAsia" w:ascii="黑体" w:hAnsi="黑体" w:eastAsia="黑体"/>
        </w:rPr>
        <w:t>表2  内科门诊质量与安全核心指标库</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72"/>
        <w:gridCol w:w="1712"/>
        <w:gridCol w:w="2766"/>
        <w:gridCol w:w="1090"/>
        <w:gridCol w:w="1823"/>
        <w:gridCol w:w="971"/>
      </w:tblGrid>
      <w:tr w14:paraId="7B535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72" w:type="dxa"/>
            <w:tcBorders>
              <w:top w:val="single" w:color="auto" w:sz="8" w:space="0"/>
              <w:bottom w:val="single" w:color="auto" w:sz="8" w:space="0"/>
            </w:tcBorders>
            <w:vAlign w:val="center"/>
          </w:tcPr>
          <w:p w14:paraId="59BA17A6">
            <w:pPr>
              <w:pStyle w:val="178"/>
            </w:pPr>
            <w:r>
              <w:rPr>
                <w:rFonts w:hint="eastAsia"/>
              </w:rPr>
              <w:t>指标域</w:t>
            </w:r>
          </w:p>
        </w:tc>
        <w:tc>
          <w:tcPr>
            <w:tcW w:w="1712" w:type="dxa"/>
            <w:tcBorders>
              <w:top w:val="single" w:color="auto" w:sz="8" w:space="0"/>
              <w:bottom w:val="single" w:color="auto" w:sz="8" w:space="0"/>
            </w:tcBorders>
            <w:vAlign w:val="center"/>
          </w:tcPr>
          <w:p w14:paraId="532A1ECF">
            <w:pPr>
              <w:pStyle w:val="178"/>
            </w:pPr>
            <w:r>
              <w:rPr>
                <w:rFonts w:hint="eastAsia"/>
              </w:rPr>
              <w:t>指标名称</w:t>
            </w:r>
          </w:p>
        </w:tc>
        <w:tc>
          <w:tcPr>
            <w:tcW w:w="2766" w:type="dxa"/>
            <w:tcBorders>
              <w:top w:val="single" w:color="auto" w:sz="8" w:space="0"/>
              <w:bottom w:val="single" w:color="auto" w:sz="8" w:space="0"/>
            </w:tcBorders>
            <w:vAlign w:val="center"/>
          </w:tcPr>
          <w:p w14:paraId="11ECCD6F">
            <w:pPr>
              <w:pStyle w:val="178"/>
            </w:pPr>
            <w:r>
              <w:rPr>
                <w:rFonts w:hint="eastAsia"/>
              </w:rPr>
              <w:t>指标定义</w:t>
            </w:r>
          </w:p>
          <w:p w14:paraId="4491D3D2">
            <w:pPr>
              <w:pStyle w:val="178"/>
            </w:pPr>
            <w:r>
              <w:rPr>
                <w:rFonts w:hint="eastAsia"/>
              </w:rPr>
              <w:t>（分子/分母、时间窗）</w:t>
            </w:r>
          </w:p>
        </w:tc>
        <w:tc>
          <w:tcPr>
            <w:tcW w:w="1090" w:type="dxa"/>
            <w:tcBorders>
              <w:top w:val="single" w:color="auto" w:sz="8" w:space="0"/>
              <w:bottom w:val="single" w:color="auto" w:sz="8" w:space="0"/>
            </w:tcBorders>
            <w:vAlign w:val="center"/>
          </w:tcPr>
          <w:p w14:paraId="2977F77B">
            <w:pPr>
              <w:pStyle w:val="178"/>
            </w:pPr>
            <w:r>
              <w:rPr>
                <w:rFonts w:hint="eastAsia"/>
              </w:rPr>
              <w:t>数据来源</w:t>
            </w:r>
          </w:p>
        </w:tc>
        <w:tc>
          <w:tcPr>
            <w:tcW w:w="1823" w:type="dxa"/>
            <w:tcBorders>
              <w:top w:val="single" w:color="auto" w:sz="8" w:space="0"/>
              <w:bottom w:val="single" w:color="auto" w:sz="8" w:space="0"/>
            </w:tcBorders>
            <w:vAlign w:val="center"/>
          </w:tcPr>
          <w:p w14:paraId="7A5DFB81">
            <w:pPr>
              <w:pStyle w:val="178"/>
            </w:pPr>
            <w:r>
              <w:rPr>
                <w:rFonts w:hint="eastAsia"/>
              </w:rPr>
              <w:t>预警阈值建议</w:t>
            </w:r>
          </w:p>
          <w:p w14:paraId="02866B32">
            <w:pPr>
              <w:pStyle w:val="178"/>
            </w:pPr>
            <w:r>
              <w:rPr>
                <w:rFonts w:hint="eastAsia"/>
              </w:rPr>
              <w:t>（目标/警戒/红线）</w:t>
            </w:r>
          </w:p>
        </w:tc>
        <w:tc>
          <w:tcPr>
            <w:tcW w:w="971" w:type="dxa"/>
            <w:tcBorders>
              <w:top w:val="single" w:color="auto" w:sz="8" w:space="0"/>
              <w:bottom w:val="single" w:color="auto" w:sz="8" w:space="0"/>
            </w:tcBorders>
            <w:vAlign w:val="center"/>
          </w:tcPr>
          <w:p w14:paraId="79CAFCDB">
            <w:pPr>
              <w:pStyle w:val="178"/>
            </w:pPr>
            <w:r>
              <w:rPr>
                <w:rFonts w:hint="eastAsia"/>
              </w:rPr>
              <w:t>备注</w:t>
            </w:r>
          </w:p>
        </w:tc>
      </w:tr>
      <w:tr w14:paraId="764429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7F071C77">
            <w:pPr>
              <w:pStyle w:val="178"/>
            </w:pPr>
            <w:r>
              <w:rPr>
                <w:rFonts w:hint="eastAsia"/>
              </w:rPr>
              <w:t>危急值</w:t>
            </w:r>
          </w:p>
        </w:tc>
        <w:tc>
          <w:tcPr>
            <w:tcW w:w="1712" w:type="dxa"/>
            <w:vAlign w:val="center"/>
          </w:tcPr>
          <w:p w14:paraId="4EDC0EC5">
            <w:pPr>
              <w:pStyle w:val="178"/>
            </w:pPr>
            <w:r>
              <w:rPr>
                <w:rFonts w:hint="eastAsia"/>
              </w:rPr>
              <w:t>危急值处置及时率</w:t>
            </w:r>
          </w:p>
        </w:tc>
        <w:tc>
          <w:tcPr>
            <w:tcW w:w="2766" w:type="dxa"/>
            <w:vAlign w:val="center"/>
          </w:tcPr>
          <w:p w14:paraId="6B2F7A0C">
            <w:pPr>
              <w:pStyle w:val="178"/>
            </w:pPr>
            <w:r>
              <w:rPr>
                <w:rFonts w:hint="eastAsia"/>
              </w:rPr>
              <w:t>分子：在规定时限内完成初步处置例数；分母：危急值总例数</w:t>
            </w:r>
          </w:p>
        </w:tc>
        <w:tc>
          <w:tcPr>
            <w:tcW w:w="1090" w:type="dxa"/>
            <w:vAlign w:val="center"/>
          </w:tcPr>
          <w:p w14:paraId="176A2070">
            <w:pPr>
              <w:pStyle w:val="178"/>
            </w:pPr>
            <w:r>
              <w:rPr>
                <w:rFonts w:hint="eastAsia"/>
              </w:rPr>
              <w:t>LIS/PACS/EMR</w:t>
            </w:r>
          </w:p>
        </w:tc>
        <w:tc>
          <w:tcPr>
            <w:tcW w:w="1823" w:type="dxa"/>
            <w:vAlign w:val="center"/>
          </w:tcPr>
          <w:p w14:paraId="5D6B28C0">
            <w:pPr>
              <w:pStyle w:val="178"/>
            </w:pPr>
            <w:r>
              <w:rPr>
                <w:rFonts w:hint="eastAsia"/>
              </w:rPr>
              <w:t>目标≥98%；红线&lt;95%</w:t>
            </w:r>
          </w:p>
        </w:tc>
        <w:tc>
          <w:tcPr>
            <w:tcW w:w="971" w:type="dxa"/>
            <w:vAlign w:val="center"/>
          </w:tcPr>
          <w:p w14:paraId="73073333">
            <w:pPr>
              <w:pStyle w:val="178"/>
            </w:pPr>
            <w:r>
              <w:rPr>
                <w:rFonts w:hint="eastAsia"/>
              </w:rPr>
              <w:t>时限按机构规定</w:t>
            </w:r>
          </w:p>
        </w:tc>
      </w:tr>
      <w:tr w14:paraId="5F2B38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2FF83A90">
            <w:pPr>
              <w:pStyle w:val="178"/>
            </w:pPr>
            <w:r>
              <w:rPr>
                <w:rFonts w:hint="eastAsia"/>
              </w:rPr>
              <w:t>危急值</w:t>
            </w:r>
          </w:p>
        </w:tc>
        <w:tc>
          <w:tcPr>
            <w:tcW w:w="1712" w:type="dxa"/>
            <w:vAlign w:val="center"/>
          </w:tcPr>
          <w:p w14:paraId="60EB68EC">
            <w:pPr>
              <w:pStyle w:val="178"/>
            </w:pPr>
            <w:r>
              <w:rPr>
                <w:rFonts w:hint="eastAsia"/>
              </w:rPr>
              <w:t>危急值闭环率</w:t>
            </w:r>
          </w:p>
        </w:tc>
        <w:tc>
          <w:tcPr>
            <w:tcW w:w="2766" w:type="dxa"/>
            <w:vAlign w:val="center"/>
          </w:tcPr>
          <w:p w14:paraId="422511EE">
            <w:pPr>
              <w:pStyle w:val="178"/>
            </w:pPr>
            <w:r>
              <w:rPr>
                <w:rFonts w:hint="eastAsia"/>
              </w:rPr>
              <w:t>分子：完成“通知—处置—记录”闭环例数；分母：危急值总例数</w:t>
            </w:r>
          </w:p>
        </w:tc>
        <w:tc>
          <w:tcPr>
            <w:tcW w:w="1090" w:type="dxa"/>
            <w:vAlign w:val="center"/>
          </w:tcPr>
          <w:p w14:paraId="232DBC64">
            <w:pPr>
              <w:pStyle w:val="178"/>
            </w:pPr>
            <w:r>
              <w:rPr>
                <w:rFonts w:hint="eastAsia"/>
              </w:rPr>
              <w:t>LIS/EMR</w:t>
            </w:r>
          </w:p>
        </w:tc>
        <w:tc>
          <w:tcPr>
            <w:tcW w:w="1823" w:type="dxa"/>
            <w:vAlign w:val="center"/>
          </w:tcPr>
          <w:p w14:paraId="2CA11581">
            <w:pPr>
              <w:pStyle w:val="178"/>
            </w:pPr>
            <w:r>
              <w:rPr>
                <w:rFonts w:hint="eastAsia"/>
              </w:rPr>
              <w:t>目标≥98%；红线&lt;95%</w:t>
            </w:r>
          </w:p>
        </w:tc>
        <w:tc>
          <w:tcPr>
            <w:tcW w:w="971" w:type="dxa"/>
            <w:vAlign w:val="center"/>
          </w:tcPr>
          <w:p w14:paraId="3AC2D326">
            <w:pPr>
              <w:pStyle w:val="178"/>
            </w:pPr>
            <w:r>
              <w:rPr>
                <w:rFonts w:hint="eastAsia"/>
              </w:rPr>
              <w:t>闭环定义需统一</w:t>
            </w:r>
          </w:p>
        </w:tc>
      </w:tr>
      <w:tr w14:paraId="24148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18148C2D">
            <w:pPr>
              <w:pStyle w:val="178"/>
            </w:pPr>
            <w:r>
              <w:rPr>
                <w:rFonts w:hint="eastAsia"/>
              </w:rPr>
              <w:t>院感</w:t>
            </w:r>
          </w:p>
        </w:tc>
        <w:tc>
          <w:tcPr>
            <w:tcW w:w="1712" w:type="dxa"/>
            <w:vAlign w:val="center"/>
          </w:tcPr>
          <w:p w14:paraId="67525371">
            <w:pPr>
              <w:pStyle w:val="178"/>
            </w:pPr>
            <w:r>
              <w:rPr>
                <w:rFonts w:hint="eastAsia"/>
              </w:rPr>
              <w:t>发热/呼吸道症状筛查执行率</w:t>
            </w:r>
          </w:p>
        </w:tc>
        <w:tc>
          <w:tcPr>
            <w:tcW w:w="2766" w:type="dxa"/>
            <w:vAlign w:val="center"/>
          </w:tcPr>
          <w:p w14:paraId="5C57FFA0">
            <w:pPr>
              <w:pStyle w:val="178"/>
            </w:pPr>
            <w:r>
              <w:rPr>
                <w:rFonts w:hint="eastAsia"/>
              </w:rPr>
              <w:t>分子：完成筛查人次；分母：应筛查人次</w:t>
            </w:r>
          </w:p>
        </w:tc>
        <w:tc>
          <w:tcPr>
            <w:tcW w:w="1090" w:type="dxa"/>
            <w:vAlign w:val="center"/>
          </w:tcPr>
          <w:p w14:paraId="36F67458">
            <w:pPr>
              <w:pStyle w:val="178"/>
            </w:pPr>
            <w:r>
              <w:rPr>
                <w:rFonts w:hint="eastAsia"/>
              </w:rPr>
              <w:t>分诊/预检系统</w:t>
            </w:r>
          </w:p>
        </w:tc>
        <w:tc>
          <w:tcPr>
            <w:tcW w:w="1823" w:type="dxa"/>
            <w:vAlign w:val="center"/>
          </w:tcPr>
          <w:p w14:paraId="27DA17EE">
            <w:pPr>
              <w:pStyle w:val="178"/>
            </w:pPr>
            <w:r>
              <w:rPr>
                <w:rFonts w:hint="eastAsia"/>
              </w:rPr>
              <w:t>目标≥99%</w:t>
            </w:r>
          </w:p>
        </w:tc>
        <w:tc>
          <w:tcPr>
            <w:tcW w:w="971" w:type="dxa"/>
            <w:vAlign w:val="center"/>
          </w:tcPr>
          <w:p w14:paraId="74D4D5A2">
            <w:pPr>
              <w:pStyle w:val="178"/>
            </w:pPr>
            <w:r>
              <w:rPr>
                <w:rFonts w:hint="eastAsia"/>
              </w:rPr>
              <w:t>适用时启用</w:t>
            </w:r>
          </w:p>
        </w:tc>
      </w:tr>
      <w:tr w14:paraId="30AA70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43CB5D83">
            <w:pPr>
              <w:pStyle w:val="178"/>
            </w:pPr>
            <w:r>
              <w:rPr>
                <w:rFonts w:hint="eastAsia"/>
              </w:rPr>
              <w:t>转诊</w:t>
            </w:r>
          </w:p>
        </w:tc>
        <w:tc>
          <w:tcPr>
            <w:tcW w:w="1712" w:type="dxa"/>
            <w:vAlign w:val="center"/>
          </w:tcPr>
          <w:p w14:paraId="6BCF35D1">
            <w:pPr>
              <w:pStyle w:val="178"/>
            </w:pPr>
            <w:r>
              <w:rPr>
                <w:rFonts w:hint="eastAsia"/>
              </w:rPr>
              <w:t>非计划转急诊率</w:t>
            </w:r>
          </w:p>
        </w:tc>
        <w:tc>
          <w:tcPr>
            <w:tcW w:w="2766" w:type="dxa"/>
            <w:vAlign w:val="center"/>
          </w:tcPr>
          <w:p w14:paraId="07507ADB">
            <w:pPr>
              <w:pStyle w:val="178"/>
            </w:pPr>
            <w:r>
              <w:rPr>
                <w:rFonts w:hint="eastAsia"/>
              </w:rPr>
              <w:t>分子：门诊就诊后规定时间窗内转急诊例数；分母：就诊人次</w:t>
            </w:r>
          </w:p>
        </w:tc>
        <w:tc>
          <w:tcPr>
            <w:tcW w:w="1090" w:type="dxa"/>
            <w:vAlign w:val="center"/>
          </w:tcPr>
          <w:p w14:paraId="3585D4A3">
            <w:pPr>
              <w:pStyle w:val="178"/>
            </w:pPr>
            <w:r>
              <w:rPr>
                <w:rFonts w:hint="eastAsia"/>
              </w:rPr>
              <w:t>HIS</w:t>
            </w:r>
          </w:p>
        </w:tc>
        <w:tc>
          <w:tcPr>
            <w:tcW w:w="1823" w:type="dxa"/>
            <w:vAlign w:val="center"/>
          </w:tcPr>
          <w:p w14:paraId="6A3B4A14">
            <w:pPr>
              <w:pStyle w:val="178"/>
            </w:pPr>
            <w:r>
              <w:rPr>
                <w:rFonts w:hint="eastAsia"/>
              </w:rPr>
              <w:t>以本院基线设定</w:t>
            </w:r>
          </w:p>
        </w:tc>
        <w:tc>
          <w:tcPr>
            <w:tcW w:w="971" w:type="dxa"/>
            <w:vAlign w:val="center"/>
          </w:tcPr>
          <w:p w14:paraId="7F95CB6F">
            <w:pPr>
              <w:pStyle w:val="178"/>
            </w:pPr>
            <w:r>
              <w:rPr>
                <w:rFonts w:hint="eastAsia"/>
              </w:rPr>
              <w:t>建议按病种分层</w:t>
            </w:r>
          </w:p>
        </w:tc>
      </w:tr>
      <w:tr w14:paraId="1192E8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15A2903E">
            <w:pPr>
              <w:pStyle w:val="178"/>
            </w:pPr>
            <w:r>
              <w:rPr>
                <w:rFonts w:hint="eastAsia"/>
              </w:rPr>
              <w:t>连续性</w:t>
            </w:r>
          </w:p>
        </w:tc>
        <w:tc>
          <w:tcPr>
            <w:tcW w:w="1712" w:type="dxa"/>
            <w:vAlign w:val="center"/>
          </w:tcPr>
          <w:p w14:paraId="18844755">
            <w:pPr>
              <w:pStyle w:val="178"/>
            </w:pPr>
            <w:r>
              <w:rPr>
                <w:rFonts w:hint="eastAsia"/>
              </w:rPr>
              <w:t>检验检查结果告知/随访闭环率</w:t>
            </w:r>
          </w:p>
        </w:tc>
        <w:tc>
          <w:tcPr>
            <w:tcW w:w="2766" w:type="dxa"/>
            <w:vAlign w:val="center"/>
          </w:tcPr>
          <w:p w14:paraId="25B1532F">
            <w:pPr>
              <w:pStyle w:val="178"/>
            </w:pPr>
            <w:r>
              <w:rPr>
                <w:rFonts w:hint="eastAsia"/>
              </w:rPr>
              <w:t>分子：完成告知并记录例数；分母：需告知结果例数</w:t>
            </w:r>
          </w:p>
        </w:tc>
        <w:tc>
          <w:tcPr>
            <w:tcW w:w="1090" w:type="dxa"/>
            <w:vAlign w:val="center"/>
          </w:tcPr>
          <w:p w14:paraId="1ED0FA9B">
            <w:pPr>
              <w:pStyle w:val="178"/>
            </w:pPr>
            <w:r>
              <w:rPr>
                <w:rFonts w:hint="eastAsia"/>
              </w:rPr>
              <w:t>EMR/随访系统</w:t>
            </w:r>
          </w:p>
        </w:tc>
        <w:tc>
          <w:tcPr>
            <w:tcW w:w="1823" w:type="dxa"/>
            <w:vAlign w:val="center"/>
          </w:tcPr>
          <w:p w14:paraId="522ADF8E">
            <w:pPr>
              <w:pStyle w:val="178"/>
            </w:pPr>
            <w:r>
              <w:rPr>
                <w:rFonts w:hint="eastAsia"/>
              </w:rPr>
              <w:t>目标≥95%；警戒&lt;90%</w:t>
            </w:r>
          </w:p>
        </w:tc>
        <w:tc>
          <w:tcPr>
            <w:tcW w:w="971" w:type="dxa"/>
            <w:vAlign w:val="center"/>
          </w:tcPr>
          <w:p w14:paraId="51CF1CDB">
            <w:pPr>
              <w:pStyle w:val="178"/>
            </w:pPr>
            <w:r>
              <w:rPr>
                <w:rFonts w:hint="eastAsia"/>
              </w:rPr>
              <w:t>适用于关键结果</w:t>
            </w:r>
          </w:p>
        </w:tc>
      </w:tr>
      <w:tr w14:paraId="684AFB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4BE7D880">
            <w:pPr>
              <w:pStyle w:val="178"/>
            </w:pPr>
            <w:r>
              <w:rPr>
                <w:rFonts w:hint="eastAsia"/>
              </w:rPr>
              <w:t>不良事件</w:t>
            </w:r>
          </w:p>
        </w:tc>
        <w:tc>
          <w:tcPr>
            <w:tcW w:w="1712" w:type="dxa"/>
            <w:vAlign w:val="center"/>
          </w:tcPr>
          <w:p w14:paraId="18697541">
            <w:pPr>
              <w:pStyle w:val="178"/>
            </w:pPr>
            <w:r>
              <w:rPr>
                <w:rFonts w:hint="eastAsia"/>
              </w:rPr>
              <w:t>门诊不良事件上报及时率</w:t>
            </w:r>
          </w:p>
        </w:tc>
        <w:tc>
          <w:tcPr>
            <w:tcW w:w="2766" w:type="dxa"/>
            <w:vAlign w:val="center"/>
          </w:tcPr>
          <w:p w14:paraId="20C3EE6B">
            <w:pPr>
              <w:pStyle w:val="178"/>
            </w:pPr>
            <w:r>
              <w:rPr>
                <w:rFonts w:hint="eastAsia"/>
              </w:rPr>
              <w:t>分子：在规定时限内上报例数；分母：应上报例数</w:t>
            </w:r>
          </w:p>
        </w:tc>
        <w:tc>
          <w:tcPr>
            <w:tcW w:w="1090" w:type="dxa"/>
            <w:vAlign w:val="center"/>
          </w:tcPr>
          <w:p w14:paraId="179E545E">
            <w:pPr>
              <w:pStyle w:val="178"/>
            </w:pPr>
            <w:r>
              <w:rPr>
                <w:rFonts w:hint="eastAsia"/>
              </w:rPr>
              <w:t>不良事件系统</w:t>
            </w:r>
          </w:p>
        </w:tc>
        <w:tc>
          <w:tcPr>
            <w:tcW w:w="1823" w:type="dxa"/>
            <w:vAlign w:val="center"/>
          </w:tcPr>
          <w:p w14:paraId="3017574B">
            <w:pPr>
              <w:pStyle w:val="178"/>
            </w:pPr>
            <w:r>
              <w:rPr>
                <w:rFonts w:hint="eastAsia"/>
              </w:rPr>
              <w:t>目标≥95%</w:t>
            </w:r>
          </w:p>
        </w:tc>
        <w:tc>
          <w:tcPr>
            <w:tcW w:w="971" w:type="dxa"/>
            <w:vAlign w:val="center"/>
          </w:tcPr>
          <w:p w14:paraId="0A7C941E">
            <w:pPr>
              <w:pStyle w:val="178"/>
            </w:pPr>
            <w:r>
              <w:rPr>
                <w:rFonts w:hint="eastAsia"/>
              </w:rPr>
              <w:t>“应上报”需定义</w:t>
            </w:r>
          </w:p>
        </w:tc>
      </w:tr>
      <w:tr w14:paraId="3F3845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72" w:type="dxa"/>
            <w:vAlign w:val="center"/>
          </w:tcPr>
          <w:p w14:paraId="1F9B29E2">
            <w:pPr>
              <w:pStyle w:val="178"/>
            </w:pPr>
            <w:r>
              <w:rPr>
                <w:rFonts w:hint="eastAsia"/>
              </w:rPr>
              <w:t>投诉</w:t>
            </w:r>
          </w:p>
        </w:tc>
        <w:tc>
          <w:tcPr>
            <w:tcW w:w="1712" w:type="dxa"/>
            <w:vAlign w:val="center"/>
          </w:tcPr>
          <w:p w14:paraId="1EA294ED">
            <w:pPr>
              <w:pStyle w:val="178"/>
            </w:pPr>
            <w:r>
              <w:rPr>
                <w:rFonts w:hint="eastAsia"/>
              </w:rPr>
              <w:t>投诉首响应时效达标率</w:t>
            </w:r>
          </w:p>
        </w:tc>
        <w:tc>
          <w:tcPr>
            <w:tcW w:w="2766" w:type="dxa"/>
            <w:vAlign w:val="center"/>
          </w:tcPr>
          <w:p w14:paraId="5E38090F">
            <w:pPr>
              <w:pStyle w:val="178"/>
            </w:pPr>
            <w:r>
              <w:rPr>
                <w:rFonts w:hint="eastAsia"/>
              </w:rPr>
              <w:t>分子：首响应在时限内例数；分母：投诉总例数</w:t>
            </w:r>
          </w:p>
        </w:tc>
        <w:tc>
          <w:tcPr>
            <w:tcW w:w="1090" w:type="dxa"/>
            <w:vAlign w:val="center"/>
          </w:tcPr>
          <w:p w14:paraId="26C070CC">
            <w:pPr>
              <w:pStyle w:val="178"/>
            </w:pPr>
            <w:r>
              <w:rPr>
                <w:rFonts w:hint="eastAsia"/>
              </w:rPr>
              <w:t>投诉系统</w:t>
            </w:r>
          </w:p>
        </w:tc>
        <w:tc>
          <w:tcPr>
            <w:tcW w:w="1823" w:type="dxa"/>
            <w:vAlign w:val="center"/>
          </w:tcPr>
          <w:p w14:paraId="3FB40E9D">
            <w:pPr>
              <w:pStyle w:val="178"/>
            </w:pPr>
            <w:r>
              <w:rPr>
                <w:rFonts w:hint="eastAsia"/>
              </w:rPr>
              <w:t>目标≥95%</w:t>
            </w:r>
          </w:p>
        </w:tc>
        <w:tc>
          <w:tcPr>
            <w:tcW w:w="971" w:type="dxa"/>
            <w:vAlign w:val="center"/>
          </w:tcPr>
          <w:p w14:paraId="79A161F7">
            <w:pPr>
              <w:pStyle w:val="178"/>
            </w:pPr>
            <w:r>
              <w:rPr>
                <w:rFonts w:hint="eastAsia"/>
              </w:rPr>
              <w:t>响应与闭环分开统计</w:t>
            </w:r>
          </w:p>
        </w:tc>
      </w:tr>
    </w:tbl>
    <w:p w14:paraId="5D7EFE11">
      <w:pPr>
        <w:pStyle w:val="105"/>
        <w:spacing w:before="120" w:after="120" w:line="360" w:lineRule="auto"/>
      </w:pPr>
      <w:r>
        <w:rPr>
          <w:rFonts w:hint="eastAsia"/>
        </w:rPr>
        <w:t>关键要素与高风险规则要求</w:t>
      </w:r>
    </w:p>
    <w:p w14:paraId="68CD9B8A">
      <w:pPr>
        <w:pStyle w:val="65"/>
        <w:spacing w:before="120" w:after="120" w:line="360" w:lineRule="auto"/>
      </w:pPr>
      <w:r>
        <w:rPr>
          <w:rFonts w:hint="eastAsia"/>
        </w:rPr>
        <w:t>门诊病历关键要素</w:t>
      </w:r>
    </w:p>
    <w:p w14:paraId="32D4F53E">
      <w:pPr>
        <w:pStyle w:val="56"/>
        <w:spacing w:line="360" w:lineRule="auto"/>
        <w:ind w:firstLine="420"/>
      </w:pPr>
      <w:r>
        <w:rPr>
          <w:rFonts w:hint="eastAsia"/>
        </w:rPr>
        <w:t>门诊病历关键要素至少应包括：主诉、现病史、既往史、过敏史、用药史、体格检查要点、初步诊断、鉴别考虑、检查检验计划、用药与处置方案、风险告知与注意事项、复诊/随访安排。机构可按专科特点增加要素（如吸烟史、疫苗史、肾功能评估等）。</w:t>
      </w:r>
    </w:p>
    <w:p w14:paraId="298D4735">
      <w:pPr>
        <w:pStyle w:val="65"/>
        <w:spacing w:before="120" w:after="120" w:line="360" w:lineRule="auto"/>
      </w:pPr>
      <w:r>
        <w:rPr>
          <w:rFonts w:hint="eastAsia"/>
        </w:rPr>
        <w:t>用药高风险规则</w:t>
      </w:r>
    </w:p>
    <w:p w14:paraId="2BF18862">
      <w:pPr>
        <w:pStyle w:val="56"/>
        <w:spacing w:line="360" w:lineRule="auto"/>
        <w:ind w:firstLine="420"/>
      </w:pPr>
      <w:r>
        <w:rPr>
          <w:rFonts w:hint="eastAsia"/>
        </w:rPr>
        <w:t>处方审核高风险规则宜至少覆盖：</w:t>
      </w:r>
    </w:p>
    <w:p w14:paraId="6C09E00E">
      <w:pPr>
        <w:pStyle w:val="56"/>
        <w:spacing w:line="360" w:lineRule="auto"/>
        <w:ind w:firstLine="420"/>
      </w:pPr>
      <w:r>
        <w:rPr>
          <w:rFonts w:hint="eastAsia"/>
        </w:rPr>
        <w:t>a) 已知过敏药物或禁忌证用药；</w:t>
      </w:r>
    </w:p>
    <w:p w14:paraId="51E56BBA">
      <w:pPr>
        <w:pStyle w:val="56"/>
        <w:spacing w:line="360" w:lineRule="auto"/>
        <w:ind w:firstLine="420"/>
      </w:pPr>
      <w:r>
        <w:rPr>
          <w:rFonts w:hint="eastAsia"/>
        </w:rPr>
        <w:t>b) 严重相互作用组合；</w:t>
      </w:r>
    </w:p>
    <w:p w14:paraId="6962951C">
      <w:pPr>
        <w:pStyle w:val="56"/>
        <w:spacing w:line="360" w:lineRule="auto"/>
        <w:ind w:firstLine="420"/>
      </w:pPr>
      <w:r>
        <w:rPr>
          <w:rFonts w:hint="eastAsia"/>
        </w:rPr>
        <w:t>c) 重复用药（同类药重复、成分重复）；</w:t>
      </w:r>
    </w:p>
    <w:p w14:paraId="05FF4B83">
      <w:pPr>
        <w:pStyle w:val="56"/>
        <w:spacing w:line="360" w:lineRule="auto"/>
        <w:ind w:firstLine="420"/>
      </w:pPr>
      <w:r>
        <w:rPr>
          <w:rFonts w:hint="eastAsia"/>
        </w:rPr>
        <w:t>d) 肝肾功能不全剂量调整提示；</w:t>
      </w:r>
    </w:p>
    <w:p w14:paraId="2E008921">
      <w:pPr>
        <w:pStyle w:val="56"/>
        <w:spacing w:line="360" w:lineRule="auto"/>
        <w:ind w:firstLine="420"/>
      </w:pPr>
      <w:r>
        <w:rPr>
          <w:rFonts w:hint="eastAsia"/>
        </w:rPr>
        <w:t>e) 特殊人群（孕哺、老年、儿童）禁忌或慎用；</w:t>
      </w:r>
    </w:p>
    <w:p w14:paraId="659974BA">
      <w:pPr>
        <w:pStyle w:val="56"/>
        <w:spacing w:line="360" w:lineRule="auto"/>
        <w:ind w:firstLine="420"/>
      </w:pPr>
      <w:r>
        <w:rPr>
          <w:rFonts w:hint="eastAsia"/>
        </w:rPr>
        <w:t>f) 抗凝/降糖/镇静等高风险药物的剂量与监测提醒。</w:t>
      </w:r>
    </w:p>
    <w:p w14:paraId="4B1FF72F">
      <w:pPr>
        <w:pStyle w:val="56"/>
        <w:spacing w:line="360" w:lineRule="auto"/>
        <w:ind w:firstLine="420"/>
      </w:pPr>
      <w:r>
        <w:rPr>
          <w:rFonts w:hint="eastAsia"/>
        </w:rPr>
        <w:t>高风险规则应与拦截策略（强拦截/弱提醒）匹配，并要求处置留痕（调整、确认理由、替代方案等）。</w:t>
      </w:r>
    </w:p>
    <w:p w14:paraId="454533B4">
      <w:pPr>
        <w:pStyle w:val="105"/>
        <w:spacing w:before="120" w:after="120" w:line="360" w:lineRule="auto"/>
      </w:pPr>
      <w:r>
        <w:rPr>
          <w:rFonts w:hint="eastAsia"/>
        </w:rPr>
        <w:t>指标库维护与版本管理</w:t>
      </w:r>
    </w:p>
    <w:p w14:paraId="5DD9E27E">
      <w:pPr>
        <w:pStyle w:val="165"/>
        <w:spacing w:line="360" w:lineRule="auto"/>
      </w:pPr>
      <w:r>
        <w:rPr>
          <w:rFonts w:hint="eastAsia"/>
        </w:rPr>
        <w:t>指标库应设置版本号、生效日期、变更记录与责任人。</w:t>
      </w:r>
    </w:p>
    <w:p w14:paraId="403CF307">
      <w:pPr>
        <w:pStyle w:val="165"/>
        <w:spacing w:line="360" w:lineRule="auto"/>
      </w:pPr>
      <w:r>
        <w:rPr>
          <w:rFonts w:hint="eastAsia"/>
        </w:rPr>
        <w:t>指标定义、口径、阈值、数据来源如发生变更，应进行变更评估与对比口径说明，保证历史数据可解释。</w:t>
      </w:r>
    </w:p>
    <w:p w14:paraId="649B78F1">
      <w:pPr>
        <w:pStyle w:val="165"/>
        <w:spacing w:line="360" w:lineRule="auto"/>
      </w:pPr>
      <w:r>
        <w:rPr>
          <w:rFonts w:hint="eastAsia"/>
        </w:rPr>
        <w:t>指标库至少每年评审一次，结合不良事件、投诉与风险谱变化进行增删与优化。对新增指标应先行试运行，验证数据质量与可干预性后再纳入考核。</w:t>
      </w:r>
    </w:p>
    <w:p w14:paraId="16B399F7">
      <w:pPr>
        <w:pStyle w:val="104"/>
        <w:spacing w:before="240" w:after="240" w:line="360" w:lineRule="auto"/>
      </w:pPr>
      <w:bookmarkStart w:id="53" w:name="_Toc220058739"/>
      <w:r>
        <w:rPr>
          <w:rFonts w:hint="eastAsia"/>
        </w:rPr>
        <w:t>数据采集与质量控制</w:t>
      </w:r>
      <w:bookmarkEnd w:id="53"/>
    </w:p>
    <w:p w14:paraId="4D0994F1">
      <w:pPr>
        <w:pStyle w:val="105"/>
        <w:spacing w:before="120" w:after="120" w:line="360" w:lineRule="auto"/>
      </w:pPr>
      <w:r>
        <w:rPr>
          <w:rFonts w:hint="eastAsia"/>
        </w:rPr>
        <w:t>总则</w:t>
      </w:r>
    </w:p>
    <w:p w14:paraId="3A688B76">
      <w:pPr>
        <w:pStyle w:val="165"/>
        <w:spacing w:line="360" w:lineRule="auto"/>
      </w:pPr>
      <w:r>
        <w:rPr>
          <w:rFonts w:hint="eastAsia"/>
        </w:rPr>
        <w:t>内科门诊质量与安全控制指标的数据采集与计算应坚持“数据源头可控、口径统一稳定、计算规则透明、结果可追溯复核”的原则。</w:t>
      </w:r>
    </w:p>
    <w:p w14:paraId="3D94C344">
      <w:pPr>
        <w:pStyle w:val="165"/>
        <w:spacing w:line="360" w:lineRule="auto"/>
      </w:pPr>
      <w:r>
        <w:rPr>
          <w:rFonts w:hint="eastAsia"/>
        </w:rPr>
        <w:t>数据采集应以信息系统自动采集为主，人工采集与抽样审核为辅；对涉及患者安全底线的指标（如危急值管理、处方审核关键环节）应设置更严格的数据审计与复核机制。</w:t>
      </w:r>
    </w:p>
    <w:p w14:paraId="06845CE8">
      <w:pPr>
        <w:pStyle w:val="165"/>
        <w:spacing w:line="360" w:lineRule="auto"/>
      </w:pPr>
      <w:r>
        <w:rPr>
          <w:rFonts w:hint="eastAsia"/>
        </w:rPr>
        <w:t>指标计算与发布前，应完成数据完整性、一致性、重复性与异常值校验，确保指标结果真实可靠、可解释、可用于治理。</w:t>
      </w:r>
    </w:p>
    <w:p w14:paraId="0303E2F8">
      <w:pPr>
        <w:pStyle w:val="105"/>
        <w:spacing w:before="120" w:after="120" w:line="360" w:lineRule="auto"/>
      </w:pPr>
      <w:r>
        <w:rPr>
          <w:rFonts w:hint="eastAsia"/>
        </w:rPr>
        <w:t>数据来源与字段要求</w:t>
      </w:r>
    </w:p>
    <w:p w14:paraId="73479E90">
      <w:pPr>
        <w:pStyle w:val="65"/>
        <w:spacing w:before="120" w:after="120" w:line="360" w:lineRule="auto"/>
      </w:pPr>
      <w:r>
        <w:rPr>
          <w:rFonts w:hint="eastAsia"/>
        </w:rPr>
        <w:t>数据来源清单</w:t>
      </w:r>
    </w:p>
    <w:p w14:paraId="1D9AE4A3">
      <w:pPr>
        <w:pStyle w:val="56"/>
        <w:spacing w:line="360" w:lineRule="auto"/>
        <w:ind w:firstLine="420"/>
      </w:pPr>
      <w:r>
        <w:rPr>
          <w:rFonts w:hint="eastAsia"/>
        </w:rPr>
        <w:t>指标数据来源宜至少包括：</w:t>
      </w:r>
    </w:p>
    <w:p w14:paraId="5A421176">
      <w:pPr>
        <w:pStyle w:val="56"/>
        <w:spacing w:line="360" w:lineRule="auto"/>
        <w:ind w:firstLine="420"/>
      </w:pPr>
      <w:r>
        <w:rPr>
          <w:rFonts w:hint="eastAsia"/>
        </w:rPr>
        <w:t>a) HIS/门诊挂号与收费系统：就诊人次、就诊科室、就诊时间戳、转急诊记录、再就诊记录；</w:t>
      </w:r>
    </w:p>
    <w:p w14:paraId="33A4CA50">
      <w:pPr>
        <w:pStyle w:val="56"/>
        <w:spacing w:line="360" w:lineRule="auto"/>
        <w:ind w:firstLine="420"/>
      </w:pPr>
      <w:r>
        <w:rPr>
          <w:rFonts w:hint="eastAsia"/>
        </w:rPr>
        <w:t>b) EMR/门诊电子病历系统：病历要素、诊断、处置、健康教育与随访记录；</w:t>
      </w:r>
    </w:p>
    <w:p w14:paraId="53F22EDC">
      <w:pPr>
        <w:pStyle w:val="56"/>
        <w:spacing w:line="360" w:lineRule="auto"/>
        <w:ind w:firstLine="420"/>
      </w:pPr>
      <w:r>
        <w:rPr>
          <w:rFonts w:hint="eastAsia"/>
        </w:rPr>
        <w:t>c) 叫号排队系统：候诊开始/结束时间、过号与复叫记录；</w:t>
      </w:r>
    </w:p>
    <w:p w14:paraId="0CFC98EC">
      <w:pPr>
        <w:pStyle w:val="56"/>
        <w:spacing w:line="360" w:lineRule="auto"/>
        <w:ind w:firstLine="420"/>
      </w:pPr>
      <w:r>
        <w:rPr>
          <w:rFonts w:hint="eastAsia"/>
        </w:rPr>
        <w:t>d) LIS（检验系统）：检验项目、危急值标识、危急值生成与推送时间、确认时间；</w:t>
      </w:r>
    </w:p>
    <w:p w14:paraId="518357E5">
      <w:pPr>
        <w:pStyle w:val="56"/>
        <w:spacing w:line="360" w:lineRule="auto"/>
        <w:ind w:firstLine="420"/>
      </w:pPr>
      <w:r>
        <w:rPr>
          <w:rFonts w:hint="eastAsia"/>
        </w:rPr>
        <w:t>e) PACS/影像系统：影像检查结果、危急/紧急提示、报告时间；</w:t>
      </w:r>
    </w:p>
    <w:p w14:paraId="36CFD4F1">
      <w:pPr>
        <w:pStyle w:val="56"/>
        <w:spacing w:line="360" w:lineRule="auto"/>
        <w:ind w:firstLine="420"/>
      </w:pPr>
      <w:r>
        <w:rPr>
          <w:rFonts w:hint="eastAsia"/>
        </w:rPr>
        <w:t>f) 处方开立与审核系统（含药师工作站）：处方信息、审核结果、拦截与干预记录、处置理由；</w:t>
      </w:r>
    </w:p>
    <w:p w14:paraId="5E28F8D7">
      <w:pPr>
        <w:pStyle w:val="56"/>
        <w:spacing w:line="360" w:lineRule="auto"/>
        <w:ind w:firstLine="420"/>
      </w:pPr>
      <w:r>
        <w:rPr>
          <w:rFonts w:hint="eastAsia"/>
        </w:rPr>
        <w:t>g) 不良事件上报系统：事件类型、等级、上报时间、处置与复盘记录；</w:t>
      </w:r>
    </w:p>
    <w:p w14:paraId="64DF4165">
      <w:pPr>
        <w:pStyle w:val="56"/>
        <w:spacing w:line="360" w:lineRule="auto"/>
        <w:ind w:firstLine="420"/>
      </w:pPr>
      <w:r>
        <w:rPr>
          <w:rFonts w:hint="eastAsia"/>
        </w:rPr>
        <w:t>h) 投诉与满意度系统：投诉受理时间、首响应时间、结案时间、回访结果；</w:t>
      </w:r>
    </w:p>
    <w:p w14:paraId="3C61D44F">
      <w:pPr>
        <w:pStyle w:val="56"/>
        <w:spacing w:line="360" w:lineRule="auto"/>
        <w:ind w:firstLine="420"/>
      </w:pPr>
      <w:r>
        <w:rPr>
          <w:rFonts w:hint="eastAsia"/>
        </w:rPr>
        <w:t>i) 互联网医院/随访平台（如适用）：线上复诊、检验结果告知、随访闭环记录。</w:t>
      </w:r>
    </w:p>
    <w:p w14:paraId="1A122CCC">
      <w:pPr>
        <w:pStyle w:val="65"/>
        <w:spacing w:before="120" w:after="120" w:line="360" w:lineRule="auto"/>
      </w:pPr>
      <w:r>
        <w:rPr>
          <w:rFonts w:hint="eastAsia"/>
        </w:rPr>
        <w:t>关键字段要求</w:t>
      </w:r>
    </w:p>
    <w:p w14:paraId="1F26153D">
      <w:pPr>
        <w:pStyle w:val="56"/>
        <w:spacing w:line="360" w:lineRule="auto"/>
        <w:ind w:firstLine="420"/>
      </w:pPr>
      <w:r>
        <w:rPr>
          <w:rFonts w:hint="eastAsia"/>
        </w:rPr>
        <w:t>关键字段要求包含以下方面：</w:t>
      </w:r>
    </w:p>
    <w:p w14:paraId="464D3DC4">
      <w:pPr>
        <w:pStyle w:val="56"/>
        <w:spacing w:line="360" w:lineRule="auto"/>
        <w:ind w:firstLine="420"/>
      </w:pPr>
      <w:r>
        <w:rPr>
          <w:rFonts w:hint="eastAsia"/>
        </w:rPr>
        <w:t>a) 标识字段：患者唯一标识、就诊流水号、处方号、检验/检查申请号、危急值事件号；</w:t>
      </w:r>
    </w:p>
    <w:p w14:paraId="1C474FC3">
      <w:pPr>
        <w:pStyle w:val="56"/>
        <w:spacing w:line="360" w:lineRule="auto"/>
        <w:ind w:firstLine="420"/>
      </w:pPr>
      <w:r>
        <w:rPr>
          <w:rFonts w:hint="eastAsia"/>
        </w:rPr>
        <w:t>b) 时间戳字段：挂号时间、签到/候诊开始时间、叫号/接诊开始时间、接诊结束时间、处方开立时间、审核完成时间、危急值生成时间、通知时间、确认时间、处置记录时间；</w:t>
      </w:r>
    </w:p>
    <w:p w14:paraId="76CBB138">
      <w:pPr>
        <w:pStyle w:val="56"/>
        <w:spacing w:line="360" w:lineRule="auto"/>
        <w:ind w:firstLine="420"/>
      </w:pPr>
      <w:r>
        <w:rPr>
          <w:rFonts w:hint="eastAsia"/>
        </w:rPr>
        <w:t>c) 归属字段：科室、医师、诊室、检验检查类别、处方类型（首诊/复诊/慢病续方）、渠道（线下/线上）；</w:t>
      </w:r>
    </w:p>
    <w:p w14:paraId="6BEE9F68">
      <w:pPr>
        <w:pStyle w:val="56"/>
        <w:spacing w:line="360" w:lineRule="auto"/>
        <w:ind w:firstLine="420"/>
      </w:pPr>
      <w:r>
        <w:rPr>
          <w:rFonts w:hint="eastAsia"/>
        </w:rPr>
        <w:t>d) 质量字段：病历关键要素填写标记、审核规则触发类型、干预类型（强拦截/弱提醒）、处置结果、闭环完成标记。</w:t>
      </w:r>
    </w:p>
    <w:p w14:paraId="2EA83B25">
      <w:pPr>
        <w:pStyle w:val="56"/>
        <w:spacing w:line="360" w:lineRule="auto"/>
        <w:ind w:firstLine="420"/>
        <w:rPr>
          <w:rFonts w:hint="eastAsia"/>
        </w:rPr>
      </w:pPr>
    </w:p>
    <w:p w14:paraId="6CA36096">
      <w:pPr>
        <w:pStyle w:val="65"/>
        <w:spacing w:before="120" w:after="120" w:line="360" w:lineRule="auto"/>
      </w:pPr>
      <w:r>
        <w:rPr>
          <w:rFonts w:hint="eastAsia"/>
        </w:rPr>
        <w:t>数据对齐与主数据管理</w:t>
      </w:r>
    </w:p>
    <w:p w14:paraId="399F3944">
      <w:pPr>
        <w:pStyle w:val="56"/>
        <w:spacing w:line="360" w:lineRule="auto"/>
        <w:ind w:firstLine="420"/>
      </w:pPr>
      <w:r>
        <w:rPr>
          <w:rFonts w:hint="eastAsia"/>
        </w:rPr>
        <w:t>应建立“科室、人员、诊室、项目字典、药品字典、规则字典”的主数据体系，确保各系统编码一致。跨系统字段映射应形成配置文件并版本化管理，变更应评估对历史指标口径的影响。同一事件在不同系统存在多条记录时，应明确主记录来源与合并规则。</w:t>
      </w:r>
    </w:p>
    <w:p w14:paraId="2E51BD79">
      <w:pPr>
        <w:pStyle w:val="105"/>
        <w:spacing w:before="120" w:after="120" w:line="360" w:lineRule="auto"/>
      </w:pPr>
      <w:r>
        <w:rPr>
          <w:rFonts w:hint="eastAsia"/>
        </w:rPr>
        <w:t>数据纳入、去重与归属规则</w:t>
      </w:r>
    </w:p>
    <w:p w14:paraId="481F7B02">
      <w:pPr>
        <w:pStyle w:val="65"/>
        <w:spacing w:before="120" w:after="120" w:line="360" w:lineRule="auto"/>
      </w:pPr>
      <w:r>
        <w:rPr>
          <w:rFonts w:hint="eastAsia"/>
        </w:rPr>
        <w:t>就诊人次口径</w:t>
      </w:r>
    </w:p>
    <w:p w14:paraId="478D617B">
      <w:pPr>
        <w:pStyle w:val="56"/>
        <w:spacing w:line="360" w:lineRule="auto"/>
        <w:ind w:firstLine="420"/>
      </w:pPr>
      <w:r>
        <w:rPr>
          <w:rFonts w:hint="eastAsia"/>
        </w:rPr>
        <w:t>就诊人次宜以“完成接诊并形成门诊病历记录”的就诊作为统计口径。对“挂号未就诊、退号、未接诊”应排除，并形成独立监测（可作为运营指标）。同一患者同日同科室重复挂号，如为同一诊疗事件（例如补开检验单），应按机构规则去重或合并。若为不同诊疗事件（例如上午复诊、下午复诊），应保留并标注原因。</w:t>
      </w:r>
    </w:p>
    <w:p w14:paraId="205FB92F">
      <w:pPr>
        <w:pStyle w:val="65"/>
        <w:spacing w:before="120" w:after="120" w:line="360" w:lineRule="auto"/>
      </w:pPr>
      <w:r>
        <w:rPr>
          <w:rFonts w:hint="eastAsia"/>
        </w:rPr>
        <w:t>指标归属规则</w:t>
      </w:r>
    </w:p>
    <w:p w14:paraId="080E5461">
      <w:pPr>
        <w:pStyle w:val="56"/>
        <w:spacing w:line="360" w:lineRule="auto"/>
        <w:ind w:firstLine="420"/>
      </w:pPr>
      <w:r>
        <w:rPr>
          <w:rFonts w:hint="eastAsia"/>
        </w:rPr>
        <w:t>指标应以“门诊接诊科室/开立科室”为归属原则。处方相关指标归属开立处方的医师与科室，审核相关指标可同时归属药学部门与开立科室（形成双归属报表），危急值相关指标归属“危急值触发项目所属科室/接诊科室”，并可增加“检验/影像科处置环节”过程指标用于协同治理，不良事件与投诉指标应归属主要责任流程单元，并在复盘中明确关联环节。</w:t>
      </w:r>
    </w:p>
    <w:p w14:paraId="5F504AE3">
      <w:pPr>
        <w:pStyle w:val="65"/>
        <w:spacing w:before="120" w:after="120" w:line="360" w:lineRule="auto"/>
      </w:pPr>
      <w:r>
        <w:rPr>
          <w:rFonts w:hint="eastAsia"/>
        </w:rPr>
        <w:t>时间窗归属</w:t>
      </w:r>
    </w:p>
    <w:p w14:paraId="1532BBE2">
      <w:pPr>
        <w:pStyle w:val="56"/>
        <w:spacing w:line="360" w:lineRule="auto"/>
        <w:ind w:firstLine="420"/>
      </w:pPr>
      <w:r>
        <w:rPr>
          <w:rFonts w:hint="eastAsia"/>
        </w:rPr>
        <w:t>候诊时间以签到/候诊开始至接诊开始计；如无签到，需明确以挂号时间或叫号排队入队时间替代。危急值处置时效以危急值生成/推送时间为起点，以完成初步处置并记录为终点。非计划转急诊率的时间窗应明确，并与本院流程一致。再就诊率等跨期指标应明确归属周期（通常归属事件发生周期），并在报表中同时展示“发生周期”与“就诊周期”的关联分析。</w:t>
      </w:r>
    </w:p>
    <w:p w14:paraId="0576FCE9">
      <w:pPr>
        <w:pStyle w:val="105"/>
        <w:spacing w:before="120" w:after="120" w:line="360" w:lineRule="auto"/>
      </w:pPr>
      <w:r>
        <w:rPr>
          <w:rFonts w:hint="eastAsia"/>
        </w:rPr>
        <w:t>指标计算规则与一致性校验</w:t>
      </w:r>
    </w:p>
    <w:p w14:paraId="0B18666F">
      <w:pPr>
        <w:pStyle w:val="65"/>
        <w:spacing w:before="120" w:after="120" w:line="360" w:lineRule="auto"/>
      </w:pPr>
      <w:r>
        <w:rPr>
          <w:rFonts w:hint="eastAsia"/>
        </w:rPr>
        <w:t>计算规则固化</w:t>
      </w:r>
    </w:p>
    <w:p w14:paraId="350D04A1">
      <w:pPr>
        <w:pStyle w:val="56"/>
        <w:spacing w:line="360" w:lineRule="auto"/>
        <w:ind w:firstLine="420"/>
      </w:pPr>
      <w:r>
        <w:rPr>
          <w:rFonts w:hint="eastAsia"/>
        </w:rPr>
        <w:t>所有核心指标应形成可执行的计算规则文档（含 SQL/逻辑描述），并由质控部门、信息部门、业务部门共同确认。计算规则应包含：取数范围、过滤条件、分母定义、异常处理、分层字段、时间窗与输出格式。指标计算应支持复现，同一数据版本在同一规则下应得到一致结果。</w:t>
      </w:r>
    </w:p>
    <w:p w14:paraId="1401E318">
      <w:pPr>
        <w:pStyle w:val="65"/>
        <w:spacing w:before="120" w:after="120" w:line="360" w:lineRule="auto"/>
      </w:pPr>
      <w:r>
        <w:rPr>
          <w:rFonts w:hint="eastAsia"/>
        </w:rPr>
        <w:t>一致性校验</w:t>
      </w:r>
    </w:p>
    <w:p w14:paraId="40E2FC2D">
      <w:pPr>
        <w:pStyle w:val="56"/>
        <w:spacing w:line="360" w:lineRule="auto"/>
        <w:ind w:firstLine="420"/>
      </w:pPr>
      <w:r>
        <w:rPr>
          <w:rFonts w:hint="eastAsia"/>
        </w:rPr>
        <w:t>校验方式可分为以下方面：</w:t>
      </w:r>
    </w:p>
    <w:p w14:paraId="2771BF9A">
      <w:pPr>
        <w:pStyle w:val="56"/>
        <w:spacing w:line="360" w:lineRule="auto"/>
        <w:ind w:firstLine="420"/>
      </w:pPr>
      <w:r>
        <w:rPr>
          <w:rFonts w:hint="eastAsia"/>
        </w:rPr>
        <w:t>a) 交叉校验：就诊人次、处方数、检验数等基础量应与财务/运营报表交叉核对；</w:t>
      </w:r>
    </w:p>
    <w:p w14:paraId="51D02D0B">
      <w:pPr>
        <w:pStyle w:val="56"/>
        <w:spacing w:line="360" w:lineRule="auto"/>
        <w:ind w:firstLine="420"/>
      </w:pPr>
      <w:r>
        <w:rPr>
          <w:rFonts w:hint="eastAsia"/>
        </w:rPr>
        <w:t>b) 逻辑校验：接诊开始时间不得早于候诊开始时间；审核完成时间不得早于处方开立时间；危急值确认时间不得早于危急值生成时间；</w:t>
      </w:r>
    </w:p>
    <w:p w14:paraId="3A5CDE61">
      <w:pPr>
        <w:pStyle w:val="56"/>
        <w:spacing w:line="360" w:lineRule="auto"/>
        <w:ind w:firstLine="420"/>
      </w:pPr>
      <w:r>
        <w:rPr>
          <w:rFonts w:hint="eastAsia"/>
        </w:rPr>
        <w:t>c) 范围校验：候诊时间、处置时效等应设置合理范围，超出范围应标记并回溯；</w:t>
      </w:r>
    </w:p>
    <w:p w14:paraId="3485760A">
      <w:pPr>
        <w:pStyle w:val="56"/>
        <w:spacing w:line="360" w:lineRule="auto"/>
        <w:ind w:firstLine="420"/>
      </w:pPr>
      <w:r>
        <w:rPr>
          <w:rFonts w:hint="eastAsia"/>
        </w:rPr>
        <w:t>d) 完整性校验：关键字段缺失率应可计算并纳入数据质量指标。</w:t>
      </w:r>
    </w:p>
    <w:p w14:paraId="60B7C003">
      <w:pPr>
        <w:pStyle w:val="105"/>
        <w:spacing w:before="120" w:after="120" w:line="360" w:lineRule="auto"/>
      </w:pPr>
      <w:r>
        <w:rPr>
          <w:rFonts w:hint="eastAsia"/>
        </w:rPr>
        <w:t>抽样审核与人工采集要求</w:t>
      </w:r>
    </w:p>
    <w:p w14:paraId="39913233">
      <w:pPr>
        <w:pStyle w:val="65"/>
        <w:spacing w:before="120" w:after="120" w:line="360" w:lineRule="auto"/>
      </w:pPr>
      <w:r>
        <w:rPr>
          <w:rFonts w:hint="eastAsia"/>
        </w:rPr>
        <w:t>抽样范围</w:t>
      </w:r>
    </w:p>
    <w:p w14:paraId="46381FBF">
      <w:pPr>
        <w:pStyle w:val="56"/>
        <w:spacing w:line="360" w:lineRule="auto"/>
        <w:ind w:firstLine="420"/>
      </w:pPr>
      <w:r>
        <w:rPr>
          <w:rFonts w:hint="eastAsia"/>
        </w:rPr>
        <w:t>对无法全量自动采集或需人工判定的指标（如病历要素完整性、分诊准确性、健康教育记录质量等），应采用抽样审核。抽样应覆盖：不同时段、不同诊室、不同医师、不同病种与不同风险人群。</w:t>
      </w:r>
    </w:p>
    <w:p w14:paraId="50A4200D">
      <w:pPr>
        <w:pStyle w:val="65"/>
        <w:spacing w:before="120" w:after="120" w:line="360" w:lineRule="auto"/>
      </w:pPr>
      <w:r>
        <w:rPr>
          <w:rFonts w:hint="eastAsia"/>
        </w:rPr>
        <w:t>抽样方法</w:t>
      </w:r>
    </w:p>
    <w:p w14:paraId="53F004A7">
      <w:pPr>
        <w:pStyle w:val="56"/>
        <w:spacing w:line="360" w:lineRule="auto"/>
        <w:ind w:firstLine="420"/>
      </w:pPr>
      <w:r>
        <w:rPr>
          <w:rFonts w:hint="eastAsia"/>
        </w:rPr>
        <w:t>宜采用分层随机抽样：按科室、医师、时段、病种或风险层级分层后随机抽取。样本量应满足统计稳定性要求，且不得低于机构内部规定的最低样本量。抽样与审核过程应留痕，支持复核与追溯。</w:t>
      </w:r>
    </w:p>
    <w:p w14:paraId="3CC57EDB">
      <w:pPr>
        <w:pStyle w:val="65"/>
        <w:spacing w:before="120" w:after="120" w:line="360" w:lineRule="auto"/>
      </w:pPr>
      <w:r>
        <w:rPr>
          <w:rFonts w:hint="eastAsia"/>
        </w:rPr>
        <w:t>审核一致性</w:t>
      </w:r>
    </w:p>
    <w:p w14:paraId="310AA88D">
      <w:pPr>
        <w:pStyle w:val="56"/>
        <w:spacing w:line="360" w:lineRule="auto"/>
        <w:ind w:firstLine="420"/>
      </w:pPr>
      <w:r>
        <w:rPr>
          <w:rFonts w:hint="eastAsia"/>
        </w:rPr>
        <w:t>审核人员应经过培训并进行一致性评价（如双人审核一致率）。对分歧项应建立裁决机制，并形成判定依据。审核口径变更需同步更新培训材料与审核表单。</w:t>
      </w:r>
    </w:p>
    <w:p w14:paraId="36073167">
      <w:pPr>
        <w:pStyle w:val="105"/>
        <w:spacing w:before="120" w:after="120" w:line="360" w:lineRule="auto"/>
      </w:pPr>
      <w:r>
        <w:rPr>
          <w:rFonts w:hint="eastAsia"/>
        </w:rPr>
        <w:t>数据审计、纠偏与变更管理</w:t>
      </w:r>
    </w:p>
    <w:p w14:paraId="757C790B">
      <w:pPr>
        <w:pStyle w:val="65"/>
        <w:spacing w:before="120" w:after="120" w:line="360" w:lineRule="auto"/>
      </w:pPr>
      <w:r>
        <w:rPr>
          <w:rFonts w:hint="eastAsia"/>
        </w:rPr>
        <w:t>数据审计</w:t>
      </w:r>
    </w:p>
    <w:p w14:paraId="70FA3FA1">
      <w:pPr>
        <w:pStyle w:val="56"/>
        <w:spacing w:line="360" w:lineRule="auto"/>
        <w:ind w:firstLine="420"/>
      </w:pPr>
      <w:r>
        <w:rPr>
          <w:rFonts w:hint="eastAsia"/>
        </w:rPr>
        <w:t>应对核心安全指标设置自动审计规则，如危急值处置延迟清单、未审核处方清单、强拦截被绕过清单。审计应至少每月开展一次；对红线预警触发时应开展即时审计。审计结果应形成问题清单，明确责任部门、整改措施与完成时限。</w:t>
      </w:r>
    </w:p>
    <w:p w14:paraId="42662E0F">
      <w:pPr>
        <w:pStyle w:val="65"/>
        <w:spacing w:before="120" w:after="120" w:line="360" w:lineRule="auto"/>
      </w:pPr>
      <w:r>
        <w:rPr>
          <w:rFonts w:hint="eastAsia"/>
        </w:rPr>
        <w:t>纠偏机制</w:t>
      </w:r>
    </w:p>
    <w:p w14:paraId="6BD6437F">
      <w:pPr>
        <w:pStyle w:val="56"/>
        <w:spacing w:line="360" w:lineRule="auto"/>
        <w:ind w:firstLine="420"/>
      </w:pPr>
      <w:r>
        <w:rPr>
          <w:rFonts w:hint="eastAsia"/>
        </w:rPr>
        <w:t>对系统时间戳错误、字段缺失、编码映射错误等数据问题，应由信息部门修复并说明影响范围。对流程执行缺陷应由业务部门整改，并通过培训与流程再造提升留痕率。对指标异常波动，应先进行数据层面核查，再进行业务原因分析，避免“数据问题当业务问题”或反之。</w:t>
      </w:r>
    </w:p>
    <w:p w14:paraId="54E7BA4B">
      <w:pPr>
        <w:pStyle w:val="65"/>
        <w:spacing w:before="120" w:after="120" w:line="360" w:lineRule="auto"/>
      </w:pPr>
      <w:r>
        <w:rPr>
          <w:rFonts w:hint="eastAsia"/>
        </w:rPr>
        <w:t>变更管理</w:t>
      </w:r>
    </w:p>
    <w:p w14:paraId="3D798D18">
      <w:pPr>
        <w:pStyle w:val="56"/>
        <w:spacing w:line="360" w:lineRule="auto"/>
        <w:ind w:firstLine="420"/>
      </w:pPr>
      <w:r>
        <w:rPr>
          <w:rFonts w:hint="eastAsia"/>
        </w:rPr>
        <w:t>指标口径、阈值、数据源、计算规则变更应履行审批流程，并保留版本记录，重大变更应设置并行期，提供新旧口径对比报表，确保趋势可解释，变更应评估对考核、预警与对标的影响，并更新相关制度与手册。</w:t>
      </w:r>
    </w:p>
    <w:p w14:paraId="004C7849">
      <w:pPr>
        <w:pStyle w:val="56"/>
        <w:spacing w:line="360" w:lineRule="auto"/>
        <w:ind w:firstLine="420"/>
        <w:rPr>
          <w:rFonts w:hint="eastAsia"/>
        </w:rPr>
      </w:pPr>
    </w:p>
    <w:p w14:paraId="7A29D0E7">
      <w:pPr>
        <w:pStyle w:val="104"/>
        <w:spacing w:before="240" w:after="240" w:line="360" w:lineRule="auto"/>
      </w:pPr>
      <w:bookmarkStart w:id="54" w:name="_Toc220058740"/>
      <w:r>
        <w:rPr>
          <w:rFonts w:hint="eastAsia"/>
        </w:rPr>
        <w:t>阈值预警报告</w:t>
      </w:r>
      <w:bookmarkEnd w:id="54"/>
    </w:p>
    <w:p w14:paraId="0DCC87DF">
      <w:pPr>
        <w:pStyle w:val="105"/>
        <w:spacing w:before="120" w:after="120" w:line="360" w:lineRule="auto"/>
      </w:pPr>
      <w:r>
        <w:rPr>
          <w:rFonts w:hint="eastAsia"/>
        </w:rPr>
        <w:t>总则</w:t>
      </w:r>
    </w:p>
    <w:p w14:paraId="544CCF52">
      <w:pPr>
        <w:pStyle w:val="165"/>
        <w:spacing w:line="360" w:lineRule="auto"/>
      </w:pPr>
      <w:r>
        <w:rPr>
          <w:rFonts w:hint="eastAsia"/>
        </w:rPr>
        <w:t>指标阈值与预警机制应服务于内科门诊风险识别和管理干预，遵循“分级设限 及时响应 闭环处置 可追溯复核”的原则。</w:t>
      </w:r>
    </w:p>
    <w:p w14:paraId="62B20547">
      <w:pPr>
        <w:pStyle w:val="165"/>
        <w:spacing w:line="360" w:lineRule="auto"/>
      </w:pPr>
      <w:r>
        <w:rPr>
          <w:rFonts w:hint="eastAsia"/>
        </w:rPr>
        <w:t>阈值应与机构基线水平、资源能力、风险承受能力及相关管理制度相匹配，并实行版本化管理。对患者安全底线指标应设置红线阈值并实施强制处置。</w:t>
      </w:r>
    </w:p>
    <w:p w14:paraId="17BD96FD">
      <w:pPr>
        <w:pStyle w:val="105"/>
        <w:spacing w:before="120" w:after="120" w:line="360" w:lineRule="auto"/>
      </w:pPr>
      <w:r>
        <w:rPr>
          <w:rFonts w:hint="eastAsia"/>
        </w:rPr>
        <w:t>阈值类型</w:t>
      </w:r>
    </w:p>
    <w:p w14:paraId="07E959AC">
      <w:pPr>
        <w:pStyle w:val="56"/>
        <w:spacing w:line="360" w:lineRule="auto"/>
        <w:ind w:firstLine="420"/>
      </w:pPr>
      <w:r>
        <w:rPr>
          <w:rFonts w:hint="eastAsia"/>
        </w:rPr>
        <w:t>阈值宜分为目标阈值 警戒阈值 红线阈值三类</w:t>
      </w:r>
    </w:p>
    <w:p w14:paraId="1390077A">
      <w:pPr>
        <w:pStyle w:val="56"/>
        <w:spacing w:line="360" w:lineRule="auto"/>
        <w:ind w:firstLine="420"/>
      </w:pPr>
      <w:r>
        <w:rPr>
          <w:rFonts w:hint="eastAsia"/>
        </w:rPr>
        <w:t>a) 目标阈值用于常态管理和持续改进目标</w:t>
      </w:r>
    </w:p>
    <w:p w14:paraId="177B9496">
      <w:pPr>
        <w:pStyle w:val="56"/>
        <w:spacing w:line="360" w:lineRule="auto"/>
        <w:ind w:firstLine="420"/>
      </w:pPr>
      <w:r>
        <w:rPr>
          <w:rFonts w:hint="eastAsia"/>
        </w:rPr>
        <w:t>b) 警戒阈值用于触发管理关注与轻度干预</w:t>
      </w:r>
    </w:p>
    <w:p w14:paraId="11A049F5">
      <w:pPr>
        <w:pStyle w:val="56"/>
        <w:spacing w:line="360" w:lineRule="auto"/>
        <w:ind w:firstLine="420"/>
      </w:pPr>
      <w:r>
        <w:rPr>
          <w:rFonts w:hint="eastAsia"/>
        </w:rPr>
        <w:t>c) 红线阈值用于触发即时干预 专项审计和复盘</w:t>
      </w:r>
    </w:p>
    <w:p w14:paraId="75F48EB2">
      <w:pPr>
        <w:pStyle w:val="56"/>
        <w:spacing w:line="360" w:lineRule="auto"/>
        <w:ind w:firstLine="420"/>
      </w:pPr>
      <w:r>
        <w:rPr>
          <w:rFonts w:hint="eastAsia"/>
        </w:rPr>
        <w:t>对危急值确认等原则上应为零容忍的指标 宜采用固定阈值并以红线管理</w:t>
      </w:r>
    </w:p>
    <w:p w14:paraId="78AB4860">
      <w:pPr>
        <w:pStyle w:val="105"/>
        <w:spacing w:before="120" w:after="120" w:line="360" w:lineRule="auto"/>
      </w:pPr>
      <w:r>
        <w:rPr>
          <w:rFonts w:hint="eastAsia"/>
        </w:rPr>
        <w:t>阈值设定方法</w:t>
      </w:r>
    </w:p>
    <w:p w14:paraId="7190515C">
      <w:pPr>
        <w:pStyle w:val="65"/>
        <w:spacing w:before="120" w:after="120" w:line="360" w:lineRule="auto"/>
      </w:pPr>
      <w:r>
        <w:rPr>
          <w:rFonts w:hint="eastAsia"/>
        </w:rPr>
        <w:t>基线法</w:t>
      </w:r>
    </w:p>
    <w:p w14:paraId="488E186E">
      <w:pPr>
        <w:pStyle w:val="56"/>
        <w:spacing w:line="360" w:lineRule="auto"/>
        <w:ind w:firstLine="420"/>
      </w:pPr>
      <w:r>
        <w:rPr>
          <w:rFonts w:hint="eastAsia"/>
        </w:rPr>
        <w:t>以本机构近6个月或近12个月历史数据为基线 结合季节性就诊波动设置阈值</w:t>
      </w:r>
    </w:p>
    <w:p w14:paraId="0E4BFDEB">
      <w:pPr>
        <w:pStyle w:val="56"/>
        <w:spacing w:line="360" w:lineRule="auto"/>
        <w:ind w:firstLine="420"/>
      </w:pPr>
      <w:r>
        <w:rPr>
          <w:rFonts w:hint="eastAsia"/>
        </w:rPr>
        <w:t>a) 目标阈值可取基线中位数或优良分位水平</w:t>
      </w:r>
    </w:p>
    <w:p w14:paraId="1458DE91">
      <w:pPr>
        <w:pStyle w:val="56"/>
        <w:spacing w:line="360" w:lineRule="auto"/>
        <w:ind w:firstLine="420"/>
      </w:pPr>
      <w:r>
        <w:rPr>
          <w:rFonts w:hint="eastAsia"/>
        </w:rPr>
        <w:t>b) 警戒阈值可取基线较差分位或基线均值加减一定幅度</w:t>
      </w:r>
    </w:p>
    <w:p w14:paraId="6C86D065">
      <w:pPr>
        <w:pStyle w:val="56"/>
        <w:spacing w:line="360" w:lineRule="auto"/>
        <w:ind w:firstLine="420"/>
      </w:pPr>
      <w:r>
        <w:rPr>
          <w:rFonts w:hint="eastAsia"/>
        </w:rPr>
        <w:t>c) 红线阈值可取基线极差分位或明确的管理底线</w:t>
      </w:r>
    </w:p>
    <w:p w14:paraId="40E6B3D6">
      <w:pPr>
        <w:pStyle w:val="65"/>
        <w:spacing w:before="120" w:after="120" w:line="360" w:lineRule="auto"/>
      </w:pPr>
      <w:r>
        <w:rPr>
          <w:rFonts w:hint="eastAsia"/>
        </w:rPr>
        <w:t>对标法</w:t>
      </w:r>
    </w:p>
    <w:p w14:paraId="0E94F040">
      <w:pPr>
        <w:pStyle w:val="56"/>
        <w:spacing w:line="360" w:lineRule="auto"/>
        <w:ind w:firstLine="420"/>
      </w:pPr>
      <w:r>
        <w:rPr>
          <w:rFonts w:hint="eastAsia"/>
        </w:rPr>
        <w:t>具备区域或同级机构对标数据时 可采用对标法设定阈值 并明确对标口径一致性</w:t>
      </w:r>
    </w:p>
    <w:p w14:paraId="10F45E9A">
      <w:pPr>
        <w:pStyle w:val="65"/>
        <w:spacing w:before="120" w:after="120" w:line="360" w:lineRule="auto"/>
      </w:pPr>
      <w:r>
        <w:rPr>
          <w:rFonts w:hint="eastAsia"/>
        </w:rPr>
        <w:t>专家法</w:t>
      </w:r>
    </w:p>
    <w:p w14:paraId="3994A0C9">
      <w:pPr>
        <w:pStyle w:val="56"/>
        <w:spacing w:line="360" w:lineRule="auto"/>
        <w:ind w:firstLine="420"/>
      </w:pPr>
      <w:r>
        <w:rPr>
          <w:rFonts w:hint="eastAsia"/>
        </w:rPr>
        <w:t>对缺乏稳定数据的新指标或安全底线指标 可由医务 质控 药学 检验 影像 感控 信息等多部门联合论证设置阈值 并在试运行后修订</w:t>
      </w:r>
    </w:p>
    <w:p w14:paraId="22B38FB6">
      <w:pPr>
        <w:pStyle w:val="65"/>
        <w:spacing w:before="120" w:after="120" w:line="360" w:lineRule="auto"/>
      </w:pPr>
      <w:r>
        <w:rPr>
          <w:rFonts w:hint="eastAsia"/>
        </w:rPr>
        <w:t>分层法</w:t>
      </w:r>
    </w:p>
    <w:p w14:paraId="2A1DFC17">
      <w:pPr>
        <w:pStyle w:val="56"/>
        <w:spacing w:line="360" w:lineRule="auto"/>
        <w:ind w:firstLine="420"/>
      </w:pPr>
      <w:r>
        <w:rPr>
          <w:rFonts w:hint="eastAsia"/>
        </w:rPr>
        <w:t>对高龄 多病共存 复杂用药 免疫抑制等高风险人群 宜设置分层阈值或分层报告 以避免总体阈值掩盖高风险问题</w:t>
      </w:r>
    </w:p>
    <w:p w14:paraId="11DF1EDC">
      <w:pPr>
        <w:pStyle w:val="105"/>
        <w:spacing w:before="120" w:after="120" w:line="360" w:lineRule="auto"/>
      </w:pPr>
      <w:r>
        <w:rPr>
          <w:rFonts w:hint="eastAsia"/>
        </w:rPr>
        <w:t>预警分级</w:t>
      </w:r>
    </w:p>
    <w:p w14:paraId="3A44D51E">
      <w:pPr>
        <w:pStyle w:val="56"/>
        <w:spacing w:line="360" w:lineRule="auto"/>
        <w:ind w:firstLine="420"/>
      </w:pPr>
      <w:r>
        <w:rPr>
          <w:rFonts w:hint="eastAsia"/>
        </w:rPr>
        <w:t>预警级别宜与阈值类型对应 分为关注 预警 警报三类</w:t>
      </w:r>
    </w:p>
    <w:p w14:paraId="7DB0B6E3">
      <w:pPr>
        <w:pStyle w:val="56"/>
        <w:spacing w:line="360" w:lineRule="auto"/>
        <w:ind w:firstLine="420"/>
      </w:pPr>
      <w:r>
        <w:rPr>
          <w:rFonts w:hint="eastAsia"/>
        </w:rPr>
        <w:t>a) 关注对应触达警戒阈值但未达红线 以提示和轻度干预为主</w:t>
      </w:r>
    </w:p>
    <w:p w14:paraId="7F651E3E">
      <w:pPr>
        <w:pStyle w:val="56"/>
        <w:spacing w:line="360" w:lineRule="auto"/>
        <w:ind w:firstLine="420"/>
      </w:pPr>
      <w:r>
        <w:rPr>
          <w:rFonts w:hint="eastAsia"/>
        </w:rPr>
        <w:t>b) 预警对应达到警戒阈值并持续或快速恶化 需限时整改</w:t>
      </w:r>
    </w:p>
    <w:p w14:paraId="660AC07B">
      <w:pPr>
        <w:pStyle w:val="56"/>
        <w:spacing w:line="360" w:lineRule="auto"/>
        <w:ind w:firstLine="420"/>
      </w:pPr>
      <w:r>
        <w:rPr>
          <w:rFonts w:hint="eastAsia"/>
        </w:rPr>
        <w:t>c) 警报对应触达红线阈值或发生重大安全事件 需即时处置与复盘</w:t>
      </w:r>
    </w:p>
    <w:p w14:paraId="2A99E4D9">
      <w:pPr>
        <w:pStyle w:val="112"/>
        <w:spacing w:before="120" w:after="120"/>
      </w:pPr>
      <w:r>
        <w:rPr>
          <w:rFonts w:hint="eastAsia"/>
        </w:rPr>
        <w:t>预警分级与处置要求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841"/>
        <w:gridCol w:w="2835"/>
        <w:gridCol w:w="1134"/>
        <w:gridCol w:w="2268"/>
        <w:gridCol w:w="2256"/>
      </w:tblGrid>
      <w:tr w14:paraId="7B7BAB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841" w:type="dxa"/>
            <w:tcBorders>
              <w:top w:val="single" w:color="auto" w:sz="8" w:space="0"/>
              <w:bottom w:val="single" w:color="auto" w:sz="8" w:space="0"/>
            </w:tcBorders>
            <w:vAlign w:val="center"/>
          </w:tcPr>
          <w:p w14:paraId="457997BC">
            <w:pPr>
              <w:pStyle w:val="178"/>
            </w:pPr>
            <w:r>
              <w:rPr>
                <w:rFonts w:hint="eastAsia"/>
              </w:rPr>
              <w:t>预警级别</w:t>
            </w:r>
          </w:p>
        </w:tc>
        <w:tc>
          <w:tcPr>
            <w:tcW w:w="2835" w:type="dxa"/>
            <w:tcBorders>
              <w:top w:val="single" w:color="auto" w:sz="8" w:space="0"/>
              <w:bottom w:val="single" w:color="auto" w:sz="8" w:space="0"/>
            </w:tcBorders>
            <w:vAlign w:val="center"/>
          </w:tcPr>
          <w:p w14:paraId="64BEEF12">
            <w:pPr>
              <w:pStyle w:val="178"/>
            </w:pPr>
            <w:r>
              <w:rPr>
                <w:rFonts w:hint="eastAsia"/>
              </w:rPr>
              <w:t>触发条件</w:t>
            </w:r>
          </w:p>
        </w:tc>
        <w:tc>
          <w:tcPr>
            <w:tcW w:w="1134" w:type="dxa"/>
            <w:tcBorders>
              <w:top w:val="single" w:color="auto" w:sz="8" w:space="0"/>
              <w:bottom w:val="single" w:color="auto" w:sz="8" w:space="0"/>
            </w:tcBorders>
            <w:vAlign w:val="center"/>
          </w:tcPr>
          <w:p w14:paraId="0BE67556">
            <w:pPr>
              <w:pStyle w:val="178"/>
            </w:pPr>
            <w:r>
              <w:rPr>
                <w:rFonts w:hint="eastAsia"/>
              </w:rPr>
              <w:t>处置时限</w:t>
            </w:r>
          </w:p>
        </w:tc>
        <w:tc>
          <w:tcPr>
            <w:tcW w:w="2268" w:type="dxa"/>
            <w:tcBorders>
              <w:top w:val="single" w:color="auto" w:sz="8" w:space="0"/>
              <w:bottom w:val="single" w:color="auto" w:sz="8" w:space="0"/>
            </w:tcBorders>
            <w:vAlign w:val="center"/>
          </w:tcPr>
          <w:p w14:paraId="23301805">
            <w:pPr>
              <w:pStyle w:val="178"/>
            </w:pPr>
            <w:r>
              <w:rPr>
                <w:rFonts w:hint="eastAsia"/>
              </w:rPr>
              <w:t>责任主体</w:t>
            </w:r>
          </w:p>
        </w:tc>
        <w:tc>
          <w:tcPr>
            <w:tcW w:w="2256" w:type="dxa"/>
            <w:tcBorders>
              <w:top w:val="single" w:color="auto" w:sz="8" w:space="0"/>
              <w:bottom w:val="single" w:color="auto" w:sz="8" w:space="0"/>
            </w:tcBorders>
            <w:vAlign w:val="center"/>
          </w:tcPr>
          <w:p w14:paraId="07163F01">
            <w:pPr>
              <w:pStyle w:val="178"/>
            </w:pPr>
            <w:r>
              <w:rPr>
                <w:rFonts w:hint="eastAsia"/>
              </w:rPr>
              <w:t>处置要点</w:t>
            </w:r>
          </w:p>
        </w:tc>
      </w:tr>
      <w:tr w14:paraId="0BB886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tcBorders>
              <w:top w:val="single" w:color="auto" w:sz="8" w:space="0"/>
            </w:tcBorders>
            <w:vAlign w:val="center"/>
          </w:tcPr>
          <w:p w14:paraId="527EB301">
            <w:pPr>
              <w:pStyle w:val="178"/>
            </w:pPr>
            <w:r>
              <w:rPr>
                <w:rFonts w:hint="eastAsia"/>
              </w:rPr>
              <w:t>关注</w:t>
            </w:r>
          </w:p>
        </w:tc>
        <w:tc>
          <w:tcPr>
            <w:tcW w:w="2835" w:type="dxa"/>
            <w:tcBorders>
              <w:top w:val="single" w:color="auto" w:sz="8" w:space="0"/>
            </w:tcBorders>
            <w:vAlign w:val="center"/>
          </w:tcPr>
          <w:p w14:paraId="61A61164">
            <w:pPr>
              <w:pStyle w:val="178"/>
            </w:pPr>
            <w:r>
              <w:rPr>
                <w:rFonts w:hint="eastAsia"/>
              </w:rPr>
              <w:t>指标首次触达警戒阈值或小幅越界</w:t>
            </w:r>
          </w:p>
        </w:tc>
        <w:tc>
          <w:tcPr>
            <w:tcW w:w="1134" w:type="dxa"/>
            <w:tcBorders>
              <w:top w:val="single" w:color="auto" w:sz="8" w:space="0"/>
            </w:tcBorders>
            <w:vAlign w:val="center"/>
          </w:tcPr>
          <w:p w14:paraId="3AF615FA">
            <w:pPr>
              <w:pStyle w:val="178"/>
            </w:pPr>
            <w:r>
              <w:rPr>
                <w:rFonts w:hint="eastAsia"/>
              </w:rPr>
              <w:t>5个工作日内</w:t>
            </w:r>
          </w:p>
        </w:tc>
        <w:tc>
          <w:tcPr>
            <w:tcW w:w="2268" w:type="dxa"/>
            <w:tcBorders>
              <w:top w:val="single" w:color="auto" w:sz="8" w:space="0"/>
            </w:tcBorders>
            <w:vAlign w:val="center"/>
          </w:tcPr>
          <w:p w14:paraId="0DB5D9D6">
            <w:pPr>
              <w:pStyle w:val="178"/>
            </w:pPr>
            <w:r>
              <w:rPr>
                <w:rFonts w:hint="eastAsia"/>
              </w:rPr>
              <w:t>科室质控员</w:t>
            </w:r>
          </w:p>
        </w:tc>
        <w:tc>
          <w:tcPr>
            <w:tcW w:w="2256" w:type="dxa"/>
            <w:tcBorders>
              <w:top w:val="single" w:color="auto" w:sz="8" w:space="0"/>
            </w:tcBorders>
            <w:vAlign w:val="center"/>
          </w:tcPr>
          <w:p w14:paraId="14729B32">
            <w:pPr>
              <w:pStyle w:val="178"/>
            </w:pPr>
            <w:r>
              <w:rPr>
                <w:rFonts w:hint="eastAsia"/>
              </w:rPr>
              <w:t>核查数据口径 识别主要驱动因素 提出改进建议</w:t>
            </w:r>
          </w:p>
        </w:tc>
      </w:tr>
      <w:tr w14:paraId="48B9E4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41065B6C">
            <w:pPr>
              <w:pStyle w:val="178"/>
            </w:pPr>
            <w:r>
              <w:rPr>
                <w:rFonts w:hint="eastAsia"/>
              </w:rPr>
              <w:t>预警</w:t>
            </w:r>
          </w:p>
        </w:tc>
        <w:tc>
          <w:tcPr>
            <w:tcW w:w="2835" w:type="dxa"/>
            <w:vAlign w:val="center"/>
          </w:tcPr>
          <w:p w14:paraId="2BEE1155">
            <w:pPr>
              <w:pStyle w:val="178"/>
            </w:pPr>
            <w:r>
              <w:rPr>
                <w:rFonts w:hint="eastAsia"/>
              </w:rPr>
              <w:t>指标连续2个周期触达警戒阈值或短期明显恶化</w:t>
            </w:r>
          </w:p>
        </w:tc>
        <w:tc>
          <w:tcPr>
            <w:tcW w:w="1134" w:type="dxa"/>
            <w:vAlign w:val="center"/>
          </w:tcPr>
          <w:p w14:paraId="671BAE36">
            <w:pPr>
              <w:pStyle w:val="178"/>
            </w:pPr>
            <w:r>
              <w:rPr>
                <w:rFonts w:hint="eastAsia"/>
              </w:rPr>
              <w:t>10个工作日内</w:t>
            </w:r>
          </w:p>
        </w:tc>
        <w:tc>
          <w:tcPr>
            <w:tcW w:w="2268" w:type="dxa"/>
            <w:vAlign w:val="center"/>
          </w:tcPr>
          <w:p w14:paraId="2BF740A2">
            <w:pPr>
              <w:pStyle w:val="178"/>
            </w:pPr>
            <w:r>
              <w:rPr>
                <w:rFonts w:hint="eastAsia"/>
              </w:rPr>
              <w:t>科室主任 护士长 质控办</w:t>
            </w:r>
          </w:p>
        </w:tc>
        <w:tc>
          <w:tcPr>
            <w:tcW w:w="2256" w:type="dxa"/>
            <w:vAlign w:val="center"/>
          </w:tcPr>
          <w:p w14:paraId="477759B9">
            <w:pPr>
              <w:pStyle w:val="178"/>
            </w:pPr>
            <w:r>
              <w:rPr>
                <w:rFonts w:hint="eastAsia"/>
              </w:rPr>
              <w:t>启动整改 形成措施清单 过程跟踪 复核数据</w:t>
            </w:r>
          </w:p>
        </w:tc>
      </w:tr>
      <w:tr w14:paraId="7A5FE9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841" w:type="dxa"/>
            <w:vAlign w:val="center"/>
          </w:tcPr>
          <w:p w14:paraId="1E6CAD04">
            <w:pPr>
              <w:pStyle w:val="178"/>
            </w:pPr>
            <w:r>
              <w:rPr>
                <w:rFonts w:hint="eastAsia"/>
              </w:rPr>
              <w:t>警报</w:t>
            </w:r>
          </w:p>
        </w:tc>
        <w:tc>
          <w:tcPr>
            <w:tcW w:w="2835" w:type="dxa"/>
            <w:vAlign w:val="center"/>
          </w:tcPr>
          <w:p w14:paraId="4A364433">
            <w:pPr>
              <w:pStyle w:val="178"/>
            </w:pPr>
            <w:r>
              <w:rPr>
                <w:rFonts w:hint="eastAsia"/>
              </w:rPr>
              <w:t>指标触达红线阈值或发生重大安全事件</w:t>
            </w:r>
          </w:p>
        </w:tc>
        <w:tc>
          <w:tcPr>
            <w:tcW w:w="1134" w:type="dxa"/>
            <w:vAlign w:val="center"/>
          </w:tcPr>
          <w:p w14:paraId="1EE338E3">
            <w:pPr>
              <w:pStyle w:val="178"/>
            </w:pPr>
            <w:r>
              <w:rPr>
                <w:rFonts w:hint="eastAsia"/>
              </w:rPr>
              <w:t>24小时内启动</w:t>
            </w:r>
          </w:p>
        </w:tc>
        <w:tc>
          <w:tcPr>
            <w:tcW w:w="2268" w:type="dxa"/>
            <w:vAlign w:val="center"/>
          </w:tcPr>
          <w:p w14:paraId="0E0A2693">
            <w:pPr>
              <w:pStyle w:val="178"/>
            </w:pPr>
            <w:r>
              <w:rPr>
                <w:rFonts w:hint="eastAsia"/>
              </w:rPr>
              <w:t>医务部门 质控办 相关科室</w:t>
            </w:r>
          </w:p>
        </w:tc>
        <w:tc>
          <w:tcPr>
            <w:tcW w:w="2256" w:type="dxa"/>
            <w:vAlign w:val="center"/>
          </w:tcPr>
          <w:p w14:paraId="36767B2B">
            <w:pPr>
              <w:pStyle w:val="178"/>
            </w:pPr>
            <w:r>
              <w:rPr>
                <w:rFonts w:hint="eastAsia"/>
              </w:rPr>
              <w:t>即时干预 专项审计 事件复盘 必要时暂停高风险流程或强化审核</w:t>
            </w:r>
          </w:p>
        </w:tc>
      </w:tr>
    </w:tbl>
    <w:p w14:paraId="6DF64DF2">
      <w:pPr>
        <w:pStyle w:val="105"/>
        <w:spacing w:before="120" w:after="120" w:line="360" w:lineRule="auto"/>
      </w:pPr>
      <w:r>
        <w:rPr>
          <w:rFonts w:hint="eastAsia"/>
        </w:rPr>
        <w:t>预警触发与处置流程</w:t>
      </w:r>
    </w:p>
    <w:p w14:paraId="2E8AA8D7">
      <w:pPr>
        <w:pStyle w:val="56"/>
        <w:spacing w:line="360" w:lineRule="auto"/>
        <w:ind w:firstLine="420"/>
      </w:pPr>
      <w:r>
        <w:rPr>
          <w:rFonts w:hint="eastAsia"/>
        </w:rPr>
        <w:t>预警触发应以系统自动判定为主 以人工复核为辅。预警处置应形成闭环 包含数据核查 原因分析 措施实施 效果验证与归档</w:t>
      </w:r>
    </w:p>
    <w:p w14:paraId="695F1B45">
      <w:pPr>
        <w:pStyle w:val="105"/>
        <w:spacing w:before="120" w:after="120" w:line="360" w:lineRule="auto"/>
      </w:pPr>
      <w:r>
        <w:rPr>
          <w:rFonts w:hint="eastAsia"/>
        </w:rPr>
        <w:t>报告机制</w:t>
      </w:r>
    </w:p>
    <w:p w14:paraId="7052EA59">
      <w:pPr>
        <w:pStyle w:val="65"/>
        <w:spacing w:before="120" w:after="120" w:line="360" w:lineRule="auto"/>
      </w:pPr>
      <w:r>
        <w:rPr>
          <w:rFonts w:hint="eastAsia"/>
        </w:rPr>
        <w:t>报告频次</w:t>
      </w:r>
    </w:p>
    <w:p w14:paraId="0774A0EA">
      <w:pPr>
        <w:pStyle w:val="56"/>
        <w:spacing w:line="360" w:lineRule="auto"/>
        <w:ind w:firstLine="420"/>
      </w:pPr>
      <w:r>
        <w:rPr>
          <w:rFonts w:hint="eastAsia"/>
        </w:rPr>
        <w:t>报告频次应满足以下要求：</w:t>
      </w:r>
    </w:p>
    <w:p w14:paraId="37F55AA2">
      <w:pPr>
        <w:pStyle w:val="56"/>
        <w:spacing w:line="360" w:lineRule="auto"/>
        <w:ind w:firstLine="420"/>
      </w:pPr>
      <w:r>
        <w:rPr>
          <w:rFonts w:hint="eastAsia"/>
        </w:rPr>
        <w:t>a) 核心指标应至少按月发布 支持按周滚动监测</w:t>
      </w:r>
    </w:p>
    <w:p w14:paraId="5AA2CDE5">
      <w:pPr>
        <w:pStyle w:val="56"/>
        <w:spacing w:line="360" w:lineRule="auto"/>
        <w:ind w:firstLine="420"/>
      </w:pPr>
      <w:r>
        <w:rPr>
          <w:rFonts w:hint="eastAsia"/>
        </w:rPr>
        <w:t>b) 关键安全指标宜支持日监测或实时监测</w:t>
      </w:r>
    </w:p>
    <w:p w14:paraId="32C1AA40">
      <w:pPr>
        <w:pStyle w:val="56"/>
        <w:spacing w:line="360" w:lineRule="auto"/>
        <w:ind w:firstLine="420"/>
      </w:pPr>
      <w:r>
        <w:rPr>
          <w:rFonts w:hint="eastAsia"/>
        </w:rPr>
        <w:t>c) 季度报告宜增加趋势分析 分层分析与对标分析</w:t>
      </w:r>
    </w:p>
    <w:p w14:paraId="7BE9D25B">
      <w:pPr>
        <w:pStyle w:val="56"/>
        <w:spacing w:line="360" w:lineRule="auto"/>
        <w:ind w:firstLine="420"/>
      </w:pPr>
      <w:r>
        <w:rPr>
          <w:rFonts w:hint="eastAsia"/>
        </w:rPr>
        <w:t>d) 年度报告宜形成体系评价与重大改进成效总结</w:t>
      </w:r>
    </w:p>
    <w:p w14:paraId="4071B096">
      <w:pPr>
        <w:pStyle w:val="65"/>
        <w:spacing w:before="120" w:after="120" w:line="360" w:lineRule="auto"/>
      </w:pPr>
      <w:r>
        <w:rPr>
          <w:rFonts w:hint="eastAsia"/>
        </w:rPr>
        <w:t>报告内容</w:t>
      </w:r>
    </w:p>
    <w:p w14:paraId="649044EE">
      <w:pPr>
        <w:pStyle w:val="56"/>
        <w:spacing w:line="360" w:lineRule="auto"/>
        <w:ind w:firstLine="420"/>
      </w:pPr>
      <w:r>
        <w:rPr>
          <w:rFonts w:hint="eastAsia"/>
        </w:rPr>
        <w:t>报告应至少包含：</w:t>
      </w:r>
    </w:p>
    <w:p w14:paraId="0DB14185">
      <w:pPr>
        <w:pStyle w:val="56"/>
        <w:spacing w:line="360" w:lineRule="auto"/>
        <w:ind w:firstLine="420"/>
      </w:pPr>
      <w:r>
        <w:rPr>
          <w:rFonts w:hint="eastAsia"/>
        </w:rPr>
        <w:t>a) 指标结果与阈值对照</w:t>
      </w:r>
    </w:p>
    <w:p w14:paraId="642B43BC">
      <w:pPr>
        <w:pStyle w:val="56"/>
        <w:spacing w:line="360" w:lineRule="auto"/>
        <w:ind w:firstLine="420"/>
      </w:pPr>
      <w:r>
        <w:rPr>
          <w:rFonts w:hint="eastAsia"/>
        </w:rPr>
        <w:t>b) 分层构成信息 就诊量 病种谱 风险人群占比</w:t>
      </w:r>
    </w:p>
    <w:p w14:paraId="6AD27AE1">
      <w:pPr>
        <w:pStyle w:val="56"/>
        <w:spacing w:line="360" w:lineRule="auto"/>
        <w:ind w:firstLine="420"/>
      </w:pPr>
      <w:r>
        <w:rPr>
          <w:rFonts w:hint="eastAsia"/>
        </w:rPr>
        <w:t>c) 触发预警清单与处置状态</w:t>
      </w:r>
    </w:p>
    <w:p w14:paraId="27C1060C">
      <w:pPr>
        <w:pStyle w:val="56"/>
        <w:spacing w:line="360" w:lineRule="auto"/>
        <w:ind w:firstLine="420"/>
      </w:pPr>
      <w:r>
        <w:rPr>
          <w:rFonts w:hint="eastAsia"/>
        </w:rPr>
        <w:t>d) 主要问题与根因分析摘要</w:t>
      </w:r>
    </w:p>
    <w:p w14:paraId="3311BB06">
      <w:pPr>
        <w:pStyle w:val="56"/>
        <w:spacing w:line="360" w:lineRule="auto"/>
        <w:ind w:firstLine="420"/>
      </w:pPr>
      <w:r>
        <w:rPr>
          <w:rFonts w:hint="eastAsia"/>
        </w:rPr>
        <w:t>e) 改进措施与效果评估</w:t>
      </w:r>
    </w:p>
    <w:p w14:paraId="7DC48102">
      <w:pPr>
        <w:pStyle w:val="56"/>
        <w:spacing w:line="360" w:lineRule="auto"/>
        <w:ind w:firstLine="420"/>
      </w:pPr>
      <w:r>
        <w:rPr>
          <w:rFonts w:hint="eastAsia"/>
        </w:rPr>
        <w:t>f) 数据质量说明 口径变更说明</w:t>
      </w:r>
    </w:p>
    <w:p w14:paraId="392DF478">
      <w:pPr>
        <w:pStyle w:val="65"/>
        <w:spacing w:before="120" w:after="120" w:line="360" w:lineRule="auto"/>
      </w:pPr>
      <w:r>
        <w:rPr>
          <w:rFonts w:hint="eastAsia"/>
        </w:rPr>
        <w:t>报告发布与权限</w:t>
      </w:r>
    </w:p>
    <w:p w14:paraId="7963462C">
      <w:pPr>
        <w:pStyle w:val="56"/>
        <w:spacing w:line="360" w:lineRule="auto"/>
        <w:ind w:firstLine="420"/>
      </w:pPr>
      <w:r>
        <w:rPr>
          <w:rFonts w:hint="eastAsia"/>
        </w:rPr>
        <w:t>指标报告应明确阅读权限与外部共享规则。涉及个人绩效或敏感事件的报告应脱敏并遵守最小必要原则。</w:t>
      </w:r>
    </w:p>
    <w:p w14:paraId="473927FF">
      <w:pPr>
        <w:pStyle w:val="104"/>
        <w:spacing w:before="240" w:after="240" w:line="360" w:lineRule="auto"/>
      </w:pPr>
      <w:bookmarkStart w:id="55" w:name="_Toc220058741"/>
      <w:r>
        <w:rPr>
          <w:rFonts w:hint="eastAsia"/>
        </w:rPr>
        <w:t>改进复盘评审</w:t>
      </w:r>
      <w:bookmarkEnd w:id="55"/>
    </w:p>
    <w:p w14:paraId="2E6AA54A">
      <w:pPr>
        <w:pStyle w:val="105"/>
        <w:spacing w:before="120" w:after="120" w:line="360" w:lineRule="auto"/>
      </w:pPr>
      <w:r>
        <w:rPr>
          <w:rFonts w:hint="eastAsia"/>
        </w:rPr>
        <w:t>总则</w:t>
      </w:r>
    </w:p>
    <w:p w14:paraId="44F0F6F4">
      <w:pPr>
        <w:pStyle w:val="165"/>
        <w:spacing w:line="360" w:lineRule="auto"/>
      </w:pPr>
      <w:r>
        <w:rPr>
          <w:rFonts w:hint="eastAsia"/>
        </w:rPr>
        <w:t>持续改进应以指标监测结果为牵引，以风险控制与患者安全为底线目标，以问题闭环为管理主线。对触发预警的指标项、持续异常波动的关键指标、以及门诊重大不良事件，应实施标准化复盘与评审机制，形成可执行、可验证、可追溯的整改计划，并通过再评价验证改进效果。</w:t>
      </w:r>
    </w:p>
    <w:p w14:paraId="63222268">
      <w:pPr>
        <w:pStyle w:val="165"/>
        <w:spacing w:line="360" w:lineRule="auto"/>
      </w:pPr>
      <w:r>
        <w:rPr>
          <w:rFonts w:hint="eastAsia"/>
        </w:rPr>
        <w:t>改进工作应遵循“数据先行、证据支撑、根因导向、措施可落地、验证可量化”的原则，避免仅以宣教或临时性措施替代流程优化、制度修订与系统规则完善。改进产出应纳入门诊质量管理体系，形成制度化、常态化的运行机制。</w:t>
      </w:r>
    </w:p>
    <w:p w14:paraId="141EA755">
      <w:pPr>
        <w:pStyle w:val="105"/>
        <w:spacing w:before="120" w:after="120" w:line="360" w:lineRule="auto"/>
      </w:pPr>
      <w:r>
        <w:rPr>
          <w:rFonts w:hint="eastAsia"/>
        </w:rPr>
        <w:t>改进方法</w:t>
      </w:r>
    </w:p>
    <w:p w14:paraId="2A50B821">
      <w:pPr>
        <w:pStyle w:val="65"/>
        <w:spacing w:before="120" w:after="120" w:line="360" w:lineRule="auto"/>
      </w:pPr>
      <w:r>
        <w:rPr>
          <w:rFonts w:hint="eastAsia"/>
        </w:rPr>
        <w:t>问题识别</w:t>
      </w:r>
    </w:p>
    <w:p w14:paraId="75B4A27A">
      <w:pPr>
        <w:pStyle w:val="56"/>
        <w:spacing w:line="360" w:lineRule="auto"/>
        <w:ind w:firstLine="420"/>
      </w:pPr>
      <w:r>
        <w:rPr>
          <w:rFonts w:hint="eastAsia"/>
        </w:rPr>
        <w:t>问题识别应基于指标趋势、分层对比、异常清单与事件报告。重点关注以下情形：</w:t>
      </w:r>
    </w:p>
    <w:p w14:paraId="2DCA1004">
      <w:pPr>
        <w:pStyle w:val="56"/>
        <w:spacing w:line="360" w:lineRule="auto"/>
        <w:ind w:firstLine="420"/>
      </w:pPr>
      <w:r>
        <w:rPr>
          <w:rFonts w:hint="eastAsia"/>
        </w:rPr>
        <w:t>a) 指标触达警戒阈值或红线阈值；</w:t>
      </w:r>
    </w:p>
    <w:p w14:paraId="3BD5404C">
      <w:pPr>
        <w:pStyle w:val="56"/>
        <w:spacing w:line="360" w:lineRule="auto"/>
        <w:ind w:firstLine="420"/>
      </w:pPr>
      <w:r>
        <w:rPr>
          <w:rFonts w:hint="eastAsia"/>
        </w:rPr>
        <w:t>b) 指标虽未触达阈值，但短期内恶化幅度显著；</w:t>
      </w:r>
    </w:p>
    <w:p w14:paraId="7F106B16">
      <w:pPr>
        <w:pStyle w:val="56"/>
        <w:spacing w:line="360" w:lineRule="auto"/>
        <w:ind w:firstLine="420"/>
      </w:pPr>
      <w:r>
        <w:rPr>
          <w:rFonts w:hint="eastAsia"/>
        </w:rPr>
        <w:t>c) 高风险人群（如高龄、多病共存、复杂用药）分层指标明显劣于总体水平；</w:t>
      </w:r>
    </w:p>
    <w:p w14:paraId="33E93623">
      <w:pPr>
        <w:pStyle w:val="56"/>
        <w:spacing w:line="360" w:lineRule="auto"/>
        <w:ind w:firstLine="420"/>
      </w:pPr>
      <w:r>
        <w:rPr>
          <w:rFonts w:hint="eastAsia"/>
        </w:rPr>
        <w:t>d) 同一问题在不同诊室、不同医师或不同时间段呈聚集性分布；</w:t>
      </w:r>
    </w:p>
    <w:p w14:paraId="42AFE892">
      <w:pPr>
        <w:pStyle w:val="56"/>
        <w:spacing w:line="360" w:lineRule="auto"/>
        <w:ind w:firstLine="420"/>
      </w:pPr>
      <w:r>
        <w:rPr>
          <w:rFonts w:hint="eastAsia"/>
        </w:rPr>
        <w:t>e) 投诉与不良事件与指标异常高度相关。</w:t>
      </w:r>
    </w:p>
    <w:p w14:paraId="457C4B12">
      <w:pPr>
        <w:pStyle w:val="65"/>
        <w:spacing w:before="120" w:after="120" w:line="360" w:lineRule="auto"/>
      </w:pPr>
      <w:r>
        <w:rPr>
          <w:rFonts w:hint="eastAsia"/>
        </w:rPr>
        <w:t>根因分析</w:t>
      </w:r>
    </w:p>
    <w:p w14:paraId="4C58D498">
      <w:pPr>
        <w:pStyle w:val="56"/>
        <w:spacing w:line="360" w:lineRule="auto"/>
        <w:ind w:firstLine="420"/>
      </w:pPr>
      <w:r>
        <w:rPr>
          <w:rFonts w:hint="eastAsia"/>
        </w:rPr>
        <w:t>根因分析宜采用结构化工具（如鱼骨图、5Why、FMEA或等效方法），并至少覆盖以下五类因素：</w:t>
      </w:r>
    </w:p>
    <w:p w14:paraId="06E0AA02">
      <w:pPr>
        <w:pStyle w:val="56"/>
        <w:spacing w:line="360" w:lineRule="auto"/>
        <w:ind w:firstLine="420"/>
      </w:pPr>
      <w:r>
        <w:rPr>
          <w:rFonts w:hint="eastAsia"/>
        </w:rPr>
        <w:t>a) 人员因素：培训不足、执行偏差、沟通不充分、职责边界不清；</w:t>
      </w:r>
    </w:p>
    <w:p w14:paraId="73E6B995">
      <w:pPr>
        <w:pStyle w:val="56"/>
        <w:spacing w:line="360" w:lineRule="auto"/>
        <w:ind w:firstLine="420"/>
      </w:pPr>
      <w:r>
        <w:rPr>
          <w:rFonts w:hint="eastAsia"/>
        </w:rPr>
        <w:t>b) 流程因素：路径设计缺陷、衔接断点、留痕不足、应急处置不明确；</w:t>
      </w:r>
    </w:p>
    <w:p w14:paraId="756A856F">
      <w:pPr>
        <w:pStyle w:val="56"/>
        <w:spacing w:line="360" w:lineRule="auto"/>
        <w:ind w:firstLine="420"/>
      </w:pPr>
      <w:r>
        <w:rPr>
          <w:rFonts w:hint="eastAsia"/>
        </w:rPr>
        <w:t>c) 系统因素：时间戳不一致、规则配置不当、接口延迟、提示疲劳、权限配置不合理；</w:t>
      </w:r>
    </w:p>
    <w:p w14:paraId="128DDA5B">
      <w:pPr>
        <w:pStyle w:val="56"/>
        <w:spacing w:line="360" w:lineRule="auto"/>
        <w:ind w:firstLine="420"/>
      </w:pPr>
      <w:r>
        <w:rPr>
          <w:rFonts w:hint="eastAsia"/>
        </w:rPr>
        <w:t>d) 环境因素：候诊拥挤、诊室资源不足、检验检查排队、季节性高峰；</w:t>
      </w:r>
    </w:p>
    <w:p w14:paraId="7345A6F5">
      <w:pPr>
        <w:pStyle w:val="56"/>
        <w:spacing w:line="360" w:lineRule="auto"/>
        <w:ind w:firstLine="420"/>
      </w:pPr>
      <w:r>
        <w:rPr>
          <w:rFonts w:hint="eastAsia"/>
        </w:rPr>
        <w:t>e) 管理因素：考核导向偏差、资源配置不匹配、监督与反馈机制缺失。</w:t>
      </w:r>
    </w:p>
    <w:p w14:paraId="3F969B00">
      <w:pPr>
        <w:pStyle w:val="65"/>
        <w:spacing w:before="120" w:after="120" w:line="360" w:lineRule="auto"/>
      </w:pPr>
      <w:r>
        <w:rPr>
          <w:rFonts w:hint="eastAsia"/>
        </w:rPr>
        <w:t>措施制定</w:t>
      </w:r>
    </w:p>
    <w:p w14:paraId="0FC51523">
      <w:pPr>
        <w:pStyle w:val="56"/>
        <w:spacing w:line="360" w:lineRule="auto"/>
        <w:ind w:firstLine="420"/>
      </w:pPr>
      <w:r>
        <w:rPr>
          <w:rFonts w:hint="eastAsia"/>
        </w:rPr>
        <w:t>改进措施应聚焦可预防风险与关键薄弱环节，且至少包含：</w:t>
      </w:r>
    </w:p>
    <w:p w14:paraId="16C893CB">
      <w:pPr>
        <w:pStyle w:val="56"/>
        <w:spacing w:line="360" w:lineRule="auto"/>
        <w:ind w:firstLine="420"/>
      </w:pPr>
      <w:r>
        <w:rPr>
          <w:rFonts w:hint="eastAsia"/>
        </w:rPr>
        <w:t>a) 流程优化：明确关键节点责任、补齐衔接断点、完善闭环机制；</w:t>
      </w:r>
    </w:p>
    <w:p w14:paraId="27DA8F71">
      <w:pPr>
        <w:pStyle w:val="56"/>
        <w:spacing w:line="360" w:lineRule="auto"/>
        <w:ind w:firstLine="420"/>
      </w:pPr>
      <w:r>
        <w:rPr>
          <w:rFonts w:hint="eastAsia"/>
        </w:rPr>
        <w:t>b) 系统优化：调整规则阈值、优化提醒策略、完善强拦截与留痕字段、校准时间戳；</w:t>
      </w:r>
    </w:p>
    <w:p w14:paraId="06BD9A7A">
      <w:pPr>
        <w:pStyle w:val="56"/>
        <w:spacing w:line="360" w:lineRule="auto"/>
        <w:ind w:firstLine="420"/>
      </w:pPr>
      <w:r>
        <w:rPr>
          <w:rFonts w:hint="eastAsia"/>
        </w:rPr>
        <w:t>c) 组织保障：优化排班与分诊策略、调整门诊资源配置、明确多部门协同机制；</w:t>
      </w:r>
    </w:p>
    <w:p w14:paraId="32DBE52E">
      <w:pPr>
        <w:pStyle w:val="56"/>
        <w:spacing w:line="360" w:lineRule="auto"/>
        <w:ind w:firstLine="420"/>
      </w:pPr>
      <w:r>
        <w:rPr>
          <w:rFonts w:hint="eastAsia"/>
        </w:rPr>
        <w:t>d) 培训与考核：对高风险环节进行针对性培训与一致性考核；</w:t>
      </w:r>
    </w:p>
    <w:p w14:paraId="20DCBE6C">
      <w:pPr>
        <w:pStyle w:val="56"/>
        <w:spacing w:line="360" w:lineRule="auto"/>
        <w:ind w:firstLine="420"/>
      </w:pPr>
      <w:r>
        <w:rPr>
          <w:rFonts w:hint="eastAsia"/>
        </w:rPr>
        <w:t>e) 风险沟通：完善患者告知、随访与结果告知机制，降低误解与纠纷风险。</w:t>
      </w:r>
    </w:p>
    <w:p w14:paraId="3A1C3944">
      <w:pPr>
        <w:pStyle w:val="94"/>
        <w:spacing w:before="120" w:after="120" w:line="360" w:lineRule="auto"/>
      </w:pPr>
      <w:r>
        <w:rPr>
          <w:rFonts w:hint="eastAsia"/>
        </w:rPr>
        <w:t>验证与固化</w:t>
      </w:r>
    </w:p>
    <w:p w14:paraId="67CDC6CF">
      <w:pPr>
        <w:pStyle w:val="56"/>
        <w:spacing w:line="360" w:lineRule="auto"/>
        <w:ind w:firstLine="420"/>
      </w:pPr>
      <w:r>
        <w:rPr>
          <w:rFonts w:hint="eastAsia"/>
        </w:rPr>
        <w:t>每项改进措施应明确责任人、完成时限、资源需求与验证指标。</w:t>
      </w:r>
    </w:p>
    <w:p w14:paraId="5C50E816">
      <w:pPr>
        <w:pStyle w:val="56"/>
        <w:spacing w:line="360" w:lineRule="auto"/>
        <w:ind w:firstLine="420"/>
      </w:pPr>
      <w:r>
        <w:rPr>
          <w:rFonts w:hint="eastAsia"/>
        </w:rPr>
        <w:t>验证应采用“改进前—改进后”对比，并结合分层分析，避免因就诊量或病例结构变化导致误判。</w:t>
      </w:r>
    </w:p>
    <w:p w14:paraId="26E47B9F">
      <w:pPr>
        <w:pStyle w:val="56"/>
        <w:spacing w:line="360" w:lineRule="auto"/>
        <w:ind w:firstLine="420"/>
      </w:pPr>
      <w:r>
        <w:rPr>
          <w:rFonts w:hint="eastAsia"/>
        </w:rPr>
        <w:t>经验证有效的措施应固化为制度、流程或系统规则，并纳入常态监测。</w:t>
      </w:r>
    </w:p>
    <w:p w14:paraId="481C6505">
      <w:pPr>
        <w:pStyle w:val="56"/>
        <w:spacing w:line="360" w:lineRule="auto"/>
        <w:ind w:firstLine="420"/>
      </w:pPr>
      <w:r>
        <w:rPr>
          <w:rFonts w:hint="eastAsia"/>
        </w:rPr>
        <w:t>对无效或副作用明显的措施，应及时纠偏并形成经验记录。</w:t>
      </w:r>
    </w:p>
    <w:p w14:paraId="623BD120">
      <w:pPr>
        <w:pStyle w:val="105"/>
        <w:spacing w:before="120" w:after="120" w:line="360" w:lineRule="auto"/>
      </w:pPr>
      <w:r>
        <w:rPr>
          <w:rFonts w:hint="eastAsia"/>
        </w:rPr>
        <w:t>复盘机制</w:t>
      </w:r>
    </w:p>
    <w:p w14:paraId="64C4260E">
      <w:pPr>
        <w:pStyle w:val="65"/>
        <w:spacing w:before="120" w:after="120" w:line="360" w:lineRule="auto"/>
      </w:pPr>
      <w:r>
        <w:rPr>
          <w:rFonts w:hint="eastAsia"/>
        </w:rPr>
        <w:t>复盘触发条件</w:t>
      </w:r>
    </w:p>
    <w:p w14:paraId="53F4CE56">
      <w:pPr>
        <w:pStyle w:val="56"/>
        <w:spacing w:line="360" w:lineRule="auto"/>
        <w:ind w:firstLine="420"/>
      </w:pPr>
      <w:r>
        <w:rPr>
          <w:rFonts w:hint="eastAsia"/>
        </w:rPr>
        <w:t>出现下列任一情形，应启动复盘并形成书面复盘报告：</w:t>
      </w:r>
    </w:p>
    <w:p w14:paraId="719C9E9E">
      <w:pPr>
        <w:pStyle w:val="56"/>
        <w:spacing w:line="360" w:lineRule="auto"/>
        <w:ind w:firstLine="420"/>
      </w:pPr>
      <w:r>
        <w:rPr>
          <w:rFonts w:hint="eastAsia"/>
        </w:rPr>
        <w:t>a) 任一核心指标触达红线阈值；</w:t>
      </w:r>
    </w:p>
    <w:p w14:paraId="207E0A63">
      <w:pPr>
        <w:pStyle w:val="56"/>
        <w:spacing w:line="360" w:lineRule="auto"/>
        <w:ind w:firstLine="420"/>
      </w:pPr>
      <w:r>
        <w:rPr>
          <w:rFonts w:hint="eastAsia"/>
        </w:rPr>
        <w:t>b) 关键安全指标（如危急值处置时效、处方审核覆盖）出现连续异常或疑似系统性缺陷；</w:t>
      </w:r>
    </w:p>
    <w:p w14:paraId="1E613C87">
      <w:pPr>
        <w:pStyle w:val="56"/>
        <w:spacing w:line="360" w:lineRule="auto"/>
        <w:ind w:firstLine="420"/>
      </w:pPr>
      <w:r>
        <w:rPr>
          <w:rFonts w:hint="eastAsia"/>
        </w:rPr>
        <w:t>c) 发生门诊严重不良事件（如危急值处置延迟导致伤害、严重用药错误、院感暴露、信息泄露等）；</w:t>
      </w:r>
    </w:p>
    <w:p w14:paraId="135BC23D">
      <w:pPr>
        <w:pStyle w:val="56"/>
        <w:spacing w:line="360" w:lineRule="auto"/>
        <w:ind w:firstLine="420"/>
      </w:pPr>
      <w:r>
        <w:rPr>
          <w:rFonts w:hint="eastAsia"/>
        </w:rPr>
        <w:t>d) 投诉聚集或医患纠纷风险显著上升，且与门诊流程或安全事件相关；</w:t>
      </w:r>
    </w:p>
    <w:p w14:paraId="4BEA2721">
      <w:pPr>
        <w:pStyle w:val="56"/>
        <w:spacing w:line="360" w:lineRule="auto"/>
        <w:ind w:firstLine="420"/>
      </w:pPr>
      <w:r>
        <w:rPr>
          <w:rFonts w:hint="eastAsia"/>
        </w:rPr>
        <w:t>e) 上级主管部门、质控机构或内部审计提出专项整改要求。</w:t>
      </w:r>
    </w:p>
    <w:p w14:paraId="2C030D16">
      <w:pPr>
        <w:pStyle w:val="65"/>
        <w:spacing w:before="120" w:after="120" w:line="360" w:lineRule="auto"/>
      </w:pPr>
      <w:r>
        <w:rPr>
          <w:rFonts w:hint="eastAsia"/>
        </w:rPr>
        <w:t>复盘组织与时效</w:t>
      </w:r>
    </w:p>
    <w:p w14:paraId="3CAD698A">
      <w:pPr>
        <w:pStyle w:val="56"/>
        <w:spacing w:line="360" w:lineRule="auto"/>
        <w:ind w:firstLine="420"/>
      </w:pPr>
      <w:r>
        <w:rPr>
          <w:rFonts w:hint="eastAsia"/>
        </w:rPr>
        <w:t>复盘至少应满足以下要求：</w:t>
      </w:r>
    </w:p>
    <w:p w14:paraId="0C19BF4A">
      <w:pPr>
        <w:pStyle w:val="56"/>
        <w:spacing w:line="360" w:lineRule="auto"/>
        <w:ind w:firstLine="420"/>
      </w:pPr>
      <w:r>
        <w:rPr>
          <w:rFonts w:hint="eastAsia"/>
        </w:rPr>
        <w:t>a) 红线触发或严重不良事件应在24小时内启动复盘；</w:t>
      </w:r>
    </w:p>
    <w:p w14:paraId="52CC397F">
      <w:pPr>
        <w:pStyle w:val="56"/>
        <w:spacing w:line="360" w:lineRule="auto"/>
        <w:ind w:firstLine="420"/>
      </w:pPr>
      <w:r>
        <w:rPr>
          <w:rFonts w:hint="eastAsia"/>
        </w:rPr>
        <w:t>b) 复盘组织应由医务部门或质控部门牵头，联合相关临床科室、药学、检验、影像、信息、感控及门诊管理部门参与；</w:t>
      </w:r>
    </w:p>
    <w:p w14:paraId="2915416B">
      <w:pPr>
        <w:pStyle w:val="56"/>
        <w:spacing w:line="360" w:lineRule="auto"/>
        <w:ind w:firstLine="420"/>
      </w:pPr>
      <w:r>
        <w:rPr>
          <w:rFonts w:hint="eastAsia"/>
        </w:rPr>
        <w:t>c) 复盘应明确主持人、记录人、责任边界与证据清单，确保结论可复核。</w:t>
      </w:r>
    </w:p>
    <w:p w14:paraId="40B8BF52">
      <w:pPr>
        <w:pStyle w:val="65"/>
        <w:spacing w:before="120" w:after="120" w:line="360" w:lineRule="auto"/>
      </w:pPr>
      <w:r>
        <w:rPr>
          <w:rFonts w:hint="eastAsia"/>
        </w:rPr>
        <w:t>复盘内容</w:t>
      </w:r>
    </w:p>
    <w:p w14:paraId="0A908476">
      <w:pPr>
        <w:pStyle w:val="56"/>
        <w:spacing w:line="360" w:lineRule="auto"/>
        <w:ind w:firstLine="420"/>
      </w:pPr>
      <w:r>
        <w:rPr>
          <w:rFonts w:hint="eastAsia"/>
        </w:rPr>
        <w:t>复盘报告至少应包括：</w:t>
      </w:r>
    </w:p>
    <w:p w14:paraId="65365AE9">
      <w:pPr>
        <w:pStyle w:val="56"/>
        <w:spacing w:line="360" w:lineRule="auto"/>
        <w:ind w:firstLine="420"/>
      </w:pPr>
      <w:r>
        <w:rPr>
          <w:rFonts w:hint="eastAsia"/>
        </w:rPr>
        <w:t>a) 事件概述：时间、地点、涉及科室、患者概况（脱敏）、事件类别与等级；</w:t>
      </w:r>
    </w:p>
    <w:p w14:paraId="714A97C0">
      <w:pPr>
        <w:pStyle w:val="56"/>
        <w:spacing w:line="360" w:lineRule="auto"/>
        <w:ind w:firstLine="420"/>
      </w:pPr>
      <w:r>
        <w:rPr>
          <w:rFonts w:hint="eastAsia"/>
        </w:rPr>
        <w:t>b) 时间线：关键节点与关键决策点，包括系统推送、人员确认、处置记录等；</w:t>
      </w:r>
    </w:p>
    <w:p w14:paraId="55AC8B4C">
      <w:pPr>
        <w:pStyle w:val="56"/>
        <w:spacing w:line="360" w:lineRule="auto"/>
        <w:ind w:firstLine="420"/>
      </w:pPr>
      <w:r>
        <w:rPr>
          <w:rFonts w:hint="eastAsia"/>
        </w:rPr>
        <w:t>c) 数据与证据：相关指标数据、日志、病历、处方审核记录、危急值记录、沟通记录等；</w:t>
      </w:r>
    </w:p>
    <w:p w14:paraId="5768C7D6">
      <w:pPr>
        <w:pStyle w:val="56"/>
        <w:spacing w:line="360" w:lineRule="auto"/>
        <w:ind w:firstLine="420"/>
      </w:pPr>
      <w:r>
        <w:rPr>
          <w:rFonts w:hint="eastAsia"/>
        </w:rPr>
        <w:t>d) 根因分析：按人员、流程、系统、环境、管理分类阐述；</w:t>
      </w:r>
    </w:p>
    <w:p w14:paraId="69C745CA">
      <w:pPr>
        <w:pStyle w:val="56"/>
        <w:spacing w:line="360" w:lineRule="auto"/>
        <w:ind w:firstLine="420"/>
      </w:pPr>
      <w:r>
        <w:rPr>
          <w:rFonts w:hint="eastAsia"/>
        </w:rPr>
        <w:t>e) 风险评估：潜在影响范围、复发概率、严重度评估；</w:t>
      </w:r>
    </w:p>
    <w:p w14:paraId="1CCD498D">
      <w:pPr>
        <w:pStyle w:val="56"/>
        <w:spacing w:line="360" w:lineRule="auto"/>
        <w:ind w:firstLine="420"/>
      </w:pPr>
      <w:r>
        <w:rPr>
          <w:rFonts w:hint="eastAsia"/>
        </w:rPr>
        <w:t>f) 整改措施：责任人、完成时限、资源保障与验证方法；</w:t>
      </w:r>
    </w:p>
    <w:p w14:paraId="0A8B60AC">
      <w:pPr>
        <w:pStyle w:val="56"/>
        <w:spacing w:line="360" w:lineRule="auto"/>
        <w:ind w:firstLine="420"/>
      </w:pPr>
      <w:r>
        <w:rPr>
          <w:rFonts w:hint="eastAsia"/>
        </w:rPr>
        <w:t>g) 复评计划：复评时点、复评指标、预期目标；</w:t>
      </w:r>
    </w:p>
    <w:p w14:paraId="2FC83BD3">
      <w:pPr>
        <w:pStyle w:val="56"/>
        <w:spacing w:line="360" w:lineRule="auto"/>
        <w:ind w:firstLine="420"/>
      </w:pPr>
      <w:r>
        <w:rPr>
          <w:rFonts w:hint="eastAsia"/>
        </w:rPr>
        <w:t>h) 经验沉淀：制度修订、培训要点、系统改造清单。</w:t>
      </w:r>
    </w:p>
    <w:p w14:paraId="6E3BF6F3">
      <w:pPr>
        <w:pStyle w:val="65"/>
        <w:spacing w:before="120" w:after="120" w:line="360" w:lineRule="auto"/>
      </w:pPr>
      <w:r>
        <w:rPr>
          <w:rFonts w:hint="eastAsia"/>
        </w:rPr>
        <w:t>闭环要求</w:t>
      </w:r>
    </w:p>
    <w:p w14:paraId="0D7DCC3B">
      <w:pPr>
        <w:pStyle w:val="165"/>
        <w:spacing w:line="360" w:lineRule="auto"/>
      </w:pPr>
      <w:r>
        <w:rPr>
          <w:rFonts w:hint="eastAsia"/>
        </w:rPr>
        <w:t>复盘结论与整改措施应纳入整改台账，做到“问题可跟踪、措施可验证、结果可审计”。</w:t>
      </w:r>
    </w:p>
    <w:p w14:paraId="2E10A1F7">
      <w:pPr>
        <w:pStyle w:val="165"/>
        <w:spacing w:line="360" w:lineRule="auto"/>
      </w:pPr>
      <w:r>
        <w:rPr>
          <w:rFonts w:hint="eastAsia"/>
        </w:rPr>
        <w:t>对逾期未完成整改的，应升级管理干预并说明原因。</w:t>
      </w:r>
    </w:p>
    <w:p w14:paraId="6FFC6888">
      <w:pPr>
        <w:pStyle w:val="165"/>
        <w:spacing w:line="360" w:lineRule="auto"/>
      </w:pPr>
      <w:r>
        <w:rPr>
          <w:rFonts w:hint="eastAsia"/>
        </w:rPr>
        <w:t>复盘后的指标再评价应形成对照报告，并归档保存。</w:t>
      </w:r>
    </w:p>
    <w:p w14:paraId="44FCC152">
      <w:pPr>
        <w:pStyle w:val="105"/>
        <w:spacing w:before="120" w:after="120" w:line="360" w:lineRule="auto"/>
      </w:pPr>
      <w:r>
        <w:rPr>
          <w:rFonts w:hint="eastAsia"/>
        </w:rPr>
        <w:t>评审机制</w:t>
      </w:r>
    </w:p>
    <w:p w14:paraId="2E6016A1">
      <w:pPr>
        <w:pStyle w:val="65"/>
        <w:spacing w:before="120" w:after="120" w:line="360" w:lineRule="auto"/>
      </w:pPr>
      <w:r>
        <w:rPr>
          <w:rFonts w:hint="eastAsia"/>
        </w:rPr>
        <w:t>指标体系评审</w:t>
      </w:r>
    </w:p>
    <w:p w14:paraId="1071449D">
      <w:pPr>
        <w:pStyle w:val="56"/>
        <w:spacing w:line="360" w:lineRule="auto"/>
        <w:ind w:firstLine="420"/>
      </w:pPr>
      <w:r>
        <w:rPr>
          <w:rFonts w:hint="eastAsia"/>
        </w:rPr>
        <w:t>指标体系评审要求如下：</w:t>
      </w:r>
    </w:p>
    <w:p w14:paraId="3750EE96">
      <w:pPr>
        <w:pStyle w:val="56"/>
        <w:spacing w:line="360" w:lineRule="auto"/>
        <w:ind w:firstLine="420"/>
      </w:pPr>
      <w:r>
        <w:rPr>
          <w:rFonts w:hint="eastAsia"/>
        </w:rPr>
        <w:t>a) 指标体系与阈值配置应至少每年评审一次；</w:t>
      </w:r>
    </w:p>
    <w:p w14:paraId="36DDD100">
      <w:pPr>
        <w:pStyle w:val="56"/>
        <w:spacing w:line="360" w:lineRule="auto"/>
        <w:ind w:firstLine="420"/>
      </w:pPr>
      <w:r>
        <w:rPr>
          <w:rFonts w:hint="eastAsia"/>
        </w:rPr>
        <w:t>b) 评审应结合就诊结构变化、病种谱变化、政策与监管要求变化，以及重大事件复盘结果；</w:t>
      </w:r>
    </w:p>
    <w:p w14:paraId="7243D3D7">
      <w:pPr>
        <w:pStyle w:val="56"/>
        <w:spacing w:line="360" w:lineRule="auto"/>
        <w:ind w:firstLine="420"/>
      </w:pPr>
      <w:r>
        <w:rPr>
          <w:rFonts w:hint="eastAsia"/>
        </w:rPr>
        <w:t>c) 指标定义、分母范围、时间窗、数据来源发生变更时，应进行版本管理，并提供新旧口径对照说明。</w:t>
      </w:r>
    </w:p>
    <w:p w14:paraId="142B7976">
      <w:pPr>
        <w:pStyle w:val="65"/>
        <w:spacing w:before="120" w:after="120" w:line="360" w:lineRule="auto"/>
      </w:pPr>
      <w:r>
        <w:rPr>
          <w:rFonts w:hint="eastAsia"/>
        </w:rPr>
        <w:t>规则库评审</w:t>
      </w:r>
    </w:p>
    <w:p w14:paraId="62DF50AC">
      <w:pPr>
        <w:pStyle w:val="56"/>
        <w:spacing w:line="360" w:lineRule="auto"/>
        <w:ind w:firstLine="420"/>
      </w:pPr>
      <w:r>
        <w:rPr>
          <w:rFonts w:hint="eastAsia"/>
        </w:rPr>
        <w:t>处方审核规则库、危急值推送与确认规则、分诊筛查规则等信息系统规则，应纳入评审范围。评审应关注：</w:t>
      </w:r>
    </w:p>
    <w:p w14:paraId="2C26C827">
      <w:pPr>
        <w:pStyle w:val="56"/>
        <w:spacing w:line="360" w:lineRule="auto"/>
        <w:ind w:firstLine="420"/>
      </w:pPr>
      <w:r>
        <w:rPr>
          <w:rFonts w:hint="eastAsia"/>
        </w:rPr>
        <w:t>a) 规则有效性：拦截是否命中真正高风险，是否存在大量误报；</w:t>
      </w:r>
    </w:p>
    <w:p w14:paraId="66D948B2">
      <w:pPr>
        <w:pStyle w:val="56"/>
        <w:spacing w:line="360" w:lineRule="auto"/>
        <w:ind w:firstLine="420"/>
      </w:pPr>
      <w:r>
        <w:rPr>
          <w:rFonts w:hint="eastAsia"/>
        </w:rPr>
        <w:t>b) 规则执行性：强拦截是否存在绕过路径，处置留痕是否完整；</w:t>
      </w:r>
    </w:p>
    <w:p w14:paraId="38C6CE46">
      <w:pPr>
        <w:pStyle w:val="56"/>
        <w:spacing w:line="360" w:lineRule="auto"/>
        <w:ind w:firstLine="420"/>
      </w:pPr>
      <w:r>
        <w:rPr>
          <w:rFonts w:hint="eastAsia"/>
        </w:rPr>
        <w:t>c) 提示负担：是否存在提示疲劳，是否需要分级提示与精简；</w:t>
      </w:r>
    </w:p>
    <w:p w14:paraId="6454341B">
      <w:pPr>
        <w:pStyle w:val="56"/>
        <w:spacing w:line="360" w:lineRule="auto"/>
        <w:ind w:firstLine="420"/>
      </w:pPr>
      <w:r>
        <w:rPr>
          <w:rFonts w:hint="eastAsia"/>
        </w:rPr>
        <w:t>d) 规则更新：药品目录、检验项目阈值、临床路径变化后的规则同步。</w:t>
      </w:r>
    </w:p>
    <w:p w14:paraId="011B4219">
      <w:pPr>
        <w:pStyle w:val="65"/>
        <w:spacing w:before="120" w:after="120" w:line="360" w:lineRule="auto"/>
      </w:pPr>
      <w:r>
        <w:rPr>
          <w:rFonts w:hint="eastAsia"/>
        </w:rPr>
        <w:t>结果应用</w:t>
      </w:r>
    </w:p>
    <w:p w14:paraId="0DC36179">
      <w:pPr>
        <w:pStyle w:val="56"/>
        <w:spacing w:line="360" w:lineRule="auto"/>
        <w:ind w:firstLine="420"/>
      </w:pPr>
      <w:r>
        <w:rPr>
          <w:rFonts w:hint="eastAsia"/>
        </w:rPr>
        <w:t>评审结论应形成改进计划，并与培训、资源配置、绩效考核联动。</w:t>
      </w:r>
    </w:p>
    <w:p w14:paraId="1B7F0EC4">
      <w:pPr>
        <w:pStyle w:val="56"/>
        <w:spacing w:line="360" w:lineRule="auto"/>
        <w:ind w:firstLine="420"/>
      </w:pPr>
      <w:r>
        <w:rPr>
          <w:rFonts w:hint="eastAsia"/>
        </w:rPr>
        <w:t>对连续两个周期触发预警且未改善的指标项，应启动专项治理并设立阶段性目标。</w:t>
      </w:r>
    </w:p>
    <w:p w14:paraId="40310A7F">
      <w:pPr>
        <w:pStyle w:val="56"/>
        <w:spacing w:line="360" w:lineRule="auto"/>
        <w:ind w:firstLine="420"/>
      </w:pPr>
      <w:r>
        <w:rPr>
          <w:rFonts w:hint="eastAsia"/>
        </w:rPr>
        <w:t>对改进成效显著的措施，应总结经验并在门诊范围内推广。</w:t>
      </w:r>
    </w:p>
    <w:bookmarkEnd w:id="26"/>
    <w:p w14:paraId="346C77C3">
      <w:pPr>
        <w:pStyle w:val="56"/>
        <w:ind w:firstLine="0" w:firstLineChars="0"/>
        <w:jc w:val="center"/>
      </w:pPr>
      <w:bookmarkStart w:id="56" w:name="BookMark8"/>
      <w:r>
        <w:drawing>
          <wp:inline distT="0" distB="0" distL="0" distR="0">
            <wp:extent cx="1485900" cy="317500"/>
            <wp:effectExtent l="0" t="0" r="0" b="6350"/>
            <wp:docPr id="2143981084" name="图片 2"/>
            <wp:cNvGraphicFramePr/>
            <a:graphic xmlns:a="http://schemas.openxmlformats.org/drawingml/2006/main">
              <a:graphicData uri="http://schemas.openxmlformats.org/drawingml/2006/picture">
                <pic:pic xmlns:pic="http://schemas.openxmlformats.org/drawingml/2006/picture">
                  <pic:nvPicPr>
                    <pic:cNvPr id="2143981084" name="图片 2"/>
                    <pic:cNvPicPr/>
                  </pic:nvPicPr>
                  <pic:blipFill>
                    <a:blip r:embed="rId3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headerReference r:id="rId22" w:type="default"/>
      <w:footerReference r:id="rId24" w:type="default"/>
      <w:headerReference r:id="rId23" w:type="even"/>
      <w:footerReference r:id="rId25"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40173">
    <w:pPr>
      <w:pStyle w:val="51"/>
    </w:pPr>
    <w:r>
      <w:fldChar w:fldCharType="begin"/>
    </w:r>
    <w:r>
      <w:instrText xml:space="preserve"> PAGE   \* MERGEFORMAT \* MERGEFORMAT </w:instrText>
    </w:r>
    <w:r>
      <w:fldChar w:fldCharType="separate"/>
    </w:r>
    <w:r>
      <w:t>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0437E">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8E5A4">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AF828E">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78ED7">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C5C74">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730E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5C818">
    <w:pPr>
      <w:pStyle w:val="61"/>
      <w:rPr>
        <w:rFonts w:hint="eastAsia"/>
      </w:rPr>
    </w:pPr>
    <w:r>
      <w:fldChar w:fldCharType="begin"/>
    </w:r>
    <w:r>
      <w:instrText xml:space="preserve"> STYLEREF  标准文件_文件编号  \* MERGEFORMAT </w:instrText>
    </w:r>
    <w:r>
      <w:fldChar w:fldCharType="separate"/>
    </w:r>
    <w:r>
      <w:t>T/XJBX 0196—2026</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74171">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0196—2026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rPr>
        <w:rFonts w:hint="eastAsia"/>
      </w:rPr>
    </w:pPr>
    <w:r>
      <w:fldChar w:fldCharType="begin"/>
    </w:r>
    <w:r>
      <w:instrText xml:space="preserve"> STYLEREF  标准文件_文件编号  \* MERGEFORMAT </w:instrText>
    </w:r>
    <w:r>
      <w:fldChar w:fldCharType="separate"/>
    </w:r>
    <w:r>
      <w:t>T/XJBX 0196—2026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0196—2026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B0C52">
    <w:pPr>
      <w:pStyle w:val="1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1BF63">
    <w:pPr>
      <w:pStyle w:val="61"/>
      <w:rPr>
        <w:rFonts w:hint="eastAsia"/>
      </w:rPr>
    </w:pPr>
    <w:r>
      <w:fldChar w:fldCharType="begin"/>
    </w:r>
    <w:r>
      <w:instrText xml:space="preserve"> STYLEREF  标准文件_文件编号  \* MERGEFORMAT </w:instrText>
    </w:r>
    <w:r>
      <w:fldChar w:fldCharType="separate"/>
    </w:r>
    <w:r>
      <w:t>T/XJBX 0196—2026</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4DB27">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0196—2026</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5C45E">
    <w:pPr>
      <w:pStyle w:val="61"/>
      <w:rPr>
        <w:rFonts w:hint="eastAsia"/>
      </w:rPr>
    </w:pPr>
    <w:r>
      <w:fldChar w:fldCharType="begin"/>
    </w:r>
    <w:r>
      <w:instrText xml:space="preserve"> STYLEREF  标准文件_文件编号  \* MERGEFORMAT </w:instrText>
    </w:r>
    <w:r>
      <w:fldChar w:fldCharType="separate"/>
    </w:r>
    <w:r>
      <w:t>T/XJBX 0196—2026</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A3E5D">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T/XJBX 0196—2026</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qQUADduRwiwAAAA="/>
  </w:docVars>
  <w:rsids>
    <w:rsidRoot w:val="00EB4D3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3F92"/>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019"/>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2577"/>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3DF"/>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824"/>
    <w:rsid w:val="001A1A53"/>
    <w:rsid w:val="001A234A"/>
    <w:rsid w:val="001A49AE"/>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22A"/>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075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2740"/>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6E2B"/>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857"/>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0B0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3AF"/>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10EF"/>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15EE"/>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28B4"/>
    <w:rsid w:val="009062E6"/>
    <w:rsid w:val="00911BE5"/>
    <w:rsid w:val="00913CA9"/>
    <w:rsid w:val="009145AE"/>
    <w:rsid w:val="009146CE"/>
    <w:rsid w:val="00914CA7"/>
    <w:rsid w:val="00915C3E"/>
    <w:rsid w:val="009161A8"/>
    <w:rsid w:val="009245AE"/>
    <w:rsid w:val="009245F5"/>
    <w:rsid w:val="009249EC"/>
    <w:rsid w:val="009271A9"/>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2941"/>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9779C"/>
    <w:rsid w:val="00BA263B"/>
    <w:rsid w:val="00BA42B2"/>
    <w:rsid w:val="00BA58D4"/>
    <w:rsid w:val="00BA5B9E"/>
    <w:rsid w:val="00BA7775"/>
    <w:rsid w:val="00BA7C9A"/>
    <w:rsid w:val="00BB5F8F"/>
    <w:rsid w:val="00BB657A"/>
    <w:rsid w:val="00BC1A4E"/>
    <w:rsid w:val="00BC5DC7"/>
    <w:rsid w:val="00BC6B8B"/>
    <w:rsid w:val="00BC73D8"/>
    <w:rsid w:val="00BD376B"/>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4CF"/>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8732D"/>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5A8C"/>
    <w:rsid w:val="00F37DDC"/>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1E8"/>
    <w:rsid w:val="00F95248"/>
    <w:rsid w:val="00F956A9"/>
    <w:rsid w:val="00F963ED"/>
    <w:rsid w:val="00F966CF"/>
    <w:rsid w:val="00F96CAE"/>
    <w:rsid w:val="00F97C99"/>
    <w:rsid w:val="00FA5797"/>
    <w:rsid w:val="00FA6215"/>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D987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2.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4.jpe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pn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footer" Target="footer7.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footer" Target="footer5.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footer" Target="footer3.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39C914F6">
          <w:pPr>
            <w:pStyle w:val="5"/>
            <w:rPr>
              <w:rFonts w:hint="eastAsia"/>
            </w:rPr>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5BDF18A5">
          <w:pPr>
            <w:pStyle w:val="6"/>
            <w:rPr>
              <w:rFonts w:hint="eastAsia"/>
            </w:rPr>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67519449">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524B3"/>
    <w:rsid w:val="00073F92"/>
    <w:rsid w:val="000D6844"/>
    <w:rsid w:val="00232C79"/>
    <w:rsid w:val="004F0B00"/>
    <w:rsid w:val="005E6634"/>
    <w:rsid w:val="007146E1"/>
    <w:rsid w:val="00896E06"/>
    <w:rsid w:val="009C1088"/>
    <w:rsid w:val="009E2941"/>
    <w:rsid w:val="00AE1DC6"/>
    <w:rsid w:val="00E51851"/>
    <w:rsid w:val="00E61D93"/>
    <w:rsid w:val="00F35A8C"/>
    <w:rsid w:val="00FD1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23</Pages>
  <Words>4927</Words>
  <Characters>5354</Characters>
  <Lines>377</Lines>
  <Paragraphs>511</Paragraphs>
  <TotalTime>59</TotalTime>
  <ScaleCrop>false</ScaleCrop>
  <LinksUpToDate>false</LinksUpToDate>
  <CharactersWithSpaces>5478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2026-01-27T09:01:50Z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2052-12.1.0.24657</vt:lpwstr>
  </property>
  <property fmtid="{D5CDD505-2E9C-101B-9397-08002B2CF9AE}" pid="17" name="ICV">
    <vt:lpwstr>D430EFB0464F494DB1177E70FCA8240B_12</vt:lpwstr>
  </property>
</Properties>
</file>