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5"/>
            </w:textInput>
          </w:ffData>
        </w:fldChar>
      </w:r>
      <w:bookmarkStart w:id="6" w:name="NSTD_CODE_F"/>
      <w:r>
        <w:instrText xml:space="preserve"> FORMTEXT </w:instrText>
      </w:r>
      <w:r>
        <w:fldChar w:fldCharType="separate"/>
      </w:r>
      <w:r>
        <w:t>0195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58DBCD32">
      <w:pPr>
        <w:pStyle w:val="197"/>
        <w:framePr w:h="6974" w:hRule="exact" w:wrap="around" w:x="1419" w:anchorLock="1"/>
      </w:pPr>
      <w:r>
        <w:fldChar w:fldCharType="begin">
          <w:ffData>
            <w:name w:val="CSTD_NAME"/>
            <w:enabled/>
            <w:calcOnExit w:val="0"/>
            <w:textInput>
              <w:default w:val="手足外科术后延续性护理质量评估操作指南"/>
            </w:textInput>
          </w:ffData>
        </w:fldChar>
      </w:r>
      <w:bookmarkStart w:id="9" w:name="CSTD_NAME"/>
      <w:r>
        <w:instrText xml:space="preserve"> FORMTEXT </w:instrText>
      </w:r>
      <w:r>
        <w:fldChar w:fldCharType="separate"/>
      </w:r>
      <w:r>
        <w:t>手足外科术后延续性护理质量</w:t>
      </w:r>
    </w:p>
    <w:p w14:paraId="73594FE6">
      <w:pPr>
        <w:pStyle w:val="197"/>
        <w:framePr w:h="6974" w:hRule="exact" w:wrap="around" w:x="1419" w:anchorLock="1"/>
      </w:pPr>
      <w:r>
        <w:t>评估操作指南</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operation of quality assessment of continuous postoperative nursing in hand and foot surger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operation of quality assessment of continuous postoperative nursing in hand and foot surgery</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7E83821">
      <w:pPr>
        <w:pStyle w:val="91"/>
        <w:spacing w:after="360"/>
      </w:pPr>
      <w:bookmarkStart w:id="21" w:name="BookMark1"/>
      <w:r>
        <w:rPr>
          <w:rFonts w:hint="eastAsia"/>
          <w:spacing w:val="320"/>
        </w:rPr>
        <w:t>目</w:t>
      </w:r>
      <w:r>
        <w:rPr>
          <w:rFonts w:hint="eastAsia"/>
        </w:rPr>
        <w:t>次</w:t>
      </w:r>
    </w:p>
    <w:p w14:paraId="66D2201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"_Toc220056896"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_Toc220056896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625CB1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"_Toc220056897"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_Toc220056897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2EC85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"_Toc220056898"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_Toc220056898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B7167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"_Toc220056899"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_Toc220056899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8E56EF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"_Toc220056900"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_Toc220056900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DE686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"_Toc220056901"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_Toc220056901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358D2A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"_Toc220056902" </w:instrText>
      </w:r>
      <w:r>
        <w:fldChar w:fldCharType="separate"/>
      </w:r>
      <w:r>
        <w:rPr>
          <w:rStyle w:val="32"/>
          <w:rFonts w:hint="eastAsia"/>
        </w:rPr>
        <w:t>5</w:t>
      </w:r>
      <w:r>
        <w:rPr>
          <w:rStyle w:val="32"/>
        </w:rPr>
        <w:t xml:space="preserve"> </w:t>
      </w:r>
      <w:r>
        <w:rPr>
          <w:rStyle w:val="32"/>
          <w:rFonts w:hint="eastAsia"/>
        </w:rPr>
        <w:t xml:space="preserve"> 评估对象与分层</w:t>
      </w:r>
      <w:r>
        <w:rPr>
          <w:rFonts w:hint="eastAsia"/>
        </w:rPr>
        <w:tab/>
      </w:r>
      <w:r>
        <w:rPr>
          <w:rFonts w:hint="eastAsia"/>
        </w:rPr>
        <w:fldChar w:fldCharType="begin"/>
      </w:r>
      <w:r>
        <w:rPr>
          <w:rFonts w:hint="eastAsia"/>
        </w:rPr>
        <w:instrText xml:space="preserve"> </w:instrText>
      </w:r>
      <w:r>
        <w:instrText xml:space="preserve">PAGEREF _Toc220056902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195F4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"_Toc220056903" </w:instrText>
      </w:r>
      <w:r>
        <w:fldChar w:fldCharType="separate"/>
      </w:r>
      <w:r>
        <w:rPr>
          <w:rStyle w:val="32"/>
          <w:rFonts w:hint="eastAsia"/>
        </w:rPr>
        <w:t>6</w:t>
      </w:r>
      <w:r>
        <w:rPr>
          <w:rStyle w:val="32"/>
        </w:rPr>
        <w:t xml:space="preserve"> </w:t>
      </w:r>
      <w:r>
        <w:rPr>
          <w:rStyle w:val="32"/>
          <w:rFonts w:hint="eastAsia"/>
        </w:rPr>
        <w:t xml:space="preserve"> 评估指标体系</w:t>
      </w:r>
      <w:r>
        <w:rPr>
          <w:rFonts w:hint="eastAsia"/>
        </w:rPr>
        <w:tab/>
      </w:r>
      <w:r>
        <w:rPr>
          <w:rFonts w:hint="eastAsia"/>
        </w:rPr>
        <w:fldChar w:fldCharType="begin"/>
      </w:r>
      <w:r>
        <w:rPr>
          <w:rFonts w:hint="eastAsia"/>
        </w:rPr>
        <w:instrText xml:space="preserve"> </w:instrText>
      </w:r>
      <w:r>
        <w:instrText xml:space="preserve">PAGEREF _Toc220056903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0DF6B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"_Toc220056904" </w:instrText>
      </w:r>
      <w:r>
        <w:fldChar w:fldCharType="separate"/>
      </w:r>
      <w:r>
        <w:rPr>
          <w:rStyle w:val="32"/>
          <w:rFonts w:hint="eastAsia"/>
        </w:rPr>
        <w:t>7</w:t>
      </w:r>
      <w:r>
        <w:rPr>
          <w:rStyle w:val="32"/>
        </w:rPr>
        <w:t xml:space="preserve"> </w:t>
      </w:r>
      <w:r>
        <w:rPr>
          <w:rStyle w:val="32"/>
          <w:rFonts w:hint="eastAsia"/>
        </w:rPr>
        <w:t xml:space="preserve"> 评估时点与数据采集</w:t>
      </w:r>
      <w:r>
        <w:rPr>
          <w:rFonts w:hint="eastAsia"/>
        </w:rPr>
        <w:tab/>
      </w:r>
      <w:r>
        <w:rPr>
          <w:rFonts w:hint="eastAsia"/>
        </w:rPr>
        <w:fldChar w:fldCharType="begin"/>
      </w:r>
      <w:r>
        <w:rPr>
          <w:rFonts w:hint="eastAsia"/>
        </w:rPr>
        <w:instrText xml:space="preserve"> </w:instrText>
      </w:r>
      <w:r>
        <w:instrText xml:space="preserve">PAGEREF _Toc220056904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62BBD3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"_Toc220056905" </w:instrText>
      </w:r>
      <w:r>
        <w:fldChar w:fldCharType="separate"/>
      </w:r>
      <w:r>
        <w:rPr>
          <w:rStyle w:val="32"/>
          <w:rFonts w:hint="eastAsia"/>
        </w:rPr>
        <w:t>8</w:t>
      </w:r>
      <w:r>
        <w:rPr>
          <w:rStyle w:val="32"/>
        </w:rPr>
        <w:t xml:space="preserve"> </w:t>
      </w:r>
      <w:r>
        <w:rPr>
          <w:rStyle w:val="32"/>
          <w:rFonts w:hint="eastAsia"/>
        </w:rPr>
        <w:t xml:space="preserve"> 分级判定与结果解释</w:t>
      </w:r>
      <w:r>
        <w:rPr>
          <w:rFonts w:hint="eastAsia"/>
        </w:rPr>
        <w:tab/>
      </w:r>
      <w:r>
        <w:rPr>
          <w:rFonts w:hint="eastAsia"/>
        </w:rPr>
        <w:fldChar w:fldCharType="begin"/>
      </w:r>
      <w:r>
        <w:rPr>
          <w:rFonts w:hint="eastAsia"/>
        </w:rPr>
        <w:instrText xml:space="preserve"> </w:instrText>
      </w:r>
      <w:r>
        <w:instrText xml:space="preserve">PAGEREF _Toc220056905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F19C10A">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05689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本文件起草单位：龙口市中医医院</w:t>
      </w:r>
      <w:bookmarkStart w:id="57" w:name="_GoBack"/>
      <w:bookmarkEnd w:id="57"/>
      <w:r>
        <w:rPr>
          <w:rFonts w:hint="eastAsia"/>
        </w:rPr>
        <w:t>。</w:t>
      </w:r>
    </w:p>
    <w:p w14:paraId="0EDBCEC9">
      <w:pPr>
        <w:pStyle w:val="56"/>
        <w:spacing w:line="360" w:lineRule="auto"/>
        <w:ind w:firstLine="420"/>
      </w:pPr>
      <w:r>
        <w:rPr>
          <w:rFonts w:hint="eastAsia"/>
        </w:rPr>
        <w:t>本文件主要起草人：穆晓燕。</w:t>
      </w:r>
    </w:p>
    <w:p w14:paraId="1B3EB912">
      <w:pPr>
        <w:pStyle w:val="56"/>
        <w:spacing w:line="360" w:lineRule="auto"/>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56897"/>
      <w:bookmarkStart w:id="25" w:name="BookMark3"/>
      <w:r>
        <w:rPr>
          <w:spacing w:val="320"/>
        </w:rPr>
        <w:t>引</w:t>
      </w:r>
      <w:r>
        <w:t>言</w:t>
      </w:r>
      <w:bookmarkEnd w:id="24"/>
    </w:p>
    <w:p w14:paraId="11D642D1">
      <w:pPr>
        <w:pStyle w:val="56"/>
        <w:spacing w:line="360" w:lineRule="auto"/>
        <w:ind w:firstLine="420"/>
      </w:pPr>
      <w:r>
        <w:rPr>
          <w:rFonts w:hint="eastAsia"/>
        </w:rPr>
        <w:t>手足外科手术具有创伤部位精细、功能恢复目标明确、并发症风险与康复周期相对较长等特点。患者术后常需经历伤口管理、肢体肿胀控制、疼痛管理、感染预防、功能位固定与拆除、康复训练循序推进、用药与复诊随访等连续过程。若出院后延续性护理支持不足，易出现伤口渗出感染、肿胀与循环障碍、疼痛控制不佳、石膏/支具压迫、关节僵硬与肌腱粘连、神经血管并发症漏识别、康复依从性差、复诊延误等问题，不仅影响手功能与足踝功能恢复，还可能导致再入院、再手术或长期功能障碍，进而增加患者家庭负担与医疗系统成本。</w:t>
      </w:r>
    </w:p>
    <w:p w14:paraId="6F7E7317">
      <w:pPr>
        <w:pStyle w:val="56"/>
        <w:spacing w:line="360" w:lineRule="auto"/>
        <w:ind w:firstLine="420"/>
      </w:pPr>
      <w:r>
        <w:rPr>
          <w:rFonts w:hint="eastAsia"/>
        </w:rPr>
        <w:t>延续性护理强调医疗机构出院管理与社区/家庭护理之间的连续衔接，其核心在于：对患者风险进行分层评估，制定个体化出院后护理计划，提供可达的随访与指导，并对护理效果进行持续评价与质量改进。当前不同机构在延续性护理质量评估方面普遍存在评估指标不统一、评估时点不一致、工具选择随意、数据采集与记录不规范、主观与客观指标混用但缺乏可比性、随访漏失与偏倚控制不足等问题，导致延续性护理服务质量难以量化、难以对标、难以持续优化。</w:t>
      </w:r>
    </w:p>
    <w:p w14:paraId="7F4A69FE">
      <w:pPr>
        <w:pStyle w:val="56"/>
        <w:spacing w:line="360" w:lineRule="auto"/>
        <w:ind w:firstLine="420"/>
      </w:pPr>
      <w:r>
        <w:rPr>
          <w:rFonts w:hint="eastAsia"/>
        </w:rPr>
        <w:t>本文件旨在建立一套适用于手足外科术后患者延续性护理的质量评估操作指南，明确评估对象与适用范围、术语与定义、评估总体原则、评估指标体系与权重建议、评估时点与随访路径、数据采集方法与质量控制、评价计算与分级判定、结果反馈与质量改进机制等内容，为医疗机构护理管理部门、手足外科专科护理团队、延续护理平台建设单位以及第三方评估机构提供可操作、可审计、可推广的统一技术依据。通过本文件实施，可提高延续性护理的规范化水平与可比性，促进护理资源精准投入，提升患者功能恢复质量与满意度，并降低可预防的不良事件发生率。</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5244B2BB">
          <w:pPr>
            <w:pStyle w:val="177"/>
            <w:spacing w:after="0"/>
          </w:pPr>
          <w:bookmarkStart w:id="27" w:name="NEW_STAND_NAME"/>
          <w:r>
            <w:rPr>
              <w:rFonts w:hint="eastAsia"/>
            </w:rPr>
            <w:t>手足外科术后延续性护理质量</w:t>
          </w:r>
        </w:p>
        <w:p w14:paraId="7D4E3E1F">
          <w:pPr>
            <w:pStyle w:val="177"/>
            <w:spacing w:before="0"/>
          </w:pPr>
          <w:r>
            <w:rPr>
              <w:rFonts w:hint="eastAsia"/>
            </w:rPr>
            <w:t>评估操作指南</w:t>
          </w:r>
        </w:p>
      </w:sdtContent>
    </w:sdt>
    <w:bookmarkEnd w:id="27"/>
    <w:p w14:paraId="3DB22445">
      <w:pPr>
        <w:pStyle w:val="104"/>
        <w:spacing w:before="240" w:after="240" w:line="360" w:lineRule="auto"/>
      </w:pPr>
      <w:bookmarkStart w:id="28" w:name="_Toc220056898"/>
      <w:bookmarkStart w:id="29" w:name="_Toc24884218"/>
      <w:bookmarkStart w:id="30" w:name="_Toc26648465"/>
      <w:bookmarkStart w:id="31" w:name="_Toc26986771"/>
      <w:bookmarkStart w:id="32" w:name="_Toc17233333"/>
      <w:bookmarkStart w:id="33" w:name="_Toc26718930"/>
      <w:bookmarkStart w:id="34" w:name="_Toc26986530"/>
      <w:bookmarkStart w:id="35" w:name="_Toc17233325"/>
      <w:bookmarkStart w:id="36" w:name="_Toc2488421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0EBF4B6C">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本文件规定了手足外科术后延续性护理质量评估的总体原则、评估对象与分层、评估指标体系、评估时点与数据采集及分级判定与结果解释等内容。</w:t>
      </w:r>
    </w:p>
    <w:p w14:paraId="76265264">
      <w:pPr>
        <w:pStyle w:val="56"/>
        <w:spacing w:line="360" w:lineRule="auto"/>
        <w:ind w:firstLine="420"/>
      </w:pPr>
      <w:r>
        <w:rPr>
          <w:rFonts w:hint="eastAsia"/>
        </w:rPr>
        <w:t>本文件适用于医疗机构对手足外科术后出院患者开展延续性护理服务的质量评估。</w:t>
      </w:r>
    </w:p>
    <w:p w14:paraId="3733B2AD">
      <w:pPr>
        <w:pStyle w:val="104"/>
        <w:spacing w:before="240" w:after="240" w:line="360" w:lineRule="auto"/>
      </w:pPr>
      <w:bookmarkStart w:id="43" w:name="_Toc26718931"/>
      <w:bookmarkStart w:id="44" w:name="_Toc220056899"/>
      <w:bookmarkStart w:id="45" w:name="_Toc97192965"/>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5784B2E">
      <w:pPr>
        <w:pStyle w:val="56"/>
        <w:spacing w:line="360" w:lineRule="auto"/>
        <w:ind w:firstLine="420"/>
      </w:pPr>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075362C8">
      <w:pPr>
        <w:pStyle w:val="56"/>
        <w:spacing w:line="360" w:lineRule="auto"/>
        <w:ind w:firstLine="420"/>
      </w:pPr>
      <w:r>
        <w:rPr>
          <w:rFonts w:hint="eastAsia"/>
        </w:rPr>
        <w:t>GB/T 35273 信息安全技术  个人信息安全规范</w:t>
      </w:r>
    </w:p>
    <w:p w14:paraId="7874CA43">
      <w:pPr>
        <w:pStyle w:val="56"/>
        <w:spacing w:line="360" w:lineRule="auto"/>
        <w:ind w:firstLine="420"/>
      </w:pPr>
      <w:r>
        <w:t>WS/T 312</w:t>
      </w:r>
      <w:r>
        <w:rPr>
          <w:rFonts w:hint="eastAsia"/>
        </w:rPr>
        <w:t>—</w:t>
      </w:r>
      <w:r>
        <w:t>2023</w:t>
      </w:r>
      <w:r>
        <w:rPr>
          <w:rFonts w:hint="eastAsia"/>
        </w:rPr>
        <w:t xml:space="preserve"> 医院感染监测标准</w:t>
      </w:r>
    </w:p>
    <w:p w14:paraId="2AF6DC61">
      <w:pPr>
        <w:pStyle w:val="56"/>
        <w:spacing w:line="360" w:lineRule="auto"/>
        <w:ind w:firstLine="420"/>
      </w:pPr>
      <w:r>
        <w:t>WS/T 431</w:t>
      </w:r>
      <w:r>
        <w:rPr>
          <w:rFonts w:hint="eastAsia"/>
        </w:rPr>
        <w:t>—</w:t>
      </w:r>
      <w:r>
        <w:t>2023</w:t>
      </w:r>
      <w:r>
        <w:rPr>
          <w:rFonts w:hint="eastAsia"/>
        </w:rPr>
        <w:t xml:space="preserve"> 护理分级标准</w:t>
      </w:r>
    </w:p>
    <w:p w14:paraId="51F02A4E">
      <w:pPr>
        <w:pStyle w:val="104"/>
        <w:spacing w:before="240" w:after="240" w:line="360" w:lineRule="auto"/>
      </w:pPr>
      <w:bookmarkStart w:id="48" w:name="_Toc97192966"/>
      <w:bookmarkStart w:id="49" w:name="_Toc22005690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F1545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延续性护理 continuing care</w:t>
      </w:r>
    </w:p>
    <w:p w14:paraId="5580136E">
      <w:pPr>
        <w:pStyle w:val="56"/>
        <w:spacing w:line="360" w:lineRule="auto"/>
        <w:ind w:firstLine="420"/>
      </w:pPr>
      <w:r>
        <w:rPr>
          <w:rFonts w:hint="eastAsia"/>
        </w:rPr>
        <w:t>患者从住院到出院后在不同照护场所之间获得连续、协调、可及的护理服务过程，包括出院评估、护理计划、健康教育、随访指导、问题处置与资源转介等。</w:t>
      </w:r>
    </w:p>
    <w:p w14:paraId="65FB19A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质量评估 quality assessment</w:t>
      </w:r>
    </w:p>
    <w:p w14:paraId="2FD5CA4E">
      <w:pPr>
        <w:pStyle w:val="56"/>
        <w:spacing w:line="360" w:lineRule="auto"/>
        <w:ind w:firstLine="420"/>
      </w:pPr>
      <w:r>
        <w:rPr>
          <w:rFonts w:hint="eastAsia"/>
        </w:rPr>
        <w:t>依据既定指标体系与评价方法，对延续性护理服务过程与结局进行测量、分析与判定的活动。</w:t>
      </w:r>
    </w:p>
    <w:p w14:paraId="1023D084">
      <w:pPr>
        <w:pStyle w:val="56"/>
        <w:spacing w:line="360" w:lineRule="auto"/>
        <w:ind w:firstLine="420"/>
      </w:pPr>
    </w:p>
    <w:p w14:paraId="131D30B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手足外科术后患者 postoperative patient of hand and foot surgery</w:t>
      </w:r>
    </w:p>
    <w:p w14:paraId="3001C858">
      <w:pPr>
        <w:pStyle w:val="56"/>
        <w:spacing w:line="360" w:lineRule="auto"/>
        <w:ind w:firstLine="420"/>
      </w:pPr>
      <w:r>
        <w:rPr>
          <w:rFonts w:hint="eastAsia"/>
        </w:rPr>
        <w:t>接受手足外科相关手术治疗并进入术后恢复期的患者，包括住院期与出院后恢复期。</w:t>
      </w:r>
    </w:p>
    <w:p w14:paraId="21897A7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随访 follow-up</w:t>
      </w:r>
    </w:p>
    <w:p w14:paraId="08396414">
      <w:pPr>
        <w:pStyle w:val="56"/>
        <w:spacing w:line="360" w:lineRule="auto"/>
        <w:ind w:firstLine="420"/>
      </w:pPr>
      <w:r>
        <w:rPr>
          <w:rFonts w:hint="eastAsia"/>
        </w:rPr>
        <w:t>护理人员在患者出院后按计划通过电话、互联网平台、门诊复诊、家庭访视或其他方式进行信息采集、指导与问题处置的过程。</w:t>
      </w:r>
    </w:p>
    <w:p w14:paraId="501DBA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护理依从性 nursing adherence</w:t>
      </w:r>
    </w:p>
    <w:p w14:paraId="32A86A28">
      <w:pPr>
        <w:pStyle w:val="56"/>
        <w:spacing w:line="360" w:lineRule="auto"/>
        <w:ind w:firstLine="420"/>
      </w:pPr>
      <w:r>
        <w:rPr>
          <w:rFonts w:hint="eastAsia"/>
        </w:rPr>
        <w:t>患者及照护者对术后护理措施（伤口管理、固定与保护、康复训练、用药、复诊等）的执行程度。</w:t>
      </w:r>
    </w:p>
    <w:p w14:paraId="5FB92B9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不良事件 adverse event</w:t>
      </w:r>
    </w:p>
    <w:p w14:paraId="6C9281EF">
      <w:pPr>
        <w:pStyle w:val="56"/>
        <w:spacing w:line="360" w:lineRule="auto"/>
        <w:ind w:firstLine="420"/>
      </w:pPr>
      <w:r>
        <w:rPr>
          <w:rFonts w:hint="eastAsia"/>
        </w:rPr>
        <w:t>在延续性护理期间发生的、可能导致患者伤害或功能恢复受损的事件，包括感染、出血、循环障碍、压疮/皮肤破损、跌倒、固定相关并发症、再入院等。</w:t>
      </w:r>
    </w:p>
    <w:p w14:paraId="4845E58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功能结局 functional outcome</w:t>
      </w:r>
    </w:p>
    <w:p w14:paraId="6239899C">
      <w:pPr>
        <w:pStyle w:val="56"/>
        <w:spacing w:line="360" w:lineRule="auto"/>
        <w:ind w:firstLine="420"/>
      </w:pPr>
      <w:r>
        <w:rPr>
          <w:rFonts w:hint="eastAsia"/>
        </w:rPr>
        <w:t>反映手或足踝功能恢复水平的客观或主观指标，可包括活动度、握力/捏力、步态与负重能力、日常生活能力等。</w:t>
      </w:r>
    </w:p>
    <w:p w14:paraId="115E4A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评估时点 assessment timepoint</w:t>
      </w:r>
    </w:p>
    <w:p w14:paraId="11ED0D72">
      <w:pPr>
        <w:pStyle w:val="56"/>
        <w:spacing w:line="360" w:lineRule="auto"/>
        <w:ind w:firstLine="420"/>
      </w:pPr>
      <w:r>
        <w:rPr>
          <w:rFonts w:hint="eastAsia"/>
        </w:rPr>
        <w:t>开展质量评估的数据采集时间节点，包括出院时、出院后早期、中期与末期等预设时间点。</w:t>
      </w:r>
    </w:p>
    <w:p w14:paraId="2B7C0808">
      <w:pPr>
        <w:pStyle w:val="104"/>
        <w:spacing w:before="240" w:after="240" w:line="360" w:lineRule="auto"/>
      </w:pPr>
      <w:bookmarkStart w:id="51" w:name="_Toc220056901"/>
      <w:r>
        <w:rPr>
          <w:rFonts w:hint="eastAsia"/>
        </w:rPr>
        <w:t>总体原则</w:t>
      </w:r>
      <w:bookmarkEnd w:id="51"/>
    </w:p>
    <w:p w14:paraId="2B4D92B3">
      <w:pPr>
        <w:pStyle w:val="105"/>
        <w:spacing w:before="120" w:after="120" w:line="360" w:lineRule="auto"/>
      </w:pPr>
      <w:r>
        <w:rPr>
          <w:rFonts w:hint="eastAsia"/>
        </w:rPr>
        <w:t>以患者安全与功能恢复为核心</w:t>
      </w:r>
    </w:p>
    <w:p w14:paraId="0BA3B8EC">
      <w:pPr>
        <w:pStyle w:val="56"/>
        <w:spacing w:line="360" w:lineRule="auto"/>
        <w:ind w:firstLine="420"/>
      </w:pPr>
      <w:r>
        <w:rPr>
          <w:rFonts w:hint="eastAsia"/>
        </w:rPr>
        <w:t>评估应以可预防不良事件控制与功能恢复质量提升为核心目标，突出伤口与循环安全、疼痛与肿胀管理、固定与康复训练、复诊与再入院管理等关键环节。</w:t>
      </w:r>
    </w:p>
    <w:p w14:paraId="6AB0948D">
      <w:pPr>
        <w:pStyle w:val="105"/>
        <w:spacing w:before="120" w:after="120" w:line="360" w:lineRule="auto"/>
      </w:pPr>
      <w:r>
        <w:rPr>
          <w:rFonts w:hint="eastAsia"/>
        </w:rPr>
        <w:t>过程与结局并重、分层评估</w:t>
      </w:r>
    </w:p>
    <w:p w14:paraId="13155202">
      <w:pPr>
        <w:pStyle w:val="56"/>
        <w:spacing w:line="360" w:lineRule="auto"/>
        <w:ind w:firstLine="420"/>
      </w:pPr>
      <w:r>
        <w:rPr>
          <w:rFonts w:hint="eastAsia"/>
        </w:rPr>
        <w:t>评估指标体系应包含结构/过程指标与结局指标，并按患者风险分层（高风险/中风险/低风险）设置差异化随访频次与评价权重，避免“一刀切”导致资源浪费或关键风险漏管。</w:t>
      </w:r>
    </w:p>
    <w:p w14:paraId="462E8661">
      <w:pPr>
        <w:pStyle w:val="105"/>
        <w:spacing w:before="120" w:after="120" w:line="360" w:lineRule="auto"/>
      </w:pPr>
      <w:r>
        <w:rPr>
          <w:rFonts w:hint="eastAsia"/>
        </w:rPr>
        <w:t>指标可操作、数据可追溯</w:t>
      </w:r>
    </w:p>
    <w:p w14:paraId="71976488">
      <w:pPr>
        <w:pStyle w:val="56"/>
        <w:spacing w:line="360" w:lineRule="auto"/>
        <w:ind w:firstLine="420"/>
      </w:pPr>
      <w:r>
        <w:rPr>
          <w:rFonts w:hint="eastAsia"/>
        </w:rPr>
        <w:t>所有指标应定义清晰、采集方法明确、判定标准一致，支持信息化记录与追溯。对主观量表与客观测量应明确工具来源、评分方法与解释规则，确保可比性。</w:t>
      </w:r>
    </w:p>
    <w:p w14:paraId="4FBE6AF7">
      <w:pPr>
        <w:pStyle w:val="56"/>
        <w:spacing w:line="360" w:lineRule="auto"/>
        <w:ind w:firstLine="420"/>
      </w:pPr>
    </w:p>
    <w:p w14:paraId="21DE94EB">
      <w:pPr>
        <w:pStyle w:val="56"/>
        <w:spacing w:line="360" w:lineRule="auto"/>
        <w:ind w:firstLine="420"/>
        <w:rPr>
          <w:rFonts w:hint="eastAsia"/>
        </w:rPr>
      </w:pPr>
    </w:p>
    <w:p w14:paraId="784B4DB9">
      <w:pPr>
        <w:pStyle w:val="105"/>
        <w:spacing w:before="120" w:after="120" w:line="360" w:lineRule="auto"/>
      </w:pPr>
      <w:r>
        <w:rPr>
          <w:rFonts w:hint="eastAsia"/>
        </w:rPr>
        <w:t>隐私保护与合规</w:t>
      </w:r>
    </w:p>
    <w:p w14:paraId="03D4869F">
      <w:pPr>
        <w:pStyle w:val="56"/>
        <w:spacing w:line="360" w:lineRule="auto"/>
        <w:ind w:firstLine="420"/>
      </w:pPr>
      <w:r>
        <w:rPr>
          <w:rFonts w:hint="eastAsia"/>
        </w:rPr>
        <w:t>随访与数据管理应遵循最小必要原则，明确授权与告知，采取访问控制、脱敏与日志留痕等措施，确保患者隐私与数据安全。</w:t>
      </w:r>
    </w:p>
    <w:p w14:paraId="6890F7B4">
      <w:pPr>
        <w:pStyle w:val="104"/>
        <w:spacing w:before="240" w:after="240" w:line="360" w:lineRule="auto"/>
      </w:pPr>
      <w:bookmarkStart w:id="52" w:name="_Toc220056902"/>
      <w:r>
        <w:rPr>
          <w:rFonts w:hint="eastAsia"/>
        </w:rPr>
        <w:t>评估对象与分层</w:t>
      </w:r>
      <w:bookmarkEnd w:id="52"/>
    </w:p>
    <w:p w14:paraId="447B4A7D">
      <w:pPr>
        <w:pStyle w:val="105"/>
        <w:spacing w:before="120" w:after="120" w:line="360" w:lineRule="auto"/>
      </w:pPr>
      <w:r>
        <w:rPr>
          <w:rFonts w:hint="eastAsia"/>
        </w:rPr>
        <w:t>总则</w:t>
      </w:r>
    </w:p>
    <w:p w14:paraId="086FCDF6">
      <w:pPr>
        <w:pStyle w:val="165"/>
        <w:spacing w:line="360" w:lineRule="auto"/>
      </w:pPr>
      <w:r>
        <w:rPr>
          <w:rFonts w:hint="eastAsia"/>
        </w:rPr>
        <w:t>手足外科术后延续性护理质量评估应以“评估对象可界定、风险分层可复现、随访资源可匹配、结局事件可追溯”为基本要求。</w:t>
      </w:r>
    </w:p>
    <w:p w14:paraId="27EE4EF9">
      <w:pPr>
        <w:pStyle w:val="165"/>
        <w:spacing w:line="360" w:lineRule="auto"/>
      </w:pPr>
      <w:r>
        <w:rPr>
          <w:rFonts w:hint="eastAsia"/>
        </w:rPr>
        <w:t>评估对象应覆盖本文件适用范围内的主要术式与典型恢复路径，并通过风险分层实现差异化随访频次、评估重点与质量判定口径的一致性，避免因患者异质性导致评估结果失真或不可比。</w:t>
      </w:r>
    </w:p>
    <w:p w14:paraId="67DD50B2">
      <w:pPr>
        <w:pStyle w:val="165"/>
        <w:spacing w:line="360" w:lineRule="auto"/>
      </w:pPr>
      <w:r>
        <w:rPr>
          <w:rFonts w:hint="eastAsia"/>
        </w:rPr>
        <w:t>风险分层结果应作为延续性护理计划制定、随访时点设置、重点问题清单推送、异常处置触发与质量评价权重配置的重要依据，且应在出院前完成并形成可追溯记录。</w:t>
      </w:r>
    </w:p>
    <w:p w14:paraId="7B9A71D6">
      <w:pPr>
        <w:pStyle w:val="105"/>
        <w:spacing w:before="120" w:after="120" w:line="360" w:lineRule="auto"/>
      </w:pPr>
      <w:r>
        <w:rPr>
          <w:rFonts w:hint="eastAsia"/>
        </w:rPr>
        <w:t>评估对象纳入标准</w:t>
      </w:r>
    </w:p>
    <w:p w14:paraId="0B13C3AF">
      <w:pPr>
        <w:pStyle w:val="56"/>
        <w:spacing w:line="360" w:lineRule="auto"/>
        <w:ind w:firstLine="420"/>
      </w:pPr>
      <w:r>
        <w:rPr>
          <w:rFonts w:hint="eastAsia"/>
        </w:rPr>
        <w:t>符合下列条件的患者应纳入延续性护理质量评估：</w:t>
      </w:r>
    </w:p>
    <w:p w14:paraId="79E34B75">
      <w:pPr>
        <w:pStyle w:val="132"/>
        <w:spacing w:line="360" w:lineRule="auto"/>
      </w:pPr>
      <w:r>
        <w:rPr>
          <w:rFonts w:hint="eastAsia"/>
        </w:rPr>
        <w:t>在医疗机构手足外科完成手或足踝相关手术治疗并出院；</w:t>
      </w:r>
    </w:p>
    <w:p w14:paraId="1FD2C47D">
      <w:pPr>
        <w:pStyle w:val="132"/>
        <w:spacing w:line="360" w:lineRule="auto"/>
      </w:pPr>
      <w:r>
        <w:rPr>
          <w:rFonts w:hint="eastAsia"/>
        </w:rPr>
        <w:t>出院时明确需要出院后延续性护理支持，包括但不限于伤口管理、固定/支具管理、疼痛与肿胀管理、康复训练指导、用药与复诊管理；</w:t>
      </w:r>
    </w:p>
    <w:p w14:paraId="73C8A1FC">
      <w:pPr>
        <w:pStyle w:val="132"/>
        <w:spacing w:line="360" w:lineRule="auto"/>
      </w:pPr>
      <w:r>
        <w:rPr>
          <w:rFonts w:hint="eastAsia"/>
        </w:rPr>
        <w:t>已完成出院前基础评估与护理计划制定，且具备随访执行的必要信息（至少包含有效联系方式、随访渠道与紧急联系人）；</w:t>
      </w:r>
    </w:p>
    <w:p w14:paraId="72FB31B0">
      <w:pPr>
        <w:pStyle w:val="132"/>
        <w:spacing w:line="360" w:lineRule="auto"/>
      </w:pPr>
      <w:r>
        <w:rPr>
          <w:rFonts w:hint="eastAsia"/>
        </w:rPr>
        <w:t>患者或照护者已知情并同意接受随访、健康指导及与质量评估相关的数据采集；</w:t>
      </w:r>
    </w:p>
    <w:p w14:paraId="04E4C385">
      <w:pPr>
        <w:pStyle w:val="132"/>
        <w:spacing w:line="360" w:lineRule="auto"/>
      </w:pPr>
      <w:r>
        <w:rPr>
          <w:rFonts w:hint="eastAsia"/>
        </w:rPr>
        <w:t>患者出院后可在本文件规定的随访路径下获得随访服务（电话、互联网平台、门诊复诊或其他方式之一或组合）。</w:t>
      </w:r>
    </w:p>
    <w:p w14:paraId="07CD466B">
      <w:pPr>
        <w:pStyle w:val="179"/>
        <w:spacing w:line="360" w:lineRule="auto"/>
      </w:pPr>
      <w:r>
        <w:rPr>
          <w:rFonts w:hint="eastAsia"/>
        </w:rPr>
        <w:t>对未成年人、认知障碍患者等特殊人群，纳入前应确认其法定代理人或主要照护者具备随访配合能力，并在护理计划中明确照护责任人。</w:t>
      </w:r>
    </w:p>
    <w:p w14:paraId="22548717">
      <w:pPr>
        <w:pStyle w:val="105"/>
        <w:spacing w:before="120" w:after="120" w:line="360" w:lineRule="auto"/>
      </w:pPr>
      <w:r>
        <w:rPr>
          <w:rFonts w:hint="eastAsia"/>
        </w:rPr>
        <w:t>排除与特殊管理情形</w:t>
      </w:r>
    </w:p>
    <w:p w14:paraId="40C8BAD4">
      <w:pPr>
        <w:pStyle w:val="65"/>
        <w:spacing w:before="120" w:after="120" w:line="360" w:lineRule="auto"/>
      </w:pPr>
      <w:r>
        <w:rPr>
          <w:rFonts w:hint="eastAsia"/>
        </w:rPr>
        <w:t>排除情形</w:t>
      </w:r>
    </w:p>
    <w:p w14:paraId="6A7A2E15">
      <w:pPr>
        <w:pStyle w:val="56"/>
        <w:spacing w:line="360" w:lineRule="auto"/>
        <w:ind w:firstLine="420"/>
      </w:pPr>
      <w:r>
        <w:rPr>
          <w:rFonts w:hint="eastAsia"/>
        </w:rPr>
        <w:t>符合下列情形之一的患者，可不纳入本文件的延续性护理质量评估统计范围，但应在管理系统中标注原因并留存依据：</w:t>
      </w:r>
    </w:p>
    <w:p w14:paraId="4EEAB61A">
      <w:pPr>
        <w:pStyle w:val="132"/>
        <w:spacing w:line="360" w:lineRule="auto"/>
      </w:pPr>
      <w:r>
        <w:rPr>
          <w:rFonts w:hint="eastAsia"/>
        </w:rPr>
        <w:t>出院后立即转入其他医疗机构继续住院治疗且延续性护理由接收机构承担；</w:t>
      </w:r>
    </w:p>
    <w:p w14:paraId="1D58D4E5">
      <w:pPr>
        <w:pStyle w:val="132"/>
        <w:spacing w:line="360" w:lineRule="auto"/>
      </w:pPr>
      <w:r>
        <w:rPr>
          <w:rFonts w:hint="eastAsia"/>
        </w:rPr>
        <w:t>出院后进入长期照护机构且无法实施本文件规定的随访与数据采集要求；</w:t>
      </w:r>
    </w:p>
    <w:p w14:paraId="73EC19AC">
      <w:pPr>
        <w:pStyle w:val="132"/>
        <w:spacing w:line="360" w:lineRule="auto"/>
      </w:pPr>
      <w:r>
        <w:rPr>
          <w:rFonts w:hint="eastAsia"/>
        </w:rPr>
        <w:t>患者拒绝随访或撤回同意，且无替代数据来源支持评估；</w:t>
      </w:r>
    </w:p>
    <w:p w14:paraId="748C1623">
      <w:pPr>
        <w:pStyle w:val="132"/>
        <w:spacing w:line="360" w:lineRule="auto"/>
      </w:pPr>
      <w:r>
        <w:rPr>
          <w:rFonts w:hint="eastAsia"/>
        </w:rPr>
        <w:t>无法建立任何可达联系方式，且经规定次数联系仍失败（应记录联系次数、时间与方式）。</w:t>
      </w:r>
    </w:p>
    <w:p w14:paraId="162DFCD7">
      <w:pPr>
        <w:pStyle w:val="65"/>
        <w:spacing w:before="120" w:after="120" w:line="360" w:lineRule="auto"/>
      </w:pPr>
      <w:r>
        <w:rPr>
          <w:rFonts w:hint="eastAsia"/>
        </w:rPr>
        <w:t>特殊管理情形</w:t>
      </w:r>
    </w:p>
    <w:p w14:paraId="7A9C7F04">
      <w:pPr>
        <w:pStyle w:val="56"/>
        <w:spacing w:line="360" w:lineRule="auto"/>
        <w:ind w:firstLine="420"/>
      </w:pPr>
      <w:r>
        <w:rPr>
          <w:rFonts w:hint="eastAsia"/>
        </w:rPr>
        <w:t>符合下列情形之一的患者，宜纳入“特殊管理”并单独统计分析：</w:t>
      </w:r>
    </w:p>
    <w:p w14:paraId="33C90B87">
      <w:pPr>
        <w:pStyle w:val="132"/>
        <w:spacing w:line="360" w:lineRule="auto"/>
      </w:pPr>
      <w:r>
        <w:rPr>
          <w:rFonts w:hint="eastAsia"/>
        </w:rPr>
        <w:t>术后并发症已在出院前发生且处置未完成，需跨机构连续治疗；</w:t>
      </w:r>
    </w:p>
    <w:p w14:paraId="42CC00A0">
      <w:pPr>
        <w:pStyle w:val="132"/>
        <w:spacing w:line="360" w:lineRule="auto"/>
      </w:pPr>
      <w:r>
        <w:rPr>
          <w:rFonts w:hint="eastAsia"/>
        </w:rPr>
        <w:t>合并严重基础疾病或多系统疾病，出院后护理主要由其他专科主导；</w:t>
      </w:r>
    </w:p>
    <w:p w14:paraId="0349EC8A">
      <w:pPr>
        <w:pStyle w:val="132"/>
        <w:spacing w:line="360" w:lineRule="auto"/>
      </w:pPr>
      <w:r>
        <w:rPr>
          <w:rFonts w:hint="eastAsia"/>
        </w:rPr>
        <w:t>因突发事件导致随访中断（如自然灾害、公共卫生事件、通信中断），且对群体数据完整性产生显著影响。</w:t>
      </w:r>
    </w:p>
    <w:p w14:paraId="257DEC08">
      <w:pPr>
        <w:pStyle w:val="105"/>
        <w:spacing w:before="120" w:after="120" w:line="360" w:lineRule="auto"/>
      </w:pPr>
      <w:r>
        <w:rPr>
          <w:rFonts w:hint="eastAsia"/>
        </w:rPr>
        <w:t>风险分层要素与分层方法</w:t>
      </w:r>
    </w:p>
    <w:p w14:paraId="49DA0A25">
      <w:pPr>
        <w:pStyle w:val="65"/>
        <w:spacing w:before="120" w:after="120" w:line="360" w:lineRule="auto"/>
      </w:pPr>
      <w:r>
        <w:rPr>
          <w:rFonts w:hint="eastAsia"/>
        </w:rPr>
        <w:t>风险分层要素</w:t>
      </w:r>
    </w:p>
    <w:p w14:paraId="7CF5BDC9">
      <w:pPr>
        <w:pStyle w:val="56"/>
        <w:spacing w:line="360" w:lineRule="auto"/>
        <w:ind w:firstLine="420"/>
      </w:pPr>
      <w:r>
        <w:rPr>
          <w:rFonts w:hint="eastAsia"/>
        </w:rPr>
        <w:t>风险分层宜至少综合以下维度，形成结构化分层表单：</w:t>
      </w:r>
    </w:p>
    <w:p w14:paraId="7A1A1AE2">
      <w:pPr>
        <w:pStyle w:val="56"/>
        <w:spacing w:line="360" w:lineRule="auto"/>
        <w:ind w:firstLine="420"/>
      </w:pPr>
      <w:r>
        <w:rPr>
          <w:rFonts w:hint="eastAsia"/>
        </w:rPr>
        <w:t>a) 手术相关因素：术式复杂度、是否涉及显微吻合/皮瓣移植/断指再植、是否存在神经血管修复或重要肌腱修复、是否需要长期固定、是否存在开放污染伤口；</w:t>
      </w:r>
    </w:p>
    <w:p w14:paraId="568636C1">
      <w:pPr>
        <w:pStyle w:val="56"/>
        <w:spacing w:line="360" w:lineRule="auto"/>
        <w:ind w:firstLine="420"/>
      </w:pPr>
      <w:r>
        <w:rPr>
          <w:rFonts w:hint="eastAsia"/>
        </w:rPr>
        <w:t>b) 患者因素：年龄、糖尿病及血糖控制、外周循环状况、免疫抑制状态、吸烟史、营养状况、既往感染史；</w:t>
      </w:r>
    </w:p>
    <w:p w14:paraId="75EF5E41">
      <w:pPr>
        <w:pStyle w:val="56"/>
        <w:spacing w:line="360" w:lineRule="auto"/>
        <w:ind w:firstLine="420"/>
      </w:pPr>
      <w:r>
        <w:rPr>
          <w:rFonts w:hint="eastAsia"/>
        </w:rPr>
        <w:t>c) 伤口与血运因素：伤口部位与张力、渗出情况、皮肤软组织条件、末梢循环风险、肿胀程度；</w:t>
      </w:r>
    </w:p>
    <w:p w14:paraId="7AFFE323">
      <w:pPr>
        <w:pStyle w:val="56"/>
        <w:spacing w:line="360" w:lineRule="auto"/>
        <w:ind w:firstLine="420"/>
      </w:pPr>
      <w:r>
        <w:rPr>
          <w:rFonts w:hint="eastAsia"/>
        </w:rPr>
        <w:t>d) 固定与压力风险：石膏/夹板/支具类型、佩戴时间、压迫风险、皮肤感觉异常风险；</w:t>
      </w:r>
    </w:p>
    <w:p w14:paraId="45B9BBE9">
      <w:pPr>
        <w:pStyle w:val="56"/>
        <w:spacing w:line="360" w:lineRule="auto"/>
        <w:ind w:firstLine="420"/>
      </w:pPr>
      <w:r>
        <w:rPr>
          <w:rFonts w:hint="eastAsia"/>
        </w:rPr>
        <w:t>e) 康复与依从性因素：自理能力、照护者支持、康复训练理解与执行能力、心理状态与疼痛耐受；</w:t>
      </w:r>
    </w:p>
    <w:p w14:paraId="69F4258F">
      <w:pPr>
        <w:pStyle w:val="56"/>
        <w:spacing w:line="360" w:lineRule="auto"/>
        <w:ind w:firstLine="420"/>
      </w:pPr>
      <w:r>
        <w:rPr>
          <w:rFonts w:hint="eastAsia"/>
        </w:rPr>
        <w:t>f) 可达性因素：复诊便利性、随访渠道可达性、家庭环境与工作负荷。</w:t>
      </w:r>
    </w:p>
    <w:p w14:paraId="33BDDB4E">
      <w:pPr>
        <w:pStyle w:val="65"/>
        <w:spacing w:before="120" w:after="120" w:line="360" w:lineRule="auto"/>
      </w:pPr>
      <w:r>
        <w:rPr>
          <w:rFonts w:hint="eastAsia"/>
        </w:rPr>
        <w:t>分层方法</w:t>
      </w:r>
    </w:p>
    <w:p w14:paraId="1C07C292">
      <w:pPr>
        <w:pStyle w:val="56"/>
        <w:spacing w:line="360" w:lineRule="auto"/>
        <w:ind w:firstLine="420"/>
      </w:pPr>
      <w:r>
        <w:rPr>
          <w:rFonts w:hint="eastAsia"/>
        </w:rPr>
        <w:t>风险分层可采用“规则判定法”或“评分判定法”。机构应选择一种方法并保持口径稳定：</w:t>
      </w:r>
    </w:p>
    <w:p w14:paraId="29602883">
      <w:pPr>
        <w:pStyle w:val="132"/>
        <w:spacing w:line="360" w:lineRule="auto"/>
      </w:pPr>
      <w:r>
        <w:rPr>
          <w:rFonts w:hint="eastAsia"/>
        </w:rPr>
        <w:t>规则判定法：满足任一高风险条件即判为高风险；满足任一中风险条件且不满足高风险条件判为中风险；其余判为低风险；</w:t>
      </w:r>
    </w:p>
    <w:p w14:paraId="132D6D4D">
      <w:pPr>
        <w:pStyle w:val="132"/>
        <w:spacing w:line="360" w:lineRule="auto"/>
      </w:pPr>
      <w:r>
        <w:rPr>
          <w:rFonts w:hint="eastAsia"/>
        </w:rPr>
        <w:t>评分判定法：按分层要素赋分并累计总分，按阈值区分高风险、中风险、低风险。评分项与阈值应在机构内统一发布并定期复核。</w:t>
      </w:r>
    </w:p>
    <w:p w14:paraId="776E47D3">
      <w:pPr>
        <w:pStyle w:val="56"/>
        <w:spacing w:line="360" w:lineRule="auto"/>
        <w:ind w:firstLine="420"/>
      </w:pPr>
      <w:r>
        <w:rPr>
          <w:rFonts w:hint="eastAsia"/>
        </w:rPr>
        <w:t>采用评分判定法时，应避免过度复杂导致执行困难；采用规则判定法时，应避免规则过宽导致高风险比例异常。风险分层指标与判定建议见表1。</w:t>
      </w:r>
    </w:p>
    <w:p w14:paraId="5A643C66">
      <w:pPr>
        <w:pStyle w:val="112"/>
        <w:spacing w:before="120" w:after="120" w:line="360" w:lineRule="auto"/>
      </w:pPr>
      <w:r>
        <w:rPr>
          <w:rFonts w:hint="eastAsia"/>
        </w:rPr>
        <w:t>风险分层指标与判定建议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5812"/>
        <w:gridCol w:w="2681"/>
      </w:tblGrid>
      <w:tr w14:paraId="5C320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47E62CFF">
            <w:pPr>
              <w:pStyle w:val="178"/>
            </w:pPr>
            <w:r>
              <w:rPr>
                <w:rFonts w:hint="eastAsia"/>
              </w:rPr>
              <w:t>分层等级</w:t>
            </w:r>
          </w:p>
        </w:tc>
        <w:tc>
          <w:tcPr>
            <w:tcW w:w="5812" w:type="dxa"/>
            <w:tcBorders>
              <w:top w:val="single" w:color="auto" w:sz="8" w:space="0"/>
              <w:bottom w:val="single" w:color="auto" w:sz="8" w:space="0"/>
            </w:tcBorders>
            <w:vAlign w:val="center"/>
          </w:tcPr>
          <w:p w14:paraId="6458FBEA">
            <w:pPr>
              <w:pStyle w:val="178"/>
            </w:pPr>
            <w:r>
              <w:rPr>
                <w:rFonts w:hint="eastAsia"/>
              </w:rPr>
              <w:t>判定条件（满足任一条可判定）</w:t>
            </w:r>
          </w:p>
        </w:tc>
        <w:tc>
          <w:tcPr>
            <w:tcW w:w="2681" w:type="dxa"/>
            <w:tcBorders>
              <w:top w:val="single" w:color="auto" w:sz="8" w:space="0"/>
              <w:bottom w:val="single" w:color="auto" w:sz="8" w:space="0"/>
            </w:tcBorders>
            <w:vAlign w:val="center"/>
          </w:tcPr>
          <w:p w14:paraId="44C53293">
            <w:pPr>
              <w:pStyle w:val="178"/>
            </w:pPr>
            <w:r>
              <w:rPr>
                <w:rFonts w:hint="eastAsia"/>
              </w:rPr>
              <w:t>延续性护理重点</w:t>
            </w:r>
          </w:p>
        </w:tc>
      </w:tr>
      <w:tr w14:paraId="45207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05568D2D">
            <w:pPr>
              <w:pStyle w:val="178"/>
            </w:pPr>
            <w:r>
              <w:rPr>
                <w:rFonts w:hint="eastAsia"/>
              </w:rPr>
              <w:t>高风险</w:t>
            </w:r>
          </w:p>
        </w:tc>
        <w:tc>
          <w:tcPr>
            <w:tcW w:w="5812" w:type="dxa"/>
            <w:tcBorders>
              <w:top w:val="single" w:color="auto" w:sz="8" w:space="0"/>
            </w:tcBorders>
            <w:vAlign w:val="center"/>
          </w:tcPr>
          <w:p w14:paraId="6472A7C0">
            <w:pPr>
              <w:pStyle w:val="178"/>
            </w:pPr>
            <w:r>
              <w:rPr>
                <w:rFonts w:hint="eastAsia"/>
              </w:rPr>
              <w:t>皮瓣移植/断指再植/显微血管吻合；或存在血运不稳定风险；或神经血管修复合并感觉运动异常风险；或开放污染伤口/感染高风险；或糖尿病/免疫抑制且伤口愈合风险高；或需长期固定且存在明显压迫风险；或出院后照护资源不足且依从性高风险</w:t>
            </w:r>
          </w:p>
        </w:tc>
        <w:tc>
          <w:tcPr>
            <w:tcW w:w="2681" w:type="dxa"/>
            <w:tcBorders>
              <w:top w:val="single" w:color="auto" w:sz="8" w:space="0"/>
            </w:tcBorders>
            <w:vAlign w:val="center"/>
          </w:tcPr>
          <w:p w14:paraId="1D9A57A1">
            <w:pPr>
              <w:pStyle w:val="178"/>
            </w:pPr>
            <w:r>
              <w:rPr>
                <w:rFonts w:hint="eastAsia"/>
              </w:rPr>
              <w:t>早期血运与伤口监测、固定压力监测、红旗信号识别与急处置路径、随访加密与视频核验优先</w:t>
            </w:r>
          </w:p>
        </w:tc>
      </w:tr>
    </w:tbl>
    <w:p w14:paraId="2ECF03D2">
      <w:pPr>
        <w:pStyle w:val="56"/>
        <w:spacing w:before="120" w:beforeLines="50" w:after="120" w:afterLines="50"/>
        <w:ind w:firstLine="0" w:firstLineChars="0"/>
        <w:jc w:val="center"/>
        <w:rPr>
          <w:rFonts w:ascii="黑体" w:hAnsi="黑体" w:eastAsia="黑体"/>
        </w:rPr>
      </w:pPr>
      <w:r>
        <w:rPr>
          <w:rFonts w:hint="eastAsia" w:ascii="黑体" w:hAnsi="黑体" w:eastAsia="黑体"/>
        </w:rPr>
        <w:t>表1  风险分层指标与判定建议</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5812"/>
        <w:gridCol w:w="2681"/>
      </w:tblGrid>
      <w:tr w14:paraId="68A47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841" w:type="dxa"/>
            <w:tcBorders>
              <w:top w:val="single" w:color="auto" w:sz="8" w:space="0"/>
              <w:bottom w:val="single" w:color="auto" w:sz="8" w:space="0"/>
            </w:tcBorders>
            <w:vAlign w:val="center"/>
          </w:tcPr>
          <w:p w14:paraId="56D25C50">
            <w:pPr>
              <w:pStyle w:val="178"/>
            </w:pPr>
            <w:r>
              <w:rPr>
                <w:rFonts w:hint="eastAsia"/>
              </w:rPr>
              <w:t>分层等级</w:t>
            </w:r>
          </w:p>
        </w:tc>
        <w:tc>
          <w:tcPr>
            <w:tcW w:w="5812" w:type="dxa"/>
            <w:tcBorders>
              <w:top w:val="single" w:color="auto" w:sz="8" w:space="0"/>
              <w:bottom w:val="single" w:color="auto" w:sz="8" w:space="0"/>
            </w:tcBorders>
            <w:vAlign w:val="center"/>
          </w:tcPr>
          <w:p w14:paraId="5F2C5EC6">
            <w:pPr>
              <w:pStyle w:val="178"/>
            </w:pPr>
            <w:r>
              <w:rPr>
                <w:rFonts w:hint="eastAsia"/>
              </w:rPr>
              <w:t>判定条件（满足任一条可判定）</w:t>
            </w:r>
          </w:p>
        </w:tc>
        <w:tc>
          <w:tcPr>
            <w:tcW w:w="2681" w:type="dxa"/>
            <w:tcBorders>
              <w:top w:val="single" w:color="auto" w:sz="8" w:space="0"/>
              <w:bottom w:val="single" w:color="auto" w:sz="8" w:space="0"/>
            </w:tcBorders>
            <w:vAlign w:val="center"/>
          </w:tcPr>
          <w:p w14:paraId="443CB97B">
            <w:pPr>
              <w:pStyle w:val="178"/>
            </w:pPr>
            <w:r>
              <w:rPr>
                <w:rFonts w:hint="eastAsia"/>
              </w:rPr>
              <w:t>延续性护理重点</w:t>
            </w:r>
          </w:p>
        </w:tc>
      </w:tr>
      <w:tr w14:paraId="3A115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67E3AC0">
            <w:pPr>
              <w:pStyle w:val="178"/>
            </w:pPr>
            <w:r>
              <w:rPr>
                <w:rFonts w:hint="eastAsia"/>
              </w:rPr>
              <w:t>中风险</w:t>
            </w:r>
          </w:p>
        </w:tc>
        <w:tc>
          <w:tcPr>
            <w:tcW w:w="5812" w:type="dxa"/>
            <w:vAlign w:val="center"/>
          </w:tcPr>
          <w:p w14:paraId="43A0AC7E">
            <w:pPr>
              <w:pStyle w:val="178"/>
            </w:pPr>
            <w:r>
              <w:rPr>
                <w:rFonts w:hint="eastAsia"/>
              </w:rPr>
              <w:t>复杂骨折内固定/韧带重建/肌腱修复但无显微血运高风险；或伤口张力较大、渗出偏多；或肿胀明显；或疼痛控制困难；或康复训练需密切指导但照护资源基本可满足</w:t>
            </w:r>
          </w:p>
        </w:tc>
        <w:tc>
          <w:tcPr>
            <w:tcW w:w="2681" w:type="dxa"/>
            <w:vAlign w:val="center"/>
          </w:tcPr>
          <w:p w14:paraId="06064853">
            <w:pPr>
              <w:pStyle w:val="178"/>
            </w:pPr>
            <w:r>
              <w:rPr>
                <w:rFonts w:hint="eastAsia"/>
              </w:rPr>
              <w:t>伤口与肿胀管理、疼痛与用药管理、固定与皮肤保护、分阶段康复训练指导与依从性强化</w:t>
            </w:r>
          </w:p>
        </w:tc>
      </w:tr>
      <w:tr w14:paraId="3CBF0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63E5DC3">
            <w:pPr>
              <w:pStyle w:val="178"/>
            </w:pPr>
            <w:r>
              <w:rPr>
                <w:rFonts w:hint="eastAsia"/>
              </w:rPr>
              <w:t>低风险</w:t>
            </w:r>
          </w:p>
        </w:tc>
        <w:tc>
          <w:tcPr>
            <w:tcW w:w="5812" w:type="dxa"/>
            <w:vAlign w:val="center"/>
          </w:tcPr>
          <w:p w14:paraId="619FD6E2">
            <w:pPr>
              <w:pStyle w:val="178"/>
            </w:pPr>
            <w:r>
              <w:rPr>
                <w:rFonts w:hint="eastAsia"/>
              </w:rPr>
              <w:t>术式相对简单、伤口风险低、血运稳定；固定方式风险低；患者自理或照护条件良好、复诊可达</w:t>
            </w:r>
          </w:p>
        </w:tc>
        <w:tc>
          <w:tcPr>
            <w:tcW w:w="2681" w:type="dxa"/>
            <w:vAlign w:val="center"/>
          </w:tcPr>
          <w:p w14:paraId="4C037C29">
            <w:pPr>
              <w:pStyle w:val="178"/>
            </w:pPr>
            <w:r>
              <w:rPr>
                <w:rFonts w:hint="eastAsia"/>
              </w:rPr>
              <w:t>标准随访、健康教育巩固、康复训练进度核查与问题答疑</w:t>
            </w:r>
          </w:p>
        </w:tc>
      </w:tr>
    </w:tbl>
    <w:p w14:paraId="42BB0999">
      <w:pPr>
        <w:pStyle w:val="105"/>
        <w:spacing w:before="120" w:after="120" w:line="360" w:lineRule="auto"/>
      </w:pPr>
      <w:r>
        <w:rPr>
          <w:rFonts w:hint="eastAsia"/>
        </w:rPr>
        <w:t>分层结果应用要求</w:t>
      </w:r>
    </w:p>
    <w:p w14:paraId="29DCEA8E">
      <w:pPr>
        <w:pStyle w:val="56"/>
        <w:spacing w:line="360" w:lineRule="auto"/>
        <w:ind w:firstLine="420"/>
      </w:pPr>
      <w:r>
        <w:rPr>
          <w:rFonts w:hint="eastAsia"/>
        </w:rPr>
        <w:t>分层结果应用要求如下：</w:t>
      </w:r>
    </w:p>
    <w:p w14:paraId="4B9BD7FC">
      <w:pPr>
        <w:pStyle w:val="132"/>
        <w:spacing w:line="360" w:lineRule="auto"/>
      </w:pPr>
      <w:r>
        <w:rPr>
          <w:rFonts w:hint="eastAsia"/>
        </w:rPr>
        <w:t>随访频次：高风险患者应执行加密随访（至少覆盖出院后早期关键窗口），中风险按标准随访并可视情况加密，低风险按标准随访；</w:t>
      </w:r>
    </w:p>
    <w:p w14:paraId="34B9CD5E">
      <w:pPr>
        <w:pStyle w:val="132"/>
        <w:spacing w:line="360" w:lineRule="auto"/>
      </w:pPr>
      <w:r>
        <w:rPr>
          <w:rFonts w:hint="eastAsia"/>
        </w:rPr>
        <w:t>评估重点：高风险以安全指标（血运、感染、压迫、再就诊）为主，中风险兼顾安全与功能推进，低风险突出依从性与功能达标；</w:t>
      </w:r>
    </w:p>
    <w:p w14:paraId="57085B6D">
      <w:pPr>
        <w:pStyle w:val="132"/>
        <w:spacing w:line="360" w:lineRule="auto"/>
      </w:pPr>
      <w:r>
        <w:rPr>
          <w:rFonts w:hint="eastAsia"/>
        </w:rPr>
        <w:t>处置触发：高风险患者应设置更低阈值触发门诊复核或急处置；</w:t>
      </w:r>
    </w:p>
    <w:p w14:paraId="76A83AFD">
      <w:pPr>
        <w:pStyle w:val="132"/>
        <w:spacing w:line="360" w:lineRule="auto"/>
      </w:pPr>
      <w:r>
        <w:rPr>
          <w:rFonts w:hint="eastAsia"/>
        </w:rPr>
        <w:t>质量评价权重：进行质量评分或分级判定时，宜提高高风险患者关键过程指标与关键结局指标的权重，或对高风险患者设置更严格的随访完成率要求；</w:t>
      </w:r>
    </w:p>
    <w:p w14:paraId="798CACBD">
      <w:pPr>
        <w:pStyle w:val="132"/>
        <w:spacing w:line="360" w:lineRule="auto"/>
      </w:pPr>
      <w:r>
        <w:rPr>
          <w:rFonts w:hint="eastAsia"/>
        </w:rPr>
        <w:t>资源配置：应根据高风险患者比例动态配置专科护士、随访时段与视频随访能力，确保可执行。</w:t>
      </w:r>
    </w:p>
    <w:p w14:paraId="37450335">
      <w:pPr>
        <w:pStyle w:val="105"/>
        <w:spacing w:before="120" w:after="120" w:line="360" w:lineRule="auto"/>
      </w:pPr>
      <w:r>
        <w:rPr>
          <w:rFonts w:hint="eastAsia"/>
        </w:rPr>
        <w:t>记录与追溯要求</w:t>
      </w:r>
    </w:p>
    <w:p w14:paraId="51496CF6">
      <w:pPr>
        <w:pStyle w:val="56"/>
        <w:spacing w:line="360" w:lineRule="auto"/>
        <w:ind w:firstLine="420"/>
      </w:pPr>
      <w:r>
        <w:rPr>
          <w:rFonts w:hint="eastAsia"/>
        </w:rPr>
        <w:t>记录与追溯应满足以下要求：</w:t>
      </w:r>
    </w:p>
    <w:p w14:paraId="22B7FCFF">
      <w:pPr>
        <w:pStyle w:val="56"/>
        <w:spacing w:line="360" w:lineRule="auto"/>
        <w:ind w:firstLine="420"/>
      </w:pPr>
      <w:r>
        <w:rPr>
          <w:rFonts w:hint="eastAsia"/>
        </w:rPr>
        <w:t>a) 风险分层应在出院前完成，并形成结构化记录；记录至少应包含：术式信息、主要风险要素、分层等级、分层人、分层时间与复核人；</w:t>
      </w:r>
    </w:p>
    <w:p w14:paraId="07719A15">
      <w:pPr>
        <w:pStyle w:val="56"/>
        <w:spacing w:line="360" w:lineRule="auto"/>
        <w:ind w:firstLine="420"/>
      </w:pPr>
      <w:r>
        <w:rPr>
          <w:rFonts w:hint="eastAsia"/>
        </w:rPr>
        <w:t>b) 风险分层如在随访中发生调整，应记录调整原因、调整时间、调整后等级及对应随访策略变化；</w:t>
      </w:r>
    </w:p>
    <w:p w14:paraId="7422108E">
      <w:pPr>
        <w:pStyle w:val="56"/>
        <w:spacing w:line="360" w:lineRule="auto"/>
        <w:ind w:firstLine="420"/>
      </w:pPr>
      <w:r>
        <w:rPr>
          <w:rFonts w:hint="eastAsia"/>
        </w:rPr>
        <w:t>c) 风险分层记录应与延续性护理计划、随访记录、不良事件记录建立关联，确保事件复盘可追溯。</w:t>
      </w:r>
    </w:p>
    <w:p w14:paraId="6C21DD11">
      <w:pPr>
        <w:pStyle w:val="104"/>
        <w:spacing w:before="240" w:after="240" w:line="360" w:lineRule="auto"/>
      </w:pPr>
      <w:bookmarkStart w:id="53" w:name="_Toc220056903"/>
      <w:r>
        <w:rPr>
          <w:rFonts w:hint="eastAsia"/>
        </w:rPr>
        <w:t>评估指标体系</w:t>
      </w:r>
      <w:bookmarkEnd w:id="53"/>
    </w:p>
    <w:p w14:paraId="1A664414">
      <w:pPr>
        <w:pStyle w:val="105"/>
        <w:spacing w:before="120" w:after="120" w:line="360" w:lineRule="auto"/>
      </w:pPr>
      <w:r>
        <w:rPr>
          <w:rFonts w:hint="eastAsia"/>
        </w:rPr>
        <w:t>总则</w:t>
      </w:r>
    </w:p>
    <w:p w14:paraId="05C5B19C">
      <w:pPr>
        <w:pStyle w:val="165"/>
        <w:spacing w:line="360" w:lineRule="auto"/>
      </w:pPr>
      <w:r>
        <w:rPr>
          <w:rFonts w:hint="eastAsia"/>
        </w:rPr>
        <w:t>延续性护理质量评估指标体系应体现手足外科术后护理的核心目标与风险特征，遵循“安全优先、功能导向、过程可控、数据可追溯、结果可解释”的原则。</w:t>
      </w:r>
    </w:p>
    <w:p w14:paraId="3C8E8443">
      <w:pPr>
        <w:pStyle w:val="165"/>
        <w:spacing w:line="360" w:lineRule="auto"/>
      </w:pPr>
      <w:r>
        <w:rPr>
          <w:rFonts w:hint="eastAsia"/>
        </w:rPr>
        <w:t>指标体系应兼顾结构、过程与结局三类指标，并在必要时纳入患者体验与依从性指标，形成可用于横向对标与纵向改进的统一口径。</w:t>
      </w:r>
    </w:p>
    <w:p w14:paraId="17AD2D5A">
      <w:pPr>
        <w:pStyle w:val="165"/>
        <w:spacing w:line="360" w:lineRule="auto"/>
      </w:pPr>
      <w:r>
        <w:rPr>
          <w:rFonts w:hint="eastAsia"/>
        </w:rPr>
        <w:t>评估指标宜采用“核心指标+扩展指标”的分层设计：核心指标用于任何实施单位的基础评价与对标；扩展指标用于具备更完善信息化能力或专科资源的单位开展精细化管理。各指标应明确：指标定义、采集来源、采集时点、计算公式、阈值与判定规则，并与患者风险分层（第5章）和随访路径（第7章）形成一致映射关系。</w:t>
      </w:r>
    </w:p>
    <w:p w14:paraId="5BA5E61F">
      <w:pPr>
        <w:pStyle w:val="105"/>
        <w:spacing w:before="120" w:after="120" w:line="360" w:lineRule="auto"/>
      </w:pPr>
      <w:r>
        <w:rPr>
          <w:rFonts w:hint="eastAsia"/>
        </w:rPr>
        <w:t>指标分类与适用范围</w:t>
      </w:r>
    </w:p>
    <w:p w14:paraId="0CA41C1F">
      <w:pPr>
        <w:pStyle w:val="65"/>
        <w:spacing w:before="120" w:after="120" w:line="360" w:lineRule="auto"/>
      </w:pPr>
      <w:r>
        <w:rPr>
          <w:rFonts w:hint="eastAsia"/>
        </w:rPr>
        <w:t>结构指标</w:t>
      </w:r>
    </w:p>
    <w:p w14:paraId="12BFF6D8">
      <w:pPr>
        <w:pStyle w:val="56"/>
        <w:spacing w:line="360" w:lineRule="auto"/>
        <w:ind w:firstLine="420"/>
      </w:pPr>
      <w:r>
        <w:rPr>
          <w:rFonts w:hint="eastAsia"/>
        </w:rPr>
        <w:t>用于反映延续性护理服务的组织保障与能力基础，主要包括团队配置、制度流程、工具与平台、培训考核、信息安全与应急联动等。</w:t>
      </w:r>
    </w:p>
    <w:p w14:paraId="6219395B">
      <w:pPr>
        <w:pStyle w:val="65"/>
        <w:spacing w:before="120" w:after="120" w:line="360" w:lineRule="auto"/>
      </w:pPr>
      <w:r>
        <w:rPr>
          <w:rFonts w:hint="eastAsia"/>
        </w:rPr>
        <w:t>过程指标</w:t>
      </w:r>
    </w:p>
    <w:p w14:paraId="29B98291">
      <w:pPr>
        <w:pStyle w:val="56"/>
        <w:spacing w:line="360" w:lineRule="auto"/>
        <w:ind w:firstLine="420"/>
      </w:pPr>
      <w:r>
        <w:rPr>
          <w:rFonts w:hint="eastAsia"/>
        </w:rPr>
        <w:t>用于反映延续性护理服务执行的规范性与及时性，主要包括出院评估与分层完成、护理计划覆盖、宣教到位、随访按时完成、高风险加密随访落实、异常处置响应与转介闭环等。</w:t>
      </w:r>
    </w:p>
    <w:p w14:paraId="7CF8FCED">
      <w:pPr>
        <w:pStyle w:val="65"/>
        <w:spacing w:before="120" w:after="120" w:line="360" w:lineRule="auto"/>
      </w:pPr>
      <w:r>
        <w:rPr>
          <w:rFonts w:hint="eastAsia"/>
        </w:rPr>
        <w:t>结局指标</w:t>
      </w:r>
    </w:p>
    <w:p w14:paraId="4ADF96F1">
      <w:pPr>
        <w:pStyle w:val="56"/>
        <w:spacing w:line="360" w:lineRule="auto"/>
        <w:ind w:firstLine="420"/>
      </w:pPr>
      <w:r>
        <w:rPr>
          <w:rFonts w:hint="eastAsia"/>
        </w:rPr>
        <w:t>用于反映延续性护理对患者安全、功能恢复与资源利用的最终影响，主要包括不良事件发生率、严重事件漏识别率、再入院/非计划就诊率、疼痛控制达标率、功能恢复达标率等。</w:t>
      </w:r>
    </w:p>
    <w:p w14:paraId="513A7A51">
      <w:pPr>
        <w:pStyle w:val="65"/>
        <w:spacing w:before="120" w:after="120" w:line="360" w:lineRule="auto"/>
      </w:pPr>
      <w:r>
        <w:rPr>
          <w:rFonts w:hint="eastAsia"/>
        </w:rPr>
        <w:t>体验与依从性指标</w:t>
      </w:r>
    </w:p>
    <w:p w14:paraId="03CF268B">
      <w:pPr>
        <w:pStyle w:val="56"/>
        <w:spacing w:line="360" w:lineRule="auto"/>
        <w:ind w:firstLine="420"/>
      </w:pPr>
      <w:r>
        <w:rPr>
          <w:rFonts w:hint="eastAsia"/>
        </w:rPr>
        <w:t>用于反映患者及照护者对延续护理服务的可及性、理解度与执行度，主要包括满意度、健康教育理解度、康复训练依从性、用药依从性等。体验与依从性指标宜作为过程与结局之间的“解释变量”，用于改进策略设计。</w:t>
      </w:r>
    </w:p>
    <w:p w14:paraId="3476A1A7">
      <w:pPr>
        <w:pStyle w:val="105"/>
        <w:spacing w:before="120" w:after="120" w:line="360" w:lineRule="auto"/>
      </w:pPr>
      <w:r>
        <w:rPr>
          <w:rFonts w:hint="eastAsia"/>
        </w:rPr>
        <w:t>指标设置要求</w:t>
      </w:r>
    </w:p>
    <w:p w14:paraId="4C533817">
      <w:pPr>
        <w:pStyle w:val="65"/>
        <w:spacing w:before="120" w:after="120" w:line="360" w:lineRule="auto"/>
      </w:pPr>
      <w:r>
        <w:rPr>
          <w:rFonts w:hint="eastAsia"/>
        </w:rPr>
        <w:t>指标可操作性</w:t>
      </w:r>
    </w:p>
    <w:p w14:paraId="7858819C">
      <w:pPr>
        <w:pStyle w:val="56"/>
        <w:spacing w:line="360" w:lineRule="auto"/>
        <w:ind w:firstLine="420"/>
      </w:pPr>
      <w:r>
        <w:rPr>
          <w:rFonts w:hint="eastAsia"/>
        </w:rPr>
        <w:t>指标应可通过病历系统、随访系统、量表问卷、复诊记录或客观测量获取。指标应避免依赖模糊主观判断，确需主观判断的，应采用统一量表或统一分级标准。指标采集应尽量结构化，便于统计与追溯。</w:t>
      </w:r>
    </w:p>
    <w:p w14:paraId="79187165">
      <w:pPr>
        <w:pStyle w:val="65"/>
        <w:spacing w:before="120" w:after="120" w:line="360" w:lineRule="auto"/>
      </w:pPr>
      <w:r>
        <w:rPr>
          <w:rFonts w:hint="eastAsia"/>
        </w:rPr>
        <w:t>指标可比性</w:t>
      </w:r>
    </w:p>
    <w:p w14:paraId="6D54BAAD">
      <w:pPr>
        <w:pStyle w:val="56"/>
        <w:spacing w:line="360" w:lineRule="auto"/>
        <w:ind w:firstLine="420"/>
      </w:pPr>
      <w:r>
        <w:rPr>
          <w:rFonts w:hint="eastAsia"/>
        </w:rPr>
        <w:t>同一机构内应保持指标口径稳定，变更口径时应注明版本与生效日期。跨机构对标时，应优先使用本文件规定的核心指标与统一计算口径。指标应明确分母范围与纳入排除规则，避免因样本选择差异造成偏倚。</w:t>
      </w:r>
    </w:p>
    <w:p w14:paraId="7E73C65B">
      <w:pPr>
        <w:pStyle w:val="65"/>
        <w:spacing w:before="120" w:after="120" w:line="360" w:lineRule="auto"/>
      </w:pPr>
      <w:r>
        <w:rPr>
          <w:rFonts w:hint="eastAsia"/>
        </w:rPr>
        <w:t>安全优先原则</w:t>
      </w:r>
    </w:p>
    <w:p w14:paraId="6952F1D0">
      <w:pPr>
        <w:pStyle w:val="56"/>
        <w:spacing w:line="360" w:lineRule="auto"/>
        <w:ind w:firstLine="420"/>
      </w:pPr>
      <w:r>
        <w:rPr>
          <w:rFonts w:hint="eastAsia"/>
        </w:rPr>
        <w:t>与血运、感染、固定压迫相关的重大不良事件及其漏识别应列为核心结局指标。对高风险患者，应提高相关过程指标（如早期随访、异常处置）的评价权重或设置更严格阈值。</w:t>
      </w:r>
    </w:p>
    <w:p w14:paraId="0839D484">
      <w:pPr>
        <w:pStyle w:val="56"/>
        <w:spacing w:line="360" w:lineRule="auto"/>
        <w:ind w:firstLine="420"/>
      </w:pPr>
    </w:p>
    <w:p w14:paraId="08320F84">
      <w:pPr>
        <w:pStyle w:val="56"/>
        <w:spacing w:line="360" w:lineRule="auto"/>
        <w:ind w:firstLine="420"/>
        <w:rPr>
          <w:rFonts w:hint="eastAsia"/>
        </w:rPr>
      </w:pPr>
    </w:p>
    <w:p w14:paraId="44483886">
      <w:pPr>
        <w:pStyle w:val="105"/>
        <w:spacing w:before="120" w:after="120" w:line="360" w:lineRule="auto"/>
      </w:pPr>
      <w:r>
        <w:rPr>
          <w:rFonts w:hint="eastAsia"/>
        </w:rPr>
        <w:t>核心指标清单、定义与采集要点</w:t>
      </w:r>
    </w:p>
    <w:p w14:paraId="68E88308">
      <w:pPr>
        <w:pStyle w:val="56"/>
        <w:spacing w:line="360" w:lineRule="auto"/>
        <w:ind w:firstLine="420"/>
      </w:pPr>
      <w:r>
        <w:rPr>
          <w:rFonts w:hint="eastAsia"/>
        </w:rPr>
        <w:t>核心指标应至少覆盖：分层与计划、随访执行、异常处置、关键不良事件、再入院/非计划就诊、关键功能结局与满意度。指标清单与口径建议见表2。</w:t>
      </w:r>
    </w:p>
    <w:p w14:paraId="53432878">
      <w:pPr>
        <w:pStyle w:val="112"/>
        <w:spacing w:before="120" w:after="120" w:line="360" w:lineRule="auto"/>
      </w:pPr>
      <w:r>
        <w:rPr>
          <w:rFonts w:hint="eastAsia"/>
        </w:rPr>
        <w:t>核心指标清单与口径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984"/>
        <w:gridCol w:w="3686"/>
        <w:gridCol w:w="1559"/>
        <w:gridCol w:w="1264"/>
      </w:tblGrid>
      <w:tr w14:paraId="7D691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7AC5829D">
            <w:pPr>
              <w:pStyle w:val="178"/>
            </w:pPr>
            <w:r>
              <w:rPr>
                <w:rFonts w:hint="eastAsia"/>
              </w:rPr>
              <w:t>指标类别</w:t>
            </w:r>
          </w:p>
        </w:tc>
        <w:tc>
          <w:tcPr>
            <w:tcW w:w="1984" w:type="dxa"/>
            <w:tcBorders>
              <w:top w:val="single" w:color="auto" w:sz="8" w:space="0"/>
              <w:bottom w:val="single" w:color="auto" w:sz="8" w:space="0"/>
            </w:tcBorders>
            <w:vAlign w:val="center"/>
          </w:tcPr>
          <w:p w14:paraId="0630C79C">
            <w:pPr>
              <w:pStyle w:val="178"/>
            </w:pPr>
            <w:r>
              <w:rPr>
                <w:rFonts w:hint="eastAsia"/>
              </w:rPr>
              <w:t>指标名称</w:t>
            </w:r>
          </w:p>
        </w:tc>
        <w:tc>
          <w:tcPr>
            <w:tcW w:w="3686" w:type="dxa"/>
            <w:tcBorders>
              <w:top w:val="single" w:color="auto" w:sz="8" w:space="0"/>
              <w:bottom w:val="single" w:color="auto" w:sz="8" w:space="0"/>
            </w:tcBorders>
            <w:vAlign w:val="center"/>
          </w:tcPr>
          <w:p w14:paraId="186667D8">
            <w:pPr>
              <w:pStyle w:val="178"/>
            </w:pPr>
            <w:r>
              <w:rPr>
                <w:rFonts w:hint="eastAsia"/>
              </w:rPr>
              <w:t>指标定义（分子/分母或判定规则）</w:t>
            </w:r>
          </w:p>
        </w:tc>
        <w:tc>
          <w:tcPr>
            <w:tcW w:w="1559" w:type="dxa"/>
            <w:tcBorders>
              <w:top w:val="single" w:color="auto" w:sz="8" w:space="0"/>
              <w:bottom w:val="single" w:color="auto" w:sz="8" w:space="0"/>
            </w:tcBorders>
            <w:vAlign w:val="center"/>
          </w:tcPr>
          <w:p w14:paraId="2BAA777A">
            <w:pPr>
              <w:pStyle w:val="178"/>
            </w:pPr>
            <w:r>
              <w:rPr>
                <w:rFonts w:hint="eastAsia"/>
              </w:rPr>
              <w:t>采集来源</w:t>
            </w:r>
          </w:p>
        </w:tc>
        <w:tc>
          <w:tcPr>
            <w:tcW w:w="1264" w:type="dxa"/>
            <w:tcBorders>
              <w:top w:val="single" w:color="auto" w:sz="8" w:space="0"/>
              <w:bottom w:val="single" w:color="auto" w:sz="8" w:space="0"/>
            </w:tcBorders>
            <w:vAlign w:val="center"/>
          </w:tcPr>
          <w:p w14:paraId="45B64B07">
            <w:pPr>
              <w:pStyle w:val="178"/>
            </w:pPr>
            <w:r>
              <w:rPr>
                <w:rFonts w:hint="eastAsia"/>
              </w:rPr>
              <w:t>采集时点/周期</w:t>
            </w:r>
          </w:p>
        </w:tc>
      </w:tr>
      <w:tr w14:paraId="0FF4D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44D1DD86">
            <w:pPr>
              <w:pStyle w:val="178"/>
            </w:pPr>
            <w:r>
              <w:rPr>
                <w:rFonts w:hint="eastAsia"/>
              </w:rPr>
              <w:t>结构</w:t>
            </w:r>
          </w:p>
        </w:tc>
        <w:tc>
          <w:tcPr>
            <w:tcW w:w="1984" w:type="dxa"/>
            <w:tcBorders>
              <w:top w:val="single" w:color="auto" w:sz="8" w:space="0"/>
            </w:tcBorders>
            <w:vAlign w:val="center"/>
          </w:tcPr>
          <w:p w14:paraId="08FBB167">
            <w:pPr>
              <w:pStyle w:val="178"/>
            </w:pPr>
            <w:r>
              <w:rPr>
                <w:rFonts w:hint="eastAsia"/>
              </w:rPr>
              <w:t>延续护理团队</w:t>
            </w:r>
          </w:p>
          <w:p w14:paraId="422C4468">
            <w:pPr>
              <w:pStyle w:val="178"/>
            </w:pPr>
            <w:r>
              <w:rPr>
                <w:rFonts w:hint="eastAsia"/>
              </w:rPr>
              <w:t>配置符合率</w:t>
            </w:r>
          </w:p>
        </w:tc>
        <w:tc>
          <w:tcPr>
            <w:tcW w:w="3686" w:type="dxa"/>
            <w:tcBorders>
              <w:top w:val="single" w:color="auto" w:sz="8" w:space="0"/>
            </w:tcBorders>
            <w:vAlign w:val="center"/>
          </w:tcPr>
          <w:p w14:paraId="3756547A">
            <w:pPr>
              <w:pStyle w:val="178"/>
            </w:pPr>
            <w:r>
              <w:rPr>
                <w:rFonts w:hint="eastAsia"/>
              </w:rPr>
              <w:t>满足岗位设置、职责分工、覆盖时段</w:t>
            </w:r>
          </w:p>
          <w:p w14:paraId="374924BF">
            <w:pPr>
              <w:pStyle w:val="178"/>
            </w:pPr>
            <w:r>
              <w:rPr>
                <w:rFonts w:hint="eastAsia"/>
              </w:rPr>
              <w:t>要求判为符合</w:t>
            </w:r>
          </w:p>
        </w:tc>
        <w:tc>
          <w:tcPr>
            <w:tcW w:w="1559" w:type="dxa"/>
            <w:tcBorders>
              <w:top w:val="single" w:color="auto" w:sz="8" w:space="0"/>
            </w:tcBorders>
            <w:vAlign w:val="center"/>
          </w:tcPr>
          <w:p w14:paraId="0C137A7F">
            <w:pPr>
              <w:pStyle w:val="178"/>
            </w:pPr>
            <w:r>
              <w:rPr>
                <w:rFonts w:hint="eastAsia"/>
              </w:rPr>
              <w:t>制度文件/排班</w:t>
            </w:r>
          </w:p>
        </w:tc>
        <w:tc>
          <w:tcPr>
            <w:tcW w:w="1264" w:type="dxa"/>
            <w:tcBorders>
              <w:top w:val="single" w:color="auto" w:sz="8" w:space="0"/>
            </w:tcBorders>
            <w:vAlign w:val="center"/>
          </w:tcPr>
          <w:p w14:paraId="624F1C12">
            <w:pPr>
              <w:pStyle w:val="178"/>
            </w:pPr>
            <w:r>
              <w:rPr>
                <w:rFonts w:hint="eastAsia"/>
              </w:rPr>
              <w:t>每半年或年度</w:t>
            </w:r>
          </w:p>
        </w:tc>
      </w:tr>
      <w:tr w14:paraId="59F11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3F2BFB0B">
            <w:pPr>
              <w:pStyle w:val="178"/>
              <w:rPr>
                <w:rFonts w:hint="eastAsia"/>
              </w:rPr>
            </w:pPr>
            <w:r>
              <w:rPr>
                <w:rFonts w:hint="eastAsia"/>
              </w:rPr>
              <w:t>过程</w:t>
            </w:r>
          </w:p>
        </w:tc>
        <w:tc>
          <w:tcPr>
            <w:tcW w:w="1984" w:type="dxa"/>
            <w:vAlign w:val="center"/>
          </w:tcPr>
          <w:p w14:paraId="154A9ECE">
            <w:pPr>
              <w:pStyle w:val="178"/>
            </w:pPr>
            <w:r>
              <w:rPr>
                <w:rFonts w:hint="eastAsia"/>
              </w:rPr>
              <w:t>出院风险分层完成率</w:t>
            </w:r>
          </w:p>
        </w:tc>
        <w:tc>
          <w:tcPr>
            <w:tcW w:w="3686" w:type="dxa"/>
            <w:vAlign w:val="center"/>
          </w:tcPr>
          <w:p w14:paraId="247EA83F">
            <w:pPr>
              <w:pStyle w:val="178"/>
            </w:pPr>
            <w:r>
              <w:rPr>
                <w:rFonts w:hint="eastAsia"/>
              </w:rPr>
              <w:t>分子：完成分层并留痕例数；</w:t>
            </w:r>
          </w:p>
          <w:p w14:paraId="6ABAF516">
            <w:pPr>
              <w:pStyle w:val="178"/>
            </w:pPr>
            <w:r>
              <w:rPr>
                <w:rFonts w:hint="eastAsia"/>
              </w:rPr>
              <w:t>分母：纳入评估出院例数</w:t>
            </w:r>
          </w:p>
        </w:tc>
        <w:tc>
          <w:tcPr>
            <w:tcW w:w="1559" w:type="dxa"/>
            <w:vAlign w:val="center"/>
          </w:tcPr>
          <w:p w14:paraId="21594C4C">
            <w:pPr>
              <w:pStyle w:val="178"/>
            </w:pPr>
            <w:r>
              <w:rPr>
                <w:rFonts w:hint="eastAsia"/>
              </w:rPr>
              <w:t>病历/分层表</w:t>
            </w:r>
          </w:p>
        </w:tc>
        <w:tc>
          <w:tcPr>
            <w:tcW w:w="1264" w:type="dxa"/>
            <w:vAlign w:val="center"/>
          </w:tcPr>
          <w:p w14:paraId="79D0CA62">
            <w:pPr>
              <w:pStyle w:val="178"/>
            </w:pPr>
            <w:r>
              <w:rPr>
                <w:rFonts w:hint="eastAsia"/>
              </w:rPr>
              <w:t>T0</w:t>
            </w:r>
          </w:p>
        </w:tc>
      </w:tr>
      <w:tr w14:paraId="48C3F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11DD0B39">
            <w:pPr>
              <w:pStyle w:val="178"/>
            </w:pPr>
          </w:p>
        </w:tc>
        <w:tc>
          <w:tcPr>
            <w:tcW w:w="1984" w:type="dxa"/>
            <w:vAlign w:val="center"/>
          </w:tcPr>
          <w:p w14:paraId="680439F5">
            <w:pPr>
              <w:pStyle w:val="178"/>
            </w:pPr>
            <w:r>
              <w:rPr>
                <w:rFonts w:hint="eastAsia"/>
              </w:rPr>
              <w:t>护理计划要点覆盖率</w:t>
            </w:r>
          </w:p>
        </w:tc>
        <w:tc>
          <w:tcPr>
            <w:tcW w:w="3686" w:type="dxa"/>
            <w:vAlign w:val="center"/>
          </w:tcPr>
          <w:p w14:paraId="05306B50">
            <w:pPr>
              <w:pStyle w:val="178"/>
            </w:pPr>
            <w:r>
              <w:rPr>
                <w:rFonts w:hint="eastAsia"/>
              </w:rPr>
              <w:t>覆盖伤口、固定、疼痛、肿胀、康复、用药、复诊等要点的比例</w:t>
            </w:r>
          </w:p>
        </w:tc>
        <w:tc>
          <w:tcPr>
            <w:tcW w:w="1559" w:type="dxa"/>
            <w:vAlign w:val="center"/>
          </w:tcPr>
          <w:p w14:paraId="2D91807B">
            <w:pPr>
              <w:pStyle w:val="178"/>
            </w:pPr>
            <w:r>
              <w:rPr>
                <w:rFonts w:hint="eastAsia"/>
              </w:rPr>
              <w:t>病历/宣教单</w:t>
            </w:r>
          </w:p>
        </w:tc>
        <w:tc>
          <w:tcPr>
            <w:tcW w:w="1264" w:type="dxa"/>
            <w:vAlign w:val="center"/>
          </w:tcPr>
          <w:p w14:paraId="41FAACCD">
            <w:pPr>
              <w:pStyle w:val="178"/>
            </w:pPr>
            <w:r>
              <w:rPr>
                <w:rFonts w:hint="eastAsia"/>
              </w:rPr>
              <w:t>T0</w:t>
            </w:r>
          </w:p>
        </w:tc>
      </w:tr>
      <w:tr w14:paraId="63BC0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21FBE08B">
            <w:pPr>
              <w:pStyle w:val="178"/>
            </w:pPr>
          </w:p>
        </w:tc>
        <w:tc>
          <w:tcPr>
            <w:tcW w:w="1984" w:type="dxa"/>
            <w:vAlign w:val="center"/>
          </w:tcPr>
          <w:p w14:paraId="56E1EB31">
            <w:pPr>
              <w:pStyle w:val="178"/>
            </w:pPr>
            <w:r>
              <w:rPr>
                <w:rFonts w:hint="eastAsia"/>
              </w:rPr>
              <w:t>随访按时完成率</w:t>
            </w:r>
          </w:p>
        </w:tc>
        <w:tc>
          <w:tcPr>
            <w:tcW w:w="3686" w:type="dxa"/>
            <w:vAlign w:val="center"/>
          </w:tcPr>
          <w:p w14:paraId="3EE74453">
            <w:pPr>
              <w:pStyle w:val="178"/>
            </w:pPr>
            <w:r>
              <w:rPr>
                <w:rFonts w:hint="eastAsia"/>
              </w:rPr>
              <w:t>分子：在允许时间窗内完成随访次数；</w:t>
            </w:r>
          </w:p>
          <w:p w14:paraId="3408A792">
            <w:pPr>
              <w:pStyle w:val="178"/>
            </w:pPr>
            <w:r>
              <w:rPr>
                <w:rFonts w:hint="eastAsia"/>
              </w:rPr>
              <w:t>分母：计划随访次数</w:t>
            </w:r>
          </w:p>
        </w:tc>
        <w:tc>
          <w:tcPr>
            <w:tcW w:w="1559" w:type="dxa"/>
            <w:vAlign w:val="center"/>
          </w:tcPr>
          <w:p w14:paraId="4B114DAD">
            <w:pPr>
              <w:pStyle w:val="178"/>
            </w:pPr>
            <w:r>
              <w:rPr>
                <w:rFonts w:hint="eastAsia"/>
              </w:rPr>
              <w:t>随访系统</w:t>
            </w:r>
          </w:p>
        </w:tc>
        <w:tc>
          <w:tcPr>
            <w:tcW w:w="1264" w:type="dxa"/>
            <w:vAlign w:val="center"/>
          </w:tcPr>
          <w:p w14:paraId="71DDC42E">
            <w:pPr>
              <w:pStyle w:val="178"/>
            </w:pPr>
            <w:r>
              <w:rPr>
                <w:rFonts w:hint="eastAsia"/>
              </w:rPr>
              <w:t>T1–T5</w:t>
            </w:r>
          </w:p>
        </w:tc>
      </w:tr>
      <w:tr w14:paraId="4FC14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4045CFA7">
            <w:pPr>
              <w:pStyle w:val="178"/>
            </w:pPr>
          </w:p>
        </w:tc>
        <w:tc>
          <w:tcPr>
            <w:tcW w:w="1984" w:type="dxa"/>
            <w:vAlign w:val="center"/>
          </w:tcPr>
          <w:p w14:paraId="513C05F2">
            <w:pPr>
              <w:pStyle w:val="178"/>
            </w:pPr>
            <w:r>
              <w:rPr>
                <w:rFonts w:hint="eastAsia"/>
              </w:rPr>
              <w:t>高风险加密随访落实率</w:t>
            </w:r>
          </w:p>
        </w:tc>
        <w:tc>
          <w:tcPr>
            <w:tcW w:w="3686" w:type="dxa"/>
            <w:vAlign w:val="center"/>
          </w:tcPr>
          <w:p w14:paraId="06BCEB4F">
            <w:pPr>
              <w:pStyle w:val="178"/>
            </w:pPr>
            <w:r>
              <w:rPr>
                <w:rFonts w:hint="eastAsia"/>
              </w:rPr>
              <w:t>分子：高风险患者按加密方案完成的随访次数；分母：高风险患者计划随访次数</w:t>
            </w:r>
          </w:p>
        </w:tc>
        <w:tc>
          <w:tcPr>
            <w:tcW w:w="1559" w:type="dxa"/>
            <w:vAlign w:val="center"/>
          </w:tcPr>
          <w:p w14:paraId="189BF9BD">
            <w:pPr>
              <w:pStyle w:val="178"/>
            </w:pPr>
            <w:r>
              <w:rPr>
                <w:rFonts w:hint="eastAsia"/>
              </w:rPr>
              <w:t>随访系统</w:t>
            </w:r>
          </w:p>
        </w:tc>
        <w:tc>
          <w:tcPr>
            <w:tcW w:w="1264" w:type="dxa"/>
            <w:vAlign w:val="center"/>
          </w:tcPr>
          <w:p w14:paraId="32C87871">
            <w:pPr>
              <w:pStyle w:val="178"/>
            </w:pPr>
            <w:r>
              <w:rPr>
                <w:rFonts w:hint="eastAsia"/>
              </w:rPr>
              <w:t>T1–T3为主</w:t>
            </w:r>
          </w:p>
        </w:tc>
      </w:tr>
      <w:tr w14:paraId="00ADC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445C2E4A">
            <w:pPr>
              <w:pStyle w:val="178"/>
            </w:pPr>
          </w:p>
        </w:tc>
        <w:tc>
          <w:tcPr>
            <w:tcW w:w="1984" w:type="dxa"/>
            <w:vAlign w:val="center"/>
          </w:tcPr>
          <w:p w14:paraId="1F68B3FD">
            <w:pPr>
              <w:pStyle w:val="178"/>
            </w:pPr>
            <w:r>
              <w:rPr>
                <w:rFonts w:hint="eastAsia"/>
              </w:rPr>
              <w:t>异常处置闭环率</w:t>
            </w:r>
          </w:p>
        </w:tc>
        <w:tc>
          <w:tcPr>
            <w:tcW w:w="3686" w:type="dxa"/>
            <w:vAlign w:val="center"/>
          </w:tcPr>
          <w:p w14:paraId="0ECDA1FE">
            <w:pPr>
              <w:pStyle w:val="178"/>
            </w:pPr>
            <w:r>
              <w:rPr>
                <w:rFonts w:hint="eastAsia"/>
              </w:rPr>
              <w:t>分子：异常信号识别后完成转诊/复诊/处置并有结果记录次数；分母：识别异常信号次数</w:t>
            </w:r>
          </w:p>
        </w:tc>
        <w:tc>
          <w:tcPr>
            <w:tcW w:w="1559" w:type="dxa"/>
            <w:vAlign w:val="center"/>
          </w:tcPr>
          <w:p w14:paraId="01CC3FC7">
            <w:pPr>
              <w:pStyle w:val="178"/>
            </w:pPr>
            <w:r>
              <w:rPr>
                <w:rFonts w:hint="eastAsia"/>
              </w:rPr>
              <w:t>随访记录/病历</w:t>
            </w:r>
          </w:p>
        </w:tc>
        <w:tc>
          <w:tcPr>
            <w:tcW w:w="1264" w:type="dxa"/>
            <w:vAlign w:val="center"/>
          </w:tcPr>
          <w:p w14:paraId="13B7791B">
            <w:pPr>
              <w:pStyle w:val="178"/>
            </w:pPr>
            <w:r>
              <w:rPr>
                <w:rFonts w:hint="eastAsia"/>
              </w:rPr>
              <w:t>全周期</w:t>
            </w:r>
          </w:p>
        </w:tc>
      </w:tr>
      <w:tr w14:paraId="30315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252083B8">
            <w:pPr>
              <w:pStyle w:val="178"/>
            </w:pPr>
            <w:r>
              <w:rPr>
                <w:rFonts w:hint="eastAsia"/>
              </w:rPr>
              <w:t>结局</w:t>
            </w:r>
          </w:p>
        </w:tc>
        <w:tc>
          <w:tcPr>
            <w:tcW w:w="1984" w:type="dxa"/>
            <w:vAlign w:val="center"/>
          </w:tcPr>
          <w:p w14:paraId="16A61C2F">
            <w:pPr>
              <w:pStyle w:val="178"/>
            </w:pPr>
            <w:r>
              <w:rPr>
                <w:rFonts w:hint="eastAsia"/>
              </w:rPr>
              <w:t>伤口相关不良</w:t>
            </w:r>
          </w:p>
          <w:p w14:paraId="6B69F3F2">
            <w:pPr>
              <w:pStyle w:val="178"/>
            </w:pPr>
            <w:r>
              <w:rPr>
                <w:rFonts w:hint="eastAsia"/>
              </w:rPr>
              <w:t>事件发生率</w:t>
            </w:r>
          </w:p>
        </w:tc>
        <w:tc>
          <w:tcPr>
            <w:tcW w:w="3686" w:type="dxa"/>
            <w:vAlign w:val="center"/>
          </w:tcPr>
          <w:p w14:paraId="5AC088E8">
            <w:pPr>
              <w:pStyle w:val="178"/>
            </w:pPr>
            <w:r>
              <w:rPr>
                <w:rFonts w:hint="eastAsia"/>
              </w:rPr>
              <w:t>分子：符合定义的感染/裂开/异常渗出等例数；分母：完成至少一次随访例数</w:t>
            </w:r>
          </w:p>
        </w:tc>
        <w:tc>
          <w:tcPr>
            <w:tcW w:w="1559" w:type="dxa"/>
            <w:vAlign w:val="center"/>
          </w:tcPr>
          <w:p w14:paraId="2751036D">
            <w:pPr>
              <w:pStyle w:val="178"/>
            </w:pPr>
            <w:r>
              <w:rPr>
                <w:rFonts w:hint="eastAsia"/>
              </w:rPr>
              <w:t>复诊/病历</w:t>
            </w:r>
          </w:p>
        </w:tc>
        <w:tc>
          <w:tcPr>
            <w:tcW w:w="1264" w:type="dxa"/>
            <w:vAlign w:val="center"/>
          </w:tcPr>
          <w:p w14:paraId="69FD2996">
            <w:pPr>
              <w:pStyle w:val="178"/>
            </w:pPr>
            <w:r>
              <w:rPr>
                <w:rFonts w:hint="eastAsia"/>
              </w:rPr>
              <w:t>出院后0–30 d</w:t>
            </w:r>
          </w:p>
        </w:tc>
      </w:tr>
      <w:tr w14:paraId="7D2CC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705C4AE7">
            <w:pPr>
              <w:pStyle w:val="178"/>
            </w:pPr>
          </w:p>
        </w:tc>
        <w:tc>
          <w:tcPr>
            <w:tcW w:w="1984" w:type="dxa"/>
            <w:vAlign w:val="center"/>
          </w:tcPr>
          <w:p w14:paraId="3FFB788F">
            <w:pPr>
              <w:pStyle w:val="178"/>
            </w:pPr>
            <w:r>
              <w:rPr>
                <w:rFonts w:hint="eastAsia"/>
              </w:rPr>
              <w:t>血运/循环严重事件漏</w:t>
            </w:r>
          </w:p>
          <w:p w14:paraId="1FB27DBA">
            <w:pPr>
              <w:pStyle w:val="178"/>
            </w:pPr>
            <w:r>
              <w:rPr>
                <w:rFonts w:hint="eastAsia"/>
              </w:rPr>
              <w:t>识别率</w:t>
            </w:r>
          </w:p>
        </w:tc>
        <w:tc>
          <w:tcPr>
            <w:tcW w:w="3686" w:type="dxa"/>
            <w:vAlign w:val="center"/>
          </w:tcPr>
          <w:p w14:paraId="1D8DFB26">
            <w:pPr>
              <w:pStyle w:val="178"/>
            </w:pPr>
            <w:r>
              <w:rPr>
                <w:rFonts w:hint="eastAsia"/>
              </w:rPr>
              <w:t>分子：需急处置事件未在随访中识别且导致延误例数；分母：发生需急处置事件例数</w:t>
            </w:r>
          </w:p>
        </w:tc>
        <w:tc>
          <w:tcPr>
            <w:tcW w:w="1559" w:type="dxa"/>
            <w:vAlign w:val="center"/>
          </w:tcPr>
          <w:p w14:paraId="6AE8AB95">
            <w:pPr>
              <w:pStyle w:val="178"/>
            </w:pPr>
            <w:r>
              <w:rPr>
                <w:rFonts w:hint="eastAsia"/>
              </w:rPr>
              <w:t>复盘/病历</w:t>
            </w:r>
          </w:p>
        </w:tc>
        <w:tc>
          <w:tcPr>
            <w:tcW w:w="1264" w:type="dxa"/>
            <w:vAlign w:val="center"/>
          </w:tcPr>
          <w:p w14:paraId="7B0B579B">
            <w:pPr>
              <w:pStyle w:val="178"/>
            </w:pPr>
            <w:r>
              <w:rPr>
                <w:rFonts w:hint="eastAsia"/>
              </w:rPr>
              <w:t>出院后0–14 d</w:t>
            </w:r>
          </w:p>
        </w:tc>
      </w:tr>
      <w:tr w14:paraId="0F6BC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39A0B003">
            <w:pPr>
              <w:pStyle w:val="178"/>
            </w:pPr>
          </w:p>
        </w:tc>
        <w:tc>
          <w:tcPr>
            <w:tcW w:w="1984" w:type="dxa"/>
            <w:vAlign w:val="center"/>
          </w:tcPr>
          <w:p w14:paraId="648D4312">
            <w:pPr>
              <w:pStyle w:val="178"/>
            </w:pPr>
            <w:r>
              <w:rPr>
                <w:rFonts w:hint="eastAsia"/>
              </w:rPr>
              <w:t>固定相关并发症发生率</w:t>
            </w:r>
          </w:p>
        </w:tc>
        <w:tc>
          <w:tcPr>
            <w:tcW w:w="3686" w:type="dxa"/>
            <w:vAlign w:val="center"/>
          </w:tcPr>
          <w:p w14:paraId="7B37D7DE">
            <w:pPr>
              <w:pStyle w:val="178"/>
            </w:pPr>
            <w:r>
              <w:rPr>
                <w:rFonts w:hint="eastAsia"/>
              </w:rPr>
              <w:t>分子：压迫、皮肤破损、神经压迫等例数；</w:t>
            </w:r>
          </w:p>
          <w:p w14:paraId="1A52FD88">
            <w:pPr>
              <w:pStyle w:val="178"/>
            </w:pPr>
            <w:r>
              <w:rPr>
                <w:rFonts w:hint="eastAsia"/>
              </w:rPr>
              <w:t>分母：完成至少一次随访例数</w:t>
            </w:r>
          </w:p>
        </w:tc>
        <w:tc>
          <w:tcPr>
            <w:tcW w:w="1559" w:type="dxa"/>
            <w:vAlign w:val="center"/>
          </w:tcPr>
          <w:p w14:paraId="7CD504C6">
            <w:pPr>
              <w:pStyle w:val="178"/>
            </w:pPr>
            <w:r>
              <w:rPr>
                <w:rFonts w:hint="eastAsia"/>
              </w:rPr>
              <w:t>随访/复诊</w:t>
            </w:r>
          </w:p>
        </w:tc>
        <w:tc>
          <w:tcPr>
            <w:tcW w:w="1264" w:type="dxa"/>
            <w:vAlign w:val="center"/>
          </w:tcPr>
          <w:p w14:paraId="13250CE1">
            <w:pPr>
              <w:pStyle w:val="178"/>
            </w:pPr>
            <w:r>
              <w:rPr>
                <w:rFonts w:hint="eastAsia"/>
              </w:rPr>
              <w:t>出院后0–30 d</w:t>
            </w:r>
          </w:p>
        </w:tc>
      </w:tr>
      <w:tr w14:paraId="7F533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35675369">
            <w:pPr>
              <w:pStyle w:val="178"/>
            </w:pPr>
          </w:p>
        </w:tc>
        <w:tc>
          <w:tcPr>
            <w:tcW w:w="1984" w:type="dxa"/>
            <w:vAlign w:val="center"/>
          </w:tcPr>
          <w:p w14:paraId="57F7BBEF">
            <w:pPr>
              <w:pStyle w:val="178"/>
            </w:pPr>
            <w:r>
              <w:rPr>
                <w:rFonts w:hint="eastAsia"/>
              </w:rPr>
              <w:t>再入院/非计划就诊率</w:t>
            </w:r>
          </w:p>
        </w:tc>
        <w:tc>
          <w:tcPr>
            <w:tcW w:w="3686" w:type="dxa"/>
            <w:vAlign w:val="center"/>
          </w:tcPr>
          <w:p w14:paraId="55F1A307">
            <w:pPr>
              <w:pStyle w:val="178"/>
            </w:pPr>
            <w:r>
              <w:rPr>
                <w:rFonts w:hint="eastAsia"/>
              </w:rPr>
              <w:t>分子：规定窗内再入院或急诊/非计划门诊例数；分母：纳入评估例数</w:t>
            </w:r>
          </w:p>
        </w:tc>
        <w:tc>
          <w:tcPr>
            <w:tcW w:w="1559" w:type="dxa"/>
            <w:vAlign w:val="center"/>
          </w:tcPr>
          <w:p w14:paraId="32083044">
            <w:pPr>
              <w:pStyle w:val="178"/>
            </w:pPr>
            <w:r>
              <w:rPr>
                <w:rFonts w:hint="eastAsia"/>
              </w:rPr>
              <w:t>HIS/病历</w:t>
            </w:r>
          </w:p>
        </w:tc>
        <w:tc>
          <w:tcPr>
            <w:tcW w:w="1264" w:type="dxa"/>
            <w:vAlign w:val="center"/>
          </w:tcPr>
          <w:p w14:paraId="6ACEEF85">
            <w:pPr>
              <w:pStyle w:val="178"/>
            </w:pPr>
            <w:r>
              <w:rPr>
                <w:rFonts w:hint="eastAsia"/>
              </w:rPr>
              <w:t>0–30 d、</w:t>
            </w:r>
          </w:p>
          <w:p w14:paraId="7F3069AE">
            <w:pPr>
              <w:pStyle w:val="178"/>
            </w:pPr>
            <w:r>
              <w:rPr>
                <w:rFonts w:hint="eastAsia"/>
              </w:rPr>
              <w:t>0–90 d</w:t>
            </w:r>
          </w:p>
        </w:tc>
      </w:tr>
      <w:tr w14:paraId="1D7B3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362F51B0">
            <w:pPr>
              <w:pStyle w:val="178"/>
            </w:pPr>
          </w:p>
        </w:tc>
        <w:tc>
          <w:tcPr>
            <w:tcW w:w="1984" w:type="dxa"/>
            <w:vAlign w:val="center"/>
          </w:tcPr>
          <w:p w14:paraId="505D9AA3">
            <w:pPr>
              <w:pStyle w:val="178"/>
            </w:pPr>
            <w:r>
              <w:rPr>
                <w:rFonts w:hint="eastAsia"/>
              </w:rPr>
              <w:t>功能恢复阶段达标率</w:t>
            </w:r>
          </w:p>
        </w:tc>
        <w:tc>
          <w:tcPr>
            <w:tcW w:w="3686" w:type="dxa"/>
            <w:vAlign w:val="center"/>
          </w:tcPr>
          <w:p w14:paraId="320246EB">
            <w:pPr>
              <w:pStyle w:val="178"/>
            </w:pPr>
            <w:r>
              <w:rPr>
                <w:rFonts w:hint="eastAsia"/>
              </w:rPr>
              <w:t>按术式选定功能指标达标比例（应预设阈值）</w:t>
            </w:r>
          </w:p>
        </w:tc>
        <w:tc>
          <w:tcPr>
            <w:tcW w:w="1559" w:type="dxa"/>
            <w:vAlign w:val="center"/>
          </w:tcPr>
          <w:p w14:paraId="1C6767D6">
            <w:pPr>
              <w:pStyle w:val="178"/>
            </w:pPr>
            <w:r>
              <w:rPr>
                <w:rFonts w:hint="eastAsia"/>
              </w:rPr>
              <w:t>测量/量表</w:t>
            </w:r>
          </w:p>
        </w:tc>
        <w:tc>
          <w:tcPr>
            <w:tcW w:w="1264" w:type="dxa"/>
            <w:vAlign w:val="center"/>
          </w:tcPr>
          <w:p w14:paraId="460734A3">
            <w:pPr>
              <w:pStyle w:val="178"/>
            </w:pPr>
            <w:r>
              <w:rPr>
                <w:rFonts w:hint="eastAsia"/>
              </w:rPr>
              <w:t>T4/T5</w:t>
            </w:r>
          </w:p>
        </w:tc>
      </w:tr>
      <w:tr w14:paraId="0D921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C152865">
            <w:pPr>
              <w:pStyle w:val="178"/>
            </w:pPr>
            <w:r>
              <w:rPr>
                <w:rFonts w:hint="eastAsia"/>
              </w:rPr>
              <w:t>体验</w:t>
            </w:r>
          </w:p>
        </w:tc>
        <w:tc>
          <w:tcPr>
            <w:tcW w:w="1984" w:type="dxa"/>
            <w:vAlign w:val="center"/>
          </w:tcPr>
          <w:p w14:paraId="72BB68A8">
            <w:pPr>
              <w:pStyle w:val="178"/>
            </w:pPr>
            <w:r>
              <w:rPr>
                <w:rFonts w:hint="eastAsia"/>
              </w:rPr>
              <w:t>患者满意度达标率</w:t>
            </w:r>
          </w:p>
        </w:tc>
        <w:tc>
          <w:tcPr>
            <w:tcW w:w="3686" w:type="dxa"/>
            <w:vAlign w:val="center"/>
          </w:tcPr>
          <w:p w14:paraId="1AAAD731">
            <w:pPr>
              <w:pStyle w:val="178"/>
            </w:pPr>
            <w:r>
              <w:rPr>
                <w:rFonts w:hint="eastAsia"/>
              </w:rPr>
              <w:t>满意度量表达到阈值比例</w:t>
            </w:r>
          </w:p>
        </w:tc>
        <w:tc>
          <w:tcPr>
            <w:tcW w:w="1559" w:type="dxa"/>
            <w:vAlign w:val="center"/>
          </w:tcPr>
          <w:p w14:paraId="270E247B">
            <w:pPr>
              <w:pStyle w:val="178"/>
            </w:pPr>
            <w:r>
              <w:rPr>
                <w:rFonts w:hint="eastAsia"/>
              </w:rPr>
              <w:t>问卷/平台</w:t>
            </w:r>
          </w:p>
        </w:tc>
        <w:tc>
          <w:tcPr>
            <w:tcW w:w="1264" w:type="dxa"/>
            <w:vAlign w:val="center"/>
          </w:tcPr>
          <w:p w14:paraId="649A4691">
            <w:pPr>
              <w:pStyle w:val="178"/>
            </w:pPr>
            <w:r>
              <w:rPr>
                <w:rFonts w:hint="eastAsia"/>
              </w:rPr>
              <w:t>T3/T4</w:t>
            </w:r>
          </w:p>
        </w:tc>
      </w:tr>
    </w:tbl>
    <w:p w14:paraId="0F630EE6">
      <w:pPr>
        <w:pStyle w:val="105"/>
        <w:spacing w:before="120" w:after="120" w:line="360" w:lineRule="auto"/>
      </w:pPr>
      <w:r>
        <w:rPr>
          <w:rFonts w:hint="eastAsia"/>
        </w:rPr>
        <w:t>不良事件指标定义与分级要求</w:t>
      </w:r>
    </w:p>
    <w:p w14:paraId="3E249DE5">
      <w:pPr>
        <w:pStyle w:val="65"/>
        <w:spacing w:before="120" w:after="120" w:line="360" w:lineRule="auto"/>
      </w:pPr>
      <w:r>
        <w:rPr>
          <w:rFonts w:hint="eastAsia"/>
        </w:rPr>
        <w:t>不良事件定义</w:t>
      </w:r>
    </w:p>
    <w:p w14:paraId="223052C8">
      <w:pPr>
        <w:pStyle w:val="56"/>
        <w:spacing w:line="360" w:lineRule="auto"/>
        <w:ind w:firstLine="420"/>
      </w:pPr>
      <w:r>
        <w:rPr>
          <w:rFonts w:hint="eastAsia"/>
        </w:rPr>
        <w:t>实施单位应建立不良事件字典，至少包含：伤口感染、伤口裂开、出血/血肿、末梢循环障碍、皮瓣/再植血运危象、固定压迫导致皮肤破损或神经症状、跌倒或二次损伤、药物不良反应、康复训练不当导致的再次损伤等。</w:t>
      </w:r>
    </w:p>
    <w:p w14:paraId="487536AD">
      <w:pPr>
        <w:pStyle w:val="65"/>
        <w:spacing w:before="120" w:after="120" w:line="360" w:lineRule="auto"/>
      </w:pPr>
      <w:r>
        <w:rPr>
          <w:rFonts w:hint="eastAsia"/>
        </w:rPr>
        <w:t>分级原则</w:t>
      </w:r>
    </w:p>
    <w:p w14:paraId="53BF722C">
      <w:pPr>
        <w:pStyle w:val="56"/>
        <w:spacing w:line="360" w:lineRule="auto"/>
        <w:ind w:firstLine="420"/>
      </w:pPr>
      <w:r>
        <w:rPr>
          <w:rFonts w:hint="eastAsia"/>
        </w:rPr>
        <w:t>不良事件宜按严重程度分级，用于质量分析与处置策略匹配：</w:t>
      </w:r>
    </w:p>
    <w:p w14:paraId="728BEE54">
      <w:pPr>
        <w:pStyle w:val="56"/>
        <w:spacing w:line="360" w:lineRule="auto"/>
        <w:ind w:firstLine="420"/>
      </w:pPr>
      <w:r>
        <w:rPr>
          <w:rFonts w:hint="eastAsia"/>
        </w:rPr>
        <w:t>a) 轻度：无需改变治疗方案或仅需一般处理；</w:t>
      </w:r>
    </w:p>
    <w:p w14:paraId="7D42FF61">
      <w:pPr>
        <w:pStyle w:val="56"/>
        <w:spacing w:line="360" w:lineRule="auto"/>
        <w:ind w:firstLine="420"/>
      </w:pPr>
      <w:r>
        <w:rPr>
          <w:rFonts w:hint="eastAsia"/>
        </w:rPr>
        <w:t>b) 中度：需调整治疗方案、加密随访或门诊处置；</w:t>
      </w:r>
    </w:p>
    <w:p w14:paraId="0E4C179D">
      <w:pPr>
        <w:pStyle w:val="56"/>
        <w:spacing w:line="360" w:lineRule="auto"/>
        <w:ind w:firstLine="420"/>
      </w:pPr>
      <w:r>
        <w:rPr>
          <w:rFonts w:hint="eastAsia"/>
        </w:rPr>
        <w:t>c) 重度：需急诊处置、再次手术、再入院或造成明显功能损害风险。</w:t>
      </w:r>
    </w:p>
    <w:p w14:paraId="032A15CB">
      <w:pPr>
        <w:pStyle w:val="56"/>
        <w:spacing w:line="360" w:lineRule="auto"/>
        <w:ind w:firstLine="420"/>
      </w:pPr>
      <w:r>
        <w:rPr>
          <w:rFonts w:hint="eastAsia"/>
        </w:rPr>
        <w:t>对重度事件，应纳入事件复盘与“一票否决项”判定依据（见第8章）。</w:t>
      </w:r>
    </w:p>
    <w:p w14:paraId="7259D1DA">
      <w:pPr>
        <w:pStyle w:val="56"/>
        <w:spacing w:line="360" w:lineRule="auto"/>
        <w:ind w:firstLine="420"/>
      </w:pPr>
    </w:p>
    <w:p w14:paraId="29FA921D">
      <w:pPr>
        <w:pStyle w:val="56"/>
        <w:spacing w:line="360" w:lineRule="auto"/>
        <w:ind w:firstLine="420"/>
        <w:rPr>
          <w:rFonts w:hint="eastAsia"/>
        </w:rPr>
      </w:pPr>
    </w:p>
    <w:p w14:paraId="17FC46DC">
      <w:pPr>
        <w:pStyle w:val="105"/>
        <w:spacing w:before="120" w:after="120" w:line="360" w:lineRule="auto"/>
      </w:pPr>
      <w:r>
        <w:rPr>
          <w:rFonts w:hint="eastAsia"/>
        </w:rPr>
        <w:t>功能结局指标选取要求</w:t>
      </w:r>
    </w:p>
    <w:p w14:paraId="57E644FF">
      <w:pPr>
        <w:pStyle w:val="56"/>
        <w:spacing w:line="360" w:lineRule="auto"/>
        <w:ind w:firstLine="420"/>
      </w:pPr>
      <w:r>
        <w:rPr>
          <w:rFonts w:hint="eastAsia"/>
        </w:rPr>
        <w:t>功能结局指标应体现手足外科的恢复目标，选取应遵循：</w:t>
      </w:r>
    </w:p>
    <w:p w14:paraId="37F1C740">
      <w:pPr>
        <w:pStyle w:val="56"/>
        <w:spacing w:line="360" w:lineRule="auto"/>
        <w:ind w:firstLine="420"/>
      </w:pPr>
      <w:r>
        <w:rPr>
          <w:rFonts w:hint="eastAsia"/>
        </w:rPr>
        <w:t>a) 与术式匹配：手部以精细运动、握捏力、关节活动度、感觉恢复等为主；足踝以负重、步态、关节活动度、疼痛与生活能力为主；</w:t>
      </w:r>
    </w:p>
    <w:p w14:paraId="5175A935">
      <w:pPr>
        <w:pStyle w:val="56"/>
        <w:spacing w:line="360" w:lineRule="auto"/>
        <w:ind w:firstLine="420"/>
      </w:pPr>
      <w:r>
        <w:rPr>
          <w:rFonts w:hint="eastAsia"/>
        </w:rPr>
        <w:t>b) 与阶段匹配：早期可用“疼痛、肿胀、活动受限程度”作为阶段性替代指标，中后期以客观功能指标为主；</w:t>
      </w:r>
    </w:p>
    <w:p w14:paraId="29E9309E">
      <w:pPr>
        <w:pStyle w:val="56"/>
        <w:spacing w:line="360" w:lineRule="auto"/>
        <w:ind w:firstLine="420"/>
      </w:pPr>
      <w:r>
        <w:rPr>
          <w:rFonts w:hint="eastAsia"/>
        </w:rPr>
        <w:t>c) 与可获得性匹配：优先采用门诊可测或随访可获取的量表/测量方法；</w:t>
      </w:r>
    </w:p>
    <w:p w14:paraId="127F631A">
      <w:pPr>
        <w:pStyle w:val="56"/>
        <w:spacing w:line="360" w:lineRule="auto"/>
        <w:ind w:firstLine="420"/>
      </w:pPr>
      <w:r>
        <w:rPr>
          <w:rFonts w:hint="eastAsia"/>
        </w:rPr>
        <w:t>d) 解释性：指标应可解释、可指导康复计划调整。</w:t>
      </w:r>
    </w:p>
    <w:p w14:paraId="55C0A3F5">
      <w:pPr>
        <w:pStyle w:val="105"/>
        <w:spacing w:before="120" w:after="120" w:line="360" w:lineRule="auto"/>
      </w:pPr>
      <w:r>
        <w:rPr>
          <w:rFonts w:hint="eastAsia"/>
        </w:rPr>
        <w:t>指标权重与分层应用原则</w:t>
      </w:r>
    </w:p>
    <w:p w14:paraId="2CAAEF92">
      <w:pPr>
        <w:pStyle w:val="65"/>
        <w:spacing w:before="120" w:after="120" w:line="360" w:lineRule="auto"/>
      </w:pPr>
      <w:r>
        <w:rPr>
          <w:rFonts w:hint="eastAsia"/>
        </w:rPr>
        <w:t>权重设置</w:t>
      </w:r>
    </w:p>
    <w:p w14:paraId="02BDA8C8">
      <w:pPr>
        <w:pStyle w:val="56"/>
        <w:spacing w:line="360" w:lineRule="auto"/>
        <w:ind w:firstLine="420"/>
      </w:pPr>
      <w:r>
        <w:rPr>
          <w:rFonts w:hint="eastAsia"/>
        </w:rPr>
        <w:t>在进行综合评分或分级判定时，结局指标权重宜不低于50%。对高风险患者，宜提高与血运、感染、固定压迫相关过程指标与结局指标权重，或采用更严格阈值判定。</w:t>
      </w:r>
    </w:p>
    <w:p w14:paraId="55288C1A">
      <w:pPr>
        <w:pStyle w:val="65"/>
        <w:spacing w:before="120" w:after="120" w:line="360" w:lineRule="auto"/>
      </w:pPr>
      <w:r>
        <w:rPr>
          <w:rFonts w:hint="eastAsia"/>
        </w:rPr>
        <w:t>分层应用</w:t>
      </w:r>
    </w:p>
    <w:p w14:paraId="0F93A7BA">
      <w:pPr>
        <w:pStyle w:val="56"/>
        <w:spacing w:line="360" w:lineRule="auto"/>
        <w:ind w:firstLine="420"/>
      </w:pPr>
      <w:r>
        <w:rPr>
          <w:rFonts w:hint="eastAsia"/>
        </w:rPr>
        <w:t>高风险患者：重点评价早期随访按时完成率、异常处置闭环率、血运/循环事件漏识别率、重大不良事件发生率。</w:t>
      </w:r>
    </w:p>
    <w:p w14:paraId="2E963BBA">
      <w:pPr>
        <w:pStyle w:val="56"/>
        <w:spacing w:line="360" w:lineRule="auto"/>
        <w:ind w:firstLine="420"/>
      </w:pPr>
      <w:r>
        <w:rPr>
          <w:rFonts w:hint="eastAsia"/>
        </w:rPr>
        <w:t>中风险患者：兼顾安全与功能推进，重点评价伤口与固定并发症、疼痛控制达标与康复依从性。</w:t>
      </w:r>
    </w:p>
    <w:p w14:paraId="51845F9D">
      <w:pPr>
        <w:pStyle w:val="56"/>
        <w:spacing w:line="360" w:lineRule="auto"/>
        <w:ind w:firstLine="420"/>
      </w:pPr>
      <w:r>
        <w:rPr>
          <w:rFonts w:hint="eastAsia"/>
        </w:rPr>
        <w:t>低风险患者：重点评价标准随访完成、宣教理解与功能阶段达标。</w:t>
      </w:r>
    </w:p>
    <w:p w14:paraId="6D3C1B8C">
      <w:pPr>
        <w:pStyle w:val="105"/>
        <w:spacing w:before="120" w:after="120" w:line="360" w:lineRule="auto"/>
      </w:pPr>
      <w:r>
        <w:rPr>
          <w:rFonts w:hint="eastAsia"/>
        </w:rPr>
        <w:t>数据缺失与偏倚控制要求</w:t>
      </w:r>
    </w:p>
    <w:p w14:paraId="35F9B60F">
      <w:pPr>
        <w:pStyle w:val="56"/>
        <w:spacing w:line="360" w:lineRule="auto"/>
        <w:ind w:firstLine="420"/>
      </w:pPr>
      <w:r>
        <w:rPr>
          <w:rFonts w:hint="eastAsia"/>
        </w:rPr>
        <w:t>控制要求如下：</w:t>
      </w:r>
    </w:p>
    <w:p w14:paraId="47CA3318">
      <w:pPr>
        <w:pStyle w:val="132"/>
        <w:spacing w:line="360" w:lineRule="auto"/>
      </w:pPr>
      <w:r>
        <w:rPr>
          <w:rFonts w:hint="eastAsia"/>
        </w:rPr>
        <w:t>应定义失访与缺失数据的处理规则，并在报告中说明缺失比例；</w:t>
      </w:r>
    </w:p>
    <w:p w14:paraId="3316EACC">
      <w:pPr>
        <w:pStyle w:val="132"/>
        <w:spacing w:line="360" w:lineRule="auto"/>
      </w:pPr>
      <w:r>
        <w:rPr>
          <w:rFonts w:hint="eastAsia"/>
        </w:rPr>
        <w:t>对关键结局指标（再入院、重大不良事件）应优先通过 HIS/病历补全，降低随访漏失偏倚；</w:t>
      </w:r>
    </w:p>
    <w:p w14:paraId="113A6E1A">
      <w:pPr>
        <w:pStyle w:val="132"/>
        <w:spacing w:line="360" w:lineRule="auto"/>
      </w:pPr>
      <w:r>
        <w:rPr>
          <w:rFonts w:hint="eastAsia"/>
        </w:rPr>
        <w:t>对存在系统性失访（如某类患者更易失访）的，应进行分层统计并提出改进措施；</w:t>
      </w:r>
    </w:p>
    <w:p w14:paraId="3A81E859">
      <w:pPr>
        <w:pStyle w:val="132"/>
        <w:spacing w:line="360" w:lineRule="auto"/>
      </w:pPr>
      <w:r>
        <w:rPr>
          <w:rFonts w:hint="eastAsia"/>
        </w:rPr>
        <w:t>指标发布与对标应同时报告样本量、风险分层构成与失访率，避免误读。</w:t>
      </w:r>
    </w:p>
    <w:p w14:paraId="79DA159D">
      <w:pPr>
        <w:pStyle w:val="104"/>
        <w:spacing w:before="240" w:after="240" w:line="360" w:lineRule="auto"/>
      </w:pPr>
      <w:bookmarkStart w:id="54" w:name="_Toc220056904"/>
      <w:r>
        <w:rPr>
          <w:rFonts w:hint="eastAsia"/>
        </w:rPr>
        <w:t>评估时点与数据采集</w:t>
      </w:r>
      <w:bookmarkEnd w:id="54"/>
    </w:p>
    <w:p w14:paraId="7AD92CFB">
      <w:pPr>
        <w:pStyle w:val="105"/>
        <w:spacing w:before="120" w:after="120" w:line="360" w:lineRule="auto"/>
      </w:pPr>
      <w:r>
        <w:rPr>
          <w:rFonts w:hint="eastAsia"/>
        </w:rPr>
        <w:t>总则</w:t>
      </w:r>
    </w:p>
    <w:p w14:paraId="2835EC03">
      <w:pPr>
        <w:pStyle w:val="165"/>
        <w:spacing w:line="360" w:lineRule="auto"/>
      </w:pPr>
      <w:r>
        <w:rPr>
          <w:rFonts w:hint="eastAsia"/>
        </w:rPr>
        <w:t>手足外科术后延续性护理质量评估应按照“关键风险时间窗优先、恢复阶段递进、风险分层差异化”的原则设置评估时点与随访路径。</w:t>
      </w:r>
    </w:p>
    <w:p w14:paraId="4FFFEB6B">
      <w:pPr>
        <w:pStyle w:val="165"/>
        <w:spacing w:line="360" w:lineRule="auto"/>
      </w:pPr>
      <w:r>
        <w:rPr>
          <w:rFonts w:hint="eastAsia"/>
        </w:rPr>
        <w:t>随访路径应保证对早期安全风险（血运/循环障碍、出血、感染、固定压迫、剧痛等）的及时识别与处置，同时能够在中期与后期持续评估康复训练执行与功能恢复进展。</w:t>
      </w:r>
    </w:p>
    <w:p w14:paraId="1E98539B">
      <w:pPr>
        <w:pStyle w:val="165"/>
        <w:spacing w:line="360" w:lineRule="auto"/>
      </w:pPr>
      <w:r>
        <w:rPr>
          <w:rFonts w:hint="eastAsia"/>
        </w:rPr>
        <w:t>数据采集应结构化、可追溯，并与第6章指标体系一一对应。</w:t>
      </w:r>
    </w:p>
    <w:p w14:paraId="38738495">
      <w:pPr>
        <w:pStyle w:val="105"/>
        <w:spacing w:before="120" w:after="120" w:line="360" w:lineRule="auto"/>
      </w:pPr>
      <w:r>
        <w:rPr>
          <w:rFonts w:hint="eastAsia"/>
        </w:rPr>
        <w:t>评估时点设置与时间窗要求</w:t>
      </w:r>
    </w:p>
    <w:p w14:paraId="1A4CCFE8">
      <w:pPr>
        <w:pStyle w:val="65"/>
        <w:spacing w:before="120" w:after="120" w:line="360" w:lineRule="auto"/>
      </w:pPr>
      <w:r>
        <w:rPr>
          <w:rFonts w:hint="eastAsia"/>
        </w:rPr>
        <w:t>推荐评估时点</w:t>
      </w:r>
    </w:p>
    <w:p w14:paraId="0FD0C62F">
      <w:pPr>
        <w:pStyle w:val="56"/>
        <w:spacing w:line="360" w:lineRule="auto"/>
        <w:ind w:firstLine="420"/>
      </w:pPr>
      <w:r>
        <w:rPr>
          <w:rFonts w:hint="eastAsia"/>
        </w:rPr>
        <w:t>评估时点应至少覆盖出院时与出院后早期、中期、阶段性功能评估节点。推荐设置：</w:t>
      </w:r>
    </w:p>
    <w:p w14:paraId="574FB6D0">
      <w:pPr>
        <w:pStyle w:val="56"/>
        <w:spacing w:line="360" w:lineRule="auto"/>
        <w:ind w:firstLine="420"/>
      </w:pPr>
      <w:r>
        <w:rPr>
          <w:rFonts w:hint="eastAsia"/>
        </w:rPr>
        <w:t>a) T0：出院当日；</w:t>
      </w:r>
    </w:p>
    <w:p w14:paraId="28253D2E">
      <w:pPr>
        <w:pStyle w:val="56"/>
        <w:spacing w:line="360" w:lineRule="auto"/>
        <w:ind w:firstLine="420"/>
      </w:pPr>
      <w:r>
        <w:rPr>
          <w:rFonts w:hint="eastAsia"/>
        </w:rPr>
        <w:t>b) T1：出院后48 h～72 h；</w:t>
      </w:r>
    </w:p>
    <w:p w14:paraId="37A8CB9A">
      <w:pPr>
        <w:pStyle w:val="56"/>
        <w:spacing w:line="360" w:lineRule="auto"/>
        <w:ind w:firstLine="420"/>
      </w:pPr>
      <w:r>
        <w:rPr>
          <w:rFonts w:hint="eastAsia"/>
        </w:rPr>
        <w:t>c) T2：出院后7 d；</w:t>
      </w:r>
    </w:p>
    <w:p w14:paraId="6197AE22">
      <w:pPr>
        <w:pStyle w:val="56"/>
        <w:spacing w:line="360" w:lineRule="auto"/>
        <w:ind w:firstLine="420"/>
      </w:pPr>
      <w:r>
        <w:rPr>
          <w:rFonts w:hint="eastAsia"/>
        </w:rPr>
        <w:t>d) T3：出院后14 d；</w:t>
      </w:r>
    </w:p>
    <w:p w14:paraId="13002A5E">
      <w:pPr>
        <w:pStyle w:val="56"/>
        <w:spacing w:line="360" w:lineRule="auto"/>
        <w:ind w:firstLine="420"/>
      </w:pPr>
      <w:r>
        <w:rPr>
          <w:rFonts w:hint="eastAsia"/>
        </w:rPr>
        <w:t>e) T4：出院后1个月；</w:t>
      </w:r>
    </w:p>
    <w:p w14:paraId="46F636F4">
      <w:pPr>
        <w:pStyle w:val="56"/>
        <w:spacing w:line="360" w:lineRule="auto"/>
        <w:ind w:firstLine="420"/>
      </w:pPr>
      <w:r>
        <w:rPr>
          <w:rFonts w:hint="eastAsia"/>
        </w:rPr>
        <w:t>f) T5：出院后3个月。</w:t>
      </w:r>
    </w:p>
    <w:p w14:paraId="209C6271">
      <w:pPr>
        <w:pStyle w:val="65"/>
        <w:spacing w:before="120" w:after="120" w:line="360" w:lineRule="auto"/>
      </w:pPr>
      <w:r>
        <w:rPr>
          <w:rFonts w:hint="eastAsia"/>
        </w:rPr>
        <w:t>允许时间窗</w:t>
      </w:r>
    </w:p>
    <w:p w14:paraId="2A793B67">
      <w:pPr>
        <w:pStyle w:val="56"/>
        <w:spacing w:line="360" w:lineRule="auto"/>
        <w:ind w:firstLine="420"/>
      </w:pPr>
      <w:r>
        <w:rPr>
          <w:rFonts w:hint="eastAsia"/>
        </w:rPr>
        <w:t>为保证执行可行性，宜对各时点设置允许时间窗：</w:t>
      </w:r>
    </w:p>
    <w:p w14:paraId="07E8BAA9">
      <w:pPr>
        <w:pStyle w:val="56"/>
        <w:spacing w:line="360" w:lineRule="auto"/>
        <w:ind w:firstLine="420"/>
      </w:pPr>
      <w:r>
        <w:rPr>
          <w:rFonts w:hint="eastAsia"/>
        </w:rPr>
        <w:t>a) T1：±24 h；</w:t>
      </w:r>
    </w:p>
    <w:p w14:paraId="064D8984">
      <w:pPr>
        <w:pStyle w:val="56"/>
        <w:spacing w:line="360" w:lineRule="auto"/>
        <w:ind w:firstLine="420"/>
      </w:pPr>
      <w:r>
        <w:rPr>
          <w:rFonts w:hint="eastAsia"/>
        </w:rPr>
        <w:t>b) T2：±2 d；</w:t>
      </w:r>
    </w:p>
    <w:p w14:paraId="67A12F31">
      <w:pPr>
        <w:pStyle w:val="56"/>
        <w:spacing w:line="360" w:lineRule="auto"/>
        <w:ind w:firstLine="420"/>
      </w:pPr>
      <w:r>
        <w:rPr>
          <w:rFonts w:hint="eastAsia"/>
        </w:rPr>
        <w:t>c) T3：±3 d；</w:t>
      </w:r>
    </w:p>
    <w:p w14:paraId="2D9C6B61">
      <w:pPr>
        <w:pStyle w:val="56"/>
        <w:spacing w:line="360" w:lineRule="auto"/>
        <w:ind w:firstLine="420"/>
      </w:pPr>
      <w:r>
        <w:rPr>
          <w:rFonts w:hint="eastAsia"/>
        </w:rPr>
        <w:t>d) T4：±7 d；</w:t>
      </w:r>
    </w:p>
    <w:p w14:paraId="64D03663">
      <w:pPr>
        <w:pStyle w:val="56"/>
        <w:spacing w:line="360" w:lineRule="auto"/>
        <w:ind w:firstLine="420"/>
      </w:pPr>
      <w:r>
        <w:rPr>
          <w:rFonts w:hint="eastAsia"/>
        </w:rPr>
        <w:t>e) T5：±14 d。</w:t>
      </w:r>
    </w:p>
    <w:p w14:paraId="1BC60849">
      <w:pPr>
        <w:pStyle w:val="56"/>
        <w:spacing w:line="360" w:lineRule="auto"/>
        <w:ind w:firstLine="420"/>
      </w:pPr>
      <w:r>
        <w:rPr>
          <w:rFonts w:hint="eastAsia"/>
        </w:rPr>
        <w:t>当患者因复诊安排或客观原因无法在时间窗内完成随访，应记录原因，并按7.6缺失处理规则进行统计归因。</w:t>
      </w:r>
    </w:p>
    <w:p w14:paraId="65D9465B">
      <w:pPr>
        <w:pStyle w:val="65"/>
        <w:spacing w:before="120" w:after="120" w:line="360" w:lineRule="auto"/>
      </w:pPr>
      <w:r>
        <w:rPr>
          <w:rFonts w:hint="eastAsia"/>
        </w:rPr>
        <w:t>术式与分层调整</w:t>
      </w:r>
    </w:p>
    <w:p w14:paraId="5B6D0F76">
      <w:pPr>
        <w:pStyle w:val="56"/>
        <w:spacing w:line="360" w:lineRule="auto"/>
        <w:ind w:firstLine="420"/>
      </w:pPr>
      <w:r>
        <w:rPr>
          <w:rFonts w:hint="eastAsia"/>
        </w:rPr>
        <w:t>对皮瓣移植、断指再植、显微血管吻合等高血运风险术式，高风险患者宜增加早期随访点。</w:t>
      </w:r>
    </w:p>
    <w:p w14:paraId="11296BD9">
      <w:pPr>
        <w:pStyle w:val="56"/>
        <w:spacing w:line="360" w:lineRule="auto"/>
        <w:ind w:firstLine="420"/>
      </w:pPr>
      <w:r>
        <w:rPr>
          <w:rFonts w:hint="eastAsia"/>
        </w:rPr>
        <w:t>对长期固定或需分阶段拆除固定的患者，宜在固定调整关键节点前后增加随访。</w:t>
      </w:r>
    </w:p>
    <w:p w14:paraId="7164F007">
      <w:pPr>
        <w:pStyle w:val="56"/>
        <w:spacing w:line="360" w:lineRule="auto"/>
        <w:ind w:firstLine="420"/>
      </w:pPr>
      <w:r>
        <w:rPr>
          <w:rFonts w:hint="eastAsia"/>
        </w:rPr>
        <w:t>对单纯软组织修复且低风险者，可将T5改为按需随访，但不得取消T1、T2早期安全评估。</w:t>
      </w:r>
    </w:p>
    <w:p w14:paraId="207C9428">
      <w:pPr>
        <w:pStyle w:val="105"/>
        <w:spacing w:before="120" w:after="120" w:line="360" w:lineRule="auto"/>
      </w:pPr>
      <w:r>
        <w:rPr>
          <w:rFonts w:hint="eastAsia"/>
        </w:rPr>
        <w:t>随访路径设计与责任分工</w:t>
      </w:r>
    </w:p>
    <w:p w14:paraId="36148A68">
      <w:pPr>
        <w:pStyle w:val="65"/>
        <w:spacing w:before="120" w:after="120" w:line="360" w:lineRule="auto"/>
      </w:pPr>
      <w:r>
        <w:rPr>
          <w:rFonts w:hint="eastAsia"/>
        </w:rPr>
        <w:t>随访路径类型</w:t>
      </w:r>
    </w:p>
    <w:p w14:paraId="4D0E8D33">
      <w:pPr>
        <w:pStyle w:val="56"/>
        <w:spacing w:line="360" w:lineRule="auto"/>
        <w:ind w:firstLine="420"/>
      </w:pPr>
      <w:r>
        <w:rPr>
          <w:rFonts w:hint="eastAsia"/>
        </w:rPr>
        <w:t>随访路径可采用以下一种或组合：</w:t>
      </w:r>
    </w:p>
    <w:p w14:paraId="424BBA10">
      <w:pPr>
        <w:pStyle w:val="56"/>
        <w:spacing w:line="360" w:lineRule="auto"/>
        <w:ind w:firstLine="420"/>
      </w:pPr>
      <w:r>
        <w:rPr>
          <w:rFonts w:hint="eastAsia"/>
        </w:rPr>
        <w:t>a) 电话随访：适用于多数患者的基础随访与症状筛查；</w:t>
      </w:r>
    </w:p>
    <w:p w14:paraId="6E2DDE29">
      <w:pPr>
        <w:pStyle w:val="56"/>
        <w:spacing w:line="360" w:lineRule="auto"/>
        <w:ind w:firstLine="420"/>
      </w:pPr>
      <w:r>
        <w:rPr>
          <w:rFonts w:hint="eastAsia"/>
        </w:rPr>
        <w:t>b) 互联网平台随访（图文/视频）：适用于需要观察伤口、肿胀、末梢循环、固定压迫及训练动作的患者；</w:t>
      </w:r>
    </w:p>
    <w:p w14:paraId="70B0CFBD">
      <w:pPr>
        <w:pStyle w:val="56"/>
        <w:spacing w:line="360" w:lineRule="auto"/>
        <w:ind w:firstLine="420"/>
      </w:pPr>
      <w:r>
        <w:rPr>
          <w:rFonts w:hint="eastAsia"/>
        </w:rPr>
        <w:t>c) 门诊复诊随访：适用于需客观测量、拆线换药、固定调整或康复评估的患者；</w:t>
      </w:r>
    </w:p>
    <w:p w14:paraId="20044922">
      <w:pPr>
        <w:pStyle w:val="56"/>
        <w:spacing w:line="360" w:lineRule="auto"/>
        <w:ind w:firstLine="420"/>
      </w:pPr>
      <w:r>
        <w:rPr>
          <w:rFonts w:hint="eastAsia"/>
        </w:rPr>
        <w:t>d) 家庭访视：在具备资源与条件时用于高风险、依从性差或行动不便患者。</w:t>
      </w:r>
    </w:p>
    <w:p w14:paraId="74AC716B">
      <w:pPr>
        <w:pStyle w:val="65"/>
        <w:spacing w:before="120" w:after="120" w:line="360" w:lineRule="auto"/>
      </w:pPr>
      <w:r>
        <w:rPr>
          <w:rFonts w:hint="eastAsia"/>
        </w:rPr>
        <w:t>责任分工要求</w:t>
      </w:r>
    </w:p>
    <w:p w14:paraId="7CDDB2FE">
      <w:pPr>
        <w:pStyle w:val="56"/>
        <w:spacing w:line="360" w:lineRule="auto"/>
        <w:ind w:firstLine="420"/>
      </w:pPr>
      <w:r>
        <w:rPr>
          <w:rFonts w:hint="eastAsia"/>
        </w:rPr>
        <w:t>应明确延续性护理责任人与备用责任人。对高风险患者，宜建立“护士—医师—康复治疗师”联动机制，明确异常触发后的转介路径。</w:t>
      </w:r>
    </w:p>
    <w:p w14:paraId="58EDC7DA">
      <w:pPr>
        <w:pStyle w:val="56"/>
        <w:spacing w:line="360" w:lineRule="auto"/>
        <w:ind w:firstLine="420"/>
      </w:pPr>
      <w:r>
        <w:rPr>
          <w:rFonts w:hint="eastAsia"/>
        </w:rPr>
        <w:t>应明确随访记录责任与复核机制，关键风险评估宜设置二次确认或升级处置通道。</w:t>
      </w:r>
    </w:p>
    <w:p w14:paraId="4B3EBBA2">
      <w:pPr>
        <w:pStyle w:val="65"/>
        <w:spacing w:before="120" w:after="120" w:line="360" w:lineRule="auto"/>
      </w:pPr>
      <w:r>
        <w:rPr>
          <w:rFonts w:hint="eastAsia"/>
        </w:rPr>
        <w:t>随访频次与分层匹配</w:t>
      </w:r>
    </w:p>
    <w:p w14:paraId="78914C86">
      <w:pPr>
        <w:pStyle w:val="56"/>
        <w:spacing w:line="360" w:lineRule="auto"/>
        <w:ind w:firstLine="420"/>
      </w:pPr>
      <w:r>
        <w:rPr>
          <w:rFonts w:hint="eastAsia"/>
        </w:rPr>
        <w:t>随访频次应与分层匹配，具体要求如下：</w:t>
      </w:r>
    </w:p>
    <w:p w14:paraId="40B11B3B">
      <w:pPr>
        <w:pStyle w:val="56"/>
        <w:spacing w:line="360" w:lineRule="auto"/>
        <w:ind w:firstLine="420"/>
      </w:pPr>
      <w:r>
        <w:rPr>
          <w:rFonts w:hint="eastAsia"/>
        </w:rPr>
        <w:t>a) 高风险：T0～T2为重点，加密随访不少于3次（含必要的视频/图片核验），并设置随访间隔不超过72 h的要求；</w:t>
      </w:r>
    </w:p>
    <w:p w14:paraId="656E770E">
      <w:pPr>
        <w:pStyle w:val="56"/>
        <w:spacing w:line="360" w:lineRule="auto"/>
        <w:ind w:firstLine="420"/>
      </w:pPr>
      <w:r>
        <w:rPr>
          <w:rFonts w:hint="eastAsia"/>
        </w:rPr>
        <w:t>b) 中风险：按T0～T4执行标准随访，必要时在T2～T3间增加一次随访；</w:t>
      </w:r>
    </w:p>
    <w:p w14:paraId="13AF9DEB">
      <w:pPr>
        <w:pStyle w:val="56"/>
        <w:spacing w:line="360" w:lineRule="auto"/>
        <w:ind w:firstLine="420"/>
      </w:pPr>
      <w:r>
        <w:rPr>
          <w:rFonts w:hint="eastAsia"/>
        </w:rPr>
        <w:t>c) 低风险：按T0、T1、T2、T4执行标准随访，T3与T5可视恢复情况调整，但应保证至少一次阶段性功能评估。</w:t>
      </w:r>
    </w:p>
    <w:p w14:paraId="59C01F1C">
      <w:pPr>
        <w:pStyle w:val="105"/>
        <w:spacing w:before="120" w:after="120" w:line="360" w:lineRule="auto"/>
      </w:pPr>
      <w:r>
        <w:rPr>
          <w:rFonts w:hint="eastAsia"/>
        </w:rPr>
        <w:t>数据采集内容与方法</w:t>
      </w:r>
    </w:p>
    <w:p w14:paraId="174DF852">
      <w:pPr>
        <w:pStyle w:val="65"/>
        <w:spacing w:before="120" w:after="120" w:line="360" w:lineRule="auto"/>
      </w:pPr>
      <w:r>
        <w:rPr>
          <w:rFonts w:hint="eastAsia"/>
        </w:rPr>
        <w:t>采集内容框架</w:t>
      </w:r>
    </w:p>
    <w:p w14:paraId="253C1C29">
      <w:pPr>
        <w:pStyle w:val="56"/>
        <w:spacing w:line="360" w:lineRule="auto"/>
        <w:ind w:firstLine="420"/>
      </w:pPr>
      <w:r>
        <w:rPr>
          <w:rFonts w:hint="eastAsia"/>
        </w:rPr>
        <w:t>随访数据采集应至少包含以下模块：</w:t>
      </w:r>
    </w:p>
    <w:p w14:paraId="0E11177B">
      <w:pPr>
        <w:pStyle w:val="56"/>
        <w:spacing w:line="360" w:lineRule="auto"/>
        <w:ind w:firstLine="420"/>
      </w:pPr>
      <w:r>
        <w:rPr>
          <w:rFonts w:hint="eastAsia"/>
        </w:rPr>
        <w:t>a) 基本信息核对：姓名/住院号或随访编号、术式与侧别、出院日期、风险分层等级；</w:t>
      </w:r>
    </w:p>
    <w:p w14:paraId="40BE8135">
      <w:pPr>
        <w:pStyle w:val="56"/>
        <w:spacing w:line="360" w:lineRule="auto"/>
        <w:ind w:firstLine="420"/>
      </w:pPr>
      <w:r>
        <w:rPr>
          <w:rFonts w:hint="eastAsia"/>
        </w:rPr>
        <w:t>b) 安全模块：伤口状态、渗出/出血、体温与感染征象、肿胀程度、末梢循环、疼痛强度、固定压迫与皮肤完整性；</w:t>
      </w:r>
    </w:p>
    <w:p w14:paraId="676F9895">
      <w:pPr>
        <w:pStyle w:val="56"/>
        <w:spacing w:line="360" w:lineRule="auto"/>
        <w:ind w:firstLine="420"/>
      </w:pPr>
      <w:r>
        <w:rPr>
          <w:rFonts w:hint="eastAsia"/>
        </w:rPr>
        <w:t>c) 功能与康复模块：活动度、训练执行情况、负重/步态（足踝术式）、手功能训练要点执行、训练不适与异常；</w:t>
      </w:r>
    </w:p>
    <w:p w14:paraId="3F3D6D29">
      <w:pPr>
        <w:pStyle w:val="56"/>
        <w:spacing w:line="360" w:lineRule="auto"/>
        <w:ind w:firstLine="420"/>
      </w:pPr>
      <w:r>
        <w:rPr>
          <w:rFonts w:hint="eastAsia"/>
        </w:rPr>
        <w:t>d) 用药与复诊模块：抗生素/镇痛药等用药依从性、不良反应、复诊时间与执行情况；</w:t>
      </w:r>
    </w:p>
    <w:p w14:paraId="3291A05A">
      <w:pPr>
        <w:pStyle w:val="56"/>
        <w:spacing w:line="360" w:lineRule="auto"/>
        <w:ind w:firstLine="420"/>
      </w:pPr>
      <w:r>
        <w:rPr>
          <w:rFonts w:hint="eastAsia"/>
        </w:rPr>
        <w:t>e) 问题与处置模块：患者提问、护理指导内容、异常信号、转介/复诊建议、处置结果回收；</w:t>
      </w:r>
    </w:p>
    <w:p w14:paraId="6C09267C">
      <w:pPr>
        <w:pStyle w:val="56"/>
        <w:spacing w:line="360" w:lineRule="auto"/>
        <w:ind w:firstLine="420"/>
      </w:pPr>
      <w:r>
        <w:rPr>
          <w:rFonts w:hint="eastAsia"/>
        </w:rPr>
        <w:t>f) 体验与依从性模块：满意度、理解度、自我护理能力与照护者支持情况。</w:t>
      </w:r>
    </w:p>
    <w:p w14:paraId="6CCC1996">
      <w:pPr>
        <w:pStyle w:val="65"/>
        <w:spacing w:before="120" w:after="120" w:line="360" w:lineRule="auto"/>
      </w:pPr>
      <w:r>
        <w:rPr>
          <w:rFonts w:hint="eastAsia"/>
        </w:rPr>
        <w:t>采集工具与记录格式</w:t>
      </w:r>
    </w:p>
    <w:p w14:paraId="6CFE92B0">
      <w:pPr>
        <w:pStyle w:val="56"/>
        <w:spacing w:line="360" w:lineRule="auto"/>
        <w:ind w:firstLine="420"/>
      </w:pPr>
      <w:r>
        <w:rPr>
          <w:rFonts w:hint="eastAsia"/>
        </w:rPr>
        <w:t>应使用结构化随访表单，字段与第6章指标体系对应。</w:t>
      </w:r>
    </w:p>
    <w:p w14:paraId="7D4E6C3C">
      <w:pPr>
        <w:pStyle w:val="56"/>
        <w:spacing w:line="360" w:lineRule="auto"/>
        <w:ind w:firstLine="420"/>
      </w:pPr>
      <w:r>
        <w:rPr>
          <w:rFonts w:hint="eastAsia"/>
        </w:rPr>
        <w:t>疼痛、满意度、依从性等主观指标宜采用统一量表或统一等级。</w:t>
      </w:r>
    </w:p>
    <w:p w14:paraId="449B3534">
      <w:pPr>
        <w:pStyle w:val="56"/>
        <w:spacing w:line="360" w:lineRule="auto"/>
        <w:ind w:firstLine="420"/>
      </w:pPr>
      <w:r>
        <w:rPr>
          <w:rFonts w:hint="eastAsia"/>
        </w:rPr>
        <w:t>对功能结局指标，门诊测量时应使用统一测量方法，并记录测量条件与操作者。</w:t>
      </w:r>
    </w:p>
    <w:p w14:paraId="14437C11">
      <w:pPr>
        <w:pStyle w:val="56"/>
        <w:spacing w:line="360" w:lineRule="auto"/>
        <w:ind w:firstLine="420"/>
      </w:pPr>
      <w:r>
        <w:rPr>
          <w:rFonts w:hint="eastAsia"/>
        </w:rPr>
        <w:t>互联网随访采集图片/视频时，应规定拍摄位置、角度、光线与必要的参照物，避免无法判读。</w:t>
      </w:r>
    </w:p>
    <w:p w14:paraId="24960EC1">
      <w:pPr>
        <w:pStyle w:val="56"/>
        <w:spacing w:line="360" w:lineRule="auto"/>
        <w:ind w:firstLine="420"/>
        <w:rPr>
          <w:rFonts w:hint="eastAsia"/>
        </w:rPr>
      </w:pPr>
    </w:p>
    <w:p w14:paraId="72B1B5EA">
      <w:pPr>
        <w:pStyle w:val="105"/>
        <w:spacing w:before="120" w:after="120" w:line="360" w:lineRule="auto"/>
      </w:pPr>
      <w:r>
        <w:rPr>
          <w:rFonts w:hint="eastAsia"/>
        </w:rPr>
        <w:t>红旗信号与处置触发规则</w:t>
      </w:r>
    </w:p>
    <w:p w14:paraId="38B8DB5D">
      <w:pPr>
        <w:pStyle w:val="65"/>
        <w:spacing w:before="120" w:after="120" w:line="360" w:lineRule="auto"/>
      </w:pPr>
      <w:r>
        <w:rPr>
          <w:rFonts w:hint="eastAsia"/>
        </w:rPr>
        <w:t>红旗信号</w:t>
      </w:r>
    </w:p>
    <w:p w14:paraId="26C46391">
      <w:pPr>
        <w:pStyle w:val="56"/>
        <w:spacing w:line="360" w:lineRule="auto"/>
        <w:ind w:firstLine="420"/>
      </w:pPr>
      <w:r>
        <w:rPr>
          <w:rFonts w:hint="eastAsia"/>
        </w:rPr>
        <w:t>出现下列任一情况，应作为红旗信号触发升级处置：</w:t>
      </w:r>
    </w:p>
    <w:p w14:paraId="572C70EA">
      <w:pPr>
        <w:pStyle w:val="56"/>
        <w:spacing w:line="360" w:lineRule="auto"/>
        <w:ind w:firstLine="420"/>
      </w:pPr>
      <w:r>
        <w:rPr>
          <w:rFonts w:hint="eastAsia"/>
        </w:rPr>
        <w:t>a) 末梢循环异常：肤色苍白/发绀、皮温明显降低、毛细血管再充盈明显延长、麻木加重或突然出现运动障碍；</w:t>
      </w:r>
    </w:p>
    <w:p w14:paraId="5EF4A689">
      <w:pPr>
        <w:pStyle w:val="56"/>
        <w:spacing w:line="360" w:lineRule="auto"/>
        <w:ind w:firstLine="420"/>
      </w:pPr>
      <w:r>
        <w:rPr>
          <w:rFonts w:hint="eastAsia"/>
        </w:rPr>
        <w:t>b) 疼痛异常：剧痛或疼痛快速加重且常规镇痛无效，尤其伴肿胀紧张；</w:t>
      </w:r>
    </w:p>
    <w:p w14:paraId="6AA5B454">
      <w:pPr>
        <w:pStyle w:val="56"/>
        <w:spacing w:line="360" w:lineRule="auto"/>
        <w:ind w:firstLine="420"/>
      </w:pPr>
      <w:r>
        <w:rPr>
          <w:rFonts w:hint="eastAsia"/>
        </w:rPr>
        <w:t>c) 出血/渗血增多：敷料短时间内浸透、活动后持续出血；</w:t>
      </w:r>
    </w:p>
    <w:p w14:paraId="7203DD32">
      <w:pPr>
        <w:pStyle w:val="56"/>
        <w:spacing w:line="360" w:lineRule="auto"/>
        <w:ind w:firstLine="420"/>
      </w:pPr>
      <w:r>
        <w:rPr>
          <w:rFonts w:hint="eastAsia"/>
        </w:rPr>
        <w:t>d) 感染征象：持续发热、伤口红肿热痛明显加重、脓性渗出或异味；</w:t>
      </w:r>
    </w:p>
    <w:p w14:paraId="1949A979">
      <w:pPr>
        <w:pStyle w:val="56"/>
        <w:spacing w:line="360" w:lineRule="auto"/>
        <w:ind w:firstLine="420"/>
      </w:pPr>
      <w:r>
        <w:rPr>
          <w:rFonts w:hint="eastAsia"/>
        </w:rPr>
        <w:t>e) 固定压迫：石膏/夹板/支具压迫导致皮肤破损、明显麻木、剧痛或指（趾）端肿胀明显；</w:t>
      </w:r>
    </w:p>
    <w:p w14:paraId="681F8009">
      <w:pPr>
        <w:pStyle w:val="56"/>
        <w:spacing w:line="360" w:lineRule="auto"/>
        <w:ind w:firstLine="420"/>
      </w:pPr>
      <w:r>
        <w:rPr>
          <w:rFonts w:hint="eastAsia"/>
        </w:rPr>
        <w:t>f) 其他：跌倒或二次损伤、药物严重不良反应、患者无法完成基本自我护理且无照护支持。</w:t>
      </w:r>
    </w:p>
    <w:p w14:paraId="0EE88F89">
      <w:pPr>
        <w:pStyle w:val="65"/>
        <w:spacing w:before="120" w:after="120" w:line="360" w:lineRule="auto"/>
      </w:pPr>
      <w:r>
        <w:rPr>
          <w:rFonts w:hint="eastAsia"/>
        </w:rPr>
        <w:t>处置触发与时效要求</w:t>
      </w:r>
    </w:p>
    <w:p w14:paraId="7838EA6C">
      <w:pPr>
        <w:pStyle w:val="56"/>
        <w:spacing w:line="360" w:lineRule="auto"/>
        <w:ind w:firstLine="420"/>
      </w:pPr>
      <w:r>
        <w:rPr>
          <w:rFonts w:hint="eastAsia"/>
        </w:rPr>
        <w:t>处置触发与时效要求如下：</w:t>
      </w:r>
    </w:p>
    <w:p w14:paraId="0AD73837">
      <w:pPr>
        <w:pStyle w:val="56"/>
        <w:spacing w:line="360" w:lineRule="auto"/>
        <w:ind w:firstLine="420"/>
      </w:pPr>
      <w:r>
        <w:rPr>
          <w:rFonts w:hint="eastAsia"/>
        </w:rPr>
        <w:t>a) 对疑似血运危象或严重循环障碍，应建议患者立即急诊或立即返院，并同步通知责任医师；</w:t>
      </w:r>
    </w:p>
    <w:p w14:paraId="7D94475B">
      <w:pPr>
        <w:pStyle w:val="56"/>
        <w:spacing w:line="360" w:lineRule="auto"/>
        <w:ind w:firstLine="420"/>
      </w:pPr>
      <w:r>
        <w:rPr>
          <w:rFonts w:hint="eastAsia"/>
        </w:rPr>
        <w:t>b) 对疑似感染加重、固定压迫或出血风险，应在24 h内安排门诊复诊或换药评估；</w:t>
      </w:r>
    </w:p>
    <w:p w14:paraId="3C8262CC">
      <w:pPr>
        <w:pStyle w:val="56"/>
        <w:spacing w:line="360" w:lineRule="auto"/>
        <w:ind w:firstLine="420"/>
      </w:pPr>
      <w:r>
        <w:rPr>
          <w:rFonts w:hint="eastAsia"/>
        </w:rPr>
        <w:t>c) 对疼痛控制不佳但无危急征象者，应在48 h内调整护理指导并评估是否需要医师介入；</w:t>
      </w:r>
    </w:p>
    <w:p w14:paraId="11093CAD">
      <w:pPr>
        <w:pStyle w:val="56"/>
        <w:spacing w:line="360" w:lineRule="auto"/>
        <w:ind w:firstLine="420"/>
      </w:pPr>
      <w:r>
        <w:rPr>
          <w:rFonts w:hint="eastAsia"/>
        </w:rPr>
        <w:t>d) 所有红旗信号处置应形成闭环记录。</w:t>
      </w:r>
    </w:p>
    <w:p w14:paraId="2D197389">
      <w:pPr>
        <w:pStyle w:val="105"/>
        <w:spacing w:before="120" w:after="120" w:line="360" w:lineRule="auto"/>
      </w:pPr>
      <w:r>
        <w:rPr>
          <w:rFonts w:hint="eastAsia"/>
        </w:rPr>
        <w:t>数据质量控制与缺失处理</w:t>
      </w:r>
    </w:p>
    <w:p w14:paraId="444FC2DE">
      <w:pPr>
        <w:pStyle w:val="65"/>
        <w:spacing w:before="120" w:after="120" w:line="360" w:lineRule="auto"/>
      </w:pPr>
      <w:r>
        <w:rPr>
          <w:rFonts w:hint="eastAsia"/>
        </w:rPr>
        <w:t>数据质量控制</w:t>
      </w:r>
    </w:p>
    <w:p w14:paraId="42F38B60">
      <w:pPr>
        <w:pStyle w:val="56"/>
        <w:spacing w:line="360" w:lineRule="auto"/>
        <w:ind w:firstLine="420"/>
      </w:pPr>
      <w:r>
        <w:rPr>
          <w:rFonts w:hint="eastAsia"/>
        </w:rPr>
        <w:t>随访表单应设置必填项与逻辑校验。</w:t>
      </w:r>
    </w:p>
    <w:p w14:paraId="1436BBB8">
      <w:pPr>
        <w:pStyle w:val="56"/>
        <w:spacing w:line="360" w:lineRule="auto"/>
        <w:ind w:firstLine="420"/>
      </w:pPr>
      <w:r>
        <w:rPr>
          <w:rFonts w:hint="eastAsia"/>
        </w:rPr>
        <w:t>血运、感染、固定压迫等关键字段宜设置复核机制，必要时由专科护士二次确认。</w:t>
      </w:r>
    </w:p>
    <w:p w14:paraId="12CC2D28">
      <w:pPr>
        <w:pStyle w:val="56"/>
        <w:spacing w:line="360" w:lineRule="auto"/>
        <w:ind w:firstLine="420"/>
      </w:pPr>
      <w:r>
        <w:rPr>
          <w:rFonts w:hint="eastAsia"/>
        </w:rPr>
        <w:t>对不良事件应建立确认流程，至少包含事件描述、发生时间、证据来源与分级判定。</w:t>
      </w:r>
    </w:p>
    <w:p w14:paraId="69C0A386">
      <w:pPr>
        <w:pStyle w:val="56"/>
        <w:spacing w:line="360" w:lineRule="auto"/>
        <w:ind w:firstLine="420"/>
      </w:pPr>
      <w:r>
        <w:rPr>
          <w:rFonts w:hint="eastAsia"/>
        </w:rPr>
        <w:t>应定期抽查随访记录完整性与一致性，并对差错进行纠正培训。</w:t>
      </w:r>
    </w:p>
    <w:p w14:paraId="20EA301A">
      <w:pPr>
        <w:pStyle w:val="65"/>
        <w:spacing w:before="120" w:after="120" w:line="360" w:lineRule="auto"/>
      </w:pPr>
      <w:r>
        <w:rPr>
          <w:rFonts w:hint="eastAsia"/>
        </w:rPr>
        <w:t>缺失与失访处理</w:t>
      </w:r>
    </w:p>
    <w:p w14:paraId="5344216C">
      <w:pPr>
        <w:pStyle w:val="56"/>
        <w:spacing w:line="360" w:lineRule="auto"/>
        <w:ind w:firstLine="420"/>
      </w:pPr>
      <w:r>
        <w:rPr>
          <w:rFonts w:hint="eastAsia"/>
        </w:rPr>
        <w:t>对未在允许时间窗内完成的随访，应记录原因并统计为“逾期”。</w:t>
      </w:r>
    </w:p>
    <w:p w14:paraId="77C30D1D">
      <w:pPr>
        <w:pStyle w:val="56"/>
        <w:spacing w:line="360" w:lineRule="auto"/>
        <w:ind w:firstLine="420"/>
      </w:pPr>
      <w:r>
        <w:rPr>
          <w:rFonts w:hint="eastAsia"/>
        </w:rPr>
        <w:t>对连续两次随访未完成者，应启动补救联系流程（至少2次不同时间段联系，并联系紧急联系人）。</w:t>
      </w:r>
    </w:p>
    <w:p w14:paraId="10DB0C6C">
      <w:pPr>
        <w:pStyle w:val="56"/>
        <w:spacing w:line="360" w:lineRule="auto"/>
        <w:ind w:firstLine="420"/>
      </w:pPr>
      <w:r>
        <w:rPr>
          <w:rFonts w:hint="eastAsia"/>
        </w:rPr>
        <w:t>对失访患者，应在质量报告中单独列示失访率，并按风险分层分层统计。</w:t>
      </w:r>
    </w:p>
    <w:p w14:paraId="3A8BA840">
      <w:pPr>
        <w:pStyle w:val="56"/>
        <w:spacing w:line="360" w:lineRule="auto"/>
        <w:ind w:firstLine="420"/>
      </w:pPr>
      <w:r>
        <w:rPr>
          <w:rFonts w:hint="eastAsia"/>
        </w:rPr>
        <w:t>对关键结局（再入院、重大不良事件）应优先通过院内信息系统或复诊记录补全，减少偏倚。</w:t>
      </w:r>
    </w:p>
    <w:p w14:paraId="32898F12">
      <w:pPr>
        <w:pStyle w:val="105"/>
        <w:spacing w:before="120" w:after="120" w:line="360" w:lineRule="auto"/>
      </w:pPr>
      <w:r>
        <w:rPr>
          <w:rFonts w:hint="eastAsia"/>
        </w:rPr>
        <w:t>随访时点与采集要点</w:t>
      </w:r>
    </w:p>
    <w:p w14:paraId="504B9E9F">
      <w:pPr>
        <w:pStyle w:val="56"/>
        <w:spacing w:line="360" w:lineRule="auto"/>
        <w:ind w:firstLine="420"/>
      </w:pPr>
      <w:r>
        <w:rPr>
          <w:rFonts w:hint="eastAsia"/>
        </w:rPr>
        <w:t>为便于实施，各时点的“必采项目”与“选采项目”应在机构内形成清单，并与风险分层挂钩：</w:t>
      </w:r>
    </w:p>
    <w:p w14:paraId="001108D1">
      <w:pPr>
        <w:pStyle w:val="56"/>
        <w:spacing w:line="360" w:lineRule="auto"/>
        <w:ind w:firstLine="420"/>
      </w:pPr>
      <w:r>
        <w:rPr>
          <w:rFonts w:hint="eastAsia"/>
        </w:rPr>
        <w:t>a) T0必采：风险分层、护理计划、宣教要点核查、联系方式与渠道、红旗信号告知；</w:t>
      </w:r>
    </w:p>
    <w:p w14:paraId="288BDF3E">
      <w:pPr>
        <w:pStyle w:val="56"/>
        <w:spacing w:line="360" w:lineRule="auto"/>
        <w:ind w:firstLine="420"/>
      </w:pPr>
      <w:r>
        <w:rPr>
          <w:rFonts w:hint="eastAsia"/>
        </w:rPr>
        <w:t>b) T1必采：伤口/出血、循环、疼痛、固定压迫；高风险加采：图片/视频核验；</w:t>
      </w:r>
    </w:p>
    <w:p w14:paraId="19001289">
      <w:pPr>
        <w:pStyle w:val="56"/>
        <w:spacing w:line="360" w:lineRule="auto"/>
        <w:ind w:firstLine="420"/>
      </w:pPr>
      <w:r>
        <w:rPr>
          <w:rFonts w:hint="eastAsia"/>
        </w:rPr>
        <w:t>c) T2必采：感染筛查、固定适配、肿胀与疼痛、训练启动；</w:t>
      </w:r>
    </w:p>
    <w:p w14:paraId="32D3DE0C">
      <w:pPr>
        <w:pStyle w:val="56"/>
        <w:spacing w:line="360" w:lineRule="auto"/>
        <w:ind w:firstLine="420"/>
      </w:pPr>
      <w:r>
        <w:rPr>
          <w:rFonts w:hint="eastAsia"/>
        </w:rPr>
        <w:t>d) T3必采：拆线/换药配合、ROM进展、依从性；</w:t>
      </w:r>
    </w:p>
    <w:p w14:paraId="04FA48C1">
      <w:pPr>
        <w:pStyle w:val="56"/>
        <w:spacing w:line="360" w:lineRule="auto"/>
        <w:ind w:firstLine="420"/>
      </w:pPr>
      <w:r>
        <w:rPr>
          <w:rFonts w:hint="eastAsia"/>
        </w:rPr>
        <w:t>e) T4必采：阶段性功能评估、康复计划调整、并发症筛查；</w:t>
      </w:r>
    </w:p>
    <w:p w14:paraId="168F75AF">
      <w:pPr>
        <w:pStyle w:val="56"/>
        <w:spacing w:line="360" w:lineRule="auto"/>
        <w:ind w:firstLine="420"/>
      </w:pPr>
      <w:r>
        <w:rPr>
          <w:rFonts w:hint="eastAsia"/>
        </w:rPr>
        <w:t>f) T5必采：功能达标评估与长期管理转介。</w:t>
      </w:r>
    </w:p>
    <w:p w14:paraId="0F0410FC">
      <w:pPr>
        <w:pStyle w:val="104"/>
        <w:spacing w:before="240" w:after="240" w:line="360" w:lineRule="auto"/>
      </w:pPr>
      <w:bookmarkStart w:id="55" w:name="_Toc220056905"/>
      <w:r>
        <w:rPr>
          <w:rFonts w:hint="eastAsia"/>
        </w:rPr>
        <w:t>分级判定与结果解释</w:t>
      </w:r>
      <w:bookmarkEnd w:id="55"/>
    </w:p>
    <w:p w14:paraId="2A7CB0AA">
      <w:pPr>
        <w:pStyle w:val="105"/>
        <w:spacing w:before="120" w:after="120" w:line="360" w:lineRule="auto"/>
      </w:pPr>
      <w:r>
        <w:rPr>
          <w:rFonts w:hint="eastAsia"/>
        </w:rPr>
        <w:t>总则</w:t>
      </w:r>
    </w:p>
    <w:p w14:paraId="09CC8912">
      <w:pPr>
        <w:pStyle w:val="165"/>
        <w:spacing w:line="360" w:lineRule="auto"/>
      </w:pPr>
      <w:r>
        <w:rPr>
          <w:rFonts w:hint="eastAsia"/>
        </w:rPr>
        <w:t>延续性护理质量评分与分级判定应以第6章指标体系为依据，遵循“安全底线优先、结局导向、过程可解释、分层可比较”的原则。</w:t>
      </w:r>
    </w:p>
    <w:p w14:paraId="5FB71318">
      <w:pPr>
        <w:pStyle w:val="165"/>
        <w:spacing w:line="360" w:lineRule="auto"/>
      </w:pPr>
      <w:r>
        <w:rPr>
          <w:rFonts w:hint="eastAsia"/>
        </w:rPr>
        <w:t>评分结果应能够反映延续性护理服务的真实质量水平，支持同一机构内不同团队的对标、同一团队的持续改进，以及对高风险患者管理质量的重点考核。</w:t>
      </w:r>
    </w:p>
    <w:p w14:paraId="5D79385F">
      <w:pPr>
        <w:pStyle w:val="165"/>
        <w:spacing w:line="360" w:lineRule="auto"/>
      </w:pPr>
      <w:r>
        <w:rPr>
          <w:rFonts w:hint="eastAsia"/>
        </w:rPr>
        <w:t>评分与分级判定宜采用“综合评分+一票否决”机制：综合评分用于量化过程与结局的整体水平；一票否决用于严格控制重大可预防安全事件，避免“高分掩盖重大风险”。</w:t>
      </w:r>
    </w:p>
    <w:p w14:paraId="24529D84">
      <w:pPr>
        <w:pStyle w:val="105"/>
        <w:spacing w:before="120" w:after="120" w:line="360" w:lineRule="auto"/>
      </w:pPr>
      <w:r>
        <w:rPr>
          <w:rFonts w:hint="eastAsia"/>
        </w:rPr>
        <w:t>评分模型与权重设置</w:t>
      </w:r>
    </w:p>
    <w:p w14:paraId="47BA29B4">
      <w:pPr>
        <w:pStyle w:val="65"/>
        <w:spacing w:before="120" w:after="120" w:line="360" w:lineRule="auto"/>
      </w:pPr>
      <w:r>
        <w:rPr>
          <w:rFonts w:hint="eastAsia"/>
        </w:rPr>
        <w:t>评分模型选择</w:t>
      </w:r>
    </w:p>
    <w:p w14:paraId="4BDECB56">
      <w:pPr>
        <w:pStyle w:val="56"/>
        <w:spacing w:line="360" w:lineRule="auto"/>
        <w:ind w:firstLine="420"/>
      </w:pPr>
      <w:r>
        <w:rPr>
          <w:rFonts w:hint="eastAsia"/>
        </w:rPr>
        <w:t>实施单位可根据数据基础与管理目标选择以下任一模型，并保持口径稳定：</w:t>
      </w:r>
    </w:p>
    <w:p w14:paraId="3D2B8021">
      <w:pPr>
        <w:pStyle w:val="56"/>
        <w:spacing w:line="360" w:lineRule="auto"/>
        <w:ind w:firstLine="420"/>
      </w:pPr>
      <w:r>
        <w:rPr>
          <w:rFonts w:hint="eastAsia"/>
        </w:rPr>
        <w:t>a) 100分制综合评分：适用于管理考核与对标；</w:t>
      </w:r>
    </w:p>
    <w:p w14:paraId="48DF3C51">
      <w:pPr>
        <w:pStyle w:val="56"/>
        <w:spacing w:line="360" w:lineRule="auto"/>
        <w:ind w:firstLine="420"/>
      </w:pPr>
      <w:r>
        <w:rPr>
          <w:rFonts w:hint="eastAsia"/>
        </w:rPr>
        <w:t>b) 等级制评价：按指标达标情况直接判定优秀/良好/合格/不合格；</w:t>
      </w:r>
    </w:p>
    <w:p w14:paraId="6FA44E1A">
      <w:pPr>
        <w:pStyle w:val="56"/>
        <w:spacing w:line="360" w:lineRule="auto"/>
        <w:ind w:firstLine="420"/>
      </w:pPr>
      <w:r>
        <w:rPr>
          <w:rFonts w:hint="eastAsia"/>
        </w:rPr>
        <w:t>c) 关键指标门槛制：将若干关键指标设为必须达标项，其余指标用于加减分。</w:t>
      </w:r>
    </w:p>
    <w:p w14:paraId="1888105E">
      <w:pPr>
        <w:pStyle w:val="56"/>
        <w:spacing w:line="360" w:lineRule="auto"/>
        <w:ind w:firstLine="420"/>
      </w:pPr>
      <w:r>
        <w:rPr>
          <w:rFonts w:hint="eastAsia"/>
        </w:rPr>
        <w:t>采用100分制综合评分时，应明确各维度权重与扣分规则，并在报告中说明计算口径与指标来源。</w:t>
      </w:r>
    </w:p>
    <w:p w14:paraId="232F9E96">
      <w:pPr>
        <w:pStyle w:val="65"/>
        <w:spacing w:before="120" w:after="120" w:line="360" w:lineRule="auto"/>
      </w:pPr>
      <w:r>
        <w:rPr>
          <w:rFonts w:hint="eastAsia"/>
        </w:rPr>
        <w:t>权重设置原则</w:t>
      </w:r>
    </w:p>
    <w:p w14:paraId="4EE889E3">
      <w:pPr>
        <w:pStyle w:val="56"/>
        <w:spacing w:line="360" w:lineRule="auto"/>
        <w:ind w:firstLine="420"/>
      </w:pPr>
      <w:r>
        <w:rPr>
          <w:rFonts w:hint="eastAsia"/>
        </w:rPr>
        <w:t>权重设置原则如下：</w:t>
      </w:r>
    </w:p>
    <w:p w14:paraId="74E399BC">
      <w:pPr>
        <w:pStyle w:val="56"/>
        <w:spacing w:line="360" w:lineRule="auto"/>
        <w:ind w:firstLine="420"/>
      </w:pPr>
      <w:r>
        <w:rPr>
          <w:rFonts w:hint="eastAsia"/>
        </w:rPr>
        <w:t>a) 结局指标权重宜不低于总分的50%，以体现安全与功能恢复导向；</w:t>
      </w:r>
    </w:p>
    <w:p w14:paraId="5A8DB8CE">
      <w:pPr>
        <w:pStyle w:val="56"/>
        <w:spacing w:line="360" w:lineRule="auto"/>
        <w:ind w:firstLine="420"/>
      </w:pPr>
      <w:r>
        <w:rPr>
          <w:rFonts w:hint="eastAsia"/>
        </w:rPr>
        <w:t>b) 对高风险患者管理，宜提高早期随访按时完成、高风险加密随访落实、异常处置闭环、严重事件漏识别等指标的权重；</w:t>
      </w:r>
    </w:p>
    <w:p w14:paraId="09F7AC41">
      <w:pPr>
        <w:pStyle w:val="56"/>
        <w:spacing w:line="360" w:lineRule="auto"/>
        <w:ind w:firstLine="420"/>
      </w:pPr>
      <w:r>
        <w:rPr>
          <w:rFonts w:hint="eastAsia"/>
        </w:rPr>
        <w:t>c) 结构指标权重不宜过高，宜作为“前置条件”或“基础分”，避免组织形式掩盖实际效果；</w:t>
      </w:r>
    </w:p>
    <w:p w14:paraId="18C9CDB7">
      <w:pPr>
        <w:pStyle w:val="56"/>
        <w:spacing w:line="360" w:lineRule="auto"/>
        <w:ind w:firstLine="420"/>
      </w:pPr>
      <w:r>
        <w:rPr>
          <w:rFonts w:hint="eastAsia"/>
        </w:rPr>
        <w:t>d) 体验与依从性指标可用于解释过程与结局差异，权重宜控制在10%～20%以内。</w:t>
      </w:r>
    </w:p>
    <w:p w14:paraId="095481AD">
      <w:pPr>
        <w:pStyle w:val="65"/>
        <w:spacing w:before="120" w:after="120" w:line="360" w:lineRule="auto"/>
      </w:pPr>
      <w:r>
        <w:rPr>
          <w:rFonts w:hint="eastAsia"/>
        </w:rPr>
        <w:t>推荐权重框架</w:t>
      </w:r>
    </w:p>
    <w:p w14:paraId="09FF7E9A">
      <w:pPr>
        <w:pStyle w:val="56"/>
        <w:spacing w:line="360" w:lineRule="auto"/>
        <w:ind w:firstLine="420"/>
      </w:pPr>
      <w:r>
        <w:rPr>
          <w:rFonts w:hint="eastAsia"/>
        </w:rPr>
        <w:t>在不改变安全底线要求的前提下，推荐权重如下：</w:t>
      </w:r>
    </w:p>
    <w:p w14:paraId="29A888A1">
      <w:pPr>
        <w:pStyle w:val="56"/>
        <w:spacing w:line="360" w:lineRule="auto"/>
        <w:ind w:firstLine="420"/>
      </w:pPr>
      <w:r>
        <w:rPr>
          <w:rFonts w:hint="eastAsia"/>
        </w:rPr>
        <w:t>a) 结构与能力保障：10分；</w:t>
      </w:r>
    </w:p>
    <w:p w14:paraId="418E422F">
      <w:pPr>
        <w:pStyle w:val="56"/>
        <w:spacing w:line="360" w:lineRule="auto"/>
        <w:ind w:firstLine="420"/>
      </w:pPr>
      <w:r>
        <w:rPr>
          <w:rFonts w:hint="eastAsia"/>
        </w:rPr>
        <w:t>b) 过程执行质量：35分；</w:t>
      </w:r>
    </w:p>
    <w:p w14:paraId="098DD9AC">
      <w:pPr>
        <w:pStyle w:val="56"/>
        <w:spacing w:line="360" w:lineRule="auto"/>
        <w:ind w:firstLine="420"/>
      </w:pPr>
      <w:r>
        <w:rPr>
          <w:rFonts w:hint="eastAsia"/>
        </w:rPr>
        <w:t>c) 结局与安全质量：45分；</w:t>
      </w:r>
    </w:p>
    <w:p w14:paraId="565CFBD1">
      <w:pPr>
        <w:pStyle w:val="56"/>
        <w:spacing w:line="360" w:lineRule="auto"/>
        <w:ind w:firstLine="420"/>
      </w:pPr>
      <w:r>
        <w:rPr>
          <w:rFonts w:hint="eastAsia"/>
        </w:rPr>
        <w:t>d) 体验与依从性：10分。</w:t>
      </w:r>
    </w:p>
    <w:p w14:paraId="440CEA2C">
      <w:pPr>
        <w:pStyle w:val="179"/>
        <w:spacing w:line="360" w:lineRule="auto"/>
      </w:pPr>
      <w:r>
        <w:rPr>
          <w:rFonts w:hint="eastAsia"/>
        </w:rPr>
        <w:t>若机构更强调功能恢复，可在结局维度内提高功能达标率权重；若机构处于建设初期，可适度提高过程维度权重，但不得降低对重大不良事件的一票否决约束。</w:t>
      </w:r>
    </w:p>
    <w:p w14:paraId="639CF828">
      <w:pPr>
        <w:pStyle w:val="105"/>
        <w:spacing w:before="120" w:after="120" w:line="360" w:lineRule="auto"/>
      </w:pPr>
      <w:r>
        <w:rPr>
          <w:rFonts w:hint="eastAsia"/>
        </w:rPr>
        <w:t>一票否决项设置</w:t>
      </w:r>
    </w:p>
    <w:p w14:paraId="531463FC">
      <w:pPr>
        <w:pStyle w:val="65"/>
        <w:spacing w:before="120" w:after="120" w:line="360" w:lineRule="auto"/>
      </w:pPr>
      <w:r>
        <w:rPr>
          <w:rFonts w:hint="eastAsia"/>
        </w:rPr>
        <w:t>设置原则</w:t>
      </w:r>
    </w:p>
    <w:p w14:paraId="5EECD796">
      <w:pPr>
        <w:pStyle w:val="56"/>
        <w:spacing w:line="360" w:lineRule="auto"/>
        <w:ind w:firstLine="420"/>
      </w:pPr>
      <w:r>
        <w:rPr>
          <w:rFonts w:hint="eastAsia"/>
        </w:rPr>
        <w:t>一票否决项应聚焦“可预防、可归因、危害重大”的事件，且应满足：事件定义清晰、证据可追溯、与延续性护理缺陷存在合理关联。</w:t>
      </w:r>
    </w:p>
    <w:p w14:paraId="37DE542A">
      <w:pPr>
        <w:pStyle w:val="65"/>
        <w:spacing w:before="120" w:after="120" w:line="360" w:lineRule="auto"/>
      </w:pPr>
      <w:r>
        <w:rPr>
          <w:rFonts w:hint="eastAsia"/>
        </w:rPr>
        <w:t>推荐一票否决项</w:t>
      </w:r>
    </w:p>
    <w:p w14:paraId="674FAD5E">
      <w:pPr>
        <w:pStyle w:val="56"/>
        <w:spacing w:line="360" w:lineRule="auto"/>
        <w:ind w:firstLine="420"/>
      </w:pPr>
      <w:r>
        <w:rPr>
          <w:rFonts w:hint="eastAsia"/>
        </w:rPr>
        <w:t>出现下列任一情形，应判定本周期（或该患者/该团队对应统计单元）为“不合格”，并启动专项复盘：</w:t>
      </w:r>
    </w:p>
    <w:p w14:paraId="76BACE61">
      <w:pPr>
        <w:pStyle w:val="56"/>
        <w:spacing w:line="360" w:lineRule="auto"/>
        <w:ind w:firstLine="420"/>
      </w:pPr>
      <w:r>
        <w:rPr>
          <w:rFonts w:hint="eastAsia"/>
        </w:rPr>
        <w:t>a) 高风险患者出院后早期（T1或等效时点）关键随访未执行或记录缺失，且发生需急处置的血运/循环危象导致处置延误；</w:t>
      </w:r>
    </w:p>
    <w:p w14:paraId="778C5A44">
      <w:pPr>
        <w:pStyle w:val="56"/>
        <w:spacing w:line="360" w:lineRule="auto"/>
        <w:ind w:firstLine="420"/>
      </w:pPr>
      <w:r>
        <w:rPr>
          <w:rFonts w:hint="eastAsia"/>
        </w:rPr>
        <w:t>b) 随访中出现明确红旗信号（7.5）但未触发升级处置或未形成处置闭环，导致严重后果（再入院、再手术、坏死风险显著增加）；</w:t>
      </w:r>
    </w:p>
    <w:p w14:paraId="5E6FECCB">
      <w:pPr>
        <w:pStyle w:val="56"/>
        <w:spacing w:line="360" w:lineRule="auto"/>
        <w:ind w:firstLine="420"/>
      </w:pPr>
      <w:r>
        <w:rPr>
          <w:rFonts w:hint="eastAsia"/>
        </w:rPr>
        <w:t>c) 固定压迫相关严重并发症（如皮肤坏死、明显神经损伤症状）经复盘确认存在随访漏识别或指导明显不当；</w:t>
      </w:r>
    </w:p>
    <w:p w14:paraId="06DC1EF6">
      <w:pPr>
        <w:pStyle w:val="56"/>
        <w:spacing w:line="360" w:lineRule="auto"/>
        <w:ind w:firstLine="420"/>
      </w:pPr>
      <w:r>
        <w:rPr>
          <w:rFonts w:hint="eastAsia"/>
        </w:rPr>
        <w:t>d) 发生严重感染或伤口重大并发症，经复盘确认存在随访缺失、处置延迟或告知不充分且可预防性高；</w:t>
      </w:r>
    </w:p>
    <w:p w14:paraId="04051FCD">
      <w:pPr>
        <w:pStyle w:val="56"/>
        <w:spacing w:line="360" w:lineRule="auto"/>
        <w:ind w:firstLine="420"/>
      </w:pPr>
      <w:r>
        <w:rPr>
          <w:rFonts w:hint="eastAsia"/>
        </w:rPr>
        <w:t>e) 延续性护理数据存在严重造假、篡改或故意隐瞒不良事件的行为。</w:t>
      </w:r>
    </w:p>
    <w:p w14:paraId="7C79952E">
      <w:pPr>
        <w:pStyle w:val="179"/>
        <w:spacing w:line="360" w:lineRule="auto"/>
      </w:pPr>
      <w:r>
        <w:rPr>
          <w:rFonts w:hint="eastAsia"/>
        </w:rPr>
        <w:t>一票否决的适用范围应在机构内明确（针对单例患者、单团队月度/季度、或科室周期）。对单例患者的一票否决不应直接等同于科室整体不合格，但应纳入整体质量评价的风险权重与整改要求。</w:t>
      </w:r>
    </w:p>
    <w:p w14:paraId="0CD8A948">
      <w:pPr>
        <w:pStyle w:val="105"/>
        <w:spacing w:before="120" w:after="120" w:line="360" w:lineRule="auto"/>
      </w:pPr>
      <w:r>
        <w:rPr>
          <w:rFonts w:hint="eastAsia"/>
        </w:rPr>
        <w:t>指标达标规则与扣分方法</w:t>
      </w:r>
    </w:p>
    <w:p w14:paraId="0F802250">
      <w:pPr>
        <w:pStyle w:val="65"/>
        <w:spacing w:before="120" w:after="120" w:line="360" w:lineRule="auto"/>
      </w:pPr>
      <w:r>
        <w:rPr>
          <w:rFonts w:hint="eastAsia"/>
        </w:rPr>
        <w:t>过程指标达标规则</w:t>
      </w:r>
    </w:p>
    <w:p w14:paraId="41B10871">
      <w:pPr>
        <w:pStyle w:val="56"/>
        <w:spacing w:line="360" w:lineRule="auto"/>
        <w:ind w:firstLine="420"/>
      </w:pPr>
      <w:r>
        <w:rPr>
          <w:rFonts w:hint="eastAsia"/>
        </w:rPr>
        <w:t>过程指标宜采用“阈值达标+比例扣分”方式。示例：</w:t>
      </w:r>
    </w:p>
    <w:p w14:paraId="3F9DA56D">
      <w:pPr>
        <w:pStyle w:val="56"/>
        <w:spacing w:line="360" w:lineRule="auto"/>
        <w:ind w:firstLine="420"/>
      </w:pPr>
      <w:r>
        <w:rPr>
          <w:rFonts w:hint="eastAsia"/>
        </w:rPr>
        <w:t>a) 随访按时完成率：达到阈值（如≥90%）得满分；低于阈值按差距比例扣分；</w:t>
      </w:r>
    </w:p>
    <w:p w14:paraId="1DE0204A">
      <w:pPr>
        <w:pStyle w:val="56"/>
        <w:spacing w:line="360" w:lineRule="auto"/>
        <w:ind w:firstLine="420"/>
      </w:pPr>
      <w:r>
        <w:rPr>
          <w:rFonts w:hint="eastAsia"/>
        </w:rPr>
        <w:t>b) 高风险加密随访落实率：建议阈值更高（如≥95%），未达标按差距加倍扣分；</w:t>
      </w:r>
    </w:p>
    <w:p w14:paraId="10B2D750">
      <w:pPr>
        <w:pStyle w:val="56"/>
        <w:spacing w:line="360" w:lineRule="auto"/>
        <w:ind w:firstLine="420"/>
      </w:pPr>
      <w:r>
        <w:rPr>
          <w:rFonts w:hint="eastAsia"/>
        </w:rPr>
        <w:t>c) 异常处置闭环率：建议阈值≥95%，未形成闭环的每例应记录原因并扣分。</w:t>
      </w:r>
    </w:p>
    <w:p w14:paraId="4585F435">
      <w:pPr>
        <w:pStyle w:val="56"/>
        <w:spacing w:line="360" w:lineRule="auto"/>
        <w:ind w:firstLine="420"/>
        <w:rPr>
          <w:rFonts w:hint="eastAsia"/>
        </w:rPr>
      </w:pPr>
    </w:p>
    <w:p w14:paraId="7A9CBD61">
      <w:pPr>
        <w:pStyle w:val="65"/>
        <w:spacing w:before="120" w:after="120" w:line="360" w:lineRule="auto"/>
      </w:pPr>
      <w:r>
        <w:rPr>
          <w:rFonts w:hint="eastAsia"/>
        </w:rPr>
        <w:t>结局指标达标规则</w:t>
      </w:r>
    </w:p>
    <w:p w14:paraId="6A1A2B65">
      <w:pPr>
        <w:pStyle w:val="56"/>
        <w:spacing w:line="360" w:lineRule="auto"/>
        <w:ind w:firstLine="420"/>
      </w:pPr>
      <w:r>
        <w:rPr>
          <w:rFonts w:hint="eastAsia"/>
        </w:rPr>
        <w:t>结局指标宜采用“事件率控制+严重事件加权扣分”方式：</w:t>
      </w:r>
    </w:p>
    <w:p w14:paraId="08FFB6F5">
      <w:pPr>
        <w:pStyle w:val="56"/>
        <w:spacing w:line="360" w:lineRule="auto"/>
        <w:ind w:firstLine="420"/>
      </w:pPr>
      <w:r>
        <w:rPr>
          <w:rFonts w:hint="eastAsia"/>
        </w:rPr>
        <w:t>a) 伤口相关不良事件发生率、固定相关并发症发生率、再入院/非计划就诊率等，宜设置目标值与警戒值；超过警戒值应触发原因分析；</w:t>
      </w:r>
    </w:p>
    <w:p w14:paraId="551A92BE">
      <w:pPr>
        <w:pStyle w:val="56"/>
        <w:spacing w:line="360" w:lineRule="auto"/>
        <w:ind w:firstLine="420"/>
      </w:pPr>
      <w:r>
        <w:rPr>
          <w:rFonts w:hint="eastAsia"/>
        </w:rPr>
        <w:t>b) 严重事件（重度不良事件）应设置更高扣分权重，必要时可触发一票否决（见8.3）；</w:t>
      </w:r>
    </w:p>
    <w:p w14:paraId="2B2B8122">
      <w:pPr>
        <w:pStyle w:val="56"/>
        <w:spacing w:line="360" w:lineRule="auto"/>
        <w:ind w:firstLine="420"/>
      </w:pPr>
      <w:r>
        <w:rPr>
          <w:rFonts w:hint="eastAsia"/>
        </w:rPr>
        <w:t>c) 功能恢复达标率应结合术式与基线情况分层统计，避免将高复杂度术式团队在对标中系统性“吃亏”。</w:t>
      </w:r>
    </w:p>
    <w:p w14:paraId="3F89E9EF">
      <w:pPr>
        <w:pStyle w:val="65"/>
        <w:spacing w:before="120" w:after="120" w:line="360" w:lineRule="auto"/>
      </w:pPr>
      <w:r>
        <w:rPr>
          <w:rFonts w:hint="eastAsia"/>
        </w:rPr>
        <w:t>体验与依从性指标达标规则</w:t>
      </w:r>
    </w:p>
    <w:p w14:paraId="5C7761A5">
      <w:pPr>
        <w:pStyle w:val="56"/>
        <w:spacing w:line="360" w:lineRule="auto"/>
        <w:ind w:firstLine="420"/>
      </w:pPr>
      <w:r>
        <w:rPr>
          <w:rFonts w:hint="eastAsia"/>
        </w:rPr>
        <w:t>患者满意度、依从性达标率可采用阈值达标方式。对样本量较小的团队，应同时报告样本量与置信信息，避免因极端值造成误判。</w:t>
      </w:r>
    </w:p>
    <w:p w14:paraId="289F0773">
      <w:pPr>
        <w:pStyle w:val="105"/>
        <w:spacing w:before="120" w:after="120" w:line="360" w:lineRule="auto"/>
      </w:pPr>
      <w:r>
        <w:rPr>
          <w:rFonts w:hint="eastAsia"/>
        </w:rPr>
        <w:t>分级判定与结果解释</w:t>
      </w:r>
    </w:p>
    <w:p w14:paraId="4FC9B943">
      <w:pPr>
        <w:pStyle w:val="65"/>
        <w:spacing w:before="120" w:after="120" w:line="360" w:lineRule="auto"/>
      </w:pPr>
      <w:r>
        <w:rPr>
          <w:rFonts w:hint="eastAsia"/>
        </w:rPr>
        <w:t>分级判定</w:t>
      </w:r>
    </w:p>
    <w:p w14:paraId="08D53116">
      <w:pPr>
        <w:pStyle w:val="56"/>
        <w:spacing w:line="360" w:lineRule="auto"/>
        <w:ind w:firstLine="420"/>
      </w:pPr>
      <w:r>
        <w:rPr>
          <w:rFonts w:hint="eastAsia"/>
        </w:rPr>
        <w:t>在未触发一票否决项的前提下，综合评分可按以下分级（示例）：</w:t>
      </w:r>
    </w:p>
    <w:p w14:paraId="75C8C220">
      <w:pPr>
        <w:pStyle w:val="56"/>
        <w:spacing w:line="360" w:lineRule="auto"/>
        <w:ind w:firstLine="420"/>
      </w:pPr>
      <w:r>
        <w:rPr>
          <w:rFonts w:hint="eastAsia"/>
        </w:rPr>
        <w:t>a) 优秀：≥90分；</w:t>
      </w:r>
    </w:p>
    <w:p w14:paraId="31CC3B1D">
      <w:pPr>
        <w:pStyle w:val="56"/>
        <w:spacing w:line="360" w:lineRule="auto"/>
        <w:ind w:firstLine="420"/>
      </w:pPr>
      <w:r>
        <w:rPr>
          <w:rFonts w:hint="eastAsia"/>
        </w:rPr>
        <w:t>b) 良好：80～89分；</w:t>
      </w:r>
    </w:p>
    <w:p w14:paraId="03049A2F">
      <w:pPr>
        <w:pStyle w:val="56"/>
        <w:spacing w:line="360" w:lineRule="auto"/>
        <w:ind w:firstLine="420"/>
      </w:pPr>
      <w:r>
        <w:rPr>
          <w:rFonts w:hint="eastAsia"/>
        </w:rPr>
        <w:t>c) 合格：70～79分；</w:t>
      </w:r>
    </w:p>
    <w:p w14:paraId="6E384D1C">
      <w:pPr>
        <w:pStyle w:val="56"/>
        <w:spacing w:line="360" w:lineRule="auto"/>
        <w:ind w:firstLine="420"/>
      </w:pPr>
      <w:r>
        <w:rPr>
          <w:rFonts w:hint="eastAsia"/>
        </w:rPr>
        <w:t>d) 不合格：＜70分或触发一票否决项。</w:t>
      </w:r>
    </w:p>
    <w:p w14:paraId="076D0652">
      <w:pPr>
        <w:pStyle w:val="56"/>
        <w:spacing w:line="360" w:lineRule="auto"/>
        <w:ind w:firstLine="420"/>
      </w:pPr>
      <w:r>
        <w:rPr>
          <w:rFonts w:hint="eastAsia"/>
        </w:rPr>
        <w:t>实施单位可根据自身质量基线调整阈值，但不得降低一票否决项的控制力度。</w:t>
      </w:r>
    </w:p>
    <w:p w14:paraId="367FC04C">
      <w:pPr>
        <w:pStyle w:val="65"/>
        <w:spacing w:before="120" w:after="120" w:line="360" w:lineRule="auto"/>
      </w:pPr>
      <w:r>
        <w:rPr>
          <w:rFonts w:hint="eastAsia"/>
        </w:rPr>
        <w:t>结果解释要求</w:t>
      </w:r>
    </w:p>
    <w:p w14:paraId="5E00EA0A">
      <w:pPr>
        <w:pStyle w:val="56"/>
        <w:spacing w:line="360" w:lineRule="auto"/>
        <w:ind w:firstLine="420"/>
      </w:pPr>
      <w:r>
        <w:rPr>
          <w:rFonts w:hint="eastAsia"/>
        </w:rPr>
        <w:t>质量评价报告应至少包含：</w:t>
      </w:r>
    </w:p>
    <w:p w14:paraId="641F77F1">
      <w:pPr>
        <w:pStyle w:val="56"/>
        <w:spacing w:line="360" w:lineRule="auto"/>
        <w:ind w:firstLine="420"/>
      </w:pPr>
      <w:r>
        <w:rPr>
          <w:rFonts w:hint="eastAsia"/>
        </w:rPr>
        <w:t>a) 评分结果与分级结论；</w:t>
      </w:r>
    </w:p>
    <w:p w14:paraId="2649517D">
      <w:pPr>
        <w:pStyle w:val="56"/>
        <w:spacing w:line="360" w:lineRule="auto"/>
        <w:ind w:firstLine="420"/>
      </w:pPr>
      <w:r>
        <w:rPr>
          <w:rFonts w:hint="eastAsia"/>
        </w:rPr>
        <w:t>b) 关键指标达标情况（尤其是高风险患者相关指标）；</w:t>
      </w:r>
    </w:p>
    <w:p w14:paraId="65C7E254">
      <w:pPr>
        <w:pStyle w:val="56"/>
        <w:spacing w:line="360" w:lineRule="auto"/>
        <w:ind w:firstLine="420"/>
      </w:pPr>
      <w:r>
        <w:rPr>
          <w:rFonts w:hint="eastAsia"/>
        </w:rPr>
        <w:t>c) 主要扣分项与主要不良事件类型；</w:t>
      </w:r>
    </w:p>
    <w:p w14:paraId="40429A04">
      <w:pPr>
        <w:pStyle w:val="56"/>
        <w:spacing w:line="360" w:lineRule="auto"/>
        <w:ind w:firstLine="420"/>
      </w:pPr>
      <w:r>
        <w:rPr>
          <w:rFonts w:hint="eastAsia"/>
        </w:rPr>
        <w:t>d) 失访率与缺失数据情况；</w:t>
      </w:r>
    </w:p>
    <w:p w14:paraId="561B5BB3">
      <w:pPr>
        <w:pStyle w:val="56"/>
        <w:spacing w:line="360" w:lineRule="auto"/>
        <w:ind w:firstLine="420"/>
      </w:pPr>
      <w:r>
        <w:rPr>
          <w:rFonts w:hint="eastAsia"/>
        </w:rPr>
        <w:t>e) 对比基线或对标对象的变化趋势；</w:t>
      </w:r>
    </w:p>
    <w:p w14:paraId="765BBA61">
      <w:pPr>
        <w:pStyle w:val="56"/>
        <w:spacing w:line="360" w:lineRule="auto"/>
        <w:ind w:firstLine="420"/>
      </w:pPr>
      <w:r>
        <w:rPr>
          <w:rFonts w:hint="eastAsia"/>
        </w:rPr>
        <w:t>f) 改进建议与整改计划（含责任人与完成期限）。</w:t>
      </w:r>
    </w:p>
    <w:p w14:paraId="76DCCF05">
      <w:pPr>
        <w:pStyle w:val="56"/>
        <w:spacing w:line="360" w:lineRule="auto"/>
        <w:ind w:firstLine="420"/>
      </w:pPr>
      <w:r>
        <w:rPr>
          <w:rFonts w:hint="eastAsia"/>
        </w:rPr>
        <w:t>对出现波动的指标，应结合患者构成变化（风险分层比例、术式谱系变化）进行解释，避免将病例结构变化误判为护理质量变化。</w:t>
      </w:r>
    </w:p>
    <w:p w14:paraId="417791F3">
      <w:pPr>
        <w:pStyle w:val="56"/>
        <w:spacing w:line="360" w:lineRule="auto"/>
        <w:ind w:firstLine="420"/>
      </w:pPr>
    </w:p>
    <w:p w14:paraId="4427F5BF">
      <w:pPr>
        <w:pStyle w:val="56"/>
        <w:spacing w:line="360" w:lineRule="auto"/>
        <w:ind w:firstLine="420"/>
        <w:rPr>
          <w:rFonts w:hint="eastAsia"/>
        </w:rPr>
      </w:pPr>
    </w:p>
    <w:p w14:paraId="400357EA">
      <w:pPr>
        <w:pStyle w:val="105"/>
        <w:spacing w:before="120" w:after="120" w:line="360" w:lineRule="auto"/>
      </w:pPr>
      <w:r>
        <w:rPr>
          <w:rFonts w:hint="eastAsia"/>
        </w:rPr>
        <w:t>复核、申诉与数据更正</w:t>
      </w:r>
    </w:p>
    <w:p w14:paraId="05BEE2A5">
      <w:pPr>
        <w:pStyle w:val="56"/>
        <w:spacing w:line="360" w:lineRule="auto"/>
        <w:ind w:firstLine="420"/>
      </w:pPr>
      <w:r>
        <w:rPr>
          <w:rFonts w:hint="eastAsia"/>
        </w:rPr>
        <w:t>评分与分级判定应支持复核。复核应基于可追溯证据（病历、随访记录、复诊记录、处置记录等）进行。</w:t>
      </w:r>
    </w:p>
    <w:p w14:paraId="07098745">
      <w:pPr>
        <w:pStyle w:val="56"/>
        <w:spacing w:line="360" w:lineRule="auto"/>
        <w:ind w:firstLine="420"/>
      </w:pPr>
      <w:r>
        <w:rPr>
          <w:rFonts w:hint="eastAsia"/>
        </w:rPr>
        <w:t>对数据录入错误导致的误判，应按规定流程更正并保留更正痕迹。</w:t>
      </w:r>
    </w:p>
    <w:p w14:paraId="3BB2C16D">
      <w:pPr>
        <w:pStyle w:val="56"/>
        <w:spacing w:line="360" w:lineRule="auto"/>
        <w:ind w:firstLine="420"/>
      </w:pPr>
      <w:r>
        <w:rPr>
          <w:rFonts w:hint="eastAsia"/>
        </w:rPr>
        <w:t>对涉及重大不良事件的一票否决判定，应组织多学科复盘并形成正式结论，不得以“口头说明”替代证据。</w:t>
      </w:r>
    </w:p>
    <w:p w14:paraId="202F1A5F">
      <w:pPr>
        <w:pStyle w:val="65"/>
        <w:spacing w:before="120" w:after="120" w:line="360" w:lineRule="auto"/>
      </w:pPr>
      <w:r>
        <w:rPr>
          <w:rFonts w:hint="eastAsia"/>
        </w:rPr>
        <w:t>结果应用与质量改进联动</w:t>
      </w:r>
    </w:p>
    <w:p w14:paraId="058E6141">
      <w:pPr>
        <w:pStyle w:val="56"/>
        <w:spacing w:line="360" w:lineRule="auto"/>
        <w:ind w:firstLine="420"/>
      </w:pPr>
      <w:r>
        <w:rPr>
          <w:rFonts w:hint="eastAsia"/>
        </w:rPr>
        <w:t>质量评价结果应与护理团队绩效、培训计划、资源配置、流程优化相联动。</w:t>
      </w:r>
    </w:p>
    <w:p w14:paraId="4235B163">
      <w:pPr>
        <w:pStyle w:val="56"/>
        <w:spacing w:line="360" w:lineRule="auto"/>
        <w:ind w:firstLine="420"/>
      </w:pPr>
      <w:r>
        <w:rPr>
          <w:rFonts w:hint="eastAsia"/>
        </w:rPr>
        <w:t>对连续两个周期处于“不合格”的团队或指标项，应启动专项整改与跟踪验收。</w:t>
      </w:r>
    </w:p>
    <w:p w14:paraId="20E2F457">
      <w:pPr>
        <w:pStyle w:val="56"/>
        <w:spacing w:line="360" w:lineRule="auto"/>
        <w:ind w:firstLine="420"/>
      </w:pPr>
      <w:r>
        <w:rPr>
          <w:rFonts w:hint="eastAsia"/>
        </w:rPr>
        <w:t>对表现优秀的团队，应总结可复制做法并在科室范围内推广。</w:t>
      </w:r>
    </w:p>
    <w:p w14:paraId="00FBA794">
      <w:pPr>
        <w:pStyle w:val="56"/>
        <w:spacing w:line="360" w:lineRule="auto"/>
        <w:ind w:firstLine="420"/>
      </w:pPr>
      <w:r>
        <w:rPr>
          <w:rFonts w:hint="eastAsia"/>
        </w:rPr>
        <w:t>质量指标应进入持续改进闭环：问题识别—原因分析—措施制定—实施验证—再评估。</w:t>
      </w:r>
    </w:p>
    <w:bookmarkEnd w:id="26"/>
    <w:p w14:paraId="04247A6C">
      <w:pPr>
        <w:pStyle w:val="56"/>
        <w:ind w:firstLine="0" w:firstLineChars="0"/>
        <w:jc w:val="center"/>
      </w:pPr>
      <w:bookmarkStart w:id="56" w:name="BookMark8"/>
      <w:r>
        <w:rPr>
          <w:rFonts w:hint="eastAsia"/>
        </w:rPr>
        <w:drawing>
          <wp:inline distT="0" distB="0" distL="0" distR="0">
            <wp:extent cx="1485900" cy="317500"/>
            <wp:effectExtent l="0" t="0" r="0" b="6350"/>
            <wp:docPr id="1270828722" name="图片 2"/>
            <wp:cNvGraphicFramePr/>
            <a:graphic xmlns:a="http://schemas.openxmlformats.org/drawingml/2006/main">
              <a:graphicData uri="http://schemas.openxmlformats.org/drawingml/2006/picture">
                <pic:pic xmlns:pic="http://schemas.openxmlformats.org/drawingml/2006/picture">
                  <pic:nvPicPr>
                    <pic:cNvPr id="1270828722"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8B6B">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3B4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2BC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606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A15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B902">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E587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6011">
    <w:pPr>
      <w:pStyle w:val="61"/>
    </w:pPr>
    <w:r>
      <w:fldChar w:fldCharType="begin"/>
    </w:r>
    <w:r>
      <w:instrText xml:space="preserve"> STYLEREF  标准文件_文件编号  \* MERGEFORMAT </w:instrText>
    </w:r>
    <w:r>
      <w:fldChar w:fldCharType="separate"/>
    </w:r>
    <w:r>
      <w:t>T/XJBX 0195—2026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218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0195—2026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0195—2026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57EE">
    <w:pPr>
      <w:pStyle w:val="61"/>
    </w:pPr>
    <w:r>
      <w:fldChar w:fldCharType="begin"/>
    </w:r>
    <w:r>
      <w:instrText xml:space="preserve"> STYLEREF  标准文件_文件编号  \* MERGEFORMAT </w:instrText>
    </w:r>
    <w:r>
      <w:fldChar w:fldCharType="separate"/>
    </w:r>
    <w:r>
      <w:t>T/XJBX 0195—2026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4D1E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0195—2026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E38B">
    <w:pPr>
      <w:pStyle w:val="61"/>
    </w:pPr>
    <w:r>
      <w:fldChar w:fldCharType="begin"/>
    </w:r>
    <w:r>
      <w:instrText xml:space="preserve"> STYLEREF  标准文件_文件编号  \* MERGEFORMAT </w:instrText>
    </w:r>
    <w:r>
      <w:fldChar w:fldCharType="separate"/>
    </w:r>
    <w:r>
      <w:t>T/XJBX 0195—2026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12D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0195—2026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255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993"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011"/>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01"/>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1BBD"/>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FF4"/>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081"/>
    <w:rsid w:val="00432DAA"/>
    <w:rsid w:val="00434305"/>
    <w:rsid w:val="00435DF7"/>
    <w:rsid w:val="0043741A"/>
    <w:rsid w:val="00437756"/>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72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AE6"/>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748"/>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16C"/>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55512"/>
    <w:rsid w:val="0095568B"/>
    <w:rsid w:val="00960F1E"/>
    <w:rsid w:val="009610DC"/>
    <w:rsid w:val="00961490"/>
    <w:rsid w:val="0096381A"/>
    <w:rsid w:val="00965E04"/>
    <w:rsid w:val="009674AD"/>
    <w:rsid w:val="00970CDC"/>
    <w:rsid w:val="009720F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B6FD4"/>
    <w:rsid w:val="009C27F1"/>
    <w:rsid w:val="009C3152"/>
    <w:rsid w:val="009C3257"/>
    <w:rsid w:val="009C4CFA"/>
    <w:rsid w:val="009C5070"/>
    <w:rsid w:val="009C6ADA"/>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AF2"/>
    <w:rsid w:val="00B31FB1"/>
    <w:rsid w:val="00B33952"/>
    <w:rsid w:val="00B33C5E"/>
    <w:rsid w:val="00B342F4"/>
    <w:rsid w:val="00B34369"/>
    <w:rsid w:val="00B346DF"/>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602"/>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29AD"/>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8A3"/>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83C"/>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481B"/>
    <w:rsid w:val="00F44F09"/>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56A"/>
    <w:rsid w:val="00F76F1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0B1"/>
    <w:rsid w:val="00FF3E7D"/>
    <w:rsid w:val="00FF5B99"/>
    <w:rsid w:val="00FF730C"/>
    <w:rsid w:val="00FF73F4"/>
    <w:rsid w:val="00FF7CE4"/>
    <w:rsid w:val="00FF7E39"/>
    <w:rsid w:val="56B7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E2EEB7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45CB49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6D814C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71A0F"/>
    <w:rsid w:val="001F3C32"/>
    <w:rsid w:val="001F7649"/>
    <w:rsid w:val="00232C79"/>
    <w:rsid w:val="00403233"/>
    <w:rsid w:val="005E6634"/>
    <w:rsid w:val="007146E1"/>
    <w:rsid w:val="00773C4D"/>
    <w:rsid w:val="00AE1DC6"/>
    <w:rsid w:val="00B30AF2"/>
    <w:rsid w:val="00D06EB6"/>
    <w:rsid w:val="00E51851"/>
    <w:rsid w:val="00F35A8C"/>
    <w:rsid w:val="00F44F09"/>
    <w:rsid w:val="00F5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3858</Words>
  <Characters>4150</Characters>
  <Lines>94</Lines>
  <Paragraphs>26</Paragraphs>
  <TotalTime>845</TotalTime>
  <ScaleCrop>false</ScaleCrop>
  <LinksUpToDate>false</LinksUpToDate>
  <CharactersWithSpaces>4248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2026-01-27T09:01:25Z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5764ADF303B74087B7729E8C0729FFAC_12</vt:lpwstr>
  </property>
</Properties>
</file>