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65A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F9DF12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93877D9">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13.020.60</w:t>
            </w:r>
            <w:r>
              <w:rPr>
                <w:rFonts w:ascii="黑体" w:hAnsi="黑体" w:eastAsia="黑体"/>
                <w:sz w:val="21"/>
                <w:szCs w:val="21"/>
              </w:rPr>
              <w:fldChar w:fldCharType="end"/>
            </w:r>
            <w:bookmarkEnd w:id="0"/>
          </w:p>
        </w:tc>
      </w:tr>
      <w:tr w14:paraId="3C32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CB20E1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FAE6A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5D24BB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513A148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2"/>
          </w:p>
        </w:tc>
      </w:tr>
    </w:tbl>
    <w:p w14:paraId="005288F7">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95D220D">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04F04104">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FFAF4B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98B0E83">
      <w:pPr>
        <w:pStyle w:val="50"/>
        <w:framePr w:w="9639" w:h="6976" w:hRule="exact" w:hSpace="0" w:vSpace="0" w:wrap="around" w:hAnchor="page" w:y="6408"/>
        <w:jc w:val="center"/>
        <w:rPr>
          <w:rFonts w:hint="eastAsia" w:ascii="黑体" w:hAnsi="黑体" w:eastAsia="黑体"/>
          <w:b w:val="0"/>
          <w:bCs w:val="0"/>
          <w:w w:val="100"/>
        </w:rPr>
      </w:pPr>
    </w:p>
    <w:p w14:paraId="56B87EFF">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温室气体排放核算要求 火力发电企业</w:t>
      </w:r>
      <w:r>
        <w:fldChar w:fldCharType="end"/>
      </w:r>
      <w:bookmarkEnd w:id="9"/>
    </w:p>
    <w:p w14:paraId="7EECDA72">
      <w:pPr>
        <w:framePr w:w="9639" w:h="6974" w:hRule="exact" w:wrap="around" w:vAnchor="page" w:hAnchor="page" w:x="1419" w:y="6408" w:anchorLock="1"/>
        <w:ind w:left="-1418"/>
      </w:pPr>
    </w:p>
    <w:p w14:paraId="5F85312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Greenhouse gas emissions accounting requirements  Thermal power generation enterprises</w:t>
      </w:r>
      <w:r>
        <w:rPr>
          <w:rFonts w:eastAsia="黑体"/>
          <w:szCs w:val="28"/>
        </w:rPr>
        <w:fldChar w:fldCharType="end"/>
      </w:r>
      <w:bookmarkEnd w:id="10"/>
    </w:p>
    <w:p w14:paraId="13BAF0F2">
      <w:pPr>
        <w:framePr w:w="9639" w:h="6974" w:hRule="exact" w:wrap="around" w:vAnchor="page" w:hAnchor="page" w:x="1419" w:y="6408" w:anchorLock="1"/>
        <w:spacing w:line="760" w:lineRule="exact"/>
        <w:ind w:left="-1418"/>
      </w:pPr>
    </w:p>
    <w:p w14:paraId="05BA369B">
      <w:pPr>
        <w:pStyle w:val="125"/>
        <w:framePr w:w="9639" w:h="6974" w:hRule="exact" w:wrap="around" w:vAnchor="page" w:hAnchor="page" w:x="1419" w:y="6408" w:anchorLock="1"/>
        <w:textAlignment w:val="bottom"/>
        <w:rPr>
          <w:rFonts w:eastAsia="黑体"/>
          <w:szCs w:val="28"/>
        </w:rPr>
      </w:pPr>
    </w:p>
    <w:p w14:paraId="53CD7EBF">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D84463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685B9B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3327B3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2AEEA96">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B6A8071">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FCE43F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338B554">
      <w:pPr>
        <w:pStyle w:val="91"/>
        <w:spacing w:after="360"/>
        <w:rPr>
          <w:rFonts w:ascii="Times New Roman" w:hAnsi="Times New Roman"/>
        </w:rPr>
      </w:pPr>
      <w:bookmarkStart w:id="21" w:name="BookMark1"/>
      <w:bookmarkStart w:id="22" w:name="_Toc215220243"/>
      <w:bookmarkStart w:id="23" w:name="_Toc213252345"/>
      <w:r>
        <w:rPr>
          <w:rFonts w:ascii="Times New Roman" w:hAnsi="Times New Roman"/>
          <w:spacing w:val="320"/>
        </w:rPr>
        <w:t>目</w:t>
      </w:r>
      <w:r>
        <w:rPr>
          <w:rFonts w:ascii="Times New Roman" w:hAnsi="Times New Roman"/>
        </w:rPr>
        <w:t>次</w:t>
      </w:r>
    </w:p>
    <w:p w14:paraId="39950AF4">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"_Toc215221157"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_Toc215221157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25D1FCA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"_Toc215221158"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_Toc215221158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3D717A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"_Toc215221159"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_Toc215221159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DB2E18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"_Toc215221160"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_Toc215221160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282773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"_Toc215221161" </w:instrText>
      </w:r>
      <w:r>
        <w:fldChar w:fldCharType="separate"/>
      </w:r>
      <w:r>
        <w:rPr>
          <w:rStyle w:val="32"/>
          <w:rFonts w:ascii="Times New Roman"/>
        </w:rPr>
        <w:t>4  核算边界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_Toc215221161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224795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"_Toc215221162" </w:instrText>
      </w:r>
      <w:r>
        <w:fldChar w:fldCharType="separate"/>
      </w:r>
      <w:r>
        <w:rPr>
          <w:rStyle w:val="32"/>
          <w:rFonts w:ascii="Times New Roman"/>
        </w:rPr>
        <w:t>5  核算步骤与方法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_Toc215221162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C4F917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"_Toc215221163" </w:instrText>
      </w:r>
      <w:r>
        <w:fldChar w:fldCharType="separate"/>
      </w:r>
      <w:r>
        <w:rPr>
          <w:rStyle w:val="32"/>
          <w:rFonts w:ascii="Times New Roman"/>
        </w:rPr>
        <w:t>6  数据质量管理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_Toc215221163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038D509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"_Toc215221164" </w:instrText>
      </w:r>
      <w:r>
        <w:fldChar w:fldCharType="separate"/>
      </w:r>
      <w:r>
        <w:rPr>
          <w:rStyle w:val="32"/>
          <w:rFonts w:ascii="Times New Roman"/>
        </w:rPr>
        <w:t>7  报告内容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_Toc215221164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5F586A3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"_Toc215221165" </w:instrText>
      </w:r>
      <w:r>
        <w:fldChar w:fldCharType="separate"/>
      </w:r>
      <w:r>
        <w:rPr>
          <w:rStyle w:val="32"/>
          <w:rFonts w:ascii="Times New Roman"/>
        </w:rPr>
        <w:t>附录A（资料性）  报告格式模板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_Toc215221165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5DEFD23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"_Toc215221166" </w:instrText>
      </w:r>
      <w:r>
        <w:fldChar w:fldCharType="separate"/>
      </w:r>
      <w:r>
        <w:rPr>
          <w:rStyle w:val="32"/>
          <w:rFonts w:ascii="Times New Roman"/>
        </w:rPr>
        <w:t>附录B（资料性）  常用参数参考值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_Toc215221166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42CF555E">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7E27E181">
      <w:pPr>
        <w:pStyle w:val="89"/>
        <w:spacing w:before="900" w:after="360"/>
        <w:rPr>
          <w:rFonts w:ascii="Times New Roman"/>
        </w:rPr>
      </w:pPr>
      <w:bookmarkStart w:id="24" w:name="_Toc215221157"/>
      <w:bookmarkStart w:id="25" w:name="BookMark2"/>
      <w:r>
        <w:rPr>
          <w:rFonts w:ascii="Times New Roman"/>
          <w:spacing w:val="320"/>
        </w:rPr>
        <w:t>前</w:t>
      </w:r>
      <w:r>
        <w:rPr>
          <w:rFonts w:ascii="Times New Roman"/>
        </w:rPr>
        <w:t>言</w:t>
      </w:r>
      <w:bookmarkEnd w:id="22"/>
      <w:bookmarkEnd w:id="23"/>
      <w:bookmarkEnd w:id="24"/>
    </w:p>
    <w:p w14:paraId="3A41DE9E">
      <w:pPr>
        <w:pStyle w:val="56"/>
        <w:ind w:firstLine="420"/>
        <w:rPr>
          <w:rFonts w:ascii="Times New Roman"/>
        </w:rPr>
      </w:pPr>
      <w:r>
        <w:rPr>
          <w:rFonts w:ascii="Times New Roman"/>
        </w:rPr>
        <w:t>本文件按照GB/T 1.1—2020《标准化工作</w:t>
      </w:r>
      <w:bookmarkStart w:id="83" w:name="_GoBack"/>
      <w:bookmarkEnd w:id="83"/>
      <w:r>
        <w:rPr>
          <w:rFonts w:ascii="Times New Roman"/>
        </w:rPr>
        <w:t>导则  第1部分：标准化文件的结构和起草规则》的规定起草。</w:t>
      </w:r>
    </w:p>
    <w:p w14:paraId="5FAFBD46">
      <w:pPr>
        <w:pStyle w:val="56"/>
        <w:ind w:firstLine="420"/>
        <w:rPr>
          <w:rFonts w:ascii="Times New Roman"/>
        </w:rPr>
      </w:pPr>
      <w:r>
        <w:rPr>
          <w:rFonts w:ascii="Times New Roman"/>
        </w:rPr>
        <w:t>请注意本文件的某些内容可能涉及专利。本文件的发布机构不承担识别专利的责任。</w:t>
      </w:r>
    </w:p>
    <w:p w14:paraId="50A35353">
      <w:pPr>
        <w:pStyle w:val="56"/>
        <w:ind w:firstLine="420"/>
        <w:rPr>
          <w:rFonts w:ascii="Times New Roman"/>
        </w:rPr>
      </w:pPr>
      <w:r>
        <w:rPr>
          <w:rFonts w:ascii="Times New Roman"/>
        </w:rPr>
        <w:t>本文件由</w:t>
      </w:r>
      <w:r>
        <w:rPr>
          <w:rFonts w:hint="eastAsia" w:ascii="Times New Roman"/>
        </w:rPr>
        <w:t>海南电网有限责任公司</w:t>
      </w:r>
      <w:r>
        <w:rPr>
          <w:rFonts w:ascii="Times New Roman"/>
        </w:rPr>
        <w:t>提出。</w:t>
      </w:r>
    </w:p>
    <w:p w14:paraId="09536891">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0EF42173">
      <w:pPr>
        <w:pStyle w:val="56"/>
        <w:ind w:firstLine="420"/>
        <w:rPr>
          <w:rFonts w:hint="eastAsia" w:ascii="Times New Roman" w:eastAsia="宋体"/>
          <w:lang w:eastAsia="zh-CN"/>
        </w:rPr>
      </w:pPr>
      <w:r>
        <w:rPr>
          <w:rFonts w:ascii="Times New Roman"/>
        </w:rPr>
        <w:t>本文件起草单位：</w:t>
      </w:r>
      <w:r>
        <w:rPr>
          <w:rFonts w:hint="eastAsia" w:ascii="Times New Roman"/>
        </w:rPr>
        <w:t>海南电网有限责任公司</w:t>
      </w:r>
      <w:r>
        <w:rPr>
          <w:rFonts w:hint="eastAsia" w:ascii="Times New Roman"/>
          <w:lang w:eastAsia="zh-CN"/>
        </w:rPr>
        <w:t>。</w:t>
      </w:r>
    </w:p>
    <w:p w14:paraId="630BED22">
      <w:pPr>
        <w:pStyle w:val="56"/>
        <w:ind w:firstLine="420"/>
        <w:rPr>
          <w:rFonts w:ascii="Times New Roman"/>
        </w:rPr>
      </w:pPr>
      <w:r>
        <w:rPr>
          <w:rFonts w:ascii="Times New Roman"/>
        </w:rPr>
        <w:t>本文件主要起草人：</w:t>
      </w:r>
    </w:p>
    <w:p w14:paraId="4648F48A">
      <w:pPr>
        <w:pStyle w:val="56"/>
        <w:ind w:firstLine="420"/>
        <w:rPr>
          <w:rFonts w:ascii="Times New Roman"/>
        </w:rPr>
      </w:pPr>
    </w:p>
    <w:p w14:paraId="03F3BE76">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5"/>
    <w:p w14:paraId="27116D0A">
      <w:pPr>
        <w:spacing w:line="20" w:lineRule="exact"/>
        <w:jc w:val="center"/>
        <w:rPr>
          <w:rFonts w:ascii="Times New Roman" w:hAnsi="Times New Roman" w:eastAsia="黑体"/>
          <w:sz w:val="32"/>
          <w:szCs w:val="32"/>
        </w:rPr>
      </w:pPr>
      <w:bookmarkStart w:id="26" w:name="BookMark4"/>
    </w:p>
    <w:p w14:paraId="6290CF1B">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D786D582B2D243A5A0CC20DD7C5C0CF0"/>
        </w:placeholder>
      </w:sdtPr>
      <w:sdtEndPr>
        <w:rPr>
          <w:rFonts w:ascii="Times New Roman" w:hAnsi="Times New Roman"/>
        </w:rPr>
      </w:sdtEndPr>
      <w:sdtContent>
        <w:p w14:paraId="68661AAB">
          <w:pPr>
            <w:pStyle w:val="177"/>
            <w:spacing w:before="2" w:beforeLines="1" w:after="528" w:afterLines="220"/>
            <w:rPr>
              <w:rFonts w:ascii="Times New Roman" w:hAnsi="Times New Roman"/>
            </w:rPr>
          </w:pPr>
          <w:bookmarkStart w:id="27" w:name="OLE_LINK1"/>
          <w:bookmarkStart w:id="28" w:name="NEW_STAND_NAME"/>
          <w:r>
            <w:rPr>
              <w:rFonts w:ascii="Times New Roman" w:hAnsi="Times New Roman"/>
            </w:rPr>
            <w:t>温室气体排放核算要求 火力发电企业</w:t>
          </w:r>
        </w:p>
      </w:sdtContent>
    </w:sdt>
    <w:bookmarkEnd w:id="27"/>
    <w:bookmarkEnd w:id="28"/>
    <w:p w14:paraId="301A067C">
      <w:pPr>
        <w:pStyle w:val="104"/>
        <w:spacing w:before="240" w:after="240"/>
        <w:rPr>
          <w:rFonts w:ascii="Times New Roman"/>
        </w:rPr>
      </w:pPr>
      <w:bookmarkStart w:id="29" w:name="_Toc215221158"/>
      <w:bookmarkStart w:id="30" w:name="_Toc213252346"/>
      <w:bookmarkStart w:id="31" w:name="_Toc97192964"/>
      <w:bookmarkStart w:id="32" w:name="_Toc26718930"/>
      <w:bookmarkStart w:id="33" w:name="_Toc26648465"/>
      <w:bookmarkStart w:id="34" w:name="_Toc17233325"/>
      <w:bookmarkStart w:id="35" w:name="_Toc17233333"/>
      <w:bookmarkStart w:id="36" w:name="_Toc215220244"/>
      <w:bookmarkStart w:id="37" w:name="_Toc26986530"/>
      <w:bookmarkStart w:id="38" w:name="_Toc24884218"/>
      <w:bookmarkStart w:id="39" w:name="_Toc26986771"/>
      <w:bookmarkStart w:id="40" w:name="_Toc24884211"/>
      <w:r>
        <w:rPr>
          <w:rFonts w:ascii="Times New Roman"/>
        </w:rPr>
        <w:t>范围</w:t>
      </w:r>
      <w:bookmarkEnd w:id="29"/>
      <w:bookmarkEnd w:id="30"/>
      <w:bookmarkEnd w:id="31"/>
      <w:bookmarkEnd w:id="32"/>
      <w:bookmarkEnd w:id="33"/>
      <w:bookmarkEnd w:id="34"/>
      <w:bookmarkEnd w:id="35"/>
      <w:bookmarkEnd w:id="36"/>
      <w:bookmarkEnd w:id="37"/>
      <w:bookmarkEnd w:id="38"/>
      <w:bookmarkEnd w:id="39"/>
      <w:bookmarkEnd w:id="40"/>
    </w:p>
    <w:p w14:paraId="55BA9212">
      <w:pPr>
        <w:pStyle w:val="56"/>
        <w:ind w:firstLine="420"/>
        <w:rPr>
          <w:rFonts w:ascii="Times New Roman"/>
        </w:rPr>
      </w:pPr>
      <w:bookmarkStart w:id="41" w:name="_Toc17233334"/>
      <w:bookmarkStart w:id="42" w:name="_Toc24884219"/>
      <w:bookmarkStart w:id="43" w:name="_Toc24884212"/>
      <w:bookmarkStart w:id="44" w:name="_Toc26648466"/>
      <w:bookmarkStart w:id="45" w:name="_Toc17233326"/>
      <w:r>
        <w:rPr>
          <w:rFonts w:ascii="Times New Roman"/>
        </w:rPr>
        <w:t>本文件规定了火力发电企业温室气体排放的核算边界、核算步骤与方法、数据质量管理、报告内容。</w:t>
      </w:r>
    </w:p>
    <w:p w14:paraId="7182AB95">
      <w:pPr>
        <w:pStyle w:val="56"/>
        <w:ind w:firstLine="420"/>
        <w:rPr>
          <w:rFonts w:ascii="Times New Roman"/>
        </w:rPr>
      </w:pPr>
      <w:r>
        <w:rPr>
          <w:rFonts w:ascii="Times New Roman"/>
        </w:rPr>
        <w:t>本文件适用于火力发电企业温室气体排放量的核算。</w:t>
      </w:r>
    </w:p>
    <w:p w14:paraId="154BDC52">
      <w:pPr>
        <w:pStyle w:val="104"/>
        <w:spacing w:before="240" w:after="240"/>
        <w:rPr>
          <w:rFonts w:ascii="Times New Roman"/>
        </w:rPr>
      </w:pPr>
      <w:bookmarkStart w:id="46" w:name="_Toc215220245"/>
      <w:bookmarkStart w:id="47" w:name="_Toc215221159"/>
      <w:bookmarkStart w:id="48" w:name="_Toc213252347"/>
      <w:bookmarkStart w:id="49" w:name="_Toc26986531"/>
      <w:bookmarkStart w:id="50" w:name="_Toc97192965"/>
      <w:bookmarkStart w:id="51" w:name="_Toc26986772"/>
      <w:bookmarkStart w:id="52" w:name="_Toc26718931"/>
      <w:r>
        <w:rPr>
          <w:rFonts w:ascii="Times New Roman"/>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ascii="Times New Roman"/>
        </w:rPr>
        <w:id w:val="715848253"/>
        <w:placeholder>
          <w:docPart w:val="19904622751049A5A6DEB781D12F8E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1A4FEF43">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55EF90">
      <w:pPr>
        <w:pStyle w:val="56"/>
        <w:ind w:firstLine="420"/>
        <w:rPr>
          <w:rFonts w:ascii="Times New Roman"/>
        </w:rPr>
      </w:pPr>
      <w:r>
        <w:rPr>
          <w:rFonts w:ascii="Times New Roman"/>
        </w:rPr>
        <w:t>GB/T 213 煤的发热量测定方法</w:t>
      </w:r>
    </w:p>
    <w:p w14:paraId="33D4364A">
      <w:pPr>
        <w:pStyle w:val="56"/>
        <w:ind w:firstLine="420"/>
        <w:rPr>
          <w:rFonts w:ascii="Times New Roman"/>
        </w:rPr>
      </w:pPr>
      <w:r>
        <w:rPr>
          <w:rFonts w:ascii="Times New Roman"/>
        </w:rPr>
        <w:t>GB/T 384 石油产品热值测定法</w:t>
      </w:r>
    </w:p>
    <w:p w14:paraId="6F337997">
      <w:pPr>
        <w:pStyle w:val="56"/>
        <w:ind w:firstLine="420"/>
        <w:rPr>
          <w:rFonts w:ascii="Times New Roman"/>
        </w:rPr>
      </w:pPr>
      <w:r>
        <w:rPr>
          <w:rFonts w:ascii="Times New Roman"/>
        </w:rPr>
        <w:t>GB/T 22723 天然气能量的测定</w:t>
      </w:r>
    </w:p>
    <w:p w14:paraId="764AC47B">
      <w:pPr>
        <w:pStyle w:val="56"/>
        <w:ind w:firstLine="420"/>
        <w:rPr>
          <w:rFonts w:ascii="Times New Roman"/>
        </w:rPr>
      </w:pPr>
      <w:r>
        <w:rPr>
          <w:rFonts w:ascii="Times New Roman"/>
        </w:rPr>
        <w:t>GB/T 24040 环境管理 生命周期评价 原则与框架</w:t>
      </w:r>
    </w:p>
    <w:p w14:paraId="022B2CBE">
      <w:pPr>
        <w:pStyle w:val="56"/>
        <w:ind w:firstLine="420"/>
        <w:rPr>
          <w:rFonts w:ascii="Times New Roman"/>
        </w:rPr>
      </w:pPr>
      <w:r>
        <w:rPr>
          <w:rFonts w:ascii="Times New Roman"/>
        </w:rPr>
        <w:t>GB/T 24044 环境管理 生命周期评价 要求与指南</w:t>
      </w:r>
    </w:p>
    <w:p w14:paraId="4D6019AA">
      <w:pPr>
        <w:pStyle w:val="56"/>
        <w:ind w:firstLine="420"/>
        <w:rPr>
          <w:rFonts w:ascii="Times New Roman"/>
        </w:rPr>
      </w:pPr>
      <w:r>
        <w:rPr>
          <w:rFonts w:ascii="Times New Roman"/>
        </w:rPr>
        <w:t>GB T 24062 环境管理 将环境因素引入产品的设计和开发</w:t>
      </w:r>
    </w:p>
    <w:p w14:paraId="7AC561C7">
      <w:pPr>
        <w:pStyle w:val="56"/>
        <w:ind w:firstLine="420"/>
        <w:rPr>
          <w:rFonts w:ascii="Times New Roman"/>
        </w:rPr>
      </w:pPr>
      <w:r>
        <w:rPr>
          <w:rFonts w:ascii="Times New Roman"/>
        </w:rPr>
        <w:t>GB/T 32150 工业企业温室气体排放核算和报告通则</w:t>
      </w:r>
    </w:p>
    <w:p w14:paraId="6AAEBCDC">
      <w:pPr>
        <w:pStyle w:val="56"/>
        <w:ind w:firstLine="420"/>
        <w:rPr>
          <w:rFonts w:ascii="Times New Roman"/>
        </w:rPr>
      </w:pPr>
      <w:r>
        <w:rPr>
          <w:rFonts w:ascii="Times New Roman"/>
        </w:rPr>
        <w:t>ISO 14067:2018 温室气体 产品碳足迹 量化要求和指南（Greenhouse gases  Carbon footprint of products  Requirements and guidelines for quantification）</w:t>
      </w:r>
    </w:p>
    <w:p w14:paraId="5186FE84">
      <w:pPr>
        <w:pStyle w:val="104"/>
        <w:spacing w:before="240" w:after="240"/>
        <w:rPr>
          <w:rFonts w:ascii="Times New Roman"/>
        </w:rPr>
      </w:pPr>
      <w:bookmarkStart w:id="53" w:name="_Toc215221160"/>
      <w:bookmarkStart w:id="54" w:name="_Toc213252348"/>
      <w:bookmarkStart w:id="55" w:name="_Toc97192966"/>
      <w:bookmarkStart w:id="56" w:name="_Toc215220246"/>
      <w:r>
        <w:rPr>
          <w:rFonts w:ascii="Times New Roman"/>
          <w:szCs w:val="21"/>
        </w:rPr>
        <w:t>术语和定义</w:t>
      </w:r>
      <w:bookmarkEnd w:id="53"/>
      <w:bookmarkEnd w:id="54"/>
      <w:bookmarkEnd w:id="55"/>
      <w:bookmarkEnd w:id="56"/>
    </w:p>
    <w:sdt>
      <w:sdtPr>
        <w:rPr>
          <w:rFonts w:ascii="Times New Roman"/>
        </w:rPr>
        <w:id w:val="-1909835108"/>
        <w:placeholder>
          <w:docPart w:val="665D09B12CE34AA5AF6AABB4460AD04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42DEFA26">
          <w:pPr>
            <w:pStyle w:val="56"/>
            <w:ind w:firstLine="420"/>
            <w:rPr>
              <w:rFonts w:ascii="Times New Roman"/>
            </w:rPr>
          </w:pPr>
          <w:bookmarkStart w:id="57" w:name="_Toc26986532"/>
          <w:bookmarkEnd w:id="57"/>
          <w:r>
            <w:rPr>
              <w:rFonts w:ascii="Times New Roman"/>
            </w:rPr>
            <w:t>GB/T 24040界定的以及下列术语和定义适用于本文件。</w:t>
          </w:r>
        </w:p>
      </w:sdtContent>
    </w:sdt>
    <w:p w14:paraId="7F2F68BB">
      <w:pPr>
        <w:pStyle w:val="223"/>
        <w:ind w:left="420" w:hanging="420" w:hangingChars="200"/>
        <w:rPr>
          <w:rFonts w:ascii="Times New Roman" w:eastAsia="黑体"/>
        </w:rPr>
      </w:pPr>
      <w:bookmarkStart w:id="58" w:name="OLE_LINK2"/>
      <w:r>
        <w:rPr>
          <w:rFonts w:ascii="Times New Roman" w:eastAsia="黑体"/>
        </w:rPr>
        <w:br w:type="textWrapping"/>
      </w:r>
      <w:r>
        <w:rPr>
          <w:rFonts w:ascii="Times New Roman" w:eastAsia="黑体"/>
        </w:rPr>
        <w:t>火力发电企业 thermal power generation enterprises</w:t>
      </w:r>
    </w:p>
    <w:bookmarkEnd w:id="58"/>
    <w:p w14:paraId="01F81C66">
      <w:pPr>
        <w:pStyle w:val="56"/>
        <w:ind w:firstLine="420"/>
        <w:rPr>
          <w:rFonts w:ascii="Times New Roman"/>
        </w:rPr>
      </w:pPr>
      <w:r>
        <w:rPr>
          <w:rFonts w:ascii="Times New Roman"/>
        </w:rPr>
        <w:t>通过燃烧化石燃料（如煤、石油、天然气）或生物质等能源，将热能转换为电能，并进行商业化运营的企业。</w:t>
      </w:r>
    </w:p>
    <w:p w14:paraId="18D762BC">
      <w:pPr>
        <w:pStyle w:val="223"/>
        <w:ind w:left="420" w:hanging="420" w:hangingChars="200"/>
        <w:rPr>
          <w:rFonts w:ascii="Times New Roman" w:eastAsia="黑体"/>
        </w:rPr>
      </w:pPr>
      <w:r>
        <w:rPr>
          <w:rFonts w:ascii="Times New Roman" w:eastAsia="黑体"/>
        </w:rPr>
        <w:br w:type="textWrapping"/>
      </w:r>
      <w:r>
        <w:rPr>
          <w:rFonts w:ascii="Times New Roman" w:eastAsia="黑体"/>
        </w:rPr>
        <w:t>温室气体 greenhouse gas</w:t>
      </w:r>
    </w:p>
    <w:p w14:paraId="19F389A9">
      <w:pPr>
        <w:pStyle w:val="56"/>
        <w:ind w:firstLine="420"/>
        <w:rPr>
          <w:rFonts w:ascii="Times New Roman"/>
        </w:rPr>
      </w:pPr>
      <w:r>
        <w:rPr>
          <w:rFonts w:ascii="Times New Roman"/>
        </w:rPr>
        <w:t>大气层中自然存在的和由于人类活动产生的能够吸收和散发由地球表面、大气层和云层所产生的、波长在红外光谱内的辐射的气态成分。</w:t>
      </w:r>
    </w:p>
    <w:p w14:paraId="2EF4D730">
      <w:pPr>
        <w:pStyle w:val="223"/>
        <w:ind w:left="420" w:hanging="420" w:hangingChars="200"/>
        <w:rPr>
          <w:rFonts w:ascii="Times New Roman" w:eastAsia="黑体"/>
        </w:rPr>
      </w:pPr>
      <w:r>
        <w:rPr>
          <w:rFonts w:ascii="Times New Roman" w:eastAsia="黑体"/>
        </w:rPr>
        <w:br w:type="textWrapping"/>
      </w:r>
      <w:r>
        <w:rPr>
          <w:rFonts w:ascii="Times New Roman" w:eastAsia="黑体"/>
        </w:rPr>
        <w:t>报告主体 reporting entity</w:t>
      </w:r>
    </w:p>
    <w:p w14:paraId="01F00829">
      <w:pPr>
        <w:pStyle w:val="56"/>
        <w:ind w:firstLine="420"/>
        <w:rPr>
          <w:rFonts w:ascii="Times New Roman"/>
        </w:rPr>
      </w:pPr>
      <w:r>
        <w:rPr>
          <w:rFonts w:ascii="Times New Roman"/>
        </w:rPr>
        <w:t>具有温室气体排放行为的法人企业或视同法人的独立核算单位。</w:t>
      </w:r>
    </w:p>
    <w:p w14:paraId="7075B774">
      <w:pPr>
        <w:pStyle w:val="223"/>
        <w:ind w:left="420" w:hanging="420" w:hangingChars="200"/>
        <w:rPr>
          <w:rFonts w:ascii="Times New Roman" w:eastAsia="黑体"/>
        </w:rPr>
      </w:pPr>
      <w:r>
        <w:rPr>
          <w:rFonts w:ascii="Times New Roman" w:eastAsia="黑体"/>
        </w:rPr>
        <w:br w:type="textWrapping"/>
      </w:r>
      <w:r>
        <w:rPr>
          <w:rFonts w:ascii="Times New Roman" w:eastAsia="黑体"/>
        </w:rPr>
        <w:t>核算边界 accounting boundary</w:t>
      </w:r>
    </w:p>
    <w:p w14:paraId="6F0BBD93">
      <w:pPr>
        <w:pStyle w:val="56"/>
        <w:ind w:firstLine="420"/>
        <w:rPr>
          <w:rFonts w:ascii="Times New Roman"/>
        </w:rPr>
      </w:pPr>
      <w:r>
        <w:rPr>
          <w:rFonts w:ascii="Times New Roman"/>
        </w:rPr>
        <w:t>与报告主体的生产经营活动相关的温室气体排放的范围.</w:t>
      </w:r>
    </w:p>
    <w:p w14:paraId="3074987B">
      <w:pPr>
        <w:pStyle w:val="223"/>
        <w:ind w:left="420" w:hanging="420" w:hangingChars="200"/>
        <w:rPr>
          <w:rFonts w:ascii="Times New Roman" w:eastAsia="黑体"/>
        </w:rPr>
      </w:pPr>
      <w:r>
        <w:rPr>
          <w:rFonts w:ascii="Times New Roman" w:eastAsia="黑体"/>
        </w:rPr>
        <w:br w:type="textWrapping"/>
      </w:r>
      <w:r>
        <w:rPr>
          <w:rFonts w:ascii="Times New Roman" w:eastAsia="黑体"/>
        </w:rPr>
        <w:t>过程排放 process emission</w:t>
      </w:r>
    </w:p>
    <w:p w14:paraId="040A65B4">
      <w:pPr>
        <w:pStyle w:val="56"/>
        <w:ind w:firstLine="420"/>
        <w:rPr>
          <w:rFonts w:ascii="Times New Roman"/>
        </w:rPr>
      </w:pPr>
      <w:r>
        <w:rPr>
          <w:rFonts w:ascii="Times New Roman"/>
        </w:rPr>
        <w:t>在生产、废弃物处理处置等过程中除燃料燃烧之外的物理或化学变化造成的温室气体排放。</w:t>
      </w:r>
    </w:p>
    <w:p w14:paraId="1DEC54A7">
      <w:pPr>
        <w:pStyle w:val="223"/>
        <w:ind w:left="420" w:hanging="420" w:hangingChars="200"/>
        <w:rPr>
          <w:rFonts w:ascii="Times New Roman" w:eastAsia="黑体"/>
        </w:rPr>
      </w:pPr>
      <w:r>
        <w:rPr>
          <w:rFonts w:ascii="Times New Roman" w:eastAsia="黑体"/>
        </w:rPr>
        <w:br w:type="textWrapping"/>
      </w:r>
      <w:r>
        <w:rPr>
          <w:rFonts w:ascii="Times New Roman" w:eastAsia="黑体"/>
        </w:rPr>
        <w:t>活动数据 activity data</w:t>
      </w:r>
    </w:p>
    <w:p w14:paraId="0E784F3B">
      <w:pPr>
        <w:pStyle w:val="56"/>
        <w:ind w:firstLine="420"/>
        <w:rPr>
          <w:rFonts w:ascii="Times New Roman"/>
        </w:rPr>
      </w:pPr>
      <w:r>
        <w:rPr>
          <w:rFonts w:ascii="Times New Roman"/>
        </w:rPr>
        <w:t>导致温室气体排放的生产或消费活动量的表征值，包括各种化石燃料的消耗量、原材料的使用量、购入的电量、购入的热量等。</w:t>
      </w:r>
    </w:p>
    <w:p w14:paraId="60B469CB">
      <w:pPr>
        <w:pStyle w:val="104"/>
        <w:spacing w:before="240" w:after="240"/>
        <w:rPr>
          <w:rFonts w:ascii="Times New Roman"/>
        </w:rPr>
      </w:pPr>
      <w:bookmarkStart w:id="59" w:name="_Toc213252349"/>
      <w:bookmarkStart w:id="60" w:name="_Toc215221161"/>
      <w:bookmarkStart w:id="61" w:name="_Toc215220247"/>
      <w:r>
        <w:rPr>
          <w:rFonts w:ascii="Times New Roman"/>
        </w:rPr>
        <w:t>核算边界</w:t>
      </w:r>
      <w:bookmarkEnd w:id="59"/>
      <w:bookmarkEnd w:id="60"/>
      <w:bookmarkEnd w:id="61"/>
    </w:p>
    <w:p w14:paraId="044B7F0B">
      <w:pPr>
        <w:pStyle w:val="105"/>
        <w:spacing w:before="120" w:after="120"/>
        <w:rPr>
          <w:rFonts w:ascii="Times New Roman"/>
        </w:rPr>
      </w:pPr>
      <w:r>
        <w:rPr>
          <w:rFonts w:ascii="Times New Roman"/>
        </w:rPr>
        <w:t>原则</w:t>
      </w:r>
    </w:p>
    <w:p w14:paraId="76780333">
      <w:pPr>
        <w:pStyle w:val="56"/>
        <w:ind w:firstLine="420"/>
        <w:rPr>
          <w:rFonts w:ascii="Times New Roman"/>
          <w:highlight w:val="yellow"/>
        </w:rPr>
      </w:pPr>
      <w:r>
        <w:rPr>
          <w:rFonts w:ascii="Times New Roman"/>
        </w:rPr>
        <w:t>系统边界决定核算及评价涵盖的所有单元过程。系统边界的选择应与核算及评价的目标保持一致，并制定相应的便于识别和解释的终止/排他条件。在不会显著改变核算及评价总体结论的前提下，允许不考虑部分生命周期阶段、单元过程、输入和输出。但是应清晰阐述忽略的具体情况，并说明忽略的原因及其影响。原则上，应符合GB/T 24040、GB/T 24044、GB T 24062、GB/T 32150、ISO 14067：2018的要求。</w:t>
      </w:r>
    </w:p>
    <w:p w14:paraId="751FA4F3">
      <w:pPr>
        <w:pStyle w:val="105"/>
        <w:spacing w:before="120" w:after="120"/>
        <w:rPr>
          <w:rFonts w:ascii="Times New Roman"/>
        </w:rPr>
      </w:pPr>
      <w:r>
        <w:rPr>
          <w:rFonts w:ascii="Times New Roman"/>
        </w:rPr>
        <w:t>核算和报告范围</w:t>
      </w:r>
    </w:p>
    <w:p w14:paraId="5A07EDFF">
      <w:pPr>
        <w:pStyle w:val="165"/>
        <w:rPr>
          <w:rFonts w:ascii="Times New Roman"/>
        </w:rPr>
      </w:pPr>
      <w:r>
        <w:rPr>
          <w:rFonts w:ascii="Times New Roman"/>
        </w:rPr>
        <w:t>核算和报告范围如下：</w:t>
      </w:r>
    </w:p>
    <w:p w14:paraId="7D4222E1">
      <w:pPr>
        <w:pStyle w:val="132"/>
        <w:rPr>
          <w:rFonts w:ascii="Times New Roman"/>
        </w:rPr>
      </w:pPr>
      <w:r>
        <w:rPr>
          <w:rFonts w:ascii="Times New Roman"/>
        </w:rPr>
        <w:t>化石燃料燃烧排放：核算边界内天然气、煤、柴油、重油、煤气、液化石油气等化石燃料在各种类型的固定源（主要有热风炉、窑炉和干燥器等）或移动源（厂内机动车辆）中发生氧化燃烧过程产生的碳排放；</w:t>
      </w:r>
    </w:p>
    <w:p w14:paraId="6D410A5F">
      <w:pPr>
        <w:pStyle w:val="132"/>
        <w:rPr>
          <w:rFonts w:ascii="Times New Roman"/>
        </w:rPr>
      </w:pPr>
      <w:r>
        <w:rPr>
          <w:rFonts w:ascii="Times New Roman"/>
        </w:rPr>
        <w:t>工业生产过程排放：二氧化碳气体保护焊使用过程中由于气体使用或泄漏造成的温室气体排放；</w:t>
      </w:r>
    </w:p>
    <w:p w14:paraId="7337C96E">
      <w:pPr>
        <w:pStyle w:val="132"/>
        <w:rPr>
          <w:rFonts w:ascii="Times New Roman"/>
        </w:rPr>
      </w:pPr>
      <w:r>
        <w:rPr>
          <w:rFonts w:ascii="Times New Roman"/>
        </w:rPr>
        <w:t>购入电力生产产生的温室气体排放：企业购入的电力所对应的生产环节产生的碳排放；</w:t>
      </w:r>
    </w:p>
    <w:p w14:paraId="3E3788F5">
      <w:pPr>
        <w:pStyle w:val="132"/>
        <w:rPr>
          <w:rFonts w:ascii="Times New Roman"/>
        </w:rPr>
      </w:pPr>
      <w:r>
        <w:rPr>
          <w:rFonts w:ascii="Times New Roman"/>
        </w:rPr>
        <w:t>购入热力生产产生的温室气体排放：企业购入的热力（蒸汽、热水等）所对应的生产环节产生的碳排放。</w:t>
      </w:r>
    </w:p>
    <w:p w14:paraId="738DEC8D">
      <w:pPr>
        <w:pStyle w:val="165"/>
        <w:rPr>
          <w:rFonts w:ascii="Times New Roman"/>
        </w:rPr>
      </w:pPr>
      <w:r>
        <w:rPr>
          <w:rFonts w:ascii="Times New Roman"/>
        </w:rPr>
        <w:t>火力发电企业的温室气体排放及核算边界见图1。</w:t>
      </w:r>
    </w:p>
    <w:p w14:paraId="35567BCD">
      <w:pPr>
        <w:pStyle w:val="56"/>
        <w:spacing w:before="240" w:beforeLines="100" w:after="240" w:afterLines="100"/>
        <w:ind w:firstLine="0" w:firstLineChars="0"/>
        <w:jc w:val="center"/>
        <w:rPr>
          <w:rFonts w:ascii="Times New Roman"/>
        </w:rPr>
      </w:pPr>
      <w:r>
        <w:drawing>
          <wp:inline distT="0" distB="0" distL="0" distR="0">
            <wp:extent cx="5939790" cy="3610610"/>
            <wp:effectExtent l="0" t="0" r="3810" b="8890"/>
            <wp:docPr id="12626850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85001" name="图片 1"/>
                    <pic:cNvPicPr>
                      <a:picLocks noChangeAspect="1"/>
                    </pic:cNvPicPr>
                  </pic:nvPicPr>
                  <pic:blipFill>
                    <a:blip r:embed="rId17"/>
                    <a:stretch>
                      <a:fillRect/>
                    </a:stretch>
                  </pic:blipFill>
                  <pic:spPr>
                    <a:xfrm>
                      <a:off x="0" y="0"/>
                      <a:ext cx="5939790" cy="3610610"/>
                    </a:xfrm>
                    <a:prstGeom prst="rect">
                      <a:avLst/>
                    </a:prstGeom>
                  </pic:spPr>
                </pic:pic>
              </a:graphicData>
            </a:graphic>
          </wp:inline>
        </w:drawing>
      </w:r>
    </w:p>
    <w:p w14:paraId="42908AF6">
      <w:pPr>
        <w:pStyle w:val="114"/>
        <w:spacing w:before="120" w:after="120"/>
        <w:rPr>
          <w:rFonts w:ascii="Times New Roman"/>
        </w:rPr>
      </w:pPr>
      <w:r>
        <w:rPr>
          <w:rFonts w:ascii="Times New Roman"/>
        </w:rPr>
        <w:t>火力发电企业温室气体排放及核算边界</w:t>
      </w:r>
    </w:p>
    <w:p w14:paraId="40EC699E">
      <w:pPr>
        <w:pStyle w:val="104"/>
        <w:spacing w:before="240" w:after="240"/>
        <w:rPr>
          <w:rFonts w:ascii="Times New Roman"/>
        </w:rPr>
      </w:pPr>
      <w:bookmarkStart w:id="62" w:name="_Toc213252350"/>
      <w:bookmarkStart w:id="63" w:name="_Toc215221162"/>
      <w:bookmarkStart w:id="64" w:name="_Toc215220248"/>
      <w:r>
        <w:rPr>
          <w:rFonts w:ascii="Times New Roman"/>
        </w:rPr>
        <w:t>核算步骤与方法</w:t>
      </w:r>
      <w:bookmarkEnd w:id="62"/>
      <w:bookmarkEnd w:id="63"/>
      <w:bookmarkEnd w:id="64"/>
    </w:p>
    <w:p w14:paraId="489CA81E">
      <w:pPr>
        <w:pStyle w:val="105"/>
        <w:spacing w:before="120" w:after="120"/>
        <w:rPr>
          <w:rFonts w:ascii="Times New Roman"/>
        </w:rPr>
      </w:pPr>
      <w:r>
        <w:rPr>
          <w:rFonts w:ascii="Times New Roman"/>
        </w:rPr>
        <w:t>核算步骤</w:t>
      </w:r>
    </w:p>
    <w:p w14:paraId="3CEA58F2">
      <w:pPr>
        <w:pStyle w:val="56"/>
        <w:ind w:firstLine="420"/>
        <w:rPr>
          <w:rFonts w:ascii="Times New Roman"/>
        </w:rPr>
      </w:pPr>
      <w:r>
        <w:rPr>
          <w:rFonts w:ascii="Times New Roman"/>
        </w:rPr>
        <w:t>碳排放核算和报告的工作流程应包括以下步骤：</w:t>
      </w:r>
    </w:p>
    <w:p w14:paraId="056311C9">
      <w:pPr>
        <w:pStyle w:val="132"/>
        <w:rPr>
          <w:rFonts w:ascii="Times New Roman"/>
        </w:rPr>
      </w:pPr>
      <w:r>
        <w:rPr>
          <w:rFonts w:ascii="Times New Roman"/>
        </w:rPr>
        <w:t>确定核算边界；</w:t>
      </w:r>
    </w:p>
    <w:p w14:paraId="44AE05A4">
      <w:pPr>
        <w:pStyle w:val="132"/>
        <w:rPr>
          <w:rFonts w:ascii="Times New Roman"/>
        </w:rPr>
      </w:pPr>
      <w:r>
        <w:rPr>
          <w:rFonts w:ascii="Times New Roman"/>
        </w:rPr>
        <w:t>制定数据质量控制计划；</w:t>
      </w:r>
    </w:p>
    <w:p w14:paraId="631B3234">
      <w:pPr>
        <w:pStyle w:val="132"/>
        <w:rPr>
          <w:rFonts w:ascii="Times New Roman"/>
        </w:rPr>
      </w:pPr>
      <w:r>
        <w:rPr>
          <w:rFonts w:ascii="Times New Roman"/>
        </w:rPr>
        <w:t>识别碳排放源；</w:t>
      </w:r>
    </w:p>
    <w:p w14:paraId="2561D5A0">
      <w:pPr>
        <w:pStyle w:val="132"/>
        <w:rPr>
          <w:rFonts w:ascii="Times New Roman"/>
        </w:rPr>
      </w:pPr>
      <w:r>
        <w:rPr>
          <w:rFonts w:ascii="Times New Roman"/>
        </w:rPr>
        <w:t>收集活动数据，选择和获取排放因子数据；</w:t>
      </w:r>
    </w:p>
    <w:p w14:paraId="354D21B5">
      <w:pPr>
        <w:pStyle w:val="132"/>
        <w:rPr>
          <w:rFonts w:ascii="Times New Roman"/>
        </w:rPr>
      </w:pPr>
      <w:r>
        <w:rPr>
          <w:rFonts w:ascii="Times New Roman"/>
        </w:rPr>
        <w:t>分别计算化石燃料燃烧排放量、过程排放量、购入的电力产生的排放量；</w:t>
      </w:r>
    </w:p>
    <w:p w14:paraId="6B12FAA3">
      <w:pPr>
        <w:pStyle w:val="132"/>
        <w:rPr>
          <w:rFonts w:ascii="Times New Roman"/>
        </w:rPr>
      </w:pPr>
      <w:r>
        <w:rPr>
          <w:rFonts w:ascii="Times New Roman"/>
        </w:rPr>
        <w:t>汇总计算企业碳排放总量。</w:t>
      </w:r>
    </w:p>
    <w:p w14:paraId="52262FE8">
      <w:pPr>
        <w:pStyle w:val="105"/>
        <w:spacing w:before="120" w:after="120"/>
        <w:rPr>
          <w:rFonts w:ascii="Times New Roman"/>
        </w:rPr>
      </w:pPr>
      <w:r>
        <w:rPr>
          <w:rFonts w:ascii="Times New Roman"/>
        </w:rPr>
        <w:t>核算方法</w:t>
      </w:r>
    </w:p>
    <w:p w14:paraId="1E08B851">
      <w:pPr>
        <w:pStyle w:val="65"/>
        <w:spacing w:before="120" w:after="120"/>
        <w:rPr>
          <w:rFonts w:ascii="Times New Roman"/>
        </w:rPr>
      </w:pPr>
      <w:r>
        <w:rPr>
          <w:rFonts w:ascii="Times New Roman"/>
        </w:rPr>
        <w:t>碳排放总量</w:t>
      </w:r>
    </w:p>
    <w:p w14:paraId="4F93B785">
      <w:pPr>
        <w:pStyle w:val="56"/>
        <w:ind w:firstLine="420"/>
        <w:rPr>
          <w:rFonts w:ascii="Times New Roman"/>
        </w:rPr>
      </w:pPr>
      <w:r>
        <w:rPr>
          <w:rFonts w:ascii="Times New Roman"/>
        </w:rPr>
        <w:t>报告主体的碳排放总量应按公式（1）计算：</w:t>
      </w:r>
    </w:p>
    <w:p w14:paraId="1DA0FF4C">
      <w:pPr>
        <w:pStyle w:val="113"/>
        <w:spacing w:before="240" w:beforeLines="100" w:after="240" w:afterLines="100"/>
        <w:rPr>
          <w:rFonts w:ascii="Times New Roman" w:hAnsi="Times New Roman"/>
        </w:rPr>
      </w:pPr>
      <w:r>
        <w:rPr>
          <w:rFonts w:ascii="Times New Roman" w:hAnsi="Times New Roman"/>
        </w:rPr>
        <w:tab/>
      </w:r>
      <m:oMath>
        <m:r>
          <m:rPr/>
          <w:rPr>
            <w:rFonts w:ascii="Cambria Math" w:hAnsi="Cambria Math"/>
          </w:rPr>
          <m:t>E=</m:t>
        </m:r>
        <m:sSub>
          <w:bookmarkStart w:id="65" w:name="OLE_LINK3"/>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燃烧</m:t>
            </m:r>
            <m:ctrlPr>
              <w:rPr>
                <w:rFonts w:ascii="Cambria Math" w:hAnsi="Cambria Math"/>
                <w:i/>
              </w:rPr>
            </m:ctrlPr>
          </m:sub>
        </m:sSub>
        <w:bookmarkEnd w:id="65"/>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过程</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购入热</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044F293F">
      <w:pPr>
        <w:pStyle w:val="55"/>
        <w:ind w:firstLine="420"/>
        <w:rPr>
          <w:rFonts w:ascii="Times New Roman" w:hAnsi="Times New Roman"/>
        </w:rPr>
      </w:pPr>
      <w:r>
        <w:rPr>
          <w:rFonts w:ascii="Times New Roman" w:hAnsi="Times New Roman"/>
        </w:rPr>
        <w:t>式中：</w:t>
      </w:r>
    </w:p>
    <w:p w14:paraId="2B31FA7E">
      <w:pPr>
        <w:pStyle w:val="56"/>
        <w:ind w:firstLine="420"/>
        <w:rPr>
          <w:rFonts w:ascii="Times New Roman"/>
        </w:rPr>
      </w:pPr>
      <w:r>
        <w:rPr>
          <w:rFonts w:ascii="Times New Roman"/>
          <w:i/>
          <w:iCs/>
        </w:rPr>
        <w:t>E</w:t>
      </w:r>
      <w:r>
        <w:rPr>
          <w:rFonts w:ascii="Times New Roman"/>
          <w:i/>
          <w:iCs/>
        </w:rPr>
        <w:softHyphen/>
      </w:r>
      <w:r>
        <w:rPr>
          <w:rFonts w:ascii="Times New Roman"/>
        </w:rPr>
        <w:t xml:space="preserve">  ——报告主体的碳排放总量，单位为吨二氧化碳（tCO</w:t>
      </w:r>
      <w:r>
        <w:rPr>
          <w:rFonts w:ascii="Times New Roman"/>
          <w:vertAlign w:val="subscript"/>
        </w:rPr>
        <w:t>2</w:t>
      </w:r>
      <w:r>
        <w:rPr>
          <w:rFonts w:ascii="Times New Roman"/>
        </w:rPr>
        <w:t>）；</w:t>
      </w:r>
    </w:p>
    <w:p w14:paraId="37636D3F">
      <w:pPr>
        <w:pStyle w:val="56"/>
        <w:ind w:firstLine="420"/>
        <w:rPr>
          <w:rFonts w:ascii="Times New Roman"/>
        </w:rPr>
      </w:pPr>
      <w:r>
        <w:rPr>
          <w:rFonts w:ascii="Times New Roman"/>
          <w:i/>
          <w:iCs/>
        </w:rPr>
        <w:t>E</w:t>
      </w:r>
      <w:r>
        <w:rPr>
          <w:rFonts w:ascii="Times New Roman"/>
          <w:vertAlign w:val="subscript"/>
        </w:rPr>
        <w:t>燃烧</w:t>
      </w:r>
      <w:r>
        <w:rPr>
          <w:rFonts w:ascii="Times New Roman"/>
        </w:rPr>
        <w:t>——报告主体的化石燃料燃烧产生的碳排放量，单位为吨二氧化碳（tCO</w:t>
      </w:r>
      <w:r>
        <w:rPr>
          <w:rFonts w:ascii="Times New Roman"/>
          <w:vertAlign w:val="subscript"/>
        </w:rPr>
        <w:t>2</w:t>
      </w:r>
      <w:r>
        <w:rPr>
          <w:rFonts w:ascii="Times New Roman"/>
        </w:rPr>
        <w:t>）；</w:t>
      </w:r>
    </w:p>
    <w:p w14:paraId="7C62C993">
      <w:pPr>
        <w:pStyle w:val="56"/>
        <w:ind w:firstLine="420"/>
        <w:rPr>
          <w:rFonts w:ascii="Times New Roman"/>
        </w:rPr>
      </w:pPr>
      <w:r>
        <w:rPr>
          <w:rFonts w:ascii="Times New Roman"/>
          <w:i/>
          <w:iCs/>
        </w:rPr>
        <w:t>E</w:t>
      </w:r>
      <w:r>
        <w:rPr>
          <w:rFonts w:ascii="Times New Roman"/>
          <w:vertAlign w:val="subscript"/>
        </w:rPr>
        <w:t>过程</w:t>
      </w:r>
      <w:r>
        <w:rPr>
          <w:rFonts w:ascii="Times New Roman"/>
        </w:rPr>
        <w:t>——报告主体在生产过程中二氧化碳气体保护焊气体使用或泄漏产生的碳排放量，单位为吨二氧化碳（tC0</w:t>
      </w:r>
      <w:r>
        <w:rPr>
          <w:rFonts w:ascii="Times New Roman"/>
          <w:vertAlign w:val="subscript"/>
        </w:rPr>
        <w:t>2</w:t>
      </w:r>
      <w:r>
        <w:rPr>
          <w:rFonts w:ascii="Times New Roman"/>
        </w:rPr>
        <w:t>）；</w:t>
      </w:r>
    </w:p>
    <w:p w14:paraId="74DBF560">
      <w:pPr>
        <w:pStyle w:val="56"/>
        <w:ind w:firstLine="420"/>
        <w:rPr>
          <w:rFonts w:ascii="Times New Roman"/>
        </w:rPr>
      </w:pPr>
      <w:r>
        <w:rPr>
          <w:rFonts w:ascii="Times New Roman"/>
          <w:i/>
          <w:iCs/>
        </w:rPr>
        <w:t>E</w:t>
      </w:r>
      <w:r>
        <w:rPr>
          <w:rFonts w:ascii="Times New Roman"/>
          <w:vertAlign w:val="subscript"/>
        </w:rPr>
        <w:t>购入电</w:t>
      </w:r>
      <w:r>
        <w:rPr>
          <w:rFonts w:ascii="Times New Roman"/>
        </w:rPr>
        <w:t>——报告主体购入的电力产生的碳排放量，单位为吨二氧化碳（tCO</w:t>
      </w:r>
      <w:r>
        <w:rPr>
          <w:rFonts w:ascii="Times New Roman"/>
          <w:vertAlign w:val="subscript"/>
        </w:rPr>
        <w:t>2</w:t>
      </w:r>
      <w:r>
        <w:rPr>
          <w:rFonts w:ascii="Times New Roman"/>
        </w:rPr>
        <w:t>）；</w:t>
      </w:r>
    </w:p>
    <w:p w14:paraId="35615026">
      <w:pPr>
        <w:pStyle w:val="56"/>
        <w:ind w:firstLine="420"/>
        <w:rPr>
          <w:rFonts w:ascii="Times New Roman"/>
        </w:rPr>
      </w:pPr>
      <w:r>
        <w:rPr>
          <w:rFonts w:ascii="Times New Roman"/>
          <w:i/>
          <w:iCs/>
        </w:rPr>
        <w:t>E</w:t>
      </w:r>
      <w:r>
        <w:rPr>
          <w:rFonts w:ascii="Times New Roman"/>
          <w:vertAlign w:val="subscript"/>
        </w:rPr>
        <w:t>购入热</w:t>
      </w:r>
      <w:r>
        <w:rPr>
          <w:rFonts w:ascii="Times New Roman"/>
        </w:rPr>
        <w:t>——报告主体购入的热力产生的碳排放量，单位为吨二氧化碳（tCO</w:t>
      </w:r>
      <w:r>
        <w:rPr>
          <w:rFonts w:ascii="Times New Roman"/>
          <w:vertAlign w:val="subscript"/>
        </w:rPr>
        <w:t>2</w:t>
      </w:r>
      <w:r>
        <w:rPr>
          <w:rFonts w:ascii="Times New Roman"/>
        </w:rPr>
        <w:t>）。</w:t>
      </w:r>
    </w:p>
    <w:p w14:paraId="714C8769">
      <w:pPr>
        <w:pStyle w:val="65"/>
        <w:spacing w:before="120" w:after="120"/>
        <w:rPr>
          <w:rFonts w:ascii="Times New Roman"/>
        </w:rPr>
      </w:pPr>
      <w:r>
        <w:rPr>
          <w:rFonts w:ascii="Times New Roman"/>
        </w:rPr>
        <w:t>化石燃料燃烧排放</w:t>
      </w:r>
    </w:p>
    <w:p w14:paraId="1FF3BD89">
      <w:pPr>
        <w:pStyle w:val="94"/>
        <w:spacing w:before="120" w:after="120"/>
        <w:rPr>
          <w:rFonts w:ascii="Times New Roman"/>
        </w:rPr>
      </w:pPr>
      <w:r>
        <w:rPr>
          <w:rFonts w:ascii="Times New Roman"/>
        </w:rPr>
        <w:t>计算公式</w:t>
      </w:r>
    </w:p>
    <w:p w14:paraId="64BAE3F2">
      <w:pPr>
        <w:pStyle w:val="56"/>
        <w:ind w:firstLine="420"/>
        <w:rPr>
          <w:rFonts w:ascii="Times New Roman"/>
        </w:rPr>
      </w:pPr>
      <w:r>
        <w:rPr>
          <w:rFonts w:ascii="Times New Roman"/>
        </w:rPr>
        <w:t>化石燃料燃烧产生的碳排放量应按公式（2）计算，其中</w:t>
      </w:r>
      <w:r>
        <w:rPr>
          <w:rFonts w:ascii="Times New Roman"/>
          <w:i/>
          <w:iCs/>
        </w:rPr>
        <w:t>AD</w:t>
      </w:r>
      <w:r>
        <w:rPr>
          <w:rFonts w:ascii="Times New Roman"/>
          <w:i/>
          <w:iCs/>
          <w:vertAlign w:val="subscript"/>
        </w:rPr>
        <w:t>m</w:t>
      </w:r>
      <w:r>
        <w:rPr>
          <w:rFonts w:ascii="Times New Roman"/>
        </w:rPr>
        <w:t>按公式（3）计算；</w:t>
      </w:r>
      <w:r>
        <w:rPr>
          <w:rFonts w:ascii="Times New Roman"/>
          <w:i/>
          <w:iCs/>
        </w:rPr>
        <w:t>EF</w:t>
      </w:r>
      <w:r>
        <w:rPr>
          <w:rFonts w:ascii="Times New Roman"/>
          <w:i/>
          <w:iCs/>
          <w:vertAlign w:val="subscript"/>
        </w:rPr>
        <w:t>m</w:t>
      </w:r>
      <w:r>
        <w:rPr>
          <w:rFonts w:ascii="Times New Roman"/>
        </w:rPr>
        <w:t>按公式（4）计算：</w:t>
      </w:r>
    </w:p>
    <w:p w14:paraId="308A8637">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燃烧</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m=1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m</m:t>
                </m:r>
                <m:ctrlPr>
                  <w:rPr>
                    <w:rFonts w:ascii="Cambria Math" w:hAnsi="Cambria Math"/>
                    <w:i/>
                  </w:rPr>
                </m:ctrlPr>
              </m:sub>
            </m:sSub>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03F314E">
      <w:pPr>
        <w:pStyle w:val="55"/>
        <w:ind w:firstLine="420"/>
        <w:rPr>
          <w:rFonts w:ascii="Times New Roman" w:hAnsi="Times New Roman"/>
        </w:rPr>
      </w:pPr>
      <w:r>
        <w:rPr>
          <w:rFonts w:ascii="Times New Roman" w:hAnsi="Times New Roman"/>
        </w:rPr>
        <w:t>式中：</w:t>
      </w:r>
    </w:p>
    <w:p w14:paraId="1A45CA62">
      <w:pPr>
        <w:pStyle w:val="56"/>
        <w:ind w:firstLine="420"/>
        <w:rPr>
          <w:rFonts w:ascii="Times New Roman"/>
        </w:rPr>
      </w:pPr>
      <w:r>
        <w:rPr>
          <w:rFonts w:ascii="Times New Roman"/>
          <w:i/>
          <w:iCs/>
        </w:rPr>
        <w:t>E</w:t>
      </w:r>
      <w:r>
        <w:rPr>
          <w:rFonts w:ascii="Times New Roman"/>
          <w:vertAlign w:val="subscript"/>
        </w:rPr>
        <w:t xml:space="preserve">燃烧 </w:t>
      </w:r>
      <w:r>
        <w:rPr>
          <w:rFonts w:ascii="Times New Roman"/>
        </w:rPr>
        <w:t>——化石燃料燃烧产生的碳排放量，单位为吨二氧化碳当量（tCO</w:t>
      </w:r>
      <w:r>
        <w:rPr>
          <w:rFonts w:ascii="Times New Roman"/>
          <w:vertAlign w:val="subscript"/>
        </w:rPr>
        <w:t>2</w:t>
      </w:r>
      <w:r>
        <w:rPr>
          <w:rFonts w:ascii="Times New Roman"/>
        </w:rPr>
        <w:t>e）；</w:t>
      </w:r>
    </w:p>
    <w:p w14:paraId="0271DABC">
      <w:pPr>
        <w:pStyle w:val="56"/>
        <w:ind w:firstLine="420"/>
        <w:rPr>
          <w:rFonts w:ascii="Times New Roman"/>
          <w:b/>
          <w:bCs/>
        </w:rPr>
      </w:pPr>
      <w:r>
        <w:rPr>
          <w:rFonts w:ascii="Times New Roman"/>
          <w:i/>
          <w:iCs/>
        </w:rPr>
        <w:t>AD</w:t>
      </w:r>
      <w:r>
        <w:rPr>
          <w:rFonts w:ascii="Times New Roman"/>
          <w:i/>
          <w:iCs/>
          <w:vertAlign w:val="subscript"/>
        </w:rPr>
        <w:t xml:space="preserve">m </w:t>
      </w:r>
      <w:r>
        <w:rPr>
          <w:rFonts w:ascii="Times New Roman"/>
        </w:rPr>
        <w:t>——核算和报告期内消耗的第</w:t>
      </w:r>
      <w:r>
        <w:rPr>
          <w:rFonts w:ascii="Times New Roman"/>
          <w:i/>
          <w:iCs/>
        </w:rPr>
        <w:t>m</w:t>
      </w:r>
      <w:r>
        <w:rPr>
          <w:rFonts w:ascii="Times New Roman"/>
        </w:rPr>
        <w:t>种化石燃料的活动数据，单位为吉焦（GJ）；</w:t>
      </w:r>
    </w:p>
    <w:p w14:paraId="64E11C8F">
      <w:pPr>
        <w:pStyle w:val="56"/>
        <w:ind w:firstLine="420"/>
        <w:rPr>
          <w:rFonts w:ascii="Times New Roman"/>
        </w:rPr>
      </w:pPr>
      <w:r>
        <w:rPr>
          <w:rFonts w:ascii="Times New Roman"/>
          <w:i/>
          <w:iCs/>
        </w:rPr>
        <w:t>EF</w:t>
      </w:r>
      <w:r>
        <w:rPr>
          <w:rFonts w:ascii="Times New Roman"/>
          <w:i/>
          <w:iCs/>
          <w:vertAlign w:val="subscript"/>
        </w:rPr>
        <w:t>m</w:t>
      </w:r>
      <w:r>
        <w:rPr>
          <w:rFonts w:ascii="Times New Roman"/>
          <w:i/>
          <w:iCs/>
        </w:rPr>
        <w:t xml:space="preserve"> </w:t>
      </w:r>
      <w:r>
        <w:rPr>
          <w:rFonts w:ascii="Times New Roman"/>
        </w:rPr>
        <w:t>——第</w:t>
      </w:r>
      <w:r>
        <w:rPr>
          <w:rFonts w:ascii="Times New Roman"/>
          <w:i/>
          <w:iCs/>
        </w:rPr>
        <w:t>m</w:t>
      </w:r>
      <w:r>
        <w:rPr>
          <w:rFonts w:ascii="Times New Roman"/>
        </w:rPr>
        <w:t>种化石燃料的二氧化碳排放因子，单位为吨二氧化碳每吉焦（tCO</w:t>
      </w:r>
      <w:r>
        <w:rPr>
          <w:rFonts w:ascii="Times New Roman"/>
          <w:vertAlign w:val="subscript"/>
        </w:rPr>
        <w:t>2</w:t>
      </w:r>
      <w:r>
        <w:rPr>
          <w:rFonts w:ascii="Times New Roman"/>
        </w:rPr>
        <w:t>e/GJ）；</w:t>
      </w:r>
    </w:p>
    <w:p w14:paraId="2B1197FC">
      <w:pPr>
        <w:pStyle w:val="56"/>
        <w:ind w:firstLine="420"/>
        <w:rPr>
          <w:rFonts w:ascii="Times New Roman"/>
        </w:rPr>
      </w:pPr>
      <w:r>
        <w:rPr>
          <w:rFonts w:ascii="Times New Roman"/>
          <w:i/>
          <w:iCs/>
        </w:rPr>
        <w:t xml:space="preserve">m  </w:t>
      </w:r>
      <w:r>
        <w:rPr>
          <w:rFonts w:ascii="Times New Roman"/>
        </w:rPr>
        <w:t>——化石燃料种类。</w:t>
      </w:r>
    </w:p>
    <w:p w14:paraId="69F923C9">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NCV</m:t>
            </m:r>
            <m:ctrlPr>
              <w:rPr>
                <w:rFonts w:ascii="Cambria Math" w:hAnsi="Cambria Math"/>
                <w:i/>
              </w:rPr>
            </m:ctrlPr>
          </m:e>
          <m:sub>
            <m:r>
              <m:rPr/>
              <w:rPr>
                <w:rFonts w:ascii="Cambria Math" w:hAnsi="Cambria Math"/>
              </w:rPr>
              <m:t>m</m:t>
            </m:r>
            <m:ctrlPr>
              <w:rPr>
                <w:rFonts w:ascii="Cambria Math" w:hAnsi="Cambria Math"/>
                <w:i/>
              </w:rPr>
            </m:ctrlPr>
          </m:sub>
        </m:sSub>
        <m:sSub>
          <m:sSubPr>
            <m:ctrlPr>
              <w:rPr>
                <w:rFonts w:ascii="Cambria Math" w:hAnsi="Cambria Math"/>
                <w:i/>
              </w:rPr>
            </m:ctrlPr>
          </m:sSubPr>
          <m:e>
            <m:r>
              <m:rPr/>
              <w:rPr>
                <w:rFonts w:ascii="Cambria Math" w:hAnsi="Cambria Math"/>
              </w:rPr>
              <m:t>×FC</m:t>
            </m:r>
            <m:ctrlPr>
              <w:rPr>
                <w:rFonts w:ascii="Cambria Math" w:hAnsi="Cambria Math"/>
                <w:i/>
              </w:rPr>
            </m:ctrlPr>
          </m:e>
          <m:sub>
            <m:r>
              <m:rPr/>
              <w:rPr>
                <w:rFonts w:ascii="Cambria Math" w:hAnsi="Cambria Math"/>
              </w:rPr>
              <m:t>m</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12CAA22A">
      <w:pPr>
        <w:pStyle w:val="55"/>
        <w:ind w:firstLine="420"/>
        <w:rPr>
          <w:rFonts w:ascii="Times New Roman" w:hAnsi="Times New Roman"/>
        </w:rPr>
      </w:pPr>
      <w:r>
        <w:rPr>
          <w:rFonts w:ascii="Times New Roman" w:hAnsi="Times New Roman"/>
        </w:rPr>
        <w:t>式中：</w:t>
      </w:r>
    </w:p>
    <w:p w14:paraId="2D19BBE3">
      <w:pPr>
        <w:pStyle w:val="56"/>
        <w:ind w:firstLine="420"/>
        <w:rPr>
          <w:rFonts w:ascii="Times New Roman"/>
          <w:b/>
          <w:bCs/>
        </w:rPr>
      </w:pPr>
      <w:r>
        <w:rPr>
          <w:rFonts w:ascii="Times New Roman"/>
          <w:i/>
          <w:iCs/>
        </w:rPr>
        <w:t>AD</w:t>
      </w:r>
      <w:r>
        <w:rPr>
          <w:rFonts w:ascii="Times New Roman"/>
          <w:i/>
          <w:iCs/>
          <w:vertAlign w:val="subscript"/>
        </w:rPr>
        <w:t>m</w:t>
      </w:r>
      <w:r>
        <w:rPr>
          <w:rFonts w:hint="eastAsia" w:ascii="Times New Roman"/>
          <w:i/>
          <w:iCs/>
          <w:vertAlign w:val="subscript"/>
        </w:rPr>
        <w:t xml:space="preserve">  </w:t>
      </w:r>
      <w:r>
        <w:rPr>
          <w:rFonts w:ascii="Times New Roman"/>
          <w:i/>
          <w:iCs/>
          <w:vertAlign w:val="subscript"/>
        </w:rPr>
        <w:t xml:space="preserve"> </w:t>
      </w:r>
      <w:r>
        <w:rPr>
          <w:rFonts w:ascii="Times New Roman"/>
        </w:rPr>
        <w:t>——核算和报告期内消耗的第</w:t>
      </w:r>
      <w:r>
        <w:rPr>
          <w:rFonts w:ascii="Times New Roman"/>
          <w:i/>
          <w:iCs/>
        </w:rPr>
        <w:t>m</w:t>
      </w:r>
      <w:r>
        <w:rPr>
          <w:rFonts w:ascii="Times New Roman"/>
        </w:rPr>
        <w:t>种化石燃料的活动数据，单位为吉焦（GJ）；</w:t>
      </w:r>
    </w:p>
    <w:p w14:paraId="3C405422">
      <w:pPr>
        <w:pStyle w:val="56"/>
        <w:ind w:firstLine="420"/>
        <w:rPr>
          <w:rFonts w:ascii="Times New Roman"/>
        </w:rPr>
      </w:pPr>
      <w:r>
        <w:rPr>
          <w:rFonts w:ascii="Times New Roman"/>
          <w:i/>
          <w:iCs/>
        </w:rPr>
        <w:t>NCV</w:t>
      </w:r>
      <w:r>
        <w:rPr>
          <w:rFonts w:ascii="Times New Roman"/>
          <w:i/>
          <w:iCs/>
          <w:vertAlign w:val="subscript"/>
        </w:rPr>
        <w:t>m</w:t>
      </w:r>
      <w:r>
        <w:rPr>
          <w:rFonts w:ascii="Times New Roman"/>
          <w:i/>
          <w:iCs/>
        </w:rPr>
        <w:t xml:space="preserve"> </w:t>
      </w:r>
      <w:r>
        <w:rPr>
          <w:rFonts w:ascii="Times New Roman"/>
        </w:rPr>
        <w:t>——核算和报告期内第</w:t>
      </w:r>
      <w:r>
        <w:rPr>
          <w:rFonts w:ascii="Times New Roman"/>
          <w:i/>
          <w:iCs/>
        </w:rPr>
        <w:t>m</w:t>
      </w:r>
      <w:r>
        <w:rPr>
          <w:rFonts w:ascii="Times New Roman"/>
        </w:rPr>
        <w:t>种化石燃料的平均低位发热量。对于固体和液体燃料，单位为吉焦每吨（GJ/t）；对于气体燃料，单位为吉焦每万标立方米（GJ/10</w:t>
      </w:r>
      <w:r>
        <w:rPr>
          <w:rFonts w:ascii="Times New Roman"/>
          <w:vertAlign w:val="superscript"/>
        </w:rPr>
        <w:t>4</w:t>
      </w:r>
      <w:r>
        <w:rPr>
          <w:rFonts w:ascii="Times New Roman"/>
        </w:rPr>
        <w:t>Nm</w:t>
      </w:r>
      <w:r>
        <w:rPr>
          <w:rFonts w:ascii="Times New Roman"/>
          <w:vertAlign w:val="superscript"/>
        </w:rPr>
        <w:t>3</w:t>
      </w:r>
      <w:r>
        <w:rPr>
          <w:rFonts w:ascii="Times New Roman"/>
        </w:rPr>
        <w:t>）；</w:t>
      </w:r>
    </w:p>
    <w:p w14:paraId="0AE88135">
      <w:pPr>
        <w:pStyle w:val="56"/>
        <w:ind w:firstLine="420"/>
        <w:rPr>
          <w:rFonts w:ascii="Times New Roman"/>
        </w:rPr>
      </w:pPr>
      <w:r>
        <w:rPr>
          <w:rFonts w:ascii="Times New Roman"/>
          <w:i/>
          <w:iCs/>
        </w:rPr>
        <w:t>FC</w:t>
      </w:r>
      <w:r>
        <w:rPr>
          <w:rFonts w:ascii="Times New Roman"/>
          <w:i/>
          <w:iCs/>
          <w:vertAlign w:val="subscript"/>
        </w:rPr>
        <w:t>m</w:t>
      </w:r>
      <w:r>
        <w:rPr>
          <w:rFonts w:ascii="Times New Roman"/>
          <w:i/>
          <w:iCs/>
        </w:rPr>
        <w:t xml:space="preserve">  </w:t>
      </w:r>
      <w:r>
        <w:rPr>
          <w:rFonts w:ascii="Times New Roman"/>
        </w:rPr>
        <w:t>——核算和报告期内第</w:t>
      </w:r>
      <w:r>
        <w:rPr>
          <w:rFonts w:ascii="Times New Roman"/>
          <w:i/>
          <w:iCs/>
        </w:rPr>
        <w:t>m</w:t>
      </w:r>
      <w:r>
        <w:rPr>
          <w:rFonts w:ascii="Times New Roman"/>
        </w:rPr>
        <w:t>种化石燃料的净消耗量。对于固体和液体燃料，单位为吨（t）；对于气体燃料，单位为万标立方米（10</w:t>
      </w:r>
      <w:r>
        <w:rPr>
          <w:rFonts w:ascii="Times New Roman"/>
          <w:vertAlign w:val="superscript"/>
        </w:rPr>
        <w:t>4</w:t>
      </w:r>
      <w:r>
        <w:rPr>
          <w:rFonts w:ascii="Times New Roman"/>
        </w:rPr>
        <w:t>Nm</w:t>
      </w:r>
      <w:r>
        <w:rPr>
          <w:rFonts w:ascii="Times New Roman"/>
          <w:vertAlign w:val="superscript"/>
        </w:rPr>
        <w:t>3</w:t>
      </w:r>
      <w:r>
        <w:rPr>
          <w:rFonts w:ascii="Times New Roman"/>
        </w:rPr>
        <w:t>）。</w:t>
      </w:r>
    </w:p>
    <w:p w14:paraId="70371FE9">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OF</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w:bookmarkStart w:id="66" w:name="OLE_LINK4"/>
        <m:f>
          <m:fPr>
            <m:ctrlPr>
              <w:rPr>
                <w:rFonts w:ascii="Cambria Math" w:hAnsi="Cambria Math"/>
                <w:i/>
              </w:rPr>
            </m:ctrlPr>
          </m:fPr>
          <m:num>
            <m:r>
              <m:rPr/>
              <w:rPr>
                <w:rFonts w:ascii="Cambria Math" w:hAnsi="Cambria Math"/>
              </w:rPr>
              <m:t>44</m:t>
            </m:r>
            <m:ctrlPr>
              <w:rPr>
                <w:rFonts w:ascii="Cambria Math" w:hAnsi="Cambria Math"/>
                <w:i/>
              </w:rPr>
            </m:ctrlPr>
          </m:num>
          <m:den>
            <m:r>
              <m:rPr/>
              <w:rPr>
                <w:rFonts w:ascii="Cambria Math" w:hAnsi="Cambria Math"/>
              </w:rPr>
              <m:t>12</m:t>
            </m:r>
            <m:ctrlPr>
              <w:rPr>
                <w:rFonts w:ascii="Cambria Math" w:hAnsi="Cambria Math"/>
                <w:i/>
              </w:rPr>
            </m:ctrlPr>
            <w:bookmarkEnd w:id="66"/>
          </m:den>
        </m:f>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D9B70C7">
      <w:pPr>
        <w:pStyle w:val="55"/>
        <w:ind w:firstLine="420"/>
        <w:rPr>
          <w:rFonts w:ascii="Times New Roman" w:hAnsi="Times New Roman"/>
        </w:rPr>
      </w:pPr>
      <w:r>
        <w:rPr>
          <w:rFonts w:ascii="Times New Roman" w:hAnsi="Times New Roman"/>
        </w:rPr>
        <w:t>式中：</w:t>
      </w:r>
    </w:p>
    <w:p w14:paraId="363C2006">
      <w:pPr>
        <w:pStyle w:val="56"/>
        <w:ind w:firstLine="420"/>
        <w:rPr>
          <w:rFonts w:ascii="Times New Roman"/>
        </w:rPr>
      </w:pPr>
      <w:r>
        <w:rPr>
          <w:rFonts w:ascii="Times New Roman"/>
          <w:i/>
          <w:iCs/>
        </w:rPr>
        <w:t>EF</w:t>
      </w:r>
      <w:r>
        <w:rPr>
          <w:rFonts w:ascii="Times New Roman"/>
          <w:i/>
          <w:iCs/>
          <w:vertAlign w:val="subscript"/>
        </w:rPr>
        <w:t>m</w:t>
      </w:r>
      <w:r>
        <w:rPr>
          <w:rFonts w:ascii="Times New Roman"/>
          <w:i/>
          <w:iCs/>
        </w:rPr>
        <w:t xml:space="preserve"> </w:t>
      </w:r>
      <w:r>
        <w:rPr>
          <w:rFonts w:ascii="Times New Roman"/>
        </w:rPr>
        <w:t>——第</w:t>
      </w:r>
      <w:r>
        <w:rPr>
          <w:rFonts w:ascii="Times New Roman"/>
          <w:i/>
          <w:iCs/>
        </w:rPr>
        <w:t>m</w:t>
      </w:r>
      <w:r>
        <w:rPr>
          <w:rFonts w:ascii="Times New Roman"/>
        </w:rPr>
        <w:t>种化石燃料的二氧化碳排放因子，单位为吨二氧化碳每吉焦（tCO</w:t>
      </w:r>
      <w:r>
        <w:rPr>
          <w:rFonts w:ascii="Times New Roman"/>
          <w:vertAlign w:val="subscript"/>
        </w:rPr>
        <w:t>2</w:t>
      </w:r>
      <w:r>
        <w:rPr>
          <w:rFonts w:ascii="Times New Roman"/>
        </w:rPr>
        <w:t>e/GJ）；</w:t>
      </w:r>
    </w:p>
    <w:p w14:paraId="77E0298E">
      <w:pPr>
        <w:pStyle w:val="56"/>
        <w:ind w:firstLine="420"/>
        <w:rPr>
          <w:rFonts w:ascii="Times New Roman"/>
        </w:rPr>
      </w:pPr>
      <w:r>
        <w:rPr>
          <w:rFonts w:ascii="Times New Roman"/>
          <w:i/>
          <w:iCs/>
        </w:rPr>
        <w:t>CC</w:t>
      </w:r>
      <w:r>
        <w:rPr>
          <w:rFonts w:ascii="Times New Roman"/>
          <w:i/>
          <w:iCs/>
          <w:vertAlign w:val="subscript"/>
        </w:rPr>
        <w:t>m</w:t>
      </w:r>
      <w:r>
        <w:rPr>
          <w:rFonts w:ascii="Times New Roman"/>
          <w:i/>
          <w:iCs/>
        </w:rPr>
        <w:t xml:space="preserve"> </w:t>
      </w:r>
      <w:r>
        <w:rPr>
          <w:rFonts w:ascii="Times New Roman"/>
        </w:rPr>
        <w:t>——第</w:t>
      </w:r>
      <w:r>
        <w:rPr>
          <w:rFonts w:ascii="Times New Roman"/>
          <w:i/>
          <w:iCs/>
        </w:rPr>
        <w:t>m</w:t>
      </w:r>
      <w:r>
        <w:rPr>
          <w:rFonts w:ascii="Times New Roman"/>
        </w:rPr>
        <w:t>种化石燃料的单位热值含碳量，单位为吨二氧化碳每吉焦（tCO</w:t>
      </w:r>
      <w:r>
        <w:rPr>
          <w:rFonts w:ascii="Times New Roman"/>
          <w:vertAlign w:val="subscript"/>
        </w:rPr>
        <w:t>2</w:t>
      </w:r>
      <w:r>
        <w:rPr>
          <w:rFonts w:ascii="Times New Roman"/>
        </w:rPr>
        <w:t xml:space="preserve">e/GJ）； </w:t>
      </w:r>
    </w:p>
    <w:p w14:paraId="6DA716E8">
      <w:pPr>
        <w:pStyle w:val="56"/>
        <w:ind w:firstLine="420"/>
        <w:rPr>
          <w:rFonts w:ascii="Times New Roman"/>
        </w:rPr>
      </w:pPr>
      <w:r>
        <w:rPr>
          <w:rFonts w:ascii="Times New Roman"/>
          <w:i/>
          <w:iCs/>
        </w:rPr>
        <w:t>OF</w:t>
      </w:r>
      <w:r>
        <w:rPr>
          <w:rFonts w:ascii="Times New Roman"/>
          <w:i/>
          <w:iCs/>
          <w:vertAlign w:val="subscript"/>
        </w:rPr>
        <w:t>m</w:t>
      </w:r>
      <w:r>
        <w:rPr>
          <w:rFonts w:ascii="Times New Roman"/>
          <w:i/>
          <w:iCs/>
        </w:rPr>
        <w:t xml:space="preserve"> </w:t>
      </w:r>
      <w:r>
        <w:rPr>
          <w:rFonts w:ascii="Times New Roman"/>
        </w:rPr>
        <w:t>——第</w:t>
      </w:r>
      <w:r>
        <w:rPr>
          <w:rFonts w:ascii="Times New Roman"/>
          <w:i/>
          <w:iCs/>
        </w:rPr>
        <w:t>m</w:t>
      </w:r>
      <w:r>
        <w:rPr>
          <w:rFonts w:ascii="Times New Roman"/>
        </w:rPr>
        <w:t xml:space="preserve">种化石燃料的碳氧化率，%； </w:t>
      </w:r>
    </w:p>
    <w:p w14:paraId="3E26B8E5">
      <w:pPr>
        <w:pStyle w:val="56"/>
        <w:ind w:firstLine="420"/>
        <w:rPr>
          <w:rFonts w:ascii="Times New Roman"/>
        </w:rPr>
      </w:pPr>
      <m:oMath>
        <m:f>
          <m:fPr>
            <m:ctrlPr>
              <w:rPr>
                <w:rFonts w:ascii="Cambria Math" w:hAnsi="Cambria Math"/>
                <w:i/>
                <w:kern w:val="2"/>
                <w:szCs w:val="21"/>
              </w:rPr>
            </m:ctrlPr>
          </m:fPr>
          <m:num>
            <m:r>
              <m:rPr/>
              <w:rPr>
                <w:rFonts w:ascii="Cambria Math" w:hAnsi="Cambria Math"/>
              </w:rPr>
              <m:t>44</m:t>
            </m:r>
            <m:ctrlPr>
              <w:rPr>
                <w:rFonts w:ascii="Cambria Math" w:hAnsi="Cambria Math"/>
                <w:i/>
                <w:kern w:val="2"/>
                <w:szCs w:val="21"/>
              </w:rPr>
            </m:ctrlPr>
          </m:num>
          <m:den>
            <m:r>
              <m:rPr/>
              <w:rPr>
                <w:rFonts w:ascii="Cambria Math" w:hAnsi="Cambria Math"/>
              </w:rPr>
              <m:t>12</m:t>
            </m:r>
            <m:ctrlPr>
              <w:rPr>
                <w:rFonts w:ascii="Cambria Math" w:hAnsi="Cambria Math"/>
                <w:i/>
                <w:kern w:val="2"/>
                <w:szCs w:val="21"/>
              </w:rPr>
            </m:ctrlPr>
          </m:den>
        </m:f>
      </m:oMath>
      <w:r>
        <w:rPr>
          <w:rFonts w:ascii="Times New Roman"/>
          <w:kern w:val="2"/>
          <w:szCs w:val="21"/>
        </w:rPr>
        <w:t xml:space="preserve"> </w:t>
      </w:r>
      <w:r>
        <w:rPr>
          <w:rFonts w:hint="eastAsia" w:ascii="Times New Roman"/>
          <w:kern w:val="2"/>
          <w:szCs w:val="21"/>
        </w:rPr>
        <w:t xml:space="preserve"> </w:t>
      </w:r>
      <w:r>
        <w:rPr>
          <w:rFonts w:ascii="Times New Roman"/>
        </w:rPr>
        <w:t>——二氧化碳与碳的相对分子质量之比。</w:t>
      </w:r>
    </w:p>
    <w:p w14:paraId="6E8FF158">
      <w:pPr>
        <w:pStyle w:val="94"/>
        <w:spacing w:before="120" w:after="120"/>
        <w:rPr>
          <w:rFonts w:ascii="Times New Roman"/>
        </w:rPr>
      </w:pPr>
      <w:r>
        <w:rPr>
          <w:rFonts w:ascii="Times New Roman"/>
        </w:rPr>
        <w:t xml:space="preserve">活动数据获取 </w:t>
      </w:r>
    </w:p>
    <w:p w14:paraId="232ABA1A">
      <w:pPr>
        <w:pStyle w:val="167"/>
        <w:rPr>
          <w:rFonts w:ascii="Times New Roman" w:hAnsi="Times New Roman"/>
        </w:rPr>
      </w:pPr>
      <w:r>
        <w:rPr>
          <w:rFonts w:ascii="Times New Roman" w:hAnsi="Times New Roman"/>
        </w:rPr>
        <w:t>各种化石燃料的消耗量应根据核算和报告期内生产所消耗的计量数据来确定。燃煤消耗量采用每批 次进厂煤计量数据。燃油、燃气消耗量应至少每月测量。对于报告主体自行开展煤制水煤气和/或煤制水 煤浆的，应按对应购入的各类煤的消耗量统计并计算碳排放量。</w:t>
      </w:r>
    </w:p>
    <w:p w14:paraId="3932381C">
      <w:pPr>
        <w:pStyle w:val="167"/>
        <w:rPr>
          <w:rFonts w:ascii="Times New Roman" w:hAnsi="Times New Roman"/>
        </w:rPr>
      </w:pPr>
      <w:r>
        <w:rPr>
          <w:rFonts w:ascii="Times New Roman" w:hAnsi="Times New Roman"/>
        </w:rPr>
        <w:t>企业应按GB/T 213对每批次进厂燃煤低位发热量进行检测，燃煤月度平均低位发热量数值采用每批 次检测数据加权计算得到，权重为每批次煤量，并与对应的消耗状态保持一致。当某批次燃煤低位发热量无实测或测定方法不符合要求时，燃煤低位发热量宜采用附录B提供的缺省值。</w:t>
      </w:r>
    </w:p>
    <w:p w14:paraId="569F5AA5">
      <w:pPr>
        <w:pStyle w:val="167"/>
        <w:rPr>
          <w:rFonts w:ascii="Times New Roman" w:hAnsi="Times New Roman"/>
        </w:rPr>
      </w:pPr>
      <w:r>
        <w:rPr>
          <w:rFonts w:ascii="Times New Roman" w:hAnsi="Times New Roman"/>
        </w:rPr>
        <w:t>燃油和燃气的低位发热量应按照GB/T 384、GB/T 22723检测，不具备实测条件的宜采用附录B提供的缺省值。</w:t>
      </w:r>
    </w:p>
    <w:p w14:paraId="3A6548EE">
      <w:pPr>
        <w:pStyle w:val="94"/>
        <w:spacing w:before="120" w:after="120"/>
        <w:rPr>
          <w:rFonts w:ascii="Times New Roman"/>
        </w:rPr>
      </w:pPr>
      <w:r>
        <w:rPr>
          <w:rFonts w:ascii="Times New Roman"/>
        </w:rPr>
        <w:t xml:space="preserve">排放因子数据获取 </w:t>
      </w:r>
    </w:p>
    <w:p w14:paraId="5AAB95E5">
      <w:pPr>
        <w:pStyle w:val="56"/>
        <w:ind w:firstLine="420"/>
        <w:rPr>
          <w:rFonts w:ascii="Times New Roman"/>
        </w:rPr>
      </w:pPr>
      <w:r>
        <w:rPr>
          <w:rFonts w:ascii="Times New Roman"/>
        </w:rPr>
        <w:t>企业可采用附录B中的单位热值含碳量和碳氧化率缺省值。</w:t>
      </w:r>
    </w:p>
    <w:p w14:paraId="03A25E51">
      <w:pPr>
        <w:pStyle w:val="65"/>
        <w:spacing w:before="120" w:after="120"/>
        <w:rPr>
          <w:rFonts w:ascii="Times New Roman"/>
        </w:rPr>
      </w:pPr>
      <w:r>
        <w:rPr>
          <w:rFonts w:ascii="Times New Roman"/>
        </w:rPr>
        <w:t>过程排放</w:t>
      </w:r>
    </w:p>
    <w:p w14:paraId="07090107">
      <w:pPr>
        <w:pStyle w:val="94"/>
        <w:spacing w:before="120" w:after="120"/>
        <w:rPr>
          <w:rFonts w:ascii="Times New Roman"/>
        </w:rPr>
      </w:pPr>
      <w:r>
        <w:rPr>
          <w:rFonts w:ascii="Times New Roman"/>
        </w:rPr>
        <w:t>计算公式</w:t>
      </w:r>
    </w:p>
    <w:p w14:paraId="7F791479">
      <w:pPr>
        <w:pStyle w:val="56"/>
        <w:ind w:firstLine="420"/>
        <w:rPr>
          <w:rFonts w:ascii="Times New Roman"/>
        </w:rPr>
      </w:pPr>
      <w:r>
        <w:rPr>
          <w:rFonts w:ascii="Times New Roman"/>
        </w:rPr>
        <w:t>生产过程中二氧化碳气体保护焊产生的碳排放量应按公式（5）、（6）计算；其中</w:t>
      </w:r>
      <w:r>
        <w:rPr>
          <w:rFonts w:ascii="Times New Roman"/>
          <w:i/>
          <w:iCs/>
        </w:rPr>
        <w:t>W</w:t>
      </w:r>
      <w:r>
        <w:rPr>
          <w:rFonts w:ascii="Times New Roman"/>
          <w:i/>
          <w:iCs/>
          <w:vertAlign w:val="subscript"/>
        </w:rPr>
        <w:t>i</w:t>
      </w:r>
      <w:r>
        <w:rPr>
          <w:rFonts w:ascii="Times New Roman"/>
        </w:rPr>
        <w:t>按公式（7）计算：</w:t>
      </w:r>
    </w:p>
    <w:p w14:paraId="1E6DCE3C">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WD</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1A38C572">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×W</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n</m:t>
                </m:r>
                <m:ctrlPr>
                  <w:rPr>
                    <w:rFonts w:ascii="Cambria Math" w:hAnsi="Cambria Math"/>
                    <w:i/>
                  </w:rPr>
                </m:ctrlPr>
              </m:sup>
              <m:e>
                <m:sSub>
                  <w:bookmarkStart w:id="67" w:name="OLE_LINK5"/>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w:bookmarkEnd w:id="67"/>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den>
        </m:f>
        <m:r>
          <m:rPr/>
          <w:rPr>
            <w:rFonts w:ascii="Cambria Math" w:hAnsi="Cambria Math"/>
          </w:rPr>
          <m:t>×44</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42F7B3A">
      <w:pPr>
        <w:pStyle w:val="55"/>
        <w:ind w:firstLine="420"/>
        <w:rPr>
          <w:rFonts w:ascii="Times New Roman" w:hAnsi="Times New Roman"/>
        </w:rPr>
      </w:pPr>
      <w:r>
        <w:rPr>
          <w:rFonts w:ascii="Times New Roman" w:hAnsi="Times New Roman"/>
        </w:rPr>
        <w:t>式中：</w:t>
      </w:r>
    </w:p>
    <w:p w14:paraId="14621ADE">
      <w:pPr>
        <w:pStyle w:val="56"/>
        <w:ind w:firstLine="420"/>
        <w:rPr>
          <w:rFonts w:ascii="Times New Roman"/>
        </w:rPr>
      </w:pPr>
      <w:r>
        <w:rPr>
          <w:rFonts w:ascii="Times New Roman"/>
          <w:i/>
          <w:iCs/>
        </w:rPr>
        <w:t>E</w:t>
      </w:r>
      <w:r>
        <w:rPr>
          <w:rFonts w:ascii="Times New Roman"/>
          <w:vertAlign w:val="subscript"/>
        </w:rPr>
        <w:t>WD</w:t>
      </w:r>
      <w:r>
        <w:rPr>
          <w:rFonts w:ascii="Times New Roman"/>
        </w:rPr>
        <w:t xml:space="preserve"> ——二氧化碳气体保护焊产生的碳排放量，单位为吨二氧化碳当量（tCO</w:t>
      </w:r>
      <w:r>
        <w:rPr>
          <w:rFonts w:ascii="Times New Roman"/>
          <w:vertAlign w:val="subscript"/>
        </w:rPr>
        <w:t>2</w:t>
      </w:r>
      <w:r>
        <w:rPr>
          <w:rFonts w:ascii="Times New Roman"/>
        </w:rPr>
        <w:t>e）；</w:t>
      </w:r>
    </w:p>
    <w:p w14:paraId="12AD730B">
      <w:pPr>
        <w:pStyle w:val="56"/>
        <w:ind w:firstLine="420"/>
        <w:rPr>
          <w:rFonts w:ascii="Times New Roman"/>
        </w:rPr>
      </w:pPr>
      <w:r>
        <w:rPr>
          <w:rFonts w:ascii="Times New Roman"/>
          <w:i/>
          <w:iCs/>
        </w:rPr>
        <w:t>E</w:t>
      </w:r>
      <w:r>
        <w:rPr>
          <w:rFonts w:ascii="Times New Roman"/>
          <w:i/>
          <w:iCs/>
          <w:vertAlign w:val="subscript"/>
        </w:rPr>
        <w:t>i</w:t>
      </w:r>
      <w:r>
        <w:rPr>
          <w:rFonts w:ascii="Times New Roman"/>
          <w:i/>
          <w:iCs/>
        </w:rPr>
        <w:t xml:space="preserve">  </w:t>
      </w:r>
      <w:r>
        <w:rPr>
          <w:rFonts w:ascii="Times New Roman"/>
        </w:rPr>
        <w:t>——第</w:t>
      </w:r>
      <w:r>
        <w:rPr>
          <w:rFonts w:ascii="Times New Roman"/>
          <w:i/>
          <w:iCs/>
        </w:rPr>
        <w:t>i</w:t>
      </w:r>
      <w:r>
        <w:rPr>
          <w:rFonts w:ascii="Times New Roman"/>
        </w:rPr>
        <w:t>种保护气的CO</w:t>
      </w:r>
      <w:r>
        <w:rPr>
          <w:rFonts w:ascii="Times New Roman"/>
          <w:vertAlign w:val="subscript"/>
        </w:rPr>
        <w:t>2</w:t>
      </w:r>
      <w:r>
        <w:rPr>
          <w:rFonts w:ascii="Times New Roman"/>
        </w:rPr>
        <w:t>排放量，单位为吨二氧化碳当量（tCO</w:t>
      </w:r>
      <w:r>
        <w:rPr>
          <w:rFonts w:ascii="Times New Roman"/>
          <w:vertAlign w:val="subscript"/>
        </w:rPr>
        <w:t>2</w:t>
      </w:r>
      <w:r>
        <w:rPr>
          <w:rFonts w:ascii="Times New Roman"/>
        </w:rPr>
        <w:t>e）；</w:t>
      </w:r>
    </w:p>
    <w:p w14:paraId="4DFA14B1">
      <w:pPr>
        <w:pStyle w:val="56"/>
        <w:ind w:firstLine="420"/>
        <w:rPr>
          <w:rFonts w:ascii="Times New Roman"/>
        </w:rPr>
      </w:pPr>
      <w:r>
        <w:rPr>
          <w:rFonts w:ascii="Times New Roman"/>
          <w:i/>
          <w:iCs/>
        </w:rPr>
        <w:t>P</w:t>
      </w:r>
      <w:r>
        <w:rPr>
          <w:rFonts w:ascii="Times New Roman"/>
          <w:i/>
          <w:iCs/>
          <w:vertAlign w:val="subscript"/>
        </w:rPr>
        <w:t>i</w:t>
      </w:r>
      <w:r>
        <w:rPr>
          <w:rFonts w:ascii="Times New Roman"/>
          <w:i/>
          <w:iCs/>
        </w:rPr>
        <w:t xml:space="preserve">  </w:t>
      </w:r>
      <w:r>
        <w:rPr>
          <w:rFonts w:ascii="Times New Roman"/>
        </w:rPr>
        <w:t>——第</w:t>
      </w:r>
      <w:r>
        <w:rPr>
          <w:rFonts w:ascii="Times New Roman"/>
          <w:i/>
          <w:iCs/>
        </w:rPr>
        <w:t>i</w:t>
      </w:r>
      <w:r>
        <w:rPr>
          <w:rFonts w:ascii="Times New Roman"/>
        </w:rPr>
        <w:t>种保护气中CO</w:t>
      </w:r>
      <w:r>
        <w:rPr>
          <w:rFonts w:ascii="Times New Roman"/>
          <w:vertAlign w:val="subscript"/>
        </w:rPr>
        <w:t>2</w:t>
      </w:r>
      <w:r>
        <w:rPr>
          <w:rFonts w:ascii="Times New Roman"/>
        </w:rPr>
        <w:t>的体积百分比，%；</w:t>
      </w:r>
    </w:p>
    <w:p w14:paraId="23232FE9">
      <w:pPr>
        <w:pStyle w:val="56"/>
        <w:ind w:firstLine="420"/>
        <w:rPr>
          <w:rFonts w:ascii="Times New Roman"/>
        </w:rPr>
      </w:pPr>
      <w:r>
        <w:rPr>
          <w:rFonts w:ascii="Times New Roman"/>
          <w:i/>
          <w:iCs/>
        </w:rPr>
        <w:t>W</w:t>
      </w:r>
      <w:r>
        <w:rPr>
          <w:rFonts w:ascii="Times New Roman"/>
          <w:i/>
          <w:iCs/>
          <w:vertAlign w:val="subscript"/>
        </w:rPr>
        <w:t>i</w:t>
      </w:r>
      <w:r>
        <w:rPr>
          <w:rFonts w:ascii="Times New Roman"/>
          <w:i/>
          <w:iCs/>
        </w:rPr>
        <w:t xml:space="preserve"> </w:t>
      </w:r>
      <w:r>
        <w:rPr>
          <w:rFonts w:hint="eastAsia" w:ascii="Times New Roman"/>
          <w:i/>
          <w:iCs/>
        </w:rPr>
        <w:t xml:space="preserve"> </w:t>
      </w:r>
      <w:r>
        <w:rPr>
          <w:rFonts w:ascii="Times New Roman"/>
        </w:rPr>
        <w:t>——报告期内第</w:t>
      </w:r>
      <w:r>
        <w:rPr>
          <w:rFonts w:ascii="Times New Roman"/>
          <w:i/>
          <w:iCs/>
        </w:rPr>
        <w:t>i</w:t>
      </w:r>
      <w:r>
        <w:rPr>
          <w:rFonts w:ascii="Times New Roman"/>
        </w:rPr>
        <w:t>种保护气的净使用量，单位为吨（t）；</w:t>
      </w:r>
    </w:p>
    <w:p w14:paraId="2F52965B">
      <w:pPr>
        <w:pStyle w:val="56"/>
        <w:ind w:firstLine="420"/>
        <w:rPr>
          <w:rFonts w:ascii="Times New Roman"/>
        </w:rPr>
      </w:pPr>
      <w:r>
        <w:rPr>
          <w:rFonts w:ascii="Times New Roman"/>
          <w:i/>
          <w:iCs/>
        </w:rPr>
        <w:t>P</w:t>
      </w:r>
      <w:r>
        <w:rPr>
          <w:rFonts w:ascii="Times New Roman"/>
          <w:i/>
          <w:iCs/>
          <w:vertAlign w:val="subscript"/>
        </w:rPr>
        <w:t>j</w:t>
      </w:r>
      <w:r>
        <w:rPr>
          <w:rFonts w:ascii="Times New Roman"/>
          <w:i/>
          <w:iCs/>
        </w:rPr>
        <w:t xml:space="preserve">  </w:t>
      </w:r>
      <w:r>
        <w:rPr>
          <w:rFonts w:ascii="Times New Roman"/>
        </w:rPr>
        <w:t>——混合气体中第</w:t>
      </w:r>
      <w:r>
        <w:rPr>
          <w:rFonts w:ascii="Times New Roman"/>
          <w:i/>
          <w:iCs/>
        </w:rPr>
        <w:t>j</w:t>
      </w:r>
      <w:r>
        <w:rPr>
          <w:rFonts w:ascii="Times New Roman"/>
        </w:rPr>
        <w:t>种气体的体积百分比，%；</w:t>
      </w:r>
    </w:p>
    <w:p w14:paraId="0E5EEFBD">
      <w:pPr>
        <w:pStyle w:val="56"/>
        <w:ind w:firstLine="420"/>
        <w:rPr>
          <w:rFonts w:ascii="Times New Roman"/>
        </w:rPr>
      </w:pPr>
      <w:r>
        <w:rPr>
          <w:rFonts w:ascii="Times New Roman"/>
          <w:i/>
          <w:iCs/>
        </w:rPr>
        <w:t>M</w:t>
      </w:r>
      <w:r>
        <w:rPr>
          <w:rFonts w:ascii="Times New Roman"/>
          <w:i/>
          <w:iCs/>
          <w:vertAlign w:val="subscript"/>
        </w:rPr>
        <w:t>j</w:t>
      </w:r>
      <w:r>
        <w:rPr>
          <w:rFonts w:ascii="Times New Roman"/>
          <w:i/>
          <w:iCs/>
        </w:rPr>
        <w:t xml:space="preserve">  </w:t>
      </w:r>
      <w:r>
        <w:rPr>
          <w:rFonts w:ascii="Times New Roman"/>
        </w:rPr>
        <w:t>——混合气体中第</w:t>
      </w:r>
      <w:r>
        <w:rPr>
          <w:rFonts w:ascii="Times New Roman"/>
          <w:i/>
          <w:iCs/>
        </w:rPr>
        <w:t>j</w:t>
      </w:r>
      <w:r>
        <w:rPr>
          <w:rFonts w:ascii="Times New Roman"/>
        </w:rPr>
        <w:t>种气体的摩尔质量，单位为克每摩尔（g/mol）；</w:t>
      </w:r>
    </w:p>
    <w:p w14:paraId="6B1FCE7E">
      <w:pPr>
        <w:pStyle w:val="56"/>
        <w:ind w:firstLine="420"/>
        <w:rPr>
          <w:rFonts w:ascii="Times New Roman"/>
        </w:rPr>
      </w:pPr>
      <w:r>
        <w:rPr>
          <w:rFonts w:ascii="Times New Roman"/>
          <w:i/>
          <w:iCs/>
        </w:rPr>
        <w:t xml:space="preserve">i  </w:t>
      </w:r>
      <w:r>
        <w:rPr>
          <w:rFonts w:hint="eastAsia" w:ascii="Times New Roman"/>
          <w:i/>
          <w:iCs/>
        </w:rPr>
        <w:t xml:space="preserve"> </w:t>
      </w:r>
      <w:r>
        <w:rPr>
          <w:rFonts w:ascii="Times New Roman"/>
        </w:rPr>
        <w:t>——保护气类型；</w:t>
      </w:r>
    </w:p>
    <w:p w14:paraId="3E41B7C0">
      <w:pPr>
        <w:pStyle w:val="56"/>
        <w:ind w:firstLine="420"/>
        <w:rPr>
          <w:rFonts w:ascii="Times New Roman"/>
        </w:rPr>
      </w:pPr>
      <w:r>
        <w:rPr>
          <w:rFonts w:ascii="Times New Roman"/>
          <w:i/>
          <w:iCs/>
        </w:rPr>
        <w:t xml:space="preserve">j  </w:t>
      </w:r>
      <w:r>
        <w:rPr>
          <w:rFonts w:hint="eastAsia" w:ascii="Times New Roman"/>
          <w:i/>
          <w:iCs/>
        </w:rPr>
        <w:t xml:space="preserve"> </w:t>
      </w:r>
      <w:r>
        <w:rPr>
          <w:rFonts w:ascii="Times New Roman"/>
        </w:rPr>
        <w:t>——混合保护气气体种类。</w:t>
      </w:r>
    </w:p>
    <w:p w14:paraId="229CC968">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IB</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+I</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AC</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DI</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97EB3C4">
      <w:pPr>
        <w:pStyle w:val="55"/>
        <w:ind w:firstLine="420"/>
        <w:rPr>
          <w:rFonts w:ascii="Times New Roman" w:hAnsi="Times New Roman"/>
        </w:rPr>
      </w:pPr>
      <w:r>
        <w:rPr>
          <w:rFonts w:ascii="Times New Roman" w:hAnsi="Times New Roman"/>
        </w:rPr>
        <w:t>式中：</w:t>
      </w:r>
    </w:p>
    <w:p w14:paraId="365A3307">
      <w:pPr>
        <w:pStyle w:val="56"/>
        <w:ind w:firstLine="420"/>
        <w:rPr>
          <w:rFonts w:ascii="Times New Roman"/>
        </w:rPr>
      </w:pPr>
      <w:r>
        <w:rPr>
          <w:rFonts w:ascii="Times New Roman"/>
          <w:i/>
          <w:iCs/>
        </w:rPr>
        <w:t>W</w:t>
      </w:r>
      <w:r>
        <w:rPr>
          <w:rFonts w:ascii="Times New Roman"/>
          <w:i/>
          <w:iCs/>
          <w:vertAlign w:val="subscript"/>
        </w:rPr>
        <w:t>i</w:t>
      </w:r>
      <w:r>
        <w:rPr>
          <w:rFonts w:ascii="Times New Roman"/>
        </w:rPr>
        <w:t xml:space="preserve"> ——第</w:t>
      </w:r>
      <w:r>
        <w:rPr>
          <w:rFonts w:ascii="Times New Roman"/>
          <w:i/>
          <w:iCs/>
        </w:rPr>
        <w:t>i</w:t>
      </w:r>
      <w:r>
        <w:rPr>
          <w:rFonts w:ascii="Times New Roman"/>
        </w:rPr>
        <w:t xml:space="preserve">种保护气体的使用量，单位为吨（t）； </w:t>
      </w:r>
    </w:p>
    <w:p w14:paraId="3D64516F">
      <w:pPr>
        <w:pStyle w:val="56"/>
        <w:ind w:firstLine="420"/>
        <w:rPr>
          <w:rFonts w:ascii="Times New Roman"/>
        </w:rPr>
      </w:pPr>
      <w:r>
        <w:rPr>
          <w:rFonts w:ascii="Times New Roman"/>
          <w:i/>
          <w:iCs/>
        </w:rPr>
        <w:t>IB</w:t>
      </w:r>
      <w:r>
        <w:rPr>
          <w:rFonts w:ascii="Times New Roman"/>
          <w:i/>
          <w:iCs/>
          <w:vertAlign w:val="subscript"/>
        </w:rPr>
        <w:t>i</w:t>
      </w:r>
      <w:r>
        <w:rPr>
          <w:rFonts w:ascii="Times New Roman"/>
          <w:i/>
          <w:iCs/>
        </w:rPr>
        <w:t xml:space="preserve"> </w:t>
      </w:r>
      <w:r>
        <w:rPr>
          <w:rFonts w:ascii="Times New Roman"/>
        </w:rPr>
        <w:t>——第</w:t>
      </w:r>
      <w:r>
        <w:rPr>
          <w:rFonts w:ascii="Times New Roman"/>
          <w:i/>
          <w:iCs/>
        </w:rPr>
        <w:t>i</w:t>
      </w:r>
      <w:r>
        <w:rPr>
          <w:rFonts w:ascii="Times New Roman"/>
        </w:rPr>
        <w:t xml:space="preserve">种保护气的期初库存量，单位为吨（t）； </w:t>
      </w:r>
    </w:p>
    <w:p w14:paraId="4C94EA83">
      <w:pPr>
        <w:pStyle w:val="56"/>
        <w:ind w:firstLine="420"/>
        <w:rPr>
          <w:rFonts w:ascii="Times New Roman"/>
        </w:rPr>
      </w:pPr>
      <w:r>
        <w:rPr>
          <w:rFonts w:ascii="Times New Roman"/>
          <w:i/>
          <w:iCs/>
        </w:rPr>
        <w:t>IE</w:t>
      </w:r>
      <w:r>
        <w:rPr>
          <w:rFonts w:ascii="Times New Roman"/>
          <w:i/>
          <w:iCs/>
          <w:vertAlign w:val="subscript"/>
        </w:rPr>
        <w:t>i</w:t>
      </w:r>
      <w:r>
        <w:rPr>
          <w:rFonts w:ascii="Times New Roman"/>
        </w:rPr>
        <w:t xml:space="preserve"> ——报告期内第</w:t>
      </w:r>
      <w:r>
        <w:rPr>
          <w:rFonts w:ascii="Times New Roman"/>
          <w:i/>
          <w:iCs/>
        </w:rPr>
        <w:t>i</w:t>
      </w:r>
      <w:r>
        <w:rPr>
          <w:rFonts w:ascii="Times New Roman"/>
        </w:rPr>
        <w:t xml:space="preserve">种保护气的购入量，单位为吨（t）； </w:t>
      </w:r>
    </w:p>
    <w:p w14:paraId="07F57F9B">
      <w:pPr>
        <w:pStyle w:val="56"/>
        <w:ind w:firstLine="420"/>
        <w:rPr>
          <w:rFonts w:ascii="Times New Roman"/>
        </w:rPr>
      </w:pPr>
      <w:r>
        <w:rPr>
          <w:rFonts w:ascii="Times New Roman"/>
          <w:i/>
          <w:iCs/>
        </w:rPr>
        <w:t>AC</w:t>
      </w:r>
      <w:r>
        <w:rPr>
          <w:rFonts w:ascii="Times New Roman"/>
          <w:i/>
          <w:iCs/>
          <w:vertAlign w:val="subscript"/>
        </w:rPr>
        <w:t>i</w:t>
      </w:r>
      <w:r>
        <w:rPr>
          <w:rFonts w:ascii="Times New Roman"/>
          <w:i/>
          <w:iCs/>
        </w:rPr>
        <w:t xml:space="preserve"> </w:t>
      </w:r>
      <w:r>
        <w:rPr>
          <w:rFonts w:ascii="Times New Roman"/>
        </w:rPr>
        <w:t>——第</w:t>
      </w:r>
      <w:r>
        <w:rPr>
          <w:rFonts w:ascii="Times New Roman"/>
          <w:i/>
          <w:iCs/>
        </w:rPr>
        <w:t>i</w:t>
      </w:r>
      <w:r>
        <w:rPr>
          <w:rFonts w:ascii="Times New Roman"/>
        </w:rPr>
        <w:t xml:space="preserve">种保护气的期末库存量，单位为吨（t）； </w:t>
      </w:r>
    </w:p>
    <w:p w14:paraId="702D12E1">
      <w:pPr>
        <w:pStyle w:val="56"/>
        <w:ind w:firstLine="420"/>
        <w:rPr>
          <w:rFonts w:ascii="Times New Roman"/>
        </w:rPr>
      </w:pPr>
      <w:r>
        <w:rPr>
          <w:rFonts w:ascii="Times New Roman"/>
          <w:i/>
          <w:iCs/>
        </w:rPr>
        <w:t>DI</w:t>
      </w:r>
      <w:r>
        <w:rPr>
          <w:rFonts w:ascii="Times New Roman"/>
          <w:i/>
          <w:iCs/>
          <w:vertAlign w:val="subscript"/>
        </w:rPr>
        <w:t>i</w:t>
      </w:r>
      <w:r>
        <w:rPr>
          <w:rFonts w:ascii="Times New Roman"/>
          <w:i/>
          <w:iCs/>
        </w:rPr>
        <w:t xml:space="preserve"> </w:t>
      </w:r>
      <w:r>
        <w:rPr>
          <w:rFonts w:ascii="Times New Roman"/>
        </w:rPr>
        <w:t>——报告期内第</w:t>
      </w:r>
      <w:r>
        <w:rPr>
          <w:rFonts w:ascii="Times New Roman"/>
          <w:i/>
          <w:iCs/>
        </w:rPr>
        <w:t>i</w:t>
      </w:r>
      <w:r>
        <w:rPr>
          <w:rFonts w:ascii="Times New Roman"/>
        </w:rPr>
        <w:t xml:space="preserve">种保护气的售出量，单位为吨（t）； </w:t>
      </w:r>
    </w:p>
    <w:p w14:paraId="0C3A3D13">
      <w:pPr>
        <w:pStyle w:val="56"/>
        <w:ind w:firstLine="420"/>
        <w:rPr>
          <w:rFonts w:ascii="Times New Roman"/>
        </w:rPr>
      </w:pPr>
      <w:r>
        <w:rPr>
          <w:rFonts w:ascii="Times New Roman"/>
          <w:i/>
          <w:iCs/>
        </w:rPr>
        <w:t xml:space="preserve">i  </w:t>
      </w:r>
      <w:r>
        <w:rPr>
          <w:rFonts w:ascii="Times New Roman"/>
        </w:rPr>
        <w:t>——含二氧化碳的电焊保护气体种类。</w:t>
      </w:r>
    </w:p>
    <w:p w14:paraId="3145B4C8">
      <w:pPr>
        <w:pStyle w:val="94"/>
        <w:spacing w:before="120" w:after="120"/>
        <w:rPr>
          <w:rFonts w:ascii="Times New Roman"/>
        </w:rPr>
      </w:pPr>
      <w:r>
        <w:rPr>
          <w:rFonts w:ascii="Times New Roman"/>
        </w:rPr>
        <w:t xml:space="preserve">活动数据获取 </w:t>
      </w:r>
    </w:p>
    <w:p w14:paraId="5A351CF2">
      <w:pPr>
        <w:pStyle w:val="56"/>
        <w:ind w:firstLine="420"/>
        <w:rPr>
          <w:rFonts w:ascii="Times New Roman"/>
        </w:rPr>
      </w:pPr>
      <w:r>
        <w:rPr>
          <w:rFonts w:ascii="Times New Roman"/>
        </w:rPr>
        <w:t xml:space="preserve">保护气的期初库存量、期末库存量取自企业的台账记录，购入量、售出量宜采用结算凭证数据。其他参数可见保护气瓶标识，或由保护气供应商提供。 </w:t>
      </w:r>
    </w:p>
    <w:p w14:paraId="42A443E9">
      <w:pPr>
        <w:pStyle w:val="65"/>
        <w:spacing w:before="120" w:after="120"/>
        <w:rPr>
          <w:rFonts w:ascii="Times New Roman"/>
        </w:rPr>
      </w:pPr>
      <w:r>
        <w:rPr>
          <w:rFonts w:ascii="Times New Roman"/>
        </w:rPr>
        <w:t xml:space="preserve">购入电力和热力产生的排放 </w:t>
      </w:r>
    </w:p>
    <w:p w14:paraId="32CE0CE0">
      <w:pPr>
        <w:pStyle w:val="94"/>
        <w:spacing w:before="120" w:after="120"/>
        <w:rPr>
          <w:rFonts w:ascii="Times New Roman"/>
        </w:rPr>
      </w:pPr>
      <w:r>
        <w:rPr>
          <w:rFonts w:ascii="Times New Roman"/>
        </w:rPr>
        <w:t xml:space="preserve">计算公式 </w:t>
      </w:r>
    </w:p>
    <w:p w14:paraId="25D0AEF0">
      <w:pPr>
        <w:pStyle w:val="56"/>
        <w:ind w:firstLine="420"/>
        <w:rPr>
          <w:rFonts w:ascii="Times New Roman"/>
        </w:rPr>
      </w:pPr>
      <w:r>
        <w:rPr>
          <w:rFonts w:ascii="Times New Roman"/>
        </w:rPr>
        <w:t>报告主体购入电力生产产生的碳排放量应按公式（8）计算：</w:t>
      </w:r>
    </w:p>
    <w:p w14:paraId="2C13725F">
      <w:pPr>
        <w:pStyle w:val="113"/>
        <w:spacing w:before="240" w:beforeLines="100" w:after="240" w:afterLines="100"/>
        <w:rPr>
          <w:rFonts w:ascii="Times New Roman" w:hAnsi="Times New Roman"/>
        </w:rPr>
      </w:pPr>
      <w:r>
        <w:rPr>
          <w:rFonts w:ascii="Times New Roman" w:hAnsi="Times New Roman"/>
        </w:rPr>
        <w:tab/>
      </w:r>
      <w:bookmarkStart w:id="68" w:name="OLE_LINK6"/>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购入电</m:t>
            </m:r>
            <m:ctrlPr>
              <w:rPr>
                <w:rFonts w:ascii="Cambria Math" w:hAnsi="Cambria Math"/>
                <w:i/>
              </w:rPr>
            </m:ctrlPr>
          </m:sub>
        </m:sSub>
        <w:bookmarkEnd w:id="68"/>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购入电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电</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540375CE">
      <w:pPr>
        <w:pStyle w:val="55"/>
        <w:ind w:firstLine="420"/>
        <w:rPr>
          <w:rFonts w:ascii="Times New Roman" w:hAnsi="Times New Roman"/>
        </w:rPr>
      </w:pPr>
      <w:r>
        <w:rPr>
          <w:rFonts w:ascii="Times New Roman" w:hAnsi="Times New Roman"/>
        </w:rPr>
        <w:t>式中：</w:t>
      </w:r>
    </w:p>
    <w:p w14:paraId="48A395FA">
      <w:pPr>
        <w:pStyle w:val="56"/>
        <w:ind w:firstLine="420"/>
        <w:rPr>
          <w:rFonts w:ascii="Times New Roman"/>
        </w:rPr>
      </w:pPr>
      <w:r>
        <w:rPr>
          <w:rFonts w:ascii="Times New Roman"/>
          <w:i/>
          <w:iCs/>
        </w:rPr>
        <w:t>E</w:t>
      </w:r>
      <w:r>
        <w:rPr>
          <w:rFonts w:ascii="Times New Roman"/>
          <w:vertAlign w:val="subscript"/>
        </w:rPr>
        <w:t>购入电</w:t>
      </w:r>
      <w:r>
        <w:rPr>
          <w:rFonts w:ascii="Times New Roman"/>
        </w:rPr>
        <w:t xml:space="preserve"> ——购入电力生产产生的碳排放量，单位为吨二氧化碳当量（tCO</w:t>
      </w:r>
      <w:r>
        <w:rPr>
          <w:rFonts w:ascii="Times New Roman"/>
          <w:vertAlign w:val="subscript"/>
        </w:rPr>
        <w:t>2</w:t>
      </w:r>
      <w:r>
        <w:rPr>
          <w:rFonts w:ascii="Times New Roman"/>
        </w:rPr>
        <w:t xml:space="preserve">e）； </w:t>
      </w:r>
    </w:p>
    <w:p w14:paraId="46BD800C">
      <w:pPr>
        <w:pStyle w:val="56"/>
        <w:ind w:firstLine="420"/>
        <w:rPr>
          <w:rFonts w:ascii="Times New Roman"/>
        </w:rPr>
      </w:pPr>
      <w:r>
        <w:rPr>
          <w:rFonts w:ascii="Times New Roman"/>
          <w:i/>
          <w:iCs/>
        </w:rPr>
        <w:t>AD</w:t>
      </w:r>
      <w:r>
        <w:rPr>
          <w:rFonts w:ascii="Times New Roman"/>
          <w:vertAlign w:val="subscript"/>
        </w:rPr>
        <w:t>购入电</w:t>
      </w:r>
      <w:r>
        <w:rPr>
          <w:rFonts w:ascii="Times New Roman"/>
        </w:rPr>
        <w:t xml:space="preserve">——核算和报告期内购入电量，单位为兆瓦时（MW·h）； </w:t>
      </w:r>
    </w:p>
    <w:p w14:paraId="6EE6193C">
      <w:pPr>
        <w:pStyle w:val="56"/>
        <w:ind w:firstLine="420"/>
        <w:rPr>
          <w:rFonts w:ascii="Times New Roman"/>
        </w:rPr>
      </w:pPr>
      <w:r>
        <w:rPr>
          <w:rFonts w:ascii="Times New Roman"/>
          <w:i/>
          <w:iCs/>
        </w:rPr>
        <w:t>EF</w:t>
      </w:r>
      <w:r>
        <w:rPr>
          <w:rFonts w:ascii="Times New Roman"/>
          <w:vertAlign w:val="subscript"/>
        </w:rPr>
        <w:t>电</w:t>
      </w:r>
      <w:r>
        <w:rPr>
          <w:rFonts w:ascii="Times New Roman"/>
        </w:rPr>
        <w:t xml:space="preserve">  ——全国电网年平均供电排放因子，单位为吨二氧化碳每兆瓦时[tCO</w:t>
      </w:r>
      <w:r>
        <w:rPr>
          <w:rFonts w:ascii="Times New Roman"/>
          <w:vertAlign w:val="subscript"/>
        </w:rPr>
        <w:t>2</w:t>
      </w:r>
      <w:r>
        <w:rPr>
          <w:rFonts w:ascii="Times New Roman"/>
        </w:rPr>
        <w:t>e/（MW·h）]。</w:t>
      </w:r>
    </w:p>
    <w:p w14:paraId="0C62FA93">
      <w:pPr>
        <w:pStyle w:val="56"/>
        <w:ind w:firstLine="420"/>
        <w:rPr>
          <w:rFonts w:ascii="Times New Roman"/>
        </w:rPr>
      </w:pPr>
      <w:r>
        <w:rPr>
          <w:rFonts w:ascii="Times New Roman"/>
        </w:rPr>
        <w:t>报告主体购入热力生产产生的碳排放量应按公式（9）计算：</w:t>
      </w:r>
    </w:p>
    <w:p w14:paraId="62A99C84">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购入热</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购入热</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热</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23ED0ED2">
      <w:pPr>
        <w:pStyle w:val="55"/>
        <w:ind w:firstLine="420"/>
        <w:rPr>
          <w:rFonts w:ascii="Times New Roman" w:hAnsi="Times New Roman"/>
        </w:rPr>
      </w:pPr>
      <w:r>
        <w:rPr>
          <w:rFonts w:ascii="Times New Roman" w:hAnsi="Times New Roman"/>
        </w:rPr>
        <w:t>式中：</w:t>
      </w:r>
    </w:p>
    <w:p w14:paraId="5F0CE263">
      <w:pPr>
        <w:pStyle w:val="56"/>
        <w:ind w:firstLine="420"/>
        <w:rPr>
          <w:rFonts w:ascii="Times New Roman"/>
        </w:rPr>
      </w:pPr>
      <w:r>
        <w:rPr>
          <w:rFonts w:ascii="Times New Roman"/>
          <w:i/>
          <w:iCs/>
        </w:rPr>
        <w:t>E</w:t>
      </w:r>
      <w:r>
        <w:rPr>
          <w:rFonts w:ascii="Times New Roman"/>
          <w:vertAlign w:val="subscript"/>
        </w:rPr>
        <w:t>购入热</w:t>
      </w:r>
      <w:r>
        <w:rPr>
          <w:rFonts w:ascii="Times New Roman"/>
        </w:rPr>
        <w:t xml:space="preserve"> ——购入热力生产产生的碳排放量，单位为吨二氧化碳当量（tCO</w:t>
      </w:r>
      <w:r>
        <w:rPr>
          <w:rFonts w:ascii="Times New Roman"/>
          <w:vertAlign w:val="subscript"/>
        </w:rPr>
        <w:t>2</w:t>
      </w:r>
      <w:r>
        <w:rPr>
          <w:rFonts w:ascii="Times New Roman"/>
        </w:rPr>
        <w:t xml:space="preserve">e）； </w:t>
      </w:r>
    </w:p>
    <w:p w14:paraId="0C55DFB0">
      <w:pPr>
        <w:pStyle w:val="56"/>
        <w:ind w:firstLine="420"/>
        <w:rPr>
          <w:rFonts w:ascii="Times New Roman"/>
        </w:rPr>
      </w:pPr>
      <w:r>
        <w:rPr>
          <w:rFonts w:ascii="Times New Roman"/>
          <w:i/>
          <w:iCs/>
        </w:rPr>
        <w:t>AD</w:t>
      </w:r>
      <w:r>
        <w:rPr>
          <w:rFonts w:ascii="Times New Roman"/>
          <w:vertAlign w:val="subscript"/>
        </w:rPr>
        <w:t xml:space="preserve">购入热 </w:t>
      </w:r>
      <w:r>
        <w:rPr>
          <w:rFonts w:ascii="Times New Roman"/>
        </w:rPr>
        <w:t xml:space="preserve">——核算和报告期内购入热量，单位为吉焦（GJ）； </w:t>
      </w:r>
    </w:p>
    <w:p w14:paraId="55730FBE">
      <w:pPr>
        <w:pStyle w:val="56"/>
        <w:ind w:firstLine="420"/>
        <w:rPr>
          <w:rFonts w:ascii="Times New Roman"/>
        </w:rPr>
      </w:pPr>
      <w:r>
        <w:rPr>
          <w:rFonts w:ascii="Times New Roman"/>
          <w:i/>
          <w:iCs/>
        </w:rPr>
        <w:t>EF</w:t>
      </w:r>
      <w:r>
        <w:rPr>
          <w:rFonts w:ascii="Times New Roman"/>
          <w:vertAlign w:val="subscript"/>
        </w:rPr>
        <w:t>热</w:t>
      </w:r>
      <w:r>
        <w:rPr>
          <w:rFonts w:ascii="Times New Roman"/>
        </w:rPr>
        <w:t xml:space="preserve">  ——热力排放因子,单位为吨二氧化碳每吉焦（tCO</w:t>
      </w:r>
      <w:r>
        <w:rPr>
          <w:rFonts w:ascii="Times New Roman"/>
          <w:vertAlign w:val="subscript"/>
        </w:rPr>
        <w:t>2</w:t>
      </w:r>
      <w:r>
        <w:rPr>
          <w:rFonts w:ascii="Times New Roman"/>
        </w:rPr>
        <w:t>e/GJ）。</w:t>
      </w:r>
    </w:p>
    <w:p w14:paraId="3A2FDDB1">
      <w:pPr>
        <w:pStyle w:val="94"/>
        <w:spacing w:before="120" w:after="120"/>
        <w:rPr>
          <w:rFonts w:ascii="Times New Roman"/>
        </w:rPr>
      </w:pPr>
      <w:r>
        <w:rPr>
          <w:rFonts w:ascii="Times New Roman"/>
        </w:rPr>
        <w:t>活动数据获取</w:t>
      </w:r>
    </w:p>
    <w:p w14:paraId="595897D5">
      <w:pPr>
        <w:pStyle w:val="56"/>
        <w:ind w:firstLine="420"/>
        <w:rPr>
          <w:rFonts w:ascii="Times New Roman"/>
        </w:rPr>
      </w:pPr>
      <w:r>
        <w:rPr>
          <w:rFonts w:ascii="Times New Roman"/>
        </w:rPr>
        <w:t>购入电力和热力数据优先采用企业电表、热力表记录的读数，数据不可得时可采用供应商提供的发票或结算单等结算凭证数据。</w:t>
      </w:r>
    </w:p>
    <w:p w14:paraId="36C599A0">
      <w:pPr>
        <w:pStyle w:val="94"/>
        <w:spacing w:before="120" w:after="120"/>
        <w:rPr>
          <w:rFonts w:ascii="Times New Roman"/>
        </w:rPr>
      </w:pPr>
      <w:r>
        <w:rPr>
          <w:rFonts w:ascii="Times New Roman"/>
        </w:rPr>
        <w:t>排放因子获取</w:t>
      </w:r>
    </w:p>
    <w:p w14:paraId="55A36165">
      <w:pPr>
        <w:pStyle w:val="56"/>
        <w:ind w:firstLine="420"/>
        <w:rPr>
          <w:rFonts w:ascii="Times New Roman"/>
        </w:rPr>
      </w:pPr>
      <w:r>
        <w:rPr>
          <w:rFonts w:ascii="Times New Roman"/>
        </w:rPr>
        <w:t>全国电网年平均供电排放因子应选用国家主管部门最近年份公布的全国统一的电网平均CO</w:t>
      </w:r>
      <w:r>
        <w:rPr>
          <w:rFonts w:ascii="Times New Roman"/>
          <w:vertAlign w:val="subscript"/>
        </w:rPr>
        <w:t>2</w:t>
      </w:r>
      <w:r>
        <w:rPr>
          <w:rFonts w:ascii="Times New Roman"/>
        </w:rPr>
        <w:t>排放因子，热力排放因子优先采用供热单位的实测值，若无实测值，宜取附录B中缺省值。</w:t>
      </w:r>
    </w:p>
    <w:p w14:paraId="77DC4A76">
      <w:pPr>
        <w:pStyle w:val="104"/>
        <w:spacing w:before="240" w:after="240"/>
        <w:rPr>
          <w:rFonts w:ascii="Times New Roman"/>
        </w:rPr>
      </w:pPr>
      <w:bookmarkStart w:id="69" w:name="_Toc215220249"/>
      <w:bookmarkStart w:id="70" w:name="_Toc213252351"/>
      <w:bookmarkStart w:id="71" w:name="_Toc215221163"/>
      <w:r>
        <w:rPr>
          <w:rFonts w:ascii="Times New Roman"/>
        </w:rPr>
        <w:t>数据质量管理</w:t>
      </w:r>
      <w:bookmarkEnd w:id="69"/>
      <w:bookmarkEnd w:id="70"/>
      <w:bookmarkEnd w:id="71"/>
    </w:p>
    <w:p w14:paraId="01F0CA83">
      <w:pPr>
        <w:pStyle w:val="105"/>
        <w:spacing w:before="120" w:after="120"/>
        <w:rPr>
          <w:rFonts w:ascii="Times New Roman"/>
        </w:rPr>
      </w:pPr>
      <w:r>
        <w:rPr>
          <w:rFonts w:ascii="Times New Roman"/>
        </w:rPr>
        <w:t>原则</w:t>
      </w:r>
    </w:p>
    <w:p w14:paraId="0D95C65B">
      <w:pPr>
        <w:pStyle w:val="56"/>
        <w:ind w:firstLine="420"/>
        <w:rPr>
          <w:rFonts w:ascii="Times New Roman"/>
        </w:rPr>
      </w:pPr>
      <w:r>
        <w:rPr>
          <w:rFonts w:ascii="Times New Roman"/>
        </w:rPr>
        <w:t>收集系统边界内所有单元过程的定性资料和定量数据。收集的数据，包括测量、计算或估算，可用于量化单元过程的输入和输出，数据类型主要包括活动数据和排放因子等。活动数据包括原材料、能源消耗等。</w:t>
      </w:r>
    </w:p>
    <w:p w14:paraId="45E73E78">
      <w:pPr>
        <w:pStyle w:val="105"/>
        <w:spacing w:before="120" w:after="120"/>
        <w:rPr>
          <w:rFonts w:ascii="Times New Roman"/>
        </w:rPr>
      </w:pPr>
      <w:r>
        <w:rPr>
          <w:rFonts w:ascii="Times New Roman"/>
        </w:rPr>
        <w:t>数据收集取舍准则</w:t>
      </w:r>
    </w:p>
    <w:p w14:paraId="53544EEB">
      <w:pPr>
        <w:pStyle w:val="56"/>
        <w:ind w:firstLine="420"/>
        <w:rPr>
          <w:rFonts w:ascii="Times New Roman"/>
        </w:rPr>
      </w:pPr>
      <w:r>
        <w:rPr>
          <w:rFonts w:ascii="Times New Roman"/>
        </w:rPr>
        <w:t>应包括所界定的系统边界内可能对有实质性贡献的所有温室气体排放与清除，忽略的单元过程和输入、输出取舍准则应满足以下条件：</w:t>
      </w:r>
    </w:p>
    <w:p w14:paraId="64647897">
      <w:pPr>
        <w:pStyle w:val="132"/>
        <w:rPr>
          <w:rFonts w:ascii="Times New Roman"/>
        </w:rPr>
      </w:pPr>
      <w:r>
        <w:rPr>
          <w:rFonts w:ascii="Times New Roman"/>
        </w:rPr>
        <w:t>可以显示部分生命周期阶段或单元过程缺乏重要性时，可以排除：</w:t>
      </w:r>
    </w:p>
    <w:p w14:paraId="7D733648">
      <w:pPr>
        <w:pStyle w:val="132"/>
        <w:rPr>
          <w:rFonts w:ascii="Times New Roman"/>
        </w:rPr>
      </w:pPr>
      <w:r>
        <w:rPr>
          <w:rFonts w:ascii="Times New Roman"/>
        </w:rPr>
        <w:t>输入和输出对核算及评价缺乏重要性时，可以排除；</w:t>
      </w:r>
    </w:p>
    <w:p w14:paraId="47F66AE8">
      <w:pPr>
        <w:pStyle w:val="132"/>
        <w:rPr>
          <w:rFonts w:ascii="Times New Roman"/>
        </w:rPr>
      </w:pPr>
      <w:r>
        <w:rPr>
          <w:rFonts w:ascii="Times New Roman"/>
        </w:rPr>
        <w:t>可以显示新的单元过程、输入和输出具有重要性时，可以纳入；</w:t>
      </w:r>
    </w:p>
    <w:p w14:paraId="53701EC5">
      <w:pPr>
        <w:pStyle w:val="132"/>
        <w:rPr>
          <w:rFonts w:ascii="Times New Roman"/>
        </w:rPr>
      </w:pPr>
      <w:r>
        <w:rPr>
          <w:rFonts w:ascii="Times New Roman"/>
        </w:rPr>
        <w:t>单元过程不超过系统边界定义的总排放量的5%；</w:t>
      </w:r>
    </w:p>
    <w:p w14:paraId="0F595944">
      <w:pPr>
        <w:pStyle w:val="132"/>
        <w:rPr>
          <w:rFonts w:ascii="Times New Roman"/>
        </w:rPr>
      </w:pPr>
      <w:r>
        <w:rPr>
          <w:rFonts w:ascii="Times New Roman"/>
        </w:rPr>
        <w:t>单项的输入和输出的重量占总重量的比例小于1%，且总重量不超过5%。</w:t>
      </w:r>
    </w:p>
    <w:p w14:paraId="3F97FCE7">
      <w:pPr>
        <w:pStyle w:val="105"/>
        <w:spacing w:before="120" w:after="120"/>
        <w:rPr>
          <w:rFonts w:ascii="Times New Roman"/>
        </w:rPr>
      </w:pPr>
      <w:r>
        <w:rPr>
          <w:rFonts w:ascii="Times New Roman"/>
        </w:rPr>
        <w:t>数据质量要求</w:t>
      </w:r>
    </w:p>
    <w:p w14:paraId="44CDF778">
      <w:pPr>
        <w:pStyle w:val="56"/>
        <w:ind w:firstLine="420"/>
        <w:rPr>
          <w:rFonts w:ascii="Times New Roman"/>
        </w:rPr>
      </w:pPr>
      <w:r>
        <w:rPr>
          <w:rFonts w:ascii="Times New Roman"/>
        </w:rPr>
        <w:t>宜使用能尽可能降低偏向性和不确定性的具有最高质量的、能满足评价目标和内容的实测数据和辅助数据。数据的质量应从定量和定性两个方面来衡量，衡量时宜涉及数据的以下方面：</w:t>
      </w:r>
    </w:p>
    <w:p w14:paraId="2C9B905C">
      <w:pPr>
        <w:pStyle w:val="132"/>
        <w:rPr>
          <w:rFonts w:ascii="Times New Roman"/>
        </w:rPr>
      </w:pPr>
      <w:r>
        <w:rPr>
          <w:rFonts w:ascii="Times New Roman"/>
        </w:rPr>
        <w:t>时间跨度：优先考虑最近年份的数据和收集数据的最短时间期限，实测数据应是最近一年的平均数据，如为生产不到一年的新产品，平均数据从产品生产初始开始收集；</w:t>
      </w:r>
    </w:p>
    <w:p w14:paraId="66FDE420">
      <w:pPr>
        <w:pStyle w:val="132"/>
        <w:rPr>
          <w:rFonts w:ascii="Times New Roman"/>
        </w:rPr>
      </w:pPr>
      <w:r>
        <w:rPr>
          <w:rFonts w:ascii="Times New Roman"/>
        </w:rPr>
        <w:t>地理范围：优先考虑产品单元过程（如原材料生产、产品生产过程等）生产地所在地域所取得的具体数据；</w:t>
      </w:r>
    </w:p>
    <w:p w14:paraId="35257D23">
      <w:pPr>
        <w:pStyle w:val="132"/>
        <w:rPr>
          <w:rFonts w:ascii="Times New Roman"/>
        </w:rPr>
      </w:pPr>
      <w:r>
        <w:rPr>
          <w:rFonts w:ascii="Times New Roman"/>
        </w:rPr>
        <w:t>技术覆盖范围：优先考虑产品单元过程中的某项技术或技术组合所取得的具体数据；</w:t>
      </w:r>
    </w:p>
    <w:p w14:paraId="7A3E7590">
      <w:pPr>
        <w:pStyle w:val="132"/>
        <w:rPr>
          <w:rFonts w:ascii="Times New Roman"/>
        </w:rPr>
      </w:pPr>
      <w:r>
        <w:rPr>
          <w:rFonts w:ascii="Times New Roman"/>
        </w:rPr>
        <w:t>准确性：是指所收集到的数据值与真值的接近程度。优先考虑最准确的数据；</w:t>
      </w:r>
    </w:p>
    <w:p w14:paraId="49310AF3">
      <w:pPr>
        <w:pStyle w:val="132"/>
        <w:rPr>
          <w:rFonts w:ascii="Times New Roman"/>
        </w:rPr>
      </w:pPr>
      <w:r>
        <w:rPr>
          <w:rFonts w:ascii="Times New Roman"/>
        </w:rPr>
        <w:t>精确性：对某数据（如活动数据）的重复估计数值彼此之间的接近程度，即对每个数据值变率的度量（如方差），优先选择更精确（即具有最小统计方差）的数据；</w:t>
      </w:r>
    </w:p>
    <w:p w14:paraId="797DED02">
      <w:pPr>
        <w:pStyle w:val="132"/>
        <w:rPr>
          <w:rFonts w:ascii="Times New Roman"/>
        </w:rPr>
      </w:pPr>
      <w:r>
        <w:rPr>
          <w:rFonts w:ascii="Times New Roman"/>
        </w:rPr>
        <w:t>完整性：包括由测量得到的数据所占的百分比，数据能代表利益相关方的程度，以及样本容量是否足够大、测量频率是否足够高等方面；</w:t>
      </w:r>
    </w:p>
    <w:p w14:paraId="6EFA52AB">
      <w:pPr>
        <w:pStyle w:val="132"/>
        <w:rPr>
          <w:rFonts w:ascii="Times New Roman"/>
        </w:rPr>
      </w:pPr>
      <w:r>
        <w:rPr>
          <w:rFonts w:ascii="Times New Roman"/>
        </w:rPr>
        <w:t>一致性：在分析的各个部分中是否以统一的方式开展了数据选择，作出定性评价；</w:t>
      </w:r>
    </w:p>
    <w:p w14:paraId="14426E86">
      <w:pPr>
        <w:pStyle w:val="132"/>
        <w:rPr>
          <w:rFonts w:ascii="Times New Roman"/>
        </w:rPr>
      </w:pPr>
      <w:r>
        <w:rPr>
          <w:rFonts w:ascii="Times New Roman"/>
        </w:rPr>
        <w:t>可再现性：有关方法和数据值的信息能在多大程度上允许独立的专人再现研究报告的结果，这需要作出定性评价；</w:t>
      </w:r>
    </w:p>
    <w:p w14:paraId="5396BCA8">
      <w:pPr>
        <w:pStyle w:val="132"/>
        <w:rPr>
          <w:rFonts w:ascii="Times New Roman"/>
        </w:rPr>
      </w:pPr>
      <w:r>
        <w:rPr>
          <w:rFonts w:ascii="Times New Roman"/>
        </w:rPr>
        <w:t>数据来源；</w:t>
      </w:r>
    </w:p>
    <w:p w14:paraId="58D058CA">
      <w:pPr>
        <w:pStyle w:val="132"/>
        <w:rPr>
          <w:rFonts w:ascii="Times New Roman"/>
        </w:rPr>
      </w:pPr>
      <w:r>
        <w:rPr>
          <w:rFonts w:ascii="Times New Roman"/>
        </w:rPr>
        <w:t>信息的不确定性。</w:t>
      </w:r>
    </w:p>
    <w:p w14:paraId="6977907A">
      <w:pPr>
        <w:pStyle w:val="104"/>
        <w:spacing w:before="240" w:after="240"/>
        <w:rPr>
          <w:rFonts w:ascii="Times New Roman"/>
        </w:rPr>
      </w:pPr>
      <w:bookmarkStart w:id="72" w:name="_Toc213252352"/>
      <w:bookmarkStart w:id="73" w:name="_Toc215220250"/>
      <w:bookmarkStart w:id="74" w:name="_Toc215221164"/>
      <w:r>
        <w:rPr>
          <w:rFonts w:ascii="Times New Roman"/>
        </w:rPr>
        <w:t>报告内容</w:t>
      </w:r>
      <w:bookmarkEnd w:id="72"/>
      <w:bookmarkEnd w:id="73"/>
      <w:bookmarkEnd w:id="74"/>
    </w:p>
    <w:p w14:paraId="2AEE9035">
      <w:pPr>
        <w:pStyle w:val="105"/>
        <w:spacing w:before="120" w:after="120"/>
        <w:rPr>
          <w:rFonts w:ascii="Times New Roman"/>
        </w:rPr>
      </w:pPr>
      <w:r>
        <w:rPr>
          <w:rFonts w:ascii="Times New Roman"/>
        </w:rPr>
        <w:t>通则</w:t>
      </w:r>
    </w:p>
    <w:p w14:paraId="1D1F0CB6">
      <w:pPr>
        <w:pStyle w:val="56"/>
        <w:ind w:firstLine="420"/>
        <w:rPr>
          <w:rFonts w:ascii="Times New Roman"/>
        </w:rPr>
      </w:pPr>
      <w:r>
        <w:rPr>
          <w:rFonts w:ascii="Times New Roman"/>
        </w:rPr>
        <w:t>报告内容应包括报告主体基本信息、碳排放量，活动数据及其来源和排放因子及其来源，报告格式见附录A。</w:t>
      </w:r>
    </w:p>
    <w:p w14:paraId="4B375239">
      <w:pPr>
        <w:pStyle w:val="105"/>
        <w:spacing w:before="120" w:after="120"/>
        <w:rPr>
          <w:rFonts w:ascii="Times New Roman"/>
        </w:rPr>
      </w:pPr>
      <w:r>
        <w:rPr>
          <w:rFonts w:ascii="Times New Roman"/>
        </w:rPr>
        <w:t>报告主体基本信息</w:t>
      </w:r>
    </w:p>
    <w:p w14:paraId="245A1FB6">
      <w:pPr>
        <w:pStyle w:val="165"/>
        <w:rPr>
          <w:rFonts w:ascii="Times New Roman"/>
        </w:rPr>
      </w:pPr>
      <w:r>
        <w:rPr>
          <w:rFonts w:ascii="Times New Roman"/>
        </w:rPr>
        <w:t>报告主体基本信息应包括报告主体名称、单位性质、报告年度、所属行业、排污许可证编号、统一社会信用代码、法定代表人、填报负责人和联系人信息等。</w:t>
      </w:r>
    </w:p>
    <w:p w14:paraId="307F5C24">
      <w:pPr>
        <w:pStyle w:val="165"/>
        <w:rPr>
          <w:rFonts w:ascii="Times New Roman"/>
        </w:rPr>
      </w:pPr>
      <w:r>
        <w:rPr>
          <w:rFonts w:ascii="Times New Roman"/>
        </w:rPr>
        <w:t>报告主体基本信息还应包括企业核算边界、主营产品及工艺流程以及排放源识别情况的详细说明（必要时应附表和附图）。</w:t>
      </w:r>
    </w:p>
    <w:p w14:paraId="20FE8E72">
      <w:pPr>
        <w:pStyle w:val="105"/>
        <w:spacing w:before="120" w:after="120"/>
        <w:rPr>
          <w:rFonts w:ascii="Times New Roman"/>
        </w:rPr>
      </w:pPr>
      <w:r>
        <w:rPr>
          <w:rFonts w:ascii="Times New Roman"/>
        </w:rPr>
        <w:t>碳排放量</w:t>
      </w:r>
    </w:p>
    <w:p w14:paraId="60AB7C2F">
      <w:pPr>
        <w:pStyle w:val="56"/>
        <w:ind w:firstLine="420"/>
        <w:rPr>
          <w:rFonts w:ascii="Times New Roman"/>
        </w:rPr>
      </w:pPr>
      <w:r>
        <w:rPr>
          <w:rFonts w:ascii="Times New Roman"/>
        </w:rPr>
        <w:t>报告主体应报告其在报告年度内碳排放总量，并分别报告化石燃料燃烧排放、过程排放、报告主体购入电力和热力产生的排放。</w:t>
      </w:r>
    </w:p>
    <w:p w14:paraId="2DC80FEF">
      <w:pPr>
        <w:pStyle w:val="105"/>
        <w:spacing w:before="120" w:after="120"/>
        <w:rPr>
          <w:rFonts w:ascii="Times New Roman"/>
        </w:rPr>
      </w:pPr>
      <w:r>
        <w:rPr>
          <w:rFonts w:ascii="Times New Roman"/>
        </w:rPr>
        <w:t>活动数据及其来源</w:t>
      </w:r>
    </w:p>
    <w:p w14:paraId="6F181D23">
      <w:pPr>
        <w:pStyle w:val="165"/>
        <w:rPr>
          <w:rFonts w:ascii="Times New Roman"/>
        </w:rPr>
      </w:pPr>
      <w:r>
        <w:rPr>
          <w:rFonts w:ascii="Times New Roman"/>
        </w:rPr>
        <w:t>报告主体应报告其在报告年度内所使用的各种化石燃料的消耗量和相应的低位发热量、原料消耗量、原料利用率、购入和输出的电力和热力，并说明这些数据的来源。</w:t>
      </w:r>
    </w:p>
    <w:p w14:paraId="0B22B557">
      <w:pPr>
        <w:pStyle w:val="165"/>
        <w:rPr>
          <w:rFonts w:ascii="Times New Roman"/>
        </w:rPr>
      </w:pPr>
      <w:r>
        <w:rPr>
          <w:rFonts w:ascii="Times New Roman"/>
        </w:rPr>
        <w:t>报告主体如果还从事火力发电企业生产以外的产品生产活动，并存在本文件未涵盖的碳排放环节，应按其他相关行业的企业碳排放核算和报告要求标准，一并报告其活动数据及来源。</w:t>
      </w:r>
    </w:p>
    <w:p w14:paraId="4D937431">
      <w:pPr>
        <w:pStyle w:val="105"/>
        <w:spacing w:before="120" w:after="120"/>
        <w:rPr>
          <w:rFonts w:ascii="Times New Roman"/>
        </w:rPr>
      </w:pPr>
      <w:r>
        <w:rPr>
          <w:rFonts w:ascii="Times New Roman"/>
        </w:rPr>
        <w:t>排放因子及其来源</w:t>
      </w:r>
    </w:p>
    <w:p w14:paraId="2CDD4E60">
      <w:pPr>
        <w:pStyle w:val="165"/>
        <w:rPr>
          <w:rFonts w:ascii="Times New Roman"/>
        </w:rPr>
      </w:pPr>
      <w:r>
        <w:rPr>
          <w:rFonts w:ascii="Times New Roman"/>
        </w:rPr>
        <w:t>报告主体应报告企业在报告年度内用于各种化石燃料的单位热值含碳量和碳氧化率数据、全国电网年平均供电排放因子和热力排放因子。</w:t>
      </w:r>
    </w:p>
    <w:p w14:paraId="411472CB">
      <w:pPr>
        <w:pStyle w:val="165"/>
        <w:rPr>
          <w:rFonts w:ascii="Times New Roman"/>
        </w:rPr>
      </w:pPr>
      <w:r>
        <w:rPr>
          <w:rFonts w:ascii="Times New Roman"/>
        </w:rPr>
        <w:t>报告主体如还从事除火力发电企业生产以外的产品生产活动,并存在本文件未涵盖的碳排放环节，应按其他相关行业的企业碳排放核算和报告要求标准，一并报告其排放因子及来源。</w:t>
      </w:r>
    </w:p>
    <w:p w14:paraId="4884BF3F">
      <w:pPr>
        <w:pStyle w:val="105"/>
        <w:spacing w:before="120" w:after="120"/>
        <w:rPr>
          <w:rFonts w:ascii="Times New Roman"/>
        </w:rPr>
      </w:pPr>
      <w:r>
        <w:rPr>
          <w:rFonts w:ascii="Times New Roman"/>
        </w:rPr>
        <w:t>其他报告信息</w:t>
      </w:r>
    </w:p>
    <w:p w14:paraId="44CB0CFE">
      <w:pPr>
        <w:pStyle w:val="56"/>
        <w:ind w:firstLine="420"/>
        <w:rPr>
          <w:rFonts w:ascii="Times New Roman"/>
        </w:rPr>
      </w:pPr>
      <w:r>
        <w:rPr>
          <w:rFonts w:ascii="Times New Roman"/>
        </w:rPr>
        <w:t>报告主体应报告外购绿色电力的使用情况，宜报告外包情况、CCUS等其他碳减排量情况等。</w:t>
      </w:r>
    </w:p>
    <w:p w14:paraId="44C330CF">
      <w:pPr>
        <w:pStyle w:val="56"/>
        <w:ind w:firstLine="420"/>
        <w:rPr>
          <w:rFonts w:ascii="Times New Roman"/>
        </w:rPr>
        <w:sectPr>
          <w:pgSz w:w="11906" w:h="16838"/>
          <w:pgMar w:top="1928" w:right="1134" w:bottom="1134" w:left="1134" w:header="1418" w:footer="1134" w:gutter="284"/>
          <w:pgNumType w:start="1"/>
          <w:cols w:space="425" w:num="1"/>
          <w:formProt w:val="0"/>
          <w:docGrid w:linePitch="312" w:charSpace="0"/>
        </w:sectPr>
      </w:pPr>
    </w:p>
    <w:bookmarkEnd w:id="26"/>
    <w:p w14:paraId="0BB88050">
      <w:pPr>
        <w:pStyle w:val="198"/>
        <w:rPr>
          <w:rFonts w:ascii="Times New Roman" w:hAnsi="Times New Roman"/>
          <w:vanish w:val="0"/>
        </w:rPr>
      </w:pPr>
      <w:bookmarkStart w:id="75" w:name="BookMark5"/>
    </w:p>
    <w:p w14:paraId="25319057">
      <w:pPr>
        <w:pStyle w:val="199"/>
        <w:rPr>
          <w:rFonts w:ascii="Times New Roman"/>
          <w:vanish w:val="0"/>
        </w:rPr>
      </w:pPr>
    </w:p>
    <w:p w14:paraId="2FE3E363">
      <w:pPr>
        <w:pStyle w:val="76"/>
        <w:spacing w:after="120"/>
        <w:rPr>
          <w:rFonts w:ascii="Times New Roman"/>
        </w:rPr>
      </w:pPr>
      <w:r>
        <w:rPr>
          <w:rFonts w:ascii="Times New Roman"/>
        </w:rPr>
        <w:br w:type="textWrapping"/>
      </w:r>
      <w:bookmarkStart w:id="76" w:name="_Toc213252353"/>
      <w:bookmarkStart w:id="77" w:name="_Toc215220251"/>
      <w:bookmarkStart w:id="78" w:name="_Toc215221165"/>
      <w:r>
        <w:rPr>
          <w:rFonts w:ascii="Times New Roman"/>
        </w:rPr>
        <w:t>（资料性）</w:t>
      </w:r>
      <w:r>
        <w:rPr>
          <w:rFonts w:ascii="Times New Roman"/>
        </w:rPr>
        <w:br w:type="textWrapping"/>
      </w:r>
      <w:r>
        <w:rPr>
          <w:rFonts w:ascii="Times New Roman"/>
        </w:rPr>
        <w:t>报告格式模板</w:t>
      </w:r>
      <w:bookmarkEnd w:id="76"/>
      <w:bookmarkEnd w:id="77"/>
      <w:bookmarkEnd w:id="78"/>
    </w:p>
    <w:p w14:paraId="0CF289DA">
      <w:pPr>
        <w:pStyle w:val="56"/>
        <w:ind w:firstLine="420"/>
        <w:rPr>
          <w:rFonts w:ascii="Times New Roman"/>
        </w:rPr>
      </w:pPr>
      <w:r>
        <w:rPr>
          <w:rFonts w:ascii="Times New Roman"/>
        </w:rPr>
        <w:t>火力发电企业碳排放报告格式模板如下：</w:t>
      </w:r>
    </w:p>
    <w:p w14:paraId="5AB45E1B">
      <w:pPr>
        <w:pStyle w:val="56"/>
        <w:ind w:firstLine="420"/>
        <w:rPr>
          <w:rFonts w:ascii="Times New Roman"/>
        </w:rPr>
      </w:pPr>
    </w:p>
    <w:p w14:paraId="4151C843">
      <w:pPr>
        <w:pStyle w:val="56"/>
        <w:ind w:firstLine="420"/>
        <w:rPr>
          <w:rFonts w:ascii="Times New Roman"/>
        </w:rPr>
      </w:pPr>
    </w:p>
    <w:p w14:paraId="6DE932E6">
      <w:pPr>
        <w:pStyle w:val="56"/>
        <w:ind w:firstLine="420"/>
        <w:rPr>
          <w:rFonts w:ascii="Times New Roman"/>
        </w:rPr>
      </w:pPr>
    </w:p>
    <w:p w14:paraId="34F73C32">
      <w:pPr>
        <w:pStyle w:val="56"/>
        <w:ind w:firstLine="420"/>
        <w:rPr>
          <w:rFonts w:ascii="Times New Roman"/>
        </w:rPr>
      </w:pPr>
    </w:p>
    <w:p w14:paraId="34BC2BBA">
      <w:pPr>
        <w:pStyle w:val="56"/>
        <w:ind w:firstLine="420"/>
        <w:rPr>
          <w:rFonts w:ascii="Times New Roman"/>
        </w:rPr>
      </w:pPr>
    </w:p>
    <w:p w14:paraId="2A3490EA">
      <w:pPr>
        <w:pStyle w:val="56"/>
        <w:ind w:firstLine="420"/>
        <w:rPr>
          <w:rFonts w:ascii="Times New Roman"/>
        </w:rPr>
      </w:pPr>
    </w:p>
    <w:p w14:paraId="0CE52E0E">
      <w:pPr>
        <w:pStyle w:val="56"/>
        <w:ind w:firstLine="420"/>
        <w:rPr>
          <w:rFonts w:ascii="Times New Roman"/>
        </w:rPr>
      </w:pPr>
    </w:p>
    <w:p w14:paraId="2356756D">
      <w:pPr>
        <w:pStyle w:val="56"/>
        <w:ind w:firstLine="420"/>
        <w:rPr>
          <w:rFonts w:ascii="Times New Roman"/>
        </w:rPr>
      </w:pPr>
    </w:p>
    <w:p w14:paraId="40179BF6">
      <w:pPr>
        <w:pStyle w:val="56"/>
        <w:ind w:firstLine="420"/>
        <w:rPr>
          <w:rFonts w:ascii="Times New Roman"/>
        </w:rPr>
      </w:pPr>
    </w:p>
    <w:p w14:paraId="6B75AC41">
      <w:pPr>
        <w:pStyle w:val="56"/>
        <w:ind w:firstLine="420"/>
        <w:rPr>
          <w:rFonts w:ascii="Times New Roman"/>
        </w:rPr>
      </w:pPr>
    </w:p>
    <w:p w14:paraId="4973AD26">
      <w:pPr>
        <w:pStyle w:val="56"/>
        <w:ind w:firstLine="420"/>
        <w:rPr>
          <w:rFonts w:ascii="Times New Roman"/>
        </w:rPr>
      </w:pPr>
    </w:p>
    <w:p w14:paraId="351FF090">
      <w:pPr>
        <w:pStyle w:val="56"/>
        <w:ind w:firstLine="0" w:firstLineChars="0"/>
        <w:jc w:val="center"/>
        <w:rPr>
          <w:rFonts w:ascii="Times New Roman"/>
          <w:sz w:val="44"/>
          <w:szCs w:val="44"/>
        </w:rPr>
      </w:pPr>
      <w:r>
        <w:rPr>
          <w:rFonts w:ascii="Times New Roman"/>
          <w:sz w:val="44"/>
          <w:szCs w:val="44"/>
        </w:rPr>
        <w:t>火力发电企业碳排放报告</w:t>
      </w:r>
    </w:p>
    <w:p w14:paraId="59D51919">
      <w:pPr>
        <w:pStyle w:val="56"/>
        <w:ind w:firstLine="420"/>
        <w:rPr>
          <w:rFonts w:ascii="Times New Roman"/>
        </w:rPr>
      </w:pPr>
    </w:p>
    <w:p w14:paraId="24F1381A">
      <w:pPr>
        <w:pStyle w:val="56"/>
        <w:ind w:firstLine="420"/>
        <w:rPr>
          <w:rFonts w:ascii="Times New Roman"/>
        </w:rPr>
      </w:pPr>
    </w:p>
    <w:p w14:paraId="3B5CDE4D">
      <w:pPr>
        <w:pStyle w:val="56"/>
        <w:ind w:firstLine="420"/>
        <w:rPr>
          <w:rFonts w:ascii="Times New Roman"/>
        </w:rPr>
      </w:pPr>
    </w:p>
    <w:p w14:paraId="47BAD0F8">
      <w:pPr>
        <w:pStyle w:val="56"/>
        <w:ind w:firstLine="420"/>
        <w:rPr>
          <w:rFonts w:ascii="Times New Roman"/>
        </w:rPr>
      </w:pPr>
    </w:p>
    <w:p w14:paraId="69BA9FCD">
      <w:pPr>
        <w:pStyle w:val="56"/>
        <w:ind w:firstLine="420"/>
        <w:rPr>
          <w:rFonts w:ascii="Times New Roman"/>
        </w:rPr>
      </w:pPr>
    </w:p>
    <w:p w14:paraId="35559AD4">
      <w:pPr>
        <w:pStyle w:val="56"/>
        <w:ind w:firstLine="420"/>
        <w:rPr>
          <w:rFonts w:ascii="Times New Roman"/>
        </w:rPr>
      </w:pPr>
    </w:p>
    <w:p w14:paraId="264F225A">
      <w:pPr>
        <w:pStyle w:val="56"/>
        <w:ind w:firstLine="420"/>
        <w:rPr>
          <w:rFonts w:ascii="Times New Roman"/>
        </w:rPr>
      </w:pPr>
    </w:p>
    <w:p w14:paraId="080155C8">
      <w:pPr>
        <w:pStyle w:val="56"/>
        <w:ind w:firstLine="420"/>
        <w:rPr>
          <w:rFonts w:ascii="Times New Roman"/>
        </w:rPr>
      </w:pPr>
    </w:p>
    <w:p w14:paraId="0F2C71D8">
      <w:pPr>
        <w:pStyle w:val="56"/>
        <w:ind w:firstLine="420"/>
        <w:rPr>
          <w:rFonts w:ascii="Times New Roman"/>
        </w:rPr>
      </w:pPr>
    </w:p>
    <w:p w14:paraId="44DCE2AB">
      <w:pPr>
        <w:pStyle w:val="56"/>
        <w:ind w:firstLine="420"/>
        <w:rPr>
          <w:rFonts w:ascii="Times New Roman"/>
        </w:rPr>
      </w:pPr>
    </w:p>
    <w:p w14:paraId="2B7554CF">
      <w:pPr>
        <w:pStyle w:val="56"/>
        <w:ind w:firstLine="420"/>
        <w:rPr>
          <w:rFonts w:ascii="Times New Roman"/>
        </w:rPr>
      </w:pPr>
    </w:p>
    <w:p w14:paraId="4E917BE0">
      <w:pPr>
        <w:pStyle w:val="56"/>
        <w:ind w:firstLine="420"/>
        <w:rPr>
          <w:rFonts w:ascii="Times New Roman"/>
        </w:rPr>
      </w:pPr>
    </w:p>
    <w:p w14:paraId="12A4F79B">
      <w:pPr>
        <w:pStyle w:val="56"/>
        <w:ind w:firstLine="420"/>
        <w:rPr>
          <w:rFonts w:ascii="Times New Roman"/>
        </w:rPr>
      </w:pPr>
    </w:p>
    <w:p w14:paraId="0251CCA6">
      <w:pPr>
        <w:pStyle w:val="56"/>
        <w:ind w:firstLine="420"/>
        <w:rPr>
          <w:rFonts w:ascii="Times New Roman"/>
        </w:rPr>
      </w:pPr>
    </w:p>
    <w:p w14:paraId="2A452575">
      <w:pPr>
        <w:pStyle w:val="56"/>
        <w:ind w:firstLine="420"/>
        <w:rPr>
          <w:rFonts w:ascii="Times New Roman"/>
        </w:rPr>
      </w:pPr>
    </w:p>
    <w:p w14:paraId="3E570904">
      <w:pPr>
        <w:pStyle w:val="56"/>
        <w:ind w:firstLine="420"/>
        <w:rPr>
          <w:rFonts w:ascii="Times New Roman"/>
        </w:rPr>
      </w:pPr>
    </w:p>
    <w:p w14:paraId="424837C7">
      <w:pPr>
        <w:pStyle w:val="56"/>
        <w:ind w:firstLine="420"/>
        <w:rPr>
          <w:rFonts w:ascii="Times New Roman"/>
        </w:rPr>
      </w:pPr>
    </w:p>
    <w:p w14:paraId="4500200D">
      <w:pPr>
        <w:pStyle w:val="56"/>
        <w:ind w:firstLine="420"/>
        <w:rPr>
          <w:rFonts w:ascii="Times New Roman"/>
        </w:rPr>
      </w:pPr>
    </w:p>
    <w:p w14:paraId="6EE52576">
      <w:pPr>
        <w:pStyle w:val="56"/>
        <w:ind w:firstLine="420"/>
        <w:rPr>
          <w:rFonts w:ascii="Times New Roman"/>
        </w:rPr>
      </w:pPr>
    </w:p>
    <w:p w14:paraId="1D34E834">
      <w:pPr>
        <w:pStyle w:val="56"/>
        <w:ind w:firstLine="420"/>
        <w:rPr>
          <w:rFonts w:ascii="Times New Roman"/>
        </w:rPr>
      </w:pPr>
    </w:p>
    <w:p w14:paraId="1ED57B3C">
      <w:pPr>
        <w:pStyle w:val="56"/>
        <w:ind w:firstLine="420"/>
        <w:rPr>
          <w:rFonts w:ascii="Times New Roman"/>
        </w:rPr>
      </w:pPr>
      <w:r>
        <w:rPr>
          <w:rFonts w:ascii="Times New Roman"/>
        </w:rPr>
        <w:t xml:space="preserve">报告主体（盖章）： </w:t>
      </w:r>
    </w:p>
    <w:p w14:paraId="7EE55FAB">
      <w:pPr>
        <w:pStyle w:val="56"/>
        <w:ind w:firstLine="420"/>
        <w:rPr>
          <w:rFonts w:ascii="Times New Roman"/>
        </w:rPr>
      </w:pPr>
      <w:r>
        <w:rPr>
          <w:rFonts w:ascii="Times New Roman"/>
        </w:rPr>
        <w:t xml:space="preserve">报告年度： </w:t>
      </w:r>
    </w:p>
    <w:p w14:paraId="40943023">
      <w:pPr>
        <w:pStyle w:val="56"/>
        <w:ind w:firstLine="420"/>
        <w:rPr>
          <w:rFonts w:ascii="Times New Roman"/>
        </w:rPr>
      </w:pPr>
      <w:r>
        <w:rPr>
          <w:rFonts w:ascii="Times New Roman"/>
        </w:rPr>
        <w:t>编制日期： 年 月 日</w:t>
      </w:r>
    </w:p>
    <w:p w14:paraId="3C70DEDD">
      <w:pPr>
        <w:widowControl/>
        <w:adjustRightInd/>
        <w:spacing w:line="240" w:lineRule="auto"/>
        <w:jc w:val="left"/>
        <w:rPr>
          <w:rFonts w:ascii="Times New Roman" w:hAnsi="Times New Roman"/>
          <w:kern w:val="0"/>
          <w:szCs w:val="20"/>
        </w:rPr>
      </w:pPr>
      <w:r>
        <w:rPr>
          <w:rFonts w:ascii="Times New Roman" w:hAnsi="Times New Roman"/>
        </w:rPr>
        <w:br w:type="page"/>
      </w:r>
    </w:p>
    <w:p w14:paraId="73CA22B3">
      <w:pPr>
        <w:pStyle w:val="56"/>
        <w:ind w:firstLine="420"/>
        <w:rPr>
          <w:rFonts w:ascii="Times New Roman"/>
        </w:rPr>
      </w:pPr>
      <w:r>
        <w:rPr>
          <w:rFonts w:ascii="Times New Roman"/>
        </w:rPr>
        <w:t xml:space="preserve">本报告主体核算了年度碳排放量，并填写了相关数据表格。现将有关情况报告如下： </w:t>
      </w:r>
    </w:p>
    <w:p w14:paraId="2CA22FA1">
      <w:pPr>
        <w:pStyle w:val="56"/>
        <w:ind w:firstLine="420"/>
        <w:rPr>
          <w:rFonts w:ascii="Times New Roman"/>
        </w:rPr>
      </w:pPr>
      <w:r>
        <w:rPr>
          <w:rFonts w:ascii="Times New Roman"/>
        </w:rPr>
        <w:t xml:space="preserve"> </w:t>
      </w:r>
    </w:p>
    <w:p w14:paraId="6509FE0A">
      <w:pPr>
        <w:pStyle w:val="56"/>
        <w:ind w:firstLine="420"/>
        <w:rPr>
          <w:rFonts w:ascii="Times New Roman"/>
        </w:rPr>
      </w:pPr>
      <w:r>
        <w:rPr>
          <w:rFonts w:ascii="Times New Roman"/>
        </w:rPr>
        <w:t xml:space="preserve">一、报告主体基本情况 </w:t>
      </w:r>
    </w:p>
    <w:p w14:paraId="0C041700">
      <w:pPr>
        <w:pStyle w:val="56"/>
        <w:ind w:firstLine="420"/>
        <w:rPr>
          <w:rFonts w:ascii="Times New Roman"/>
        </w:rPr>
      </w:pPr>
    </w:p>
    <w:p w14:paraId="4B63BB92">
      <w:pPr>
        <w:pStyle w:val="56"/>
        <w:ind w:firstLine="420"/>
        <w:rPr>
          <w:rFonts w:ascii="Times New Roman"/>
        </w:rPr>
      </w:pPr>
      <w:r>
        <w:rPr>
          <w:rFonts w:ascii="Times New Roman"/>
        </w:rPr>
        <w:t xml:space="preserve">二、碳排放量 </w:t>
      </w:r>
    </w:p>
    <w:p w14:paraId="1F6B5FF8">
      <w:pPr>
        <w:pStyle w:val="56"/>
        <w:ind w:firstLine="420"/>
        <w:rPr>
          <w:rFonts w:ascii="Times New Roman"/>
        </w:rPr>
      </w:pPr>
    </w:p>
    <w:p w14:paraId="4C1FA622">
      <w:pPr>
        <w:pStyle w:val="56"/>
        <w:ind w:firstLine="420"/>
        <w:rPr>
          <w:rFonts w:ascii="Times New Roman"/>
        </w:rPr>
      </w:pPr>
      <w:r>
        <w:rPr>
          <w:rFonts w:ascii="Times New Roman"/>
        </w:rPr>
        <w:t xml:space="preserve">三、活动数据及其来源 </w:t>
      </w:r>
    </w:p>
    <w:p w14:paraId="4B33AF4B">
      <w:pPr>
        <w:pStyle w:val="56"/>
        <w:ind w:firstLine="420"/>
        <w:rPr>
          <w:rFonts w:ascii="Times New Roman"/>
        </w:rPr>
      </w:pPr>
    </w:p>
    <w:p w14:paraId="753534E0">
      <w:pPr>
        <w:pStyle w:val="56"/>
        <w:ind w:firstLine="420"/>
        <w:rPr>
          <w:rFonts w:ascii="Times New Roman"/>
        </w:rPr>
      </w:pPr>
      <w:r>
        <w:rPr>
          <w:rFonts w:ascii="Times New Roman"/>
        </w:rPr>
        <w:t xml:space="preserve">四、排放因子及其来源 </w:t>
      </w:r>
    </w:p>
    <w:p w14:paraId="40109340">
      <w:pPr>
        <w:pStyle w:val="56"/>
        <w:ind w:firstLine="420"/>
        <w:rPr>
          <w:rFonts w:ascii="Times New Roman"/>
        </w:rPr>
      </w:pPr>
    </w:p>
    <w:p w14:paraId="153A5D01">
      <w:pPr>
        <w:pStyle w:val="56"/>
        <w:ind w:firstLine="420"/>
        <w:rPr>
          <w:rFonts w:ascii="Times New Roman"/>
        </w:rPr>
      </w:pPr>
      <w:r>
        <w:rPr>
          <w:rFonts w:ascii="Times New Roman"/>
        </w:rPr>
        <w:t xml:space="preserve">五、其他报告信息 </w:t>
      </w:r>
    </w:p>
    <w:p w14:paraId="40E9CEAE">
      <w:pPr>
        <w:pStyle w:val="56"/>
        <w:ind w:firstLine="420"/>
        <w:rPr>
          <w:rFonts w:ascii="Times New Roman"/>
        </w:rPr>
      </w:pPr>
    </w:p>
    <w:p w14:paraId="7B0EAAEE">
      <w:pPr>
        <w:pStyle w:val="56"/>
        <w:ind w:firstLine="420"/>
        <w:rPr>
          <w:rFonts w:ascii="Times New Roman"/>
        </w:rPr>
      </w:pPr>
      <w:r>
        <w:rPr>
          <w:rFonts w:ascii="Times New Roman"/>
        </w:rPr>
        <w:t>本企业承诺对本报告的真实性负责。</w:t>
      </w:r>
    </w:p>
    <w:p w14:paraId="6FE812B7">
      <w:pPr>
        <w:pStyle w:val="56"/>
        <w:ind w:firstLine="420"/>
        <w:rPr>
          <w:rFonts w:ascii="Times New Roman"/>
        </w:rPr>
      </w:pPr>
    </w:p>
    <w:p w14:paraId="61FC4406">
      <w:pPr>
        <w:pStyle w:val="56"/>
        <w:ind w:firstLine="420"/>
        <w:rPr>
          <w:rFonts w:ascii="Times New Roman"/>
        </w:rPr>
      </w:pPr>
    </w:p>
    <w:p w14:paraId="43FBD41F">
      <w:pPr>
        <w:pStyle w:val="56"/>
        <w:ind w:firstLine="420"/>
        <w:rPr>
          <w:rFonts w:ascii="Times New Roman"/>
        </w:rPr>
      </w:pPr>
    </w:p>
    <w:p w14:paraId="14B8CE0E">
      <w:pPr>
        <w:pStyle w:val="56"/>
        <w:ind w:firstLine="420"/>
        <w:rPr>
          <w:rFonts w:ascii="Times New Roman"/>
        </w:rPr>
      </w:pPr>
    </w:p>
    <w:p w14:paraId="2DBB3E78">
      <w:pPr>
        <w:pStyle w:val="56"/>
        <w:ind w:firstLine="420"/>
        <w:rPr>
          <w:rFonts w:ascii="Times New Roman"/>
        </w:rPr>
      </w:pPr>
    </w:p>
    <w:p w14:paraId="20413A82">
      <w:pPr>
        <w:pStyle w:val="56"/>
        <w:ind w:firstLine="420"/>
        <w:rPr>
          <w:rFonts w:ascii="Times New Roman"/>
        </w:rPr>
      </w:pPr>
    </w:p>
    <w:p w14:paraId="571F6E46">
      <w:pPr>
        <w:pStyle w:val="56"/>
        <w:ind w:firstLine="420"/>
        <w:rPr>
          <w:rFonts w:ascii="Times New Roman"/>
        </w:rPr>
      </w:pPr>
    </w:p>
    <w:p w14:paraId="1BC4ACE7">
      <w:pPr>
        <w:pStyle w:val="56"/>
        <w:ind w:firstLine="420"/>
        <w:rPr>
          <w:rFonts w:ascii="Times New Roman"/>
        </w:rPr>
      </w:pPr>
    </w:p>
    <w:p w14:paraId="74288383">
      <w:pPr>
        <w:pStyle w:val="56"/>
        <w:ind w:firstLine="420"/>
        <w:rPr>
          <w:rFonts w:ascii="Times New Roman"/>
        </w:rPr>
      </w:pPr>
    </w:p>
    <w:p w14:paraId="4808748C">
      <w:pPr>
        <w:pStyle w:val="56"/>
        <w:ind w:firstLine="420"/>
        <w:rPr>
          <w:rFonts w:ascii="Times New Roman"/>
        </w:rPr>
      </w:pPr>
    </w:p>
    <w:p w14:paraId="68C98119">
      <w:pPr>
        <w:pStyle w:val="56"/>
        <w:ind w:firstLine="420"/>
        <w:rPr>
          <w:rFonts w:ascii="Times New Roman"/>
        </w:rPr>
      </w:pPr>
    </w:p>
    <w:p w14:paraId="734DD1E3">
      <w:pPr>
        <w:pStyle w:val="56"/>
        <w:ind w:firstLine="420"/>
        <w:rPr>
          <w:rFonts w:ascii="Times New Roman"/>
        </w:rPr>
      </w:pPr>
    </w:p>
    <w:p w14:paraId="2C0DF7E9">
      <w:pPr>
        <w:pStyle w:val="56"/>
        <w:ind w:firstLine="420"/>
        <w:rPr>
          <w:rFonts w:ascii="Times New Roman"/>
        </w:rPr>
      </w:pPr>
    </w:p>
    <w:p w14:paraId="2377411E">
      <w:pPr>
        <w:pStyle w:val="56"/>
        <w:ind w:firstLine="420"/>
        <w:rPr>
          <w:rFonts w:ascii="Times New Roman"/>
        </w:rPr>
      </w:pPr>
    </w:p>
    <w:p w14:paraId="7A479AA5">
      <w:pPr>
        <w:pStyle w:val="56"/>
        <w:ind w:firstLine="420"/>
        <w:rPr>
          <w:rFonts w:ascii="Times New Roman"/>
        </w:rPr>
      </w:pPr>
    </w:p>
    <w:p w14:paraId="479E1267">
      <w:pPr>
        <w:pStyle w:val="56"/>
        <w:ind w:firstLine="420"/>
        <w:rPr>
          <w:rFonts w:ascii="Times New Roman"/>
        </w:rPr>
      </w:pPr>
    </w:p>
    <w:p w14:paraId="15DF95A1">
      <w:pPr>
        <w:pStyle w:val="56"/>
        <w:ind w:firstLine="420"/>
        <w:rPr>
          <w:rFonts w:ascii="Times New Roman"/>
        </w:rPr>
      </w:pPr>
    </w:p>
    <w:p w14:paraId="4C078185">
      <w:pPr>
        <w:pStyle w:val="56"/>
        <w:ind w:firstLine="420"/>
        <w:rPr>
          <w:rFonts w:ascii="Times New Roman"/>
        </w:rPr>
      </w:pPr>
    </w:p>
    <w:p w14:paraId="57439EF6">
      <w:pPr>
        <w:pStyle w:val="56"/>
        <w:ind w:firstLine="420"/>
        <w:rPr>
          <w:rFonts w:ascii="Times New Roman"/>
        </w:rPr>
      </w:pPr>
    </w:p>
    <w:p w14:paraId="4D41E4C1">
      <w:pPr>
        <w:pStyle w:val="56"/>
        <w:ind w:firstLine="420"/>
        <w:rPr>
          <w:rFonts w:ascii="Times New Roman"/>
        </w:rPr>
      </w:pPr>
    </w:p>
    <w:p w14:paraId="3B78E220">
      <w:pPr>
        <w:pStyle w:val="56"/>
        <w:ind w:firstLine="420"/>
        <w:rPr>
          <w:rFonts w:ascii="Times New Roman"/>
        </w:rPr>
      </w:pPr>
    </w:p>
    <w:p w14:paraId="432CAEC5">
      <w:pPr>
        <w:pStyle w:val="56"/>
        <w:ind w:firstLine="420"/>
        <w:rPr>
          <w:rFonts w:ascii="Times New Roman"/>
        </w:rPr>
      </w:pPr>
    </w:p>
    <w:p w14:paraId="61A6AAB6">
      <w:pPr>
        <w:pStyle w:val="56"/>
        <w:ind w:firstLine="420"/>
        <w:rPr>
          <w:rFonts w:ascii="Times New Roman"/>
        </w:rPr>
      </w:pPr>
    </w:p>
    <w:p w14:paraId="083BC6E6">
      <w:pPr>
        <w:pStyle w:val="56"/>
        <w:ind w:firstLine="420"/>
        <w:rPr>
          <w:rFonts w:ascii="Times New Roman"/>
        </w:rPr>
      </w:pPr>
    </w:p>
    <w:p w14:paraId="438E3911">
      <w:pPr>
        <w:pStyle w:val="56"/>
        <w:ind w:firstLine="420"/>
        <w:jc w:val="right"/>
        <w:rPr>
          <w:rFonts w:ascii="Times New Roman"/>
        </w:rPr>
      </w:pPr>
      <w:r>
        <w:rPr>
          <w:rFonts w:ascii="Times New Roman"/>
        </w:rPr>
        <w:t>法定代表人或授权代表（签字）：</w:t>
      </w:r>
    </w:p>
    <w:p w14:paraId="00A7985B">
      <w:pPr>
        <w:pStyle w:val="56"/>
        <w:ind w:firstLine="420"/>
        <w:jc w:val="right"/>
        <w:rPr>
          <w:rFonts w:ascii="Times New Roman"/>
        </w:rPr>
      </w:pPr>
      <w:r>
        <w:rPr>
          <w:rFonts w:ascii="Times New Roman"/>
        </w:rPr>
        <w:t xml:space="preserve"> </w:t>
      </w:r>
    </w:p>
    <w:p w14:paraId="388C8060">
      <w:pPr>
        <w:pStyle w:val="56"/>
        <w:ind w:firstLine="420"/>
        <w:jc w:val="right"/>
        <w:rPr>
          <w:rFonts w:ascii="Times New Roman"/>
        </w:rPr>
      </w:pPr>
      <w:r>
        <w:rPr>
          <w:rFonts w:ascii="Times New Roman"/>
        </w:rPr>
        <w:t>年    月   日</w:t>
      </w:r>
    </w:p>
    <w:p w14:paraId="7F26309B">
      <w:pPr>
        <w:widowControl/>
        <w:adjustRightInd/>
        <w:spacing w:line="240" w:lineRule="auto"/>
        <w:jc w:val="left"/>
        <w:rPr>
          <w:rFonts w:ascii="Times New Roman" w:hAnsi="Times New Roman"/>
          <w:kern w:val="0"/>
          <w:szCs w:val="20"/>
        </w:rPr>
      </w:pPr>
      <w:r>
        <w:rPr>
          <w:rFonts w:ascii="Times New Roman" w:hAnsi="Times New Roman"/>
        </w:rPr>
        <w:br w:type="page"/>
      </w:r>
    </w:p>
    <w:p w14:paraId="753769E1">
      <w:pPr>
        <w:pStyle w:val="77"/>
        <w:spacing w:before="120" w:after="120"/>
        <w:rPr>
          <w:rFonts w:ascii="Times New Roman"/>
        </w:rPr>
      </w:pPr>
      <w:r>
        <w:rPr>
          <w:rFonts w:ascii="Times New Roman"/>
        </w:rPr>
        <w:t>报告主体</w:t>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t>__________年度碳排放量汇总表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3822"/>
        <w:gridCol w:w="3112"/>
      </w:tblGrid>
      <w:tr w14:paraId="76222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8" w:space="0"/>
              <w:left w:val="single" w:color="auto" w:sz="8" w:space="0"/>
              <w:bottom w:val="single" w:color="auto" w:sz="8" w:space="0"/>
              <w:right w:val="single" w:color="auto" w:sz="4" w:space="0"/>
            </w:tcBorders>
            <w:vAlign w:val="center"/>
          </w:tcPr>
          <w:p w14:paraId="7F79352C">
            <w:pPr>
              <w:pStyle w:val="178"/>
              <w:rPr>
                <w:rFonts w:ascii="Times New Roman"/>
                <w:szCs w:val="18"/>
              </w:rPr>
            </w:pPr>
            <w:r>
              <w:rPr>
                <w:rFonts w:ascii="Times New Roman"/>
              </w:rPr>
              <w:t>排放源类别</w:t>
            </w:r>
          </w:p>
        </w:tc>
        <w:tc>
          <w:tcPr>
            <w:tcW w:w="3112" w:type="dxa"/>
            <w:tcBorders>
              <w:top w:val="single" w:color="auto" w:sz="8" w:space="0"/>
              <w:left w:val="single" w:color="auto" w:sz="4" w:space="0"/>
              <w:bottom w:val="single" w:color="auto" w:sz="8" w:space="0"/>
              <w:right w:val="single" w:color="auto" w:sz="8" w:space="0"/>
            </w:tcBorders>
            <w:vAlign w:val="center"/>
          </w:tcPr>
          <w:p w14:paraId="67F9D30A">
            <w:pPr>
              <w:pStyle w:val="178"/>
              <w:rPr>
                <w:rFonts w:ascii="Times New Roman"/>
                <w:vertAlign w:val="subscript"/>
              </w:rPr>
            </w:pPr>
            <w:r>
              <w:rPr>
                <w:rFonts w:ascii="Times New Roman"/>
              </w:rPr>
              <w:t>排放量/tCO</w:t>
            </w:r>
            <w:r>
              <w:rPr>
                <w:rFonts w:ascii="Times New Roman"/>
                <w:vertAlign w:val="subscript"/>
              </w:rPr>
              <w:t>2</w:t>
            </w:r>
          </w:p>
        </w:tc>
      </w:tr>
      <w:tr w14:paraId="2B784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8" w:space="0"/>
              <w:left w:val="single" w:color="auto" w:sz="8" w:space="0"/>
              <w:bottom w:val="single" w:color="auto" w:sz="4" w:space="0"/>
              <w:right w:val="single" w:color="auto" w:sz="4" w:space="0"/>
            </w:tcBorders>
            <w:vAlign w:val="center"/>
          </w:tcPr>
          <w:p w14:paraId="169D7867">
            <w:pPr>
              <w:pStyle w:val="178"/>
              <w:rPr>
                <w:rFonts w:ascii="Times New Roman"/>
              </w:rPr>
            </w:pPr>
            <w:r>
              <w:rPr>
                <w:rFonts w:ascii="Times New Roman"/>
                <w:color w:val="000000"/>
              </w:rPr>
              <w:t>化石燃料燃烧排放量</w:t>
            </w:r>
          </w:p>
        </w:tc>
        <w:tc>
          <w:tcPr>
            <w:tcW w:w="3112" w:type="dxa"/>
            <w:tcBorders>
              <w:top w:val="single" w:color="auto" w:sz="8" w:space="0"/>
              <w:left w:val="single" w:color="auto" w:sz="4" w:space="0"/>
              <w:bottom w:val="single" w:color="auto" w:sz="4" w:space="0"/>
              <w:right w:val="single" w:color="auto" w:sz="8" w:space="0"/>
            </w:tcBorders>
            <w:vAlign w:val="center"/>
          </w:tcPr>
          <w:p w14:paraId="3220B2CD">
            <w:pPr>
              <w:pStyle w:val="178"/>
              <w:rPr>
                <w:rFonts w:ascii="Times New Roman"/>
              </w:rPr>
            </w:pPr>
          </w:p>
        </w:tc>
      </w:tr>
      <w:tr w14:paraId="33842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vAlign w:val="center"/>
          </w:tcPr>
          <w:p w14:paraId="3FA8AF7C">
            <w:pPr>
              <w:pStyle w:val="178"/>
              <w:rPr>
                <w:rFonts w:ascii="Times New Roman"/>
              </w:rPr>
            </w:pPr>
            <w:r>
              <w:rPr>
                <w:rFonts w:ascii="Times New Roman"/>
                <w:color w:val="000000"/>
              </w:rPr>
              <w:t>过程排放量</w:t>
            </w:r>
          </w:p>
        </w:tc>
        <w:tc>
          <w:tcPr>
            <w:tcW w:w="3112" w:type="dxa"/>
            <w:tcBorders>
              <w:top w:val="single" w:color="auto" w:sz="4" w:space="0"/>
              <w:left w:val="single" w:color="auto" w:sz="4" w:space="0"/>
              <w:bottom w:val="single" w:color="auto" w:sz="4" w:space="0"/>
              <w:right w:val="single" w:color="auto" w:sz="8" w:space="0"/>
            </w:tcBorders>
            <w:vAlign w:val="center"/>
          </w:tcPr>
          <w:p w14:paraId="4560F42D">
            <w:pPr>
              <w:pStyle w:val="178"/>
              <w:rPr>
                <w:rFonts w:ascii="Times New Roman"/>
              </w:rPr>
            </w:pPr>
          </w:p>
        </w:tc>
      </w:tr>
      <w:tr w14:paraId="052F3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vAlign w:val="center"/>
          </w:tcPr>
          <w:p w14:paraId="706AED1C">
            <w:pPr>
              <w:pStyle w:val="178"/>
              <w:rPr>
                <w:rFonts w:ascii="Times New Roman"/>
              </w:rPr>
            </w:pPr>
            <w:r>
              <w:rPr>
                <w:rFonts w:ascii="Times New Roman"/>
                <w:color w:val="000000"/>
              </w:rPr>
              <w:t>购入电力产生的排放量</w:t>
            </w:r>
          </w:p>
        </w:tc>
        <w:tc>
          <w:tcPr>
            <w:tcW w:w="3112" w:type="dxa"/>
            <w:tcBorders>
              <w:top w:val="single" w:color="auto" w:sz="4" w:space="0"/>
              <w:left w:val="single" w:color="auto" w:sz="4" w:space="0"/>
              <w:bottom w:val="single" w:color="auto" w:sz="4" w:space="0"/>
              <w:right w:val="single" w:color="auto" w:sz="8" w:space="0"/>
            </w:tcBorders>
            <w:vAlign w:val="center"/>
          </w:tcPr>
          <w:p w14:paraId="511747ED">
            <w:pPr>
              <w:pStyle w:val="178"/>
              <w:rPr>
                <w:rFonts w:ascii="Times New Roman"/>
              </w:rPr>
            </w:pPr>
          </w:p>
        </w:tc>
      </w:tr>
      <w:tr w14:paraId="22121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vAlign w:val="center"/>
          </w:tcPr>
          <w:p w14:paraId="7FC07425">
            <w:pPr>
              <w:pStyle w:val="178"/>
              <w:rPr>
                <w:rFonts w:ascii="Times New Roman"/>
              </w:rPr>
            </w:pPr>
            <w:r>
              <w:rPr>
                <w:rFonts w:ascii="Times New Roman"/>
                <w:color w:val="000000"/>
              </w:rPr>
              <w:t>购入热力产生的排放量</w:t>
            </w:r>
          </w:p>
        </w:tc>
        <w:tc>
          <w:tcPr>
            <w:tcW w:w="3112" w:type="dxa"/>
            <w:tcBorders>
              <w:top w:val="single" w:color="auto" w:sz="4" w:space="0"/>
              <w:left w:val="single" w:color="auto" w:sz="4" w:space="0"/>
              <w:bottom w:val="single" w:color="auto" w:sz="4" w:space="0"/>
              <w:right w:val="single" w:color="auto" w:sz="8" w:space="0"/>
            </w:tcBorders>
            <w:vAlign w:val="center"/>
          </w:tcPr>
          <w:p w14:paraId="1534B50B">
            <w:pPr>
              <w:pStyle w:val="178"/>
              <w:rPr>
                <w:rFonts w:ascii="Times New Roman"/>
              </w:rPr>
            </w:pPr>
          </w:p>
        </w:tc>
      </w:tr>
      <w:tr w14:paraId="5AA96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00" w:type="dxa"/>
            <w:vMerge w:val="restart"/>
            <w:tcBorders>
              <w:top w:val="single" w:color="auto" w:sz="4" w:space="0"/>
              <w:left w:val="single" w:color="auto" w:sz="8" w:space="0"/>
              <w:bottom w:val="single" w:color="auto" w:sz="4" w:space="0"/>
              <w:right w:val="single" w:color="auto" w:sz="4" w:space="0"/>
            </w:tcBorders>
            <w:vAlign w:val="center"/>
          </w:tcPr>
          <w:p w14:paraId="2ACAEE6D">
            <w:pPr>
              <w:pStyle w:val="178"/>
              <w:rPr>
                <w:rFonts w:ascii="Times New Roman"/>
              </w:rPr>
            </w:pPr>
            <w:r>
              <w:rPr>
                <w:rFonts w:ascii="Times New Roman"/>
              </w:rPr>
              <w:t>企业碳排放总量</w:t>
            </w:r>
          </w:p>
        </w:tc>
        <w:tc>
          <w:tcPr>
            <w:tcW w:w="3822" w:type="dxa"/>
            <w:tcBorders>
              <w:top w:val="single" w:color="auto" w:sz="4" w:space="0"/>
              <w:left w:val="single" w:color="auto" w:sz="4" w:space="0"/>
              <w:bottom w:val="single" w:color="auto" w:sz="4" w:space="0"/>
              <w:right w:val="single" w:color="auto" w:sz="4" w:space="0"/>
            </w:tcBorders>
            <w:vAlign w:val="center"/>
          </w:tcPr>
          <w:p w14:paraId="46298A50">
            <w:pPr>
              <w:pStyle w:val="178"/>
              <w:rPr>
                <w:rFonts w:ascii="Times New Roman"/>
              </w:rPr>
            </w:pPr>
            <w:r>
              <w:rPr>
                <w:rFonts w:ascii="Times New Roman"/>
                <w:color w:val="000000"/>
              </w:rPr>
              <w:t>不包括购入电力和热力产生的排放量</w:t>
            </w:r>
          </w:p>
        </w:tc>
        <w:tc>
          <w:tcPr>
            <w:tcW w:w="3112" w:type="dxa"/>
            <w:tcBorders>
              <w:top w:val="single" w:color="auto" w:sz="4" w:space="0"/>
              <w:left w:val="single" w:color="auto" w:sz="4" w:space="0"/>
              <w:bottom w:val="single" w:color="auto" w:sz="4" w:space="0"/>
              <w:right w:val="single" w:color="auto" w:sz="8" w:space="0"/>
            </w:tcBorders>
            <w:vAlign w:val="center"/>
          </w:tcPr>
          <w:p w14:paraId="42ABFA2D">
            <w:pPr>
              <w:pStyle w:val="178"/>
              <w:rPr>
                <w:rFonts w:ascii="Times New Roman"/>
              </w:rPr>
            </w:pPr>
          </w:p>
        </w:tc>
      </w:tr>
      <w:tr w14:paraId="04277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FA38D63">
            <w:pPr>
              <w:widowControl/>
              <w:adjustRightInd/>
              <w:spacing w:line="240" w:lineRule="auto"/>
              <w:jc w:val="left"/>
              <w:rPr>
                <w:rFonts w:ascii="Times New Roman" w:hAnsi="Times New Roman"/>
                <w:kern w:val="0"/>
                <w:sz w:val="18"/>
                <w:szCs w:val="18"/>
              </w:rPr>
            </w:pPr>
          </w:p>
        </w:tc>
        <w:tc>
          <w:tcPr>
            <w:tcW w:w="3822" w:type="dxa"/>
            <w:tcBorders>
              <w:top w:val="single" w:color="auto" w:sz="4" w:space="0"/>
              <w:left w:val="single" w:color="auto" w:sz="4" w:space="0"/>
              <w:bottom w:val="single" w:color="auto" w:sz="8" w:space="0"/>
              <w:right w:val="single" w:color="auto" w:sz="4" w:space="0"/>
            </w:tcBorders>
            <w:vAlign w:val="center"/>
          </w:tcPr>
          <w:p w14:paraId="3073E38F">
            <w:pPr>
              <w:pStyle w:val="178"/>
              <w:rPr>
                <w:rFonts w:ascii="Times New Roman"/>
              </w:rPr>
            </w:pPr>
            <w:r>
              <w:rPr>
                <w:rFonts w:ascii="Times New Roman"/>
                <w:color w:val="000000"/>
              </w:rPr>
              <w:t>包括购人电力和热力产生的排放量</w:t>
            </w:r>
          </w:p>
        </w:tc>
        <w:tc>
          <w:tcPr>
            <w:tcW w:w="3112" w:type="dxa"/>
            <w:tcBorders>
              <w:top w:val="single" w:color="auto" w:sz="4" w:space="0"/>
              <w:left w:val="single" w:color="auto" w:sz="4" w:space="0"/>
              <w:bottom w:val="single" w:color="auto" w:sz="8" w:space="0"/>
              <w:right w:val="single" w:color="auto" w:sz="8" w:space="0"/>
            </w:tcBorders>
            <w:vAlign w:val="center"/>
          </w:tcPr>
          <w:p w14:paraId="68EDC18F">
            <w:pPr>
              <w:pStyle w:val="178"/>
              <w:rPr>
                <w:rFonts w:ascii="Times New Roman"/>
              </w:rPr>
            </w:pPr>
          </w:p>
        </w:tc>
      </w:tr>
    </w:tbl>
    <w:p w14:paraId="6D1D1028">
      <w:pPr>
        <w:pStyle w:val="56"/>
        <w:ind w:firstLine="420"/>
        <w:rPr>
          <w:rFonts w:ascii="Times New Roman"/>
        </w:rPr>
      </w:pPr>
    </w:p>
    <w:p w14:paraId="0BAFC8DA">
      <w:pPr>
        <w:pStyle w:val="56"/>
        <w:ind w:firstLine="420"/>
        <w:rPr>
          <w:rFonts w:ascii="Times New Roman"/>
        </w:rPr>
      </w:pPr>
    </w:p>
    <w:p w14:paraId="1012D0A6">
      <w:pPr>
        <w:pStyle w:val="56"/>
        <w:ind w:firstLine="420"/>
        <w:rPr>
          <w:rFonts w:ascii="Times New Roman"/>
        </w:rPr>
      </w:pPr>
    </w:p>
    <w:p w14:paraId="625191BE">
      <w:pPr>
        <w:pStyle w:val="77"/>
        <w:spacing w:before="120" w:after="120"/>
        <w:rPr>
          <w:rFonts w:ascii="Times New Roman"/>
        </w:rPr>
      </w:pPr>
      <w:r>
        <w:rPr>
          <w:rFonts w:ascii="Times New Roman"/>
        </w:rPr>
        <w:t>报告主体化石燃料燃烧活动数据和排放因子数据一览表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2"/>
        <w:gridCol w:w="1333"/>
        <w:gridCol w:w="869"/>
        <w:gridCol w:w="1798"/>
        <w:gridCol w:w="1334"/>
        <w:gridCol w:w="979"/>
        <w:gridCol w:w="1689"/>
      </w:tblGrid>
      <w:tr w14:paraId="418A0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32" w:type="dxa"/>
            <w:vMerge w:val="restart"/>
            <w:tcBorders>
              <w:top w:val="single" w:color="auto" w:sz="8" w:space="0"/>
              <w:left w:val="single" w:color="auto" w:sz="8" w:space="0"/>
              <w:bottom w:val="single" w:color="auto" w:sz="4" w:space="0"/>
              <w:right w:val="single" w:color="auto" w:sz="4" w:space="0"/>
            </w:tcBorders>
            <w:vAlign w:val="center"/>
          </w:tcPr>
          <w:p w14:paraId="4BC86DF3">
            <w:pPr>
              <w:pStyle w:val="178"/>
              <w:rPr>
                <w:rFonts w:ascii="Times New Roman"/>
                <w:szCs w:val="18"/>
              </w:rPr>
            </w:pPr>
            <w:r>
              <w:rPr>
                <w:rFonts w:ascii="Times New Roman"/>
              </w:rPr>
              <w:t>燃烧品种</w:t>
            </w:r>
          </w:p>
        </w:tc>
        <w:tc>
          <w:tcPr>
            <w:tcW w:w="1333" w:type="dxa"/>
            <w:vMerge w:val="restart"/>
            <w:tcBorders>
              <w:top w:val="single" w:color="auto" w:sz="8" w:space="0"/>
              <w:left w:val="single" w:color="auto" w:sz="4" w:space="0"/>
              <w:bottom w:val="single" w:color="auto" w:sz="4" w:space="0"/>
              <w:right w:val="single" w:color="auto" w:sz="4" w:space="0"/>
            </w:tcBorders>
            <w:vAlign w:val="center"/>
          </w:tcPr>
          <w:p w14:paraId="632ED3F9">
            <w:pPr>
              <w:widowControl/>
              <w:jc w:val="center"/>
              <w:rPr>
                <w:rFonts w:ascii="Times New Roman" w:hAnsi="Times New Roman"/>
                <w:kern w:val="0"/>
                <w:sz w:val="24"/>
                <w:szCs w:val="24"/>
              </w:rPr>
            </w:pPr>
            <w:r>
              <w:rPr>
                <w:rFonts w:ascii="Times New Roman" w:hAnsi="Times New Roman"/>
                <w:color w:val="000000"/>
                <w:kern w:val="0"/>
                <w:sz w:val="18"/>
                <w:szCs w:val="18"/>
              </w:rPr>
              <w:t>消费量</w:t>
            </w:r>
          </w:p>
          <w:p w14:paraId="1686E95A">
            <w:pPr>
              <w:pStyle w:val="178"/>
              <w:rPr>
                <w:rFonts w:ascii="Times New Roman"/>
                <w:szCs w:val="18"/>
                <w:vertAlign w:val="superscript"/>
              </w:rPr>
            </w:pPr>
            <w:r>
              <w:rPr>
                <w:rFonts w:ascii="Times New Roman"/>
                <w:color w:val="000000"/>
              </w:rPr>
              <w:t>t或10</w:t>
            </w:r>
            <w:r>
              <w:rPr>
                <w:rFonts w:ascii="Times New Roman"/>
                <w:color w:val="000000"/>
                <w:vertAlign w:val="superscript"/>
              </w:rPr>
              <w:t>4</w:t>
            </w:r>
            <w:r>
              <w:rPr>
                <w:rFonts w:ascii="Times New Roman"/>
                <w:color w:val="000000"/>
              </w:rPr>
              <w:t>Nm</w:t>
            </w:r>
            <w:r>
              <w:rPr>
                <w:rFonts w:ascii="Times New Roman"/>
                <w:color w:val="000000"/>
                <w:vertAlign w:val="superscript"/>
              </w:rPr>
              <w:t>3</w:t>
            </w:r>
          </w:p>
        </w:tc>
        <w:tc>
          <w:tcPr>
            <w:tcW w:w="2667" w:type="dxa"/>
            <w:gridSpan w:val="2"/>
            <w:tcBorders>
              <w:top w:val="single" w:color="auto" w:sz="8" w:space="0"/>
              <w:left w:val="single" w:color="auto" w:sz="4" w:space="0"/>
              <w:bottom w:val="single" w:color="auto" w:sz="8" w:space="0"/>
              <w:right w:val="single" w:color="auto" w:sz="4" w:space="0"/>
            </w:tcBorders>
            <w:vAlign w:val="center"/>
          </w:tcPr>
          <w:p w14:paraId="50B2D8C4">
            <w:pPr>
              <w:pStyle w:val="178"/>
              <w:rPr>
                <w:rFonts w:ascii="Times New Roman"/>
              </w:rPr>
            </w:pPr>
            <w:r>
              <w:rPr>
                <w:rFonts w:ascii="Times New Roman"/>
              </w:rPr>
              <w:t>低位发热量</w:t>
            </w:r>
          </w:p>
          <w:p w14:paraId="7832C472">
            <w:pPr>
              <w:pStyle w:val="178"/>
              <w:rPr>
                <w:rFonts w:ascii="Times New Roman"/>
              </w:rPr>
            </w:pPr>
            <w:r>
              <w:rPr>
                <w:rFonts w:ascii="Times New Roman"/>
              </w:rPr>
              <w:t>GJ/t或GJ/10</w:t>
            </w:r>
            <w:r>
              <w:rPr>
                <w:rFonts w:ascii="Times New Roman"/>
                <w:vertAlign w:val="superscript"/>
              </w:rPr>
              <w:t>4</w:t>
            </w:r>
            <w:r>
              <w:rPr>
                <w:rFonts w:ascii="Times New Roman"/>
              </w:rPr>
              <w:t>Nm</w:t>
            </w:r>
            <w:r>
              <w:rPr>
                <w:rFonts w:ascii="Times New Roman"/>
                <w:vertAlign w:val="superscript"/>
              </w:rPr>
              <w:t>3</w:t>
            </w:r>
          </w:p>
        </w:tc>
        <w:tc>
          <w:tcPr>
            <w:tcW w:w="1334" w:type="dxa"/>
            <w:vMerge w:val="restart"/>
            <w:tcBorders>
              <w:top w:val="single" w:color="auto" w:sz="8" w:space="0"/>
              <w:left w:val="single" w:color="auto" w:sz="4" w:space="0"/>
              <w:bottom w:val="single" w:color="auto" w:sz="4" w:space="0"/>
              <w:right w:val="single" w:color="auto" w:sz="4" w:space="0"/>
            </w:tcBorders>
            <w:vAlign w:val="center"/>
          </w:tcPr>
          <w:p w14:paraId="4EA7432C">
            <w:pPr>
              <w:widowControl/>
              <w:jc w:val="center"/>
              <w:rPr>
                <w:rFonts w:ascii="Times New Roman" w:hAnsi="Times New Roman"/>
                <w:kern w:val="0"/>
                <w:sz w:val="24"/>
                <w:szCs w:val="24"/>
              </w:rPr>
            </w:pPr>
            <w:r>
              <w:rPr>
                <w:rFonts w:ascii="Times New Roman" w:hAnsi="Times New Roman"/>
                <w:color w:val="000000"/>
                <w:kern w:val="0"/>
                <w:sz w:val="18"/>
                <w:szCs w:val="18"/>
              </w:rPr>
              <w:t>单位热值含碳量</w:t>
            </w:r>
          </w:p>
          <w:p w14:paraId="01C8CF45">
            <w:pPr>
              <w:pStyle w:val="178"/>
              <w:rPr>
                <w:rFonts w:ascii="Times New Roman"/>
                <w:szCs w:val="18"/>
              </w:rPr>
            </w:pPr>
            <w:r>
              <w:rPr>
                <w:rFonts w:ascii="Times New Roman"/>
                <w:color w:val="000000"/>
              </w:rPr>
              <w:t>tC/GJ</w:t>
            </w:r>
          </w:p>
        </w:tc>
        <w:tc>
          <w:tcPr>
            <w:tcW w:w="2668" w:type="dxa"/>
            <w:gridSpan w:val="2"/>
            <w:tcBorders>
              <w:top w:val="single" w:color="auto" w:sz="8" w:space="0"/>
              <w:left w:val="single" w:color="auto" w:sz="4" w:space="0"/>
              <w:bottom w:val="nil"/>
              <w:right w:val="single" w:color="auto" w:sz="8" w:space="0"/>
            </w:tcBorders>
            <w:vAlign w:val="center"/>
          </w:tcPr>
          <w:p w14:paraId="0FC44D35">
            <w:pPr>
              <w:pStyle w:val="178"/>
              <w:rPr>
                <w:rFonts w:ascii="Times New Roman"/>
              </w:rPr>
            </w:pPr>
            <w:r>
              <w:rPr>
                <w:rFonts w:ascii="Times New Roman"/>
              </w:rPr>
              <w:t>碳氧化率</w:t>
            </w:r>
          </w:p>
          <w:p w14:paraId="78D29423">
            <w:pPr>
              <w:pStyle w:val="178"/>
              <w:rPr>
                <w:rFonts w:ascii="Times New Roman"/>
              </w:rPr>
            </w:pPr>
            <w:r>
              <w:rPr>
                <w:rFonts w:ascii="Times New Roman"/>
              </w:rPr>
              <w:t>%</w:t>
            </w:r>
          </w:p>
        </w:tc>
      </w:tr>
      <w:tr w14:paraId="05766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8" w:space="0"/>
              <w:left w:val="single" w:color="auto" w:sz="8" w:space="0"/>
              <w:bottom w:val="single" w:color="auto" w:sz="4" w:space="0"/>
              <w:right w:val="single" w:color="auto" w:sz="4" w:space="0"/>
            </w:tcBorders>
            <w:vAlign w:val="center"/>
          </w:tcPr>
          <w:p w14:paraId="6767FA10">
            <w:pPr>
              <w:widowControl/>
              <w:adjustRightInd/>
              <w:spacing w:line="240" w:lineRule="auto"/>
              <w:jc w:val="left"/>
              <w:rPr>
                <w:rFonts w:ascii="Times New Roman" w:hAnsi="Times New Roman"/>
                <w:kern w:val="0"/>
                <w:sz w:val="18"/>
                <w:szCs w:val="18"/>
              </w:rPr>
            </w:pPr>
          </w:p>
        </w:tc>
        <w:tc>
          <w:tcPr>
            <w:tcW w:w="0" w:type="auto"/>
            <w:vMerge w:val="continue"/>
            <w:tcBorders>
              <w:top w:val="single" w:color="auto" w:sz="8" w:space="0"/>
              <w:left w:val="single" w:color="auto" w:sz="4" w:space="0"/>
              <w:bottom w:val="single" w:color="auto" w:sz="4" w:space="0"/>
              <w:right w:val="single" w:color="auto" w:sz="4" w:space="0"/>
            </w:tcBorders>
            <w:vAlign w:val="center"/>
          </w:tcPr>
          <w:p w14:paraId="1AF12A9B">
            <w:pPr>
              <w:widowControl/>
              <w:adjustRightInd/>
              <w:spacing w:line="240" w:lineRule="auto"/>
              <w:jc w:val="left"/>
              <w:rPr>
                <w:rFonts w:ascii="Times New Roman" w:hAnsi="Times New Roman"/>
                <w:kern w:val="0"/>
                <w:sz w:val="18"/>
                <w:szCs w:val="18"/>
                <w:vertAlign w:val="superscript"/>
              </w:rPr>
            </w:pPr>
          </w:p>
        </w:tc>
        <w:tc>
          <w:tcPr>
            <w:tcW w:w="869" w:type="dxa"/>
            <w:tcBorders>
              <w:top w:val="single" w:color="auto" w:sz="8" w:space="0"/>
              <w:left w:val="single" w:color="auto" w:sz="4" w:space="0"/>
              <w:bottom w:val="single" w:color="auto" w:sz="4" w:space="0"/>
              <w:right w:val="single" w:color="auto" w:sz="4" w:space="0"/>
            </w:tcBorders>
            <w:vAlign w:val="center"/>
          </w:tcPr>
          <w:p w14:paraId="30FC3A47">
            <w:pPr>
              <w:pStyle w:val="178"/>
              <w:rPr>
                <w:rFonts w:ascii="Times New Roman"/>
              </w:rPr>
            </w:pPr>
            <w:r>
              <w:rPr>
                <w:rFonts w:ascii="Times New Roman"/>
              </w:rPr>
              <w:t>数据</w:t>
            </w:r>
          </w:p>
        </w:tc>
        <w:tc>
          <w:tcPr>
            <w:tcW w:w="1798" w:type="dxa"/>
            <w:tcBorders>
              <w:top w:val="single" w:color="auto" w:sz="8" w:space="0"/>
              <w:left w:val="single" w:color="auto" w:sz="4" w:space="0"/>
              <w:bottom w:val="single" w:color="auto" w:sz="4" w:space="0"/>
              <w:right w:val="single" w:color="auto" w:sz="4" w:space="0"/>
            </w:tcBorders>
            <w:vAlign w:val="center"/>
          </w:tcPr>
          <w:p w14:paraId="57547196">
            <w:pPr>
              <w:pStyle w:val="178"/>
              <w:rPr>
                <w:rFonts w:ascii="Times New Roman"/>
              </w:rPr>
            </w:pPr>
            <w:r>
              <w:rPr>
                <w:rFonts w:ascii="Times New Roman"/>
              </w:rPr>
              <w:t>数据来源</w:t>
            </w:r>
          </w:p>
        </w:tc>
        <w:tc>
          <w:tcPr>
            <w:tcW w:w="0" w:type="auto"/>
            <w:vMerge w:val="continue"/>
            <w:tcBorders>
              <w:top w:val="single" w:color="auto" w:sz="8" w:space="0"/>
              <w:left w:val="single" w:color="auto" w:sz="4" w:space="0"/>
              <w:bottom w:val="single" w:color="auto" w:sz="4" w:space="0"/>
              <w:right w:val="single" w:color="auto" w:sz="4" w:space="0"/>
            </w:tcBorders>
            <w:vAlign w:val="center"/>
          </w:tcPr>
          <w:p w14:paraId="5D965F62">
            <w:pPr>
              <w:widowControl/>
              <w:adjustRightInd/>
              <w:spacing w:line="240" w:lineRule="auto"/>
              <w:jc w:val="left"/>
              <w:rPr>
                <w:rFonts w:ascii="Times New Roman" w:hAnsi="Times New Roman"/>
                <w:kern w:val="0"/>
                <w:sz w:val="18"/>
                <w:szCs w:val="18"/>
              </w:rPr>
            </w:pPr>
          </w:p>
        </w:tc>
        <w:tc>
          <w:tcPr>
            <w:tcW w:w="979" w:type="dxa"/>
            <w:tcBorders>
              <w:top w:val="single" w:color="auto" w:sz="8" w:space="0"/>
              <w:left w:val="single" w:color="auto" w:sz="4" w:space="0"/>
              <w:bottom w:val="single" w:color="auto" w:sz="4" w:space="0"/>
              <w:right w:val="single" w:color="auto" w:sz="4" w:space="0"/>
            </w:tcBorders>
            <w:vAlign w:val="center"/>
          </w:tcPr>
          <w:p w14:paraId="6CD60EE9">
            <w:pPr>
              <w:pStyle w:val="178"/>
              <w:rPr>
                <w:rFonts w:ascii="Times New Roman"/>
              </w:rPr>
            </w:pPr>
            <w:r>
              <w:rPr>
                <w:rFonts w:ascii="Times New Roman"/>
              </w:rPr>
              <w:t>数据</w:t>
            </w:r>
          </w:p>
        </w:tc>
        <w:tc>
          <w:tcPr>
            <w:tcW w:w="1689" w:type="dxa"/>
            <w:tcBorders>
              <w:top w:val="single" w:color="auto" w:sz="8" w:space="0"/>
              <w:left w:val="single" w:color="auto" w:sz="4" w:space="0"/>
              <w:bottom w:val="single" w:color="auto" w:sz="4" w:space="0"/>
              <w:right w:val="single" w:color="auto" w:sz="8" w:space="0"/>
            </w:tcBorders>
            <w:vAlign w:val="center"/>
          </w:tcPr>
          <w:p w14:paraId="6B06F874">
            <w:pPr>
              <w:pStyle w:val="178"/>
              <w:rPr>
                <w:rFonts w:ascii="Times New Roman"/>
              </w:rPr>
            </w:pPr>
            <w:r>
              <w:rPr>
                <w:rFonts w:ascii="Times New Roman"/>
              </w:rPr>
              <w:t>数据来源</w:t>
            </w:r>
          </w:p>
        </w:tc>
      </w:tr>
      <w:tr w14:paraId="4960B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vAlign w:val="center"/>
          </w:tcPr>
          <w:p w14:paraId="2A0FF872">
            <w:pPr>
              <w:pStyle w:val="178"/>
              <w:rPr>
                <w:rFonts w:ascii="Times New Roman"/>
              </w:rPr>
            </w:pPr>
            <w:r>
              <w:rPr>
                <w:rFonts w:ascii="Times New Roman"/>
              </w:rPr>
              <w:t>无烟煤</w:t>
            </w:r>
          </w:p>
        </w:tc>
        <w:tc>
          <w:tcPr>
            <w:tcW w:w="1333" w:type="dxa"/>
            <w:tcBorders>
              <w:top w:val="single" w:color="auto" w:sz="4" w:space="0"/>
              <w:left w:val="single" w:color="auto" w:sz="4" w:space="0"/>
              <w:bottom w:val="single" w:color="auto" w:sz="4" w:space="0"/>
              <w:right w:val="single" w:color="auto" w:sz="4" w:space="0"/>
            </w:tcBorders>
            <w:vAlign w:val="center"/>
          </w:tcPr>
          <w:p w14:paraId="41BAFAE4">
            <w:pPr>
              <w:pStyle w:val="178"/>
              <w:rPr>
                <w:rFonts w:ascii="Times New Roman"/>
              </w:rPr>
            </w:pPr>
          </w:p>
        </w:tc>
        <w:tc>
          <w:tcPr>
            <w:tcW w:w="869" w:type="dxa"/>
            <w:tcBorders>
              <w:top w:val="single" w:color="auto" w:sz="4" w:space="0"/>
              <w:left w:val="single" w:color="auto" w:sz="4" w:space="0"/>
              <w:bottom w:val="single" w:color="auto" w:sz="4" w:space="0"/>
              <w:right w:val="single" w:color="auto" w:sz="4" w:space="0"/>
            </w:tcBorders>
            <w:vAlign w:val="center"/>
          </w:tcPr>
          <w:p w14:paraId="3D37CFA0">
            <w:pPr>
              <w:pStyle w:val="178"/>
              <w:rPr>
                <w:rFonts w:ascii="Times New Roman"/>
              </w:rPr>
            </w:pPr>
          </w:p>
        </w:tc>
        <w:tc>
          <w:tcPr>
            <w:tcW w:w="1798" w:type="dxa"/>
            <w:tcBorders>
              <w:top w:val="single" w:color="auto" w:sz="4" w:space="0"/>
              <w:left w:val="single" w:color="auto" w:sz="4" w:space="0"/>
              <w:bottom w:val="single" w:color="auto" w:sz="4" w:space="0"/>
              <w:right w:val="single" w:color="auto" w:sz="4" w:space="0"/>
            </w:tcBorders>
            <w:vAlign w:val="center"/>
          </w:tcPr>
          <w:p w14:paraId="2124FBF4">
            <w:pPr>
              <w:pStyle w:val="178"/>
              <w:rPr>
                <w:rFonts w:ascii="Times New Roman"/>
              </w:rPr>
            </w:pPr>
            <w:r>
              <w:rPr>
                <w:rFonts w:ascii="Times New Roman"/>
              </w:rPr>
              <w:t>□实测值□缺省值</w:t>
            </w:r>
          </w:p>
        </w:tc>
        <w:tc>
          <w:tcPr>
            <w:tcW w:w="1334" w:type="dxa"/>
            <w:tcBorders>
              <w:top w:val="single" w:color="auto" w:sz="4" w:space="0"/>
              <w:left w:val="single" w:color="auto" w:sz="4" w:space="0"/>
              <w:bottom w:val="single" w:color="auto" w:sz="4" w:space="0"/>
              <w:right w:val="single" w:color="auto" w:sz="4" w:space="0"/>
            </w:tcBorders>
            <w:vAlign w:val="center"/>
          </w:tcPr>
          <w:p w14:paraId="22E2766A">
            <w:pPr>
              <w:pStyle w:val="178"/>
              <w:rPr>
                <w:rFonts w:ascii="Times New Roman"/>
              </w:rPr>
            </w:pPr>
          </w:p>
        </w:tc>
        <w:tc>
          <w:tcPr>
            <w:tcW w:w="979" w:type="dxa"/>
            <w:tcBorders>
              <w:top w:val="single" w:color="auto" w:sz="4" w:space="0"/>
              <w:left w:val="single" w:color="auto" w:sz="4" w:space="0"/>
              <w:bottom w:val="single" w:color="auto" w:sz="4" w:space="0"/>
              <w:right w:val="single" w:color="auto" w:sz="4" w:space="0"/>
            </w:tcBorders>
            <w:vAlign w:val="center"/>
          </w:tcPr>
          <w:p w14:paraId="64E591E1">
            <w:pPr>
              <w:pStyle w:val="178"/>
              <w:rPr>
                <w:rFonts w:ascii="Times New Roman"/>
              </w:rPr>
            </w:pPr>
          </w:p>
        </w:tc>
        <w:tc>
          <w:tcPr>
            <w:tcW w:w="1689" w:type="dxa"/>
            <w:tcBorders>
              <w:top w:val="single" w:color="auto" w:sz="4" w:space="0"/>
              <w:left w:val="single" w:color="auto" w:sz="4" w:space="0"/>
              <w:bottom w:val="single" w:color="auto" w:sz="4" w:space="0"/>
              <w:right w:val="single" w:color="auto" w:sz="8" w:space="0"/>
            </w:tcBorders>
            <w:vAlign w:val="center"/>
          </w:tcPr>
          <w:p w14:paraId="561A489E">
            <w:pPr>
              <w:pStyle w:val="178"/>
              <w:rPr>
                <w:rFonts w:ascii="Times New Roman"/>
              </w:rPr>
            </w:pPr>
            <w:r>
              <w:rPr>
                <w:rFonts w:ascii="Times New Roman"/>
              </w:rPr>
              <w:t>□实测值□缺省值</w:t>
            </w:r>
          </w:p>
        </w:tc>
      </w:tr>
      <w:tr w14:paraId="267FC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vAlign w:val="center"/>
          </w:tcPr>
          <w:p w14:paraId="1DEA606E">
            <w:pPr>
              <w:pStyle w:val="178"/>
              <w:rPr>
                <w:rFonts w:ascii="Times New Roman"/>
              </w:rPr>
            </w:pPr>
            <w:r>
              <w:rPr>
                <w:rFonts w:ascii="Times New Roman"/>
              </w:rPr>
              <w:t>烟煤</w:t>
            </w:r>
          </w:p>
        </w:tc>
        <w:tc>
          <w:tcPr>
            <w:tcW w:w="1333" w:type="dxa"/>
            <w:tcBorders>
              <w:top w:val="single" w:color="auto" w:sz="4" w:space="0"/>
              <w:left w:val="single" w:color="auto" w:sz="4" w:space="0"/>
              <w:bottom w:val="single" w:color="auto" w:sz="4" w:space="0"/>
              <w:right w:val="single" w:color="auto" w:sz="4" w:space="0"/>
            </w:tcBorders>
            <w:vAlign w:val="center"/>
          </w:tcPr>
          <w:p w14:paraId="43820FA9">
            <w:pPr>
              <w:pStyle w:val="178"/>
              <w:rPr>
                <w:rFonts w:ascii="Times New Roman"/>
              </w:rPr>
            </w:pPr>
          </w:p>
        </w:tc>
        <w:tc>
          <w:tcPr>
            <w:tcW w:w="869" w:type="dxa"/>
            <w:tcBorders>
              <w:top w:val="single" w:color="auto" w:sz="4" w:space="0"/>
              <w:left w:val="single" w:color="auto" w:sz="4" w:space="0"/>
              <w:bottom w:val="single" w:color="auto" w:sz="4" w:space="0"/>
              <w:right w:val="single" w:color="auto" w:sz="4" w:space="0"/>
            </w:tcBorders>
            <w:vAlign w:val="center"/>
          </w:tcPr>
          <w:p w14:paraId="6F9FACF8">
            <w:pPr>
              <w:pStyle w:val="178"/>
              <w:rPr>
                <w:rFonts w:ascii="Times New Roman"/>
              </w:rPr>
            </w:pPr>
          </w:p>
        </w:tc>
        <w:tc>
          <w:tcPr>
            <w:tcW w:w="1798" w:type="dxa"/>
            <w:tcBorders>
              <w:top w:val="single" w:color="auto" w:sz="4" w:space="0"/>
              <w:left w:val="single" w:color="auto" w:sz="4" w:space="0"/>
              <w:bottom w:val="single" w:color="auto" w:sz="4" w:space="0"/>
              <w:right w:val="single" w:color="auto" w:sz="4" w:space="0"/>
            </w:tcBorders>
            <w:vAlign w:val="center"/>
          </w:tcPr>
          <w:p w14:paraId="5BBB997B">
            <w:pPr>
              <w:pStyle w:val="178"/>
              <w:rPr>
                <w:rFonts w:ascii="Times New Roman"/>
              </w:rPr>
            </w:pPr>
            <w:r>
              <w:rPr>
                <w:rFonts w:ascii="Times New Roman"/>
              </w:rPr>
              <w:t>□实测值□缺省值</w:t>
            </w:r>
          </w:p>
        </w:tc>
        <w:tc>
          <w:tcPr>
            <w:tcW w:w="1334" w:type="dxa"/>
            <w:tcBorders>
              <w:top w:val="single" w:color="auto" w:sz="4" w:space="0"/>
              <w:left w:val="single" w:color="auto" w:sz="4" w:space="0"/>
              <w:bottom w:val="single" w:color="auto" w:sz="4" w:space="0"/>
              <w:right w:val="single" w:color="auto" w:sz="4" w:space="0"/>
            </w:tcBorders>
            <w:vAlign w:val="center"/>
          </w:tcPr>
          <w:p w14:paraId="46FBF965">
            <w:pPr>
              <w:pStyle w:val="178"/>
              <w:rPr>
                <w:rFonts w:ascii="Times New Roman"/>
              </w:rPr>
            </w:pPr>
          </w:p>
        </w:tc>
        <w:tc>
          <w:tcPr>
            <w:tcW w:w="979" w:type="dxa"/>
            <w:tcBorders>
              <w:top w:val="single" w:color="auto" w:sz="4" w:space="0"/>
              <w:left w:val="single" w:color="auto" w:sz="4" w:space="0"/>
              <w:bottom w:val="single" w:color="auto" w:sz="4" w:space="0"/>
              <w:right w:val="single" w:color="auto" w:sz="4" w:space="0"/>
            </w:tcBorders>
            <w:vAlign w:val="center"/>
          </w:tcPr>
          <w:p w14:paraId="4B9B7F3E">
            <w:pPr>
              <w:pStyle w:val="178"/>
              <w:rPr>
                <w:rFonts w:ascii="Times New Roman"/>
              </w:rPr>
            </w:pPr>
          </w:p>
        </w:tc>
        <w:tc>
          <w:tcPr>
            <w:tcW w:w="1689" w:type="dxa"/>
            <w:tcBorders>
              <w:top w:val="single" w:color="auto" w:sz="4" w:space="0"/>
              <w:left w:val="single" w:color="auto" w:sz="4" w:space="0"/>
              <w:bottom w:val="single" w:color="auto" w:sz="4" w:space="0"/>
              <w:right w:val="single" w:color="auto" w:sz="8" w:space="0"/>
            </w:tcBorders>
            <w:vAlign w:val="center"/>
          </w:tcPr>
          <w:p w14:paraId="276D486A">
            <w:pPr>
              <w:pStyle w:val="178"/>
              <w:rPr>
                <w:rFonts w:ascii="Times New Roman"/>
              </w:rPr>
            </w:pPr>
            <w:r>
              <w:rPr>
                <w:rFonts w:ascii="Times New Roman"/>
              </w:rPr>
              <w:t>□实测值□缺省值</w:t>
            </w:r>
          </w:p>
        </w:tc>
      </w:tr>
      <w:tr w14:paraId="129D9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vAlign w:val="center"/>
          </w:tcPr>
          <w:p w14:paraId="0F8E085E">
            <w:pPr>
              <w:pStyle w:val="178"/>
              <w:rPr>
                <w:rFonts w:ascii="Times New Roman"/>
              </w:rPr>
            </w:pPr>
            <w:r>
              <w:rPr>
                <w:rFonts w:ascii="Times New Roman"/>
              </w:rPr>
              <w:t>褐煤</w:t>
            </w:r>
          </w:p>
        </w:tc>
        <w:tc>
          <w:tcPr>
            <w:tcW w:w="1333" w:type="dxa"/>
            <w:tcBorders>
              <w:top w:val="single" w:color="auto" w:sz="4" w:space="0"/>
              <w:left w:val="single" w:color="auto" w:sz="4" w:space="0"/>
              <w:bottom w:val="single" w:color="auto" w:sz="4" w:space="0"/>
              <w:right w:val="single" w:color="auto" w:sz="4" w:space="0"/>
            </w:tcBorders>
            <w:vAlign w:val="center"/>
          </w:tcPr>
          <w:p w14:paraId="56E3AB41">
            <w:pPr>
              <w:pStyle w:val="178"/>
              <w:rPr>
                <w:rFonts w:ascii="Times New Roman"/>
              </w:rPr>
            </w:pPr>
          </w:p>
        </w:tc>
        <w:tc>
          <w:tcPr>
            <w:tcW w:w="869" w:type="dxa"/>
            <w:tcBorders>
              <w:top w:val="single" w:color="auto" w:sz="4" w:space="0"/>
              <w:left w:val="single" w:color="auto" w:sz="4" w:space="0"/>
              <w:bottom w:val="single" w:color="auto" w:sz="4" w:space="0"/>
              <w:right w:val="single" w:color="auto" w:sz="4" w:space="0"/>
            </w:tcBorders>
            <w:vAlign w:val="center"/>
          </w:tcPr>
          <w:p w14:paraId="772DC3C9">
            <w:pPr>
              <w:pStyle w:val="178"/>
              <w:rPr>
                <w:rFonts w:ascii="Times New Roman"/>
              </w:rPr>
            </w:pPr>
          </w:p>
        </w:tc>
        <w:tc>
          <w:tcPr>
            <w:tcW w:w="1798" w:type="dxa"/>
            <w:tcBorders>
              <w:top w:val="single" w:color="auto" w:sz="4" w:space="0"/>
              <w:left w:val="single" w:color="auto" w:sz="4" w:space="0"/>
              <w:bottom w:val="single" w:color="auto" w:sz="4" w:space="0"/>
              <w:right w:val="single" w:color="auto" w:sz="4" w:space="0"/>
            </w:tcBorders>
            <w:vAlign w:val="center"/>
          </w:tcPr>
          <w:p w14:paraId="31BCFACB">
            <w:pPr>
              <w:pStyle w:val="178"/>
              <w:rPr>
                <w:rFonts w:ascii="Times New Roman"/>
              </w:rPr>
            </w:pPr>
            <w:r>
              <w:rPr>
                <w:rFonts w:ascii="Times New Roman"/>
              </w:rPr>
              <w:t>□实测值□缺省值</w:t>
            </w:r>
          </w:p>
        </w:tc>
        <w:tc>
          <w:tcPr>
            <w:tcW w:w="1334" w:type="dxa"/>
            <w:tcBorders>
              <w:top w:val="single" w:color="auto" w:sz="4" w:space="0"/>
              <w:left w:val="single" w:color="auto" w:sz="4" w:space="0"/>
              <w:bottom w:val="single" w:color="auto" w:sz="4" w:space="0"/>
              <w:right w:val="single" w:color="auto" w:sz="4" w:space="0"/>
            </w:tcBorders>
            <w:vAlign w:val="center"/>
          </w:tcPr>
          <w:p w14:paraId="39EE127E">
            <w:pPr>
              <w:pStyle w:val="178"/>
              <w:rPr>
                <w:rFonts w:ascii="Times New Roman"/>
              </w:rPr>
            </w:pPr>
          </w:p>
        </w:tc>
        <w:tc>
          <w:tcPr>
            <w:tcW w:w="979" w:type="dxa"/>
            <w:tcBorders>
              <w:top w:val="single" w:color="auto" w:sz="4" w:space="0"/>
              <w:left w:val="single" w:color="auto" w:sz="4" w:space="0"/>
              <w:bottom w:val="single" w:color="auto" w:sz="4" w:space="0"/>
              <w:right w:val="single" w:color="auto" w:sz="4" w:space="0"/>
            </w:tcBorders>
            <w:vAlign w:val="center"/>
          </w:tcPr>
          <w:p w14:paraId="7D482FF4">
            <w:pPr>
              <w:pStyle w:val="178"/>
              <w:rPr>
                <w:rFonts w:ascii="Times New Roman"/>
              </w:rPr>
            </w:pPr>
          </w:p>
        </w:tc>
        <w:tc>
          <w:tcPr>
            <w:tcW w:w="1689" w:type="dxa"/>
            <w:tcBorders>
              <w:top w:val="single" w:color="auto" w:sz="4" w:space="0"/>
              <w:left w:val="single" w:color="auto" w:sz="4" w:space="0"/>
              <w:bottom w:val="single" w:color="auto" w:sz="4" w:space="0"/>
              <w:right w:val="single" w:color="auto" w:sz="8" w:space="0"/>
            </w:tcBorders>
            <w:vAlign w:val="center"/>
          </w:tcPr>
          <w:p w14:paraId="5564AF15">
            <w:pPr>
              <w:pStyle w:val="178"/>
              <w:rPr>
                <w:rFonts w:ascii="Times New Roman"/>
              </w:rPr>
            </w:pPr>
            <w:r>
              <w:rPr>
                <w:rFonts w:ascii="Times New Roman"/>
              </w:rPr>
              <w:t>□实测值□缺省值</w:t>
            </w:r>
          </w:p>
        </w:tc>
      </w:tr>
      <w:tr w14:paraId="40FC2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vAlign w:val="center"/>
          </w:tcPr>
          <w:p w14:paraId="423C94F0">
            <w:pPr>
              <w:pStyle w:val="178"/>
              <w:rPr>
                <w:rFonts w:ascii="Times New Roman"/>
              </w:rPr>
            </w:pPr>
            <w:r>
              <w:rPr>
                <w:rFonts w:ascii="Times New Roman"/>
              </w:rPr>
              <w:t>原油</w:t>
            </w:r>
          </w:p>
        </w:tc>
        <w:tc>
          <w:tcPr>
            <w:tcW w:w="1333" w:type="dxa"/>
            <w:tcBorders>
              <w:top w:val="single" w:color="auto" w:sz="4" w:space="0"/>
              <w:left w:val="single" w:color="auto" w:sz="4" w:space="0"/>
              <w:bottom w:val="single" w:color="auto" w:sz="4" w:space="0"/>
              <w:right w:val="single" w:color="auto" w:sz="4" w:space="0"/>
            </w:tcBorders>
            <w:vAlign w:val="center"/>
          </w:tcPr>
          <w:p w14:paraId="292A9720">
            <w:pPr>
              <w:pStyle w:val="178"/>
              <w:rPr>
                <w:rFonts w:ascii="Times New Roman"/>
              </w:rPr>
            </w:pPr>
          </w:p>
        </w:tc>
        <w:tc>
          <w:tcPr>
            <w:tcW w:w="869" w:type="dxa"/>
            <w:tcBorders>
              <w:top w:val="single" w:color="auto" w:sz="4" w:space="0"/>
              <w:left w:val="single" w:color="auto" w:sz="4" w:space="0"/>
              <w:bottom w:val="single" w:color="auto" w:sz="4" w:space="0"/>
              <w:right w:val="single" w:color="auto" w:sz="4" w:space="0"/>
            </w:tcBorders>
            <w:vAlign w:val="center"/>
          </w:tcPr>
          <w:p w14:paraId="61F47B98">
            <w:pPr>
              <w:pStyle w:val="178"/>
              <w:rPr>
                <w:rFonts w:ascii="Times New Roman"/>
              </w:rPr>
            </w:pPr>
          </w:p>
        </w:tc>
        <w:tc>
          <w:tcPr>
            <w:tcW w:w="1798" w:type="dxa"/>
            <w:tcBorders>
              <w:top w:val="single" w:color="auto" w:sz="4" w:space="0"/>
              <w:left w:val="single" w:color="auto" w:sz="4" w:space="0"/>
              <w:bottom w:val="single" w:color="auto" w:sz="4" w:space="0"/>
              <w:right w:val="single" w:color="auto" w:sz="4" w:space="0"/>
            </w:tcBorders>
            <w:vAlign w:val="center"/>
          </w:tcPr>
          <w:p w14:paraId="7B364F4E">
            <w:pPr>
              <w:pStyle w:val="178"/>
              <w:rPr>
                <w:rFonts w:ascii="Times New Roman"/>
              </w:rPr>
            </w:pPr>
            <w:r>
              <w:rPr>
                <w:rFonts w:ascii="Times New Roman"/>
              </w:rPr>
              <w:t>□实测值□缺省值</w:t>
            </w:r>
          </w:p>
        </w:tc>
        <w:tc>
          <w:tcPr>
            <w:tcW w:w="1334" w:type="dxa"/>
            <w:tcBorders>
              <w:top w:val="single" w:color="auto" w:sz="4" w:space="0"/>
              <w:left w:val="single" w:color="auto" w:sz="4" w:space="0"/>
              <w:bottom w:val="single" w:color="auto" w:sz="4" w:space="0"/>
              <w:right w:val="single" w:color="auto" w:sz="4" w:space="0"/>
            </w:tcBorders>
            <w:vAlign w:val="center"/>
          </w:tcPr>
          <w:p w14:paraId="6D8D6269">
            <w:pPr>
              <w:pStyle w:val="178"/>
              <w:rPr>
                <w:rFonts w:ascii="Times New Roman"/>
              </w:rPr>
            </w:pPr>
          </w:p>
        </w:tc>
        <w:tc>
          <w:tcPr>
            <w:tcW w:w="979" w:type="dxa"/>
            <w:tcBorders>
              <w:top w:val="single" w:color="auto" w:sz="4" w:space="0"/>
              <w:left w:val="single" w:color="auto" w:sz="4" w:space="0"/>
              <w:bottom w:val="single" w:color="auto" w:sz="4" w:space="0"/>
              <w:right w:val="single" w:color="auto" w:sz="4" w:space="0"/>
            </w:tcBorders>
            <w:vAlign w:val="center"/>
          </w:tcPr>
          <w:p w14:paraId="640558BE">
            <w:pPr>
              <w:pStyle w:val="178"/>
              <w:rPr>
                <w:rFonts w:ascii="Times New Roman"/>
              </w:rPr>
            </w:pPr>
          </w:p>
        </w:tc>
        <w:tc>
          <w:tcPr>
            <w:tcW w:w="1689" w:type="dxa"/>
            <w:tcBorders>
              <w:top w:val="single" w:color="auto" w:sz="4" w:space="0"/>
              <w:left w:val="single" w:color="auto" w:sz="4" w:space="0"/>
              <w:bottom w:val="single" w:color="auto" w:sz="4" w:space="0"/>
              <w:right w:val="single" w:color="auto" w:sz="8" w:space="0"/>
            </w:tcBorders>
            <w:vAlign w:val="center"/>
          </w:tcPr>
          <w:p w14:paraId="3C2A61F1">
            <w:pPr>
              <w:pStyle w:val="178"/>
              <w:rPr>
                <w:rFonts w:ascii="Times New Roman"/>
              </w:rPr>
            </w:pPr>
            <w:r>
              <w:rPr>
                <w:rFonts w:ascii="Times New Roman"/>
              </w:rPr>
              <w:t>□实测值□缺省值</w:t>
            </w:r>
          </w:p>
        </w:tc>
      </w:tr>
      <w:tr w14:paraId="61E91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vAlign w:val="center"/>
          </w:tcPr>
          <w:p w14:paraId="24E8E3B8">
            <w:pPr>
              <w:pStyle w:val="178"/>
              <w:rPr>
                <w:rFonts w:ascii="Times New Roman"/>
              </w:rPr>
            </w:pPr>
            <w:r>
              <w:rPr>
                <w:rFonts w:ascii="Times New Roman"/>
              </w:rPr>
              <w:t>燃料油</w:t>
            </w:r>
          </w:p>
        </w:tc>
        <w:tc>
          <w:tcPr>
            <w:tcW w:w="1333" w:type="dxa"/>
            <w:tcBorders>
              <w:top w:val="single" w:color="auto" w:sz="4" w:space="0"/>
              <w:left w:val="single" w:color="auto" w:sz="4" w:space="0"/>
              <w:bottom w:val="single" w:color="auto" w:sz="4" w:space="0"/>
              <w:right w:val="single" w:color="auto" w:sz="4" w:space="0"/>
            </w:tcBorders>
            <w:vAlign w:val="center"/>
          </w:tcPr>
          <w:p w14:paraId="1574D85F">
            <w:pPr>
              <w:pStyle w:val="178"/>
              <w:rPr>
                <w:rFonts w:ascii="Times New Roman"/>
              </w:rPr>
            </w:pPr>
          </w:p>
        </w:tc>
        <w:tc>
          <w:tcPr>
            <w:tcW w:w="869" w:type="dxa"/>
            <w:tcBorders>
              <w:top w:val="single" w:color="auto" w:sz="4" w:space="0"/>
              <w:left w:val="single" w:color="auto" w:sz="4" w:space="0"/>
              <w:bottom w:val="single" w:color="auto" w:sz="4" w:space="0"/>
              <w:right w:val="single" w:color="auto" w:sz="4" w:space="0"/>
            </w:tcBorders>
            <w:vAlign w:val="center"/>
          </w:tcPr>
          <w:p w14:paraId="3E9D75C6">
            <w:pPr>
              <w:pStyle w:val="178"/>
              <w:rPr>
                <w:rFonts w:ascii="Times New Roman"/>
              </w:rPr>
            </w:pPr>
          </w:p>
        </w:tc>
        <w:tc>
          <w:tcPr>
            <w:tcW w:w="1798" w:type="dxa"/>
            <w:tcBorders>
              <w:top w:val="single" w:color="auto" w:sz="4" w:space="0"/>
              <w:left w:val="single" w:color="auto" w:sz="4" w:space="0"/>
              <w:bottom w:val="single" w:color="auto" w:sz="4" w:space="0"/>
              <w:right w:val="single" w:color="auto" w:sz="4" w:space="0"/>
            </w:tcBorders>
            <w:vAlign w:val="center"/>
          </w:tcPr>
          <w:p w14:paraId="39BC0EC9">
            <w:pPr>
              <w:pStyle w:val="178"/>
              <w:rPr>
                <w:rFonts w:ascii="Times New Roman"/>
              </w:rPr>
            </w:pPr>
            <w:r>
              <w:rPr>
                <w:rFonts w:ascii="Times New Roman"/>
              </w:rPr>
              <w:t>□实测值□缺省值</w:t>
            </w:r>
          </w:p>
        </w:tc>
        <w:tc>
          <w:tcPr>
            <w:tcW w:w="1334" w:type="dxa"/>
            <w:tcBorders>
              <w:top w:val="single" w:color="auto" w:sz="4" w:space="0"/>
              <w:left w:val="single" w:color="auto" w:sz="4" w:space="0"/>
              <w:bottom w:val="single" w:color="auto" w:sz="4" w:space="0"/>
              <w:right w:val="single" w:color="auto" w:sz="4" w:space="0"/>
            </w:tcBorders>
            <w:vAlign w:val="center"/>
          </w:tcPr>
          <w:p w14:paraId="7E901766">
            <w:pPr>
              <w:pStyle w:val="178"/>
              <w:rPr>
                <w:rFonts w:ascii="Times New Roman"/>
              </w:rPr>
            </w:pPr>
          </w:p>
        </w:tc>
        <w:tc>
          <w:tcPr>
            <w:tcW w:w="979" w:type="dxa"/>
            <w:tcBorders>
              <w:top w:val="single" w:color="auto" w:sz="4" w:space="0"/>
              <w:left w:val="single" w:color="auto" w:sz="4" w:space="0"/>
              <w:bottom w:val="single" w:color="auto" w:sz="4" w:space="0"/>
              <w:right w:val="single" w:color="auto" w:sz="4" w:space="0"/>
            </w:tcBorders>
            <w:vAlign w:val="center"/>
          </w:tcPr>
          <w:p w14:paraId="78DE90D9">
            <w:pPr>
              <w:pStyle w:val="178"/>
              <w:rPr>
                <w:rFonts w:ascii="Times New Roman"/>
              </w:rPr>
            </w:pPr>
          </w:p>
        </w:tc>
        <w:tc>
          <w:tcPr>
            <w:tcW w:w="1689" w:type="dxa"/>
            <w:tcBorders>
              <w:top w:val="single" w:color="auto" w:sz="4" w:space="0"/>
              <w:left w:val="single" w:color="auto" w:sz="4" w:space="0"/>
              <w:bottom w:val="single" w:color="auto" w:sz="4" w:space="0"/>
              <w:right w:val="single" w:color="auto" w:sz="8" w:space="0"/>
            </w:tcBorders>
            <w:vAlign w:val="center"/>
          </w:tcPr>
          <w:p w14:paraId="0D67CB26">
            <w:pPr>
              <w:pStyle w:val="178"/>
              <w:rPr>
                <w:rFonts w:ascii="Times New Roman"/>
              </w:rPr>
            </w:pPr>
            <w:r>
              <w:rPr>
                <w:rFonts w:ascii="Times New Roman"/>
              </w:rPr>
              <w:t>□实测值□缺省值</w:t>
            </w:r>
          </w:p>
        </w:tc>
      </w:tr>
      <w:tr w14:paraId="6DC57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vAlign w:val="center"/>
          </w:tcPr>
          <w:p w14:paraId="470DBC3E">
            <w:pPr>
              <w:pStyle w:val="178"/>
              <w:rPr>
                <w:rFonts w:ascii="Times New Roman"/>
              </w:rPr>
            </w:pPr>
            <w:r>
              <w:rPr>
                <w:rFonts w:ascii="Times New Roman"/>
              </w:rPr>
              <w:t>汽油</w:t>
            </w:r>
          </w:p>
        </w:tc>
        <w:tc>
          <w:tcPr>
            <w:tcW w:w="1333" w:type="dxa"/>
            <w:tcBorders>
              <w:top w:val="single" w:color="auto" w:sz="4" w:space="0"/>
              <w:left w:val="single" w:color="auto" w:sz="4" w:space="0"/>
              <w:bottom w:val="single" w:color="auto" w:sz="4" w:space="0"/>
              <w:right w:val="single" w:color="auto" w:sz="4" w:space="0"/>
            </w:tcBorders>
            <w:vAlign w:val="center"/>
          </w:tcPr>
          <w:p w14:paraId="74FB7BE6">
            <w:pPr>
              <w:pStyle w:val="178"/>
              <w:rPr>
                <w:rFonts w:ascii="Times New Roman"/>
              </w:rPr>
            </w:pPr>
          </w:p>
        </w:tc>
        <w:tc>
          <w:tcPr>
            <w:tcW w:w="869" w:type="dxa"/>
            <w:tcBorders>
              <w:top w:val="single" w:color="auto" w:sz="4" w:space="0"/>
              <w:left w:val="single" w:color="auto" w:sz="4" w:space="0"/>
              <w:bottom w:val="single" w:color="auto" w:sz="4" w:space="0"/>
              <w:right w:val="single" w:color="auto" w:sz="4" w:space="0"/>
            </w:tcBorders>
            <w:vAlign w:val="center"/>
          </w:tcPr>
          <w:p w14:paraId="6ECD1D8A">
            <w:pPr>
              <w:pStyle w:val="178"/>
              <w:rPr>
                <w:rFonts w:ascii="Times New Roman"/>
              </w:rPr>
            </w:pPr>
          </w:p>
        </w:tc>
        <w:tc>
          <w:tcPr>
            <w:tcW w:w="1798" w:type="dxa"/>
            <w:tcBorders>
              <w:top w:val="single" w:color="auto" w:sz="4" w:space="0"/>
              <w:left w:val="single" w:color="auto" w:sz="4" w:space="0"/>
              <w:bottom w:val="single" w:color="auto" w:sz="4" w:space="0"/>
              <w:right w:val="single" w:color="auto" w:sz="4" w:space="0"/>
            </w:tcBorders>
            <w:vAlign w:val="center"/>
          </w:tcPr>
          <w:p w14:paraId="4DF3220E">
            <w:pPr>
              <w:pStyle w:val="178"/>
              <w:rPr>
                <w:rFonts w:ascii="Times New Roman"/>
              </w:rPr>
            </w:pPr>
            <w:r>
              <w:rPr>
                <w:rFonts w:ascii="Times New Roman"/>
              </w:rPr>
              <w:t>□实测值□缺省值</w:t>
            </w:r>
          </w:p>
        </w:tc>
        <w:tc>
          <w:tcPr>
            <w:tcW w:w="1334" w:type="dxa"/>
            <w:tcBorders>
              <w:top w:val="single" w:color="auto" w:sz="4" w:space="0"/>
              <w:left w:val="single" w:color="auto" w:sz="4" w:space="0"/>
              <w:bottom w:val="single" w:color="auto" w:sz="4" w:space="0"/>
              <w:right w:val="single" w:color="auto" w:sz="4" w:space="0"/>
            </w:tcBorders>
            <w:vAlign w:val="center"/>
          </w:tcPr>
          <w:p w14:paraId="036E54B9">
            <w:pPr>
              <w:pStyle w:val="178"/>
              <w:rPr>
                <w:rFonts w:ascii="Times New Roman"/>
              </w:rPr>
            </w:pPr>
          </w:p>
        </w:tc>
        <w:tc>
          <w:tcPr>
            <w:tcW w:w="979" w:type="dxa"/>
            <w:tcBorders>
              <w:top w:val="single" w:color="auto" w:sz="4" w:space="0"/>
              <w:left w:val="single" w:color="auto" w:sz="4" w:space="0"/>
              <w:bottom w:val="single" w:color="auto" w:sz="4" w:space="0"/>
              <w:right w:val="single" w:color="auto" w:sz="4" w:space="0"/>
            </w:tcBorders>
            <w:vAlign w:val="center"/>
          </w:tcPr>
          <w:p w14:paraId="3AB4E452">
            <w:pPr>
              <w:pStyle w:val="178"/>
              <w:rPr>
                <w:rFonts w:ascii="Times New Roman"/>
              </w:rPr>
            </w:pPr>
          </w:p>
        </w:tc>
        <w:tc>
          <w:tcPr>
            <w:tcW w:w="1689" w:type="dxa"/>
            <w:tcBorders>
              <w:top w:val="single" w:color="auto" w:sz="4" w:space="0"/>
              <w:left w:val="single" w:color="auto" w:sz="4" w:space="0"/>
              <w:bottom w:val="single" w:color="auto" w:sz="4" w:space="0"/>
              <w:right w:val="single" w:color="auto" w:sz="8" w:space="0"/>
            </w:tcBorders>
            <w:vAlign w:val="center"/>
          </w:tcPr>
          <w:p w14:paraId="48A7F096">
            <w:pPr>
              <w:pStyle w:val="178"/>
              <w:rPr>
                <w:rFonts w:ascii="Times New Roman"/>
              </w:rPr>
            </w:pPr>
            <w:r>
              <w:rPr>
                <w:rFonts w:ascii="Times New Roman"/>
              </w:rPr>
              <w:t>□实测值□缺省值</w:t>
            </w:r>
          </w:p>
        </w:tc>
      </w:tr>
      <w:tr w14:paraId="6C80E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vAlign w:val="center"/>
          </w:tcPr>
          <w:p w14:paraId="4BCBF590">
            <w:pPr>
              <w:pStyle w:val="178"/>
              <w:rPr>
                <w:rFonts w:ascii="Times New Roman"/>
              </w:rPr>
            </w:pPr>
            <w:r>
              <w:rPr>
                <w:rFonts w:ascii="Times New Roman"/>
              </w:rPr>
              <w:t>柴油</w:t>
            </w:r>
          </w:p>
        </w:tc>
        <w:tc>
          <w:tcPr>
            <w:tcW w:w="1333" w:type="dxa"/>
            <w:tcBorders>
              <w:top w:val="single" w:color="auto" w:sz="4" w:space="0"/>
              <w:left w:val="single" w:color="auto" w:sz="4" w:space="0"/>
              <w:bottom w:val="single" w:color="auto" w:sz="4" w:space="0"/>
              <w:right w:val="single" w:color="auto" w:sz="4" w:space="0"/>
            </w:tcBorders>
            <w:vAlign w:val="center"/>
          </w:tcPr>
          <w:p w14:paraId="6A9866C2">
            <w:pPr>
              <w:pStyle w:val="178"/>
              <w:rPr>
                <w:rFonts w:ascii="Times New Roman"/>
              </w:rPr>
            </w:pPr>
          </w:p>
        </w:tc>
        <w:tc>
          <w:tcPr>
            <w:tcW w:w="869" w:type="dxa"/>
            <w:tcBorders>
              <w:top w:val="single" w:color="auto" w:sz="4" w:space="0"/>
              <w:left w:val="single" w:color="auto" w:sz="4" w:space="0"/>
              <w:bottom w:val="single" w:color="auto" w:sz="4" w:space="0"/>
              <w:right w:val="single" w:color="auto" w:sz="4" w:space="0"/>
            </w:tcBorders>
            <w:vAlign w:val="center"/>
          </w:tcPr>
          <w:p w14:paraId="73AB0B52">
            <w:pPr>
              <w:pStyle w:val="178"/>
              <w:rPr>
                <w:rFonts w:ascii="Times New Roman"/>
              </w:rPr>
            </w:pPr>
          </w:p>
        </w:tc>
        <w:tc>
          <w:tcPr>
            <w:tcW w:w="1798" w:type="dxa"/>
            <w:tcBorders>
              <w:top w:val="single" w:color="auto" w:sz="4" w:space="0"/>
              <w:left w:val="single" w:color="auto" w:sz="4" w:space="0"/>
              <w:bottom w:val="single" w:color="auto" w:sz="4" w:space="0"/>
              <w:right w:val="single" w:color="auto" w:sz="4" w:space="0"/>
            </w:tcBorders>
            <w:vAlign w:val="center"/>
          </w:tcPr>
          <w:p w14:paraId="03DE49BF">
            <w:pPr>
              <w:pStyle w:val="178"/>
              <w:rPr>
                <w:rFonts w:ascii="Times New Roman"/>
              </w:rPr>
            </w:pPr>
            <w:r>
              <w:rPr>
                <w:rFonts w:ascii="Times New Roman"/>
              </w:rPr>
              <w:t>□实测值□缺省值</w:t>
            </w:r>
          </w:p>
        </w:tc>
        <w:tc>
          <w:tcPr>
            <w:tcW w:w="1334" w:type="dxa"/>
            <w:tcBorders>
              <w:top w:val="single" w:color="auto" w:sz="4" w:space="0"/>
              <w:left w:val="single" w:color="auto" w:sz="4" w:space="0"/>
              <w:bottom w:val="single" w:color="auto" w:sz="4" w:space="0"/>
              <w:right w:val="single" w:color="auto" w:sz="4" w:space="0"/>
            </w:tcBorders>
            <w:vAlign w:val="center"/>
          </w:tcPr>
          <w:p w14:paraId="01BFC8BB">
            <w:pPr>
              <w:pStyle w:val="178"/>
              <w:rPr>
                <w:rFonts w:ascii="Times New Roman"/>
              </w:rPr>
            </w:pPr>
          </w:p>
        </w:tc>
        <w:tc>
          <w:tcPr>
            <w:tcW w:w="979" w:type="dxa"/>
            <w:tcBorders>
              <w:top w:val="single" w:color="auto" w:sz="4" w:space="0"/>
              <w:left w:val="single" w:color="auto" w:sz="4" w:space="0"/>
              <w:bottom w:val="single" w:color="auto" w:sz="4" w:space="0"/>
              <w:right w:val="single" w:color="auto" w:sz="4" w:space="0"/>
            </w:tcBorders>
            <w:vAlign w:val="center"/>
          </w:tcPr>
          <w:p w14:paraId="35846515">
            <w:pPr>
              <w:pStyle w:val="178"/>
              <w:rPr>
                <w:rFonts w:ascii="Times New Roman"/>
              </w:rPr>
            </w:pPr>
          </w:p>
        </w:tc>
        <w:tc>
          <w:tcPr>
            <w:tcW w:w="1689" w:type="dxa"/>
            <w:tcBorders>
              <w:top w:val="single" w:color="auto" w:sz="4" w:space="0"/>
              <w:left w:val="single" w:color="auto" w:sz="4" w:space="0"/>
              <w:bottom w:val="single" w:color="auto" w:sz="4" w:space="0"/>
              <w:right w:val="single" w:color="auto" w:sz="8" w:space="0"/>
            </w:tcBorders>
            <w:vAlign w:val="center"/>
          </w:tcPr>
          <w:p w14:paraId="3326A47C">
            <w:pPr>
              <w:pStyle w:val="178"/>
              <w:rPr>
                <w:rFonts w:ascii="Times New Roman"/>
              </w:rPr>
            </w:pPr>
            <w:r>
              <w:rPr>
                <w:rFonts w:ascii="Times New Roman"/>
              </w:rPr>
              <w:t>□实测值□缺省值</w:t>
            </w:r>
          </w:p>
        </w:tc>
      </w:tr>
      <w:tr w14:paraId="15F98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vAlign w:val="center"/>
          </w:tcPr>
          <w:p w14:paraId="2875FCE3">
            <w:pPr>
              <w:pStyle w:val="178"/>
              <w:rPr>
                <w:rFonts w:ascii="Times New Roman"/>
              </w:rPr>
            </w:pPr>
            <w:r>
              <w:rPr>
                <w:rFonts w:ascii="Times New Roman"/>
              </w:rPr>
              <w:t>天然气</w:t>
            </w:r>
          </w:p>
        </w:tc>
        <w:tc>
          <w:tcPr>
            <w:tcW w:w="1333" w:type="dxa"/>
            <w:tcBorders>
              <w:top w:val="single" w:color="auto" w:sz="4" w:space="0"/>
              <w:left w:val="single" w:color="auto" w:sz="4" w:space="0"/>
              <w:bottom w:val="single" w:color="auto" w:sz="4" w:space="0"/>
              <w:right w:val="single" w:color="auto" w:sz="4" w:space="0"/>
            </w:tcBorders>
            <w:vAlign w:val="center"/>
          </w:tcPr>
          <w:p w14:paraId="517349EF">
            <w:pPr>
              <w:pStyle w:val="178"/>
              <w:rPr>
                <w:rFonts w:ascii="Times New Roman"/>
              </w:rPr>
            </w:pPr>
          </w:p>
        </w:tc>
        <w:tc>
          <w:tcPr>
            <w:tcW w:w="869" w:type="dxa"/>
            <w:tcBorders>
              <w:top w:val="single" w:color="auto" w:sz="4" w:space="0"/>
              <w:left w:val="single" w:color="auto" w:sz="4" w:space="0"/>
              <w:bottom w:val="single" w:color="auto" w:sz="4" w:space="0"/>
              <w:right w:val="single" w:color="auto" w:sz="4" w:space="0"/>
            </w:tcBorders>
            <w:vAlign w:val="center"/>
          </w:tcPr>
          <w:p w14:paraId="4EE83BE0">
            <w:pPr>
              <w:pStyle w:val="178"/>
              <w:rPr>
                <w:rFonts w:ascii="Times New Roman"/>
              </w:rPr>
            </w:pPr>
          </w:p>
        </w:tc>
        <w:tc>
          <w:tcPr>
            <w:tcW w:w="1798" w:type="dxa"/>
            <w:tcBorders>
              <w:top w:val="single" w:color="auto" w:sz="4" w:space="0"/>
              <w:left w:val="single" w:color="auto" w:sz="4" w:space="0"/>
              <w:bottom w:val="single" w:color="auto" w:sz="4" w:space="0"/>
              <w:right w:val="single" w:color="auto" w:sz="4" w:space="0"/>
            </w:tcBorders>
            <w:vAlign w:val="center"/>
          </w:tcPr>
          <w:p w14:paraId="3E4DE95A">
            <w:pPr>
              <w:pStyle w:val="178"/>
              <w:rPr>
                <w:rFonts w:ascii="Times New Roman"/>
              </w:rPr>
            </w:pPr>
            <w:r>
              <w:rPr>
                <w:rFonts w:ascii="Times New Roman"/>
              </w:rPr>
              <w:t>□实测值□缺省值</w:t>
            </w:r>
          </w:p>
        </w:tc>
        <w:tc>
          <w:tcPr>
            <w:tcW w:w="1334" w:type="dxa"/>
            <w:tcBorders>
              <w:top w:val="single" w:color="auto" w:sz="4" w:space="0"/>
              <w:left w:val="single" w:color="auto" w:sz="4" w:space="0"/>
              <w:bottom w:val="single" w:color="auto" w:sz="4" w:space="0"/>
              <w:right w:val="single" w:color="auto" w:sz="4" w:space="0"/>
            </w:tcBorders>
            <w:vAlign w:val="center"/>
          </w:tcPr>
          <w:p w14:paraId="4DFDE787">
            <w:pPr>
              <w:pStyle w:val="178"/>
              <w:rPr>
                <w:rFonts w:ascii="Times New Roman"/>
              </w:rPr>
            </w:pPr>
          </w:p>
        </w:tc>
        <w:tc>
          <w:tcPr>
            <w:tcW w:w="979" w:type="dxa"/>
            <w:tcBorders>
              <w:top w:val="single" w:color="auto" w:sz="4" w:space="0"/>
              <w:left w:val="single" w:color="auto" w:sz="4" w:space="0"/>
              <w:bottom w:val="single" w:color="auto" w:sz="4" w:space="0"/>
              <w:right w:val="single" w:color="auto" w:sz="4" w:space="0"/>
            </w:tcBorders>
            <w:vAlign w:val="center"/>
          </w:tcPr>
          <w:p w14:paraId="20A80AF9">
            <w:pPr>
              <w:pStyle w:val="178"/>
              <w:rPr>
                <w:rFonts w:ascii="Times New Roman"/>
              </w:rPr>
            </w:pPr>
          </w:p>
        </w:tc>
        <w:tc>
          <w:tcPr>
            <w:tcW w:w="1689" w:type="dxa"/>
            <w:tcBorders>
              <w:top w:val="single" w:color="auto" w:sz="4" w:space="0"/>
              <w:left w:val="single" w:color="auto" w:sz="4" w:space="0"/>
              <w:bottom w:val="single" w:color="auto" w:sz="4" w:space="0"/>
              <w:right w:val="single" w:color="auto" w:sz="8" w:space="0"/>
            </w:tcBorders>
            <w:vAlign w:val="center"/>
          </w:tcPr>
          <w:p w14:paraId="69B9BFA2">
            <w:pPr>
              <w:pStyle w:val="178"/>
              <w:rPr>
                <w:rFonts w:ascii="Times New Roman"/>
              </w:rPr>
            </w:pPr>
            <w:r>
              <w:rPr>
                <w:rFonts w:ascii="Times New Roman"/>
              </w:rPr>
              <w:t>□实测值□缺省值</w:t>
            </w:r>
          </w:p>
        </w:tc>
      </w:tr>
      <w:tr w14:paraId="5F4E3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vAlign w:val="center"/>
          </w:tcPr>
          <w:p w14:paraId="20C22907">
            <w:pPr>
              <w:pStyle w:val="178"/>
              <w:rPr>
                <w:rFonts w:ascii="Times New Roman"/>
              </w:rPr>
            </w:pPr>
            <w:r>
              <w:rPr>
                <w:rFonts w:ascii="Times New Roman"/>
              </w:rPr>
              <w:t>焦炉煤气</w:t>
            </w:r>
          </w:p>
        </w:tc>
        <w:tc>
          <w:tcPr>
            <w:tcW w:w="1333" w:type="dxa"/>
            <w:tcBorders>
              <w:top w:val="single" w:color="auto" w:sz="4" w:space="0"/>
              <w:left w:val="single" w:color="auto" w:sz="4" w:space="0"/>
              <w:bottom w:val="single" w:color="auto" w:sz="4" w:space="0"/>
              <w:right w:val="single" w:color="auto" w:sz="4" w:space="0"/>
            </w:tcBorders>
            <w:vAlign w:val="center"/>
          </w:tcPr>
          <w:p w14:paraId="53ACA6D1">
            <w:pPr>
              <w:pStyle w:val="178"/>
              <w:rPr>
                <w:rFonts w:ascii="Times New Roman"/>
              </w:rPr>
            </w:pPr>
          </w:p>
        </w:tc>
        <w:tc>
          <w:tcPr>
            <w:tcW w:w="869" w:type="dxa"/>
            <w:tcBorders>
              <w:top w:val="single" w:color="auto" w:sz="4" w:space="0"/>
              <w:left w:val="single" w:color="auto" w:sz="4" w:space="0"/>
              <w:bottom w:val="single" w:color="auto" w:sz="4" w:space="0"/>
              <w:right w:val="single" w:color="auto" w:sz="4" w:space="0"/>
            </w:tcBorders>
            <w:vAlign w:val="center"/>
          </w:tcPr>
          <w:p w14:paraId="21887F63">
            <w:pPr>
              <w:pStyle w:val="178"/>
              <w:rPr>
                <w:rFonts w:ascii="Times New Roman"/>
              </w:rPr>
            </w:pPr>
          </w:p>
        </w:tc>
        <w:tc>
          <w:tcPr>
            <w:tcW w:w="1798" w:type="dxa"/>
            <w:tcBorders>
              <w:top w:val="single" w:color="auto" w:sz="4" w:space="0"/>
              <w:left w:val="single" w:color="auto" w:sz="4" w:space="0"/>
              <w:bottom w:val="single" w:color="auto" w:sz="4" w:space="0"/>
              <w:right w:val="single" w:color="auto" w:sz="4" w:space="0"/>
            </w:tcBorders>
            <w:vAlign w:val="center"/>
          </w:tcPr>
          <w:p w14:paraId="0C8BBC2E">
            <w:pPr>
              <w:pStyle w:val="178"/>
              <w:rPr>
                <w:rFonts w:ascii="Times New Roman"/>
              </w:rPr>
            </w:pPr>
            <w:r>
              <w:rPr>
                <w:rFonts w:ascii="Times New Roman"/>
              </w:rPr>
              <w:t>□实测值□缺省值</w:t>
            </w:r>
          </w:p>
        </w:tc>
        <w:tc>
          <w:tcPr>
            <w:tcW w:w="1334" w:type="dxa"/>
            <w:tcBorders>
              <w:top w:val="single" w:color="auto" w:sz="4" w:space="0"/>
              <w:left w:val="single" w:color="auto" w:sz="4" w:space="0"/>
              <w:bottom w:val="single" w:color="auto" w:sz="4" w:space="0"/>
              <w:right w:val="single" w:color="auto" w:sz="4" w:space="0"/>
            </w:tcBorders>
            <w:vAlign w:val="center"/>
          </w:tcPr>
          <w:p w14:paraId="67BEE190">
            <w:pPr>
              <w:pStyle w:val="178"/>
              <w:rPr>
                <w:rFonts w:ascii="Times New Roman"/>
              </w:rPr>
            </w:pPr>
          </w:p>
        </w:tc>
        <w:tc>
          <w:tcPr>
            <w:tcW w:w="979" w:type="dxa"/>
            <w:tcBorders>
              <w:top w:val="single" w:color="auto" w:sz="4" w:space="0"/>
              <w:left w:val="single" w:color="auto" w:sz="4" w:space="0"/>
              <w:bottom w:val="single" w:color="auto" w:sz="4" w:space="0"/>
              <w:right w:val="single" w:color="auto" w:sz="4" w:space="0"/>
            </w:tcBorders>
            <w:vAlign w:val="center"/>
          </w:tcPr>
          <w:p w14:paraId="20E03BA3">
            <w:pPr>
              <w:pStyle w:val="178"/>
              <w:rPr>
                <w:rFonts w:ascii="Times New Roman"/>
              </w:rPr>
            </w:pPr>
          </w:p>
        </w:tc>
        <w:tc>
          <w:tcPr>
            <w:tcW w:w="1689" w:type="dxa"/>
            <w:tcBorders>
              <w:top w:val="single" w:color="auto" w:sz="4" w:space="0"/>
              <w:left w:val="single" w:color="auto" w:sz="4" w:space="0"/>
              <w:bottom w:val="single" w:color="auto" w:sz="4" w:space="0"/>
              <w:right w:val="single" w:color="auto" w:sz="8" w:space="0"/>
            </w:tcBorders>
            <w:vAlign w:val="center"/>
          </w:tcPr>
          <w:p w14:paraId="555CAC63">
            <w:pPr>
              <w:pStyle w:val="178"/>
              <w:rPr>
                <w:rFonts w:ascii="Times New Roman"/>
              </w:rPr>
            </w:pPr>
            <w:r>
              <w:rPr>
                <w:rFonts w:ascii="Times New Roman"/>
              </w:rPr>
              <w:t>□实测值□缺省值</w:t>
            </w:r>
          </w:p>
        </w:tc>
      </w:tr>
      <w:tr w14:paraId="7B4D4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34" w:type="dxa"/>
            <w:gridSpan w:val="7"/>
            <w:tcBorders>
              <w:top w:val="single" w:color="auto" w:sz="4" w:space="0"/>
              <w:left w:val="single" w:color="auto" w:sz="8" w:space="0"/>
              <w:bottom w:val="single" w:color="auto" w:sz="8" w:space="0"/>
              <w:right w:val="single" w:color="auto" w:sz="8" w:space="0"/>
            </w:tcBorders>
            <w:vAlign w:val="center"/>
          </w:tcPr>
          <w:p w14:paraId="56FE77F8">
            <w:pPr>
              <w:pStyle w:val="179"/>
              <w:rPr>
                <w:rFonts w:ascii="Times New Roman"/>
              </w:rPr>
            </w:pPr>
            <w:r>
              <w:rPr>
                <w:rFonts w:ascii="Times New Roman"/>
              </w:rPr>
              <w:t>根据实际情况增减和调整表格内容。</w:t>
            </w:r>
          </w:p>
        </w:tc>
      </w:tr>
    </w:tbl>
    <w:p w14:paraId="182BDEFB">
      <w:pPr>
        <w:pStyle w:val="56"/>
        <w:ind w:firstLine="420"/>
        <w:rPr>
          <w:rFonts w:ascii="Times New Roman"/>
        </w:rPr>
      </w:pPr>
    </w:p>
    <w:p w14:paraId="641D8442">
      <w:pPr>
        <w:widowControl/>
        <w:adjustRightInd/>
        <w:spacing w:line="240" w:lineRule="auto"/>
        <w:jc w:val="left"/>
        <w:rPr>
          <w:rFonts w:ascii="Times New Roman" w:hAnsi="Times New Roman"/>
          <w:kern w:val="0"/>
          <w:szCs w:val="20"/>
        </w:rPr>
      </w:pPr>
      <w:r>
        <w:rPr>
          <w:rFonts w:ascii="Times New Roman" w:hAnsi="Times New Roman"/>
        </w:rPr>
        <w:br w:type="page"/>
      </w:r>
    </w:p>
    <w:p w14:paraId="5CE1382F">
      <w:pPr>
        <w:pStyle w:val="77"/>
        <w:spacing w:before="120" w:after="120"/>
        <w:rPr>
          <w:rFonts w:ascii="Times New Roman"/>
        </w:rPr>
      </w:pPr>
      <w:r>
        <w:rPr>
          <w:rFonts w:ascii="Times New Roman"/>
        </w:rPr>
        <w:t>过程排放的活动数据和排放因子数据一览表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1670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8" w:space="0"/>
              <w:left w:val="single" w:color="auto" w:sz="8" w:space="0"/>
              <w:bottom w:val="single" w:color="auto" w:sz="8" w:space="0"/>
              <w:right w:val="single" w:color="auto" w:sz="4" w:space="0"/>
            </w:tcBorders>
            <w:vAlign w:val="center"/>
          </w:tcPr>
          <w:p w14:paraId="660EAB58">
            <w:pPr>
              <w:pStyle w:val="178"/>
              <w:rPr>
                <w:rFonts w:ascii="Times New Roman"/>
                <w:szCs w:val="18"/>
              </w:rPr>
            </w:pPr>
            <w:r>
              <w:rPr>
                <w:rFonts w:ascii="Times New Roman"/>
              </w:rPr>
              <w:t>项目</w:t>
            </w:r>
          </w:p>
        </w:tc>
        <w:tc>
          <w:tcPr>
            <w:tcW w:w="3112" w:type="dxa"/>
            <w:tcBorders>
              <w:top w:val="single" w:color="auto" w:sz="8" w:space="0"/>
              <w:left w:val="single" w:color="auto" w:sz="4" w:space="0"/>
              <w:bottom w:val="single" w:color="auto" w:sz="8" w:space="0"/>
              <w:right w:val="single" w:color="auto" w:sz="4" w:space="0"/>
            </w:tcBorders>
            <w:vAlign w:val="center"/>
          </w:tcPr>
          <w:p w14:paraId="5BD03DF0">
            <w:pPr>
              <w:pStyle w:val="178"/>
              <w:rPr>
                <w:rFonts w:ascii="Times New Roman"/>
              </w:rPr>
            </w:pPr>
            <w:r>
              <w:rPr>
                <w:rFonts w:ascii="Times New Roman"/>
                <w:color w:val="000000"/>
              </w:rPr>
              <w:t>数值</w:t>
            </w:r>
          </w:p>
        </w:tc>
        <w:tc>
          <w:tcPr>
            <w:tcW w:w="3112" w:type="dxa"/>
            <w:tcBorders>
              <w:top w:val="single" w:color="auto" w:sz="8" w:space="0"/>
              <w:left w:val="single" w:color="auto" w:sz="4" w:space="0"/>
              <w:bottom w:val="single" w:color="auto" w:sz="8" w:space="0"/>
              <w:right w:val="single" w:color="auto" w:sz="8" w:space="0"/>
            </w:tcBorders>
            <w:vAlign w:val="center"/>
          </w:tcPr>
          <w:p w14:paraId="5EE4FA66">
            <w:pPr>
              <w:pStyle w:val="178"/>
              <w:rPr>
                <w:rFonts w:ascii="Times New Roman"/>
              </w:rPr>
            </w:pPr>
            <w:r>
              <w:rPr>
                <w:rFonts w:ascii="Times New Roman"/>
              </w:rPr>
              <w:t>单位</w:t>
            </w:r>
          </w:p>
        </w:tc>
      </w:tr>
      <w:tr w14:paraId="00B5E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8" w:space="0"/>
              <w:left w:val="single" w:color="auto" w:sz="8" w:space="0"/>
              <w:bottom w:val="single" w:color="auto" w:sz="4" w:space="0"/>
              <w:right w:val="single" w:color="auto" w:sz="4" w:space="0"/>
            </w:tcBorders>
            <w:vAlign w:val="center"/>
          </w:tcPr>
          <w:p w14:paraId="39CD18D3">
            <w:pPr>
              <w:pStyle w:val="178"/>
              <w:rPr>
                <w:rFonts w:ascii="Times New Roman"/>
              </w:rPr>
            </w:pPr>
            <w:r>
              <w:rPr>
                <w:rFonts w:ascii="Times New Roman"/>
              </w:rPr>
              <w:t>保护气的期初库存量</w:t>
            </w:r>
          </w:p>
        </w:tc>
        <w:tc>
          <w:tcPr>
            <w:tcW w:w="3112" w:type="dxa"/>
            <w:tcBorders>
              <w:top w:val="single" w:color="auto" w:sz="8" w:space="0"/>
              <w:left w:val="single" w:color="auto" w:sz="4" w:space="0"/>
              <w:bottom w:val="single" w:color="auto" w:sz="4" w:space="0"/>
              <w:right w:val="single" w:color="auto" w:sz="4" w:space="0"/>
            </w:tcBorders>
            <w:vAlign w:val="center"/>
          </w:tcPr>
          <w:p w14:paraId="0C3E26C1">
            <w:pPr>
              <w:pStyle w:val="178"/>
              <w:rPr>
                <w:rFonts w:ascii="Times New Roman"/>
              </w:rPr>
            </w:pPr>
          </w:p>
        </w:tc>
        <w:tc>
          <w:tcPr>
            <w:tcW w:w="3112" w:type="dxa"/>
            <w:tcBorders>
              <w:top w:val="single" w:color="auto" w:sz="8" w:space="0"/>
              <w:left w:val="single" w:color="auto" w:sz="4" w:space="0"/>
              <w:bottom w:val="single" w:color="auto" w:sz="4" w:space="0"/>
              <w:right w:val="single" w:color="auto" w:sz="8" w:space="0"/>
            </w:tcBorders>
            <w:vAlign w:val="center"/>
          </w:tcPr>
          <w:p w14:paraId="47617442">
            <w:pPr>
              <w:pStyle w:val="178"/>
              <w:rPr>
                <w:rFonts w:ascii="Times New Roman"/>
              </w:rPr>
            </w:pPr>
            <w:r>
              <w:rPr>
                <w:rFonts w:ascii="Times New Roman"/>
              </w:rPr>
              <w:t>t</w:t>
            </w:r>
          </w:p>
        </w:tc>
      </w:tr>
      <w:tr w14:paraId="7FF05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vAlign w:val="center"/>
          </w:tcPr>
          <w:p w14:paraId="5C5FE3B3">
            <w:pPr>
              <w:pStyle w:val="178"/>
              <w:rPr>
                <w:rFonts w:ascii="Times New Roman"/>
              </w:rPr>
            </w:pPr>
            <w:r>
              <w:rPr>
                <w:rFonts w:ascii="Times New Roman"/>
              </w:rPr>
              <w:t>保护气的期末库存量</w:t>
            </w:r>
          </w:p>
        </w:tc>
        <w:tc>
          <w:tcPr>
            <w:tcW w:w="3112" w:type="dxa"/>
            <w:tcBorders>
              <w:top w:val="single" w:color="auto" w:sz="4" w:space="0"/>
              <w:left w:val="single" w:color="auto" w:sz="4" w:space="0"/>
              <w:bottom w:val="single" w:color="auto" w:sz="4" w:space="0"/>
              <w:right w:val="single" w:color="auto" w:sz="4" w:space="0"/>
            </w:tcBorders>
            <w:vAlign w:val="center"/>
          </w:tcPr>
          <w:p w14:paraId="65AF3998">
            <w:pPr>
              <w:pStyle w:val="178"/>
              <w:rPr>
                <w:rFonts w:ascii="Times New Roman"/>
              </w:rPr>
            </w:pPr>
          </w:p>
        </w:tc>
        <w:tc>
          <w:tcPr>
            <w:tcW w:w="3112" w:type="dxa"/>
            <w:tcBorders>
              <w:top w:val="single" w:color="auto" w:sz="4" w:space="0"/>
              <w:left w:val="single" w:color="auto" w:sz="4" w:space="0"/>
              <w:bottom w:val="single" w:color="auto" w:sz="4" w:space="0"/>
              <w:right w:val="single" w:color="auto" w:sz="8" w:space="0"/>
            </w:tcBorders>
            <w:vAlign w:val="center"/>
          </w:tcPr>
          <w:p w14:paraId="0E417348">
            <w:pPr>
              <w:pStyle w:val="178"/>
              <w:rPr>
                <w:rFonts w:ascii="Times New Roman"/>
              </w:rPr>
            </w:pPr>
            <w:r>
              <w:rPr>
                <w:rFonts w:ascii="Times New Roman"/>
              </w:rPr>
              <w:t>t</w:t>
            </w:r>
          </w:p>
        </w:tc>
      </w:tr>
      <w:tr w14:paraId="124DF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vAlign w:val="center"/>
          </w:tcPr>
          <w:p w14:paraId="43208303">
            <w:pPr>
              <w:pStyle w:val="178"/>
              <w:rPr>
                <w:rFonts w:ascii="Times New Roman"/>
              </w:rPr>
            </w:pPr>
            <w:r>
              <w:rPr>
                <w:rFonts w:ascii="Times New Roman"/>
              </w:rPr>
              <w:t>保护气的购入量</w:t>
            </w:r>
          </w:p>
        </w:tc>
        <w:tc>
          <w:tcPr>
            <w:tcW w:w="3112" w:type="dxa"/>
            <w:tcBorders>
              <w:top w:val="single" w:color="auto" w:sz="4" w:space="0"/>
              <w:left w:val="single" w:color="auto" w:sz="4" w:space="0"/>
              <w:bottom w:val="single" w:color="auto" w:sz="4" w:space="0"/>
              <w:right w:val="single" w:color="auto" w:sz="4" w:space="0"/>
            </w:tcBorders>
            <w:vAlign w:val="center"/>
          </w:tcPr>
          <w:p w14:paraId="514ED10C">
            <w:pPr>
              <w:pStyle w:val="178"/>
              <w:rPr>
                <w:rFonts w:ascii="Times New Roman"/>
              </w:rPr>
            </w:pPr>
          </w:p>
        </w:tc>
        <w:tc>
          <w:tcPr>
            <w:tcW w:w="3112" w:type="dxa"/>
            <w:tcBorders>
              <w:top w:val="single" w:color="auto" w:sz="4" w:space="0"/>
              <w:left w:val="single" w:color="auto" w:sz="4" w:space="0"/>
              <w:bottom w:val="single" w:color="auto" w:sz="4" w:space="0"/>
              <w:right w:val="single" w:color="auto" w:sz="8" w:space="0"/>
            </w:tcBorders>
            <w:vAlign w:val="center"/>
          </w:tcPr>
          <w:p w14:paraId="57B693B9">
            <w:pPr>
              <w:pStyle w:val="178"/>
              <w:rPr>
                <w:rFonts w:ascii="Times New Roman"/>
              </w:rPr>
            </w:pPr>
            <w:r>
              <w:rPr>
                <w:rFonts w:ascii="Times New Roman"/>
              </w:rPr>
              <w:t>t</w:t>
            </w:r>
          </w:p>
        </w:tc>
      </w:tr>
      <w:tr w14:paraId="1FF18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vAlign w:val="center"/>
          </w:tcPr>
          <w:p w14:paraId="54D4AC27">
            <w:pPr>
              <w:pStyle w:val="178"/>
              <w:rPr>
                <w:rFonts w:ascii="Times New Roman"/>
              </w:rPr>
            </w:pPr>
            <w:r>
              <w:rPr>
                <w:rFonts w:ascii="Times New Roman"/>
              </w:rPr>
              <w:t>保护气的售出量</w:t>
            </w:r>
          </w:p>
        </w:tc>
        <w:tc>
          <w:tcPr>
            <w:tcW w:w="3112" w:type="dxa"/>
            <w:tcBorders>
              <w:top w:val="single" w:color="auto" w:sz="4" w:space="0"/>
              <w:left w:val="single" w:color="auto" w:sz="4" w:space="0"/>
              <w:bottom w:val="single" w:color="auto" w:sz="4" w:space="0"/>
              <w:right w:val="single" w:color="auto" w:sz="4" w:space="0"/>
            </w:tcBorders>
            <w:vAlign w:val="center"/>
          </w:tcPr>
          <w:p w14:paraId="7DDD2503">
            <w:pPr>
              <w:pStyle w:val="178"/>
              <w:rPr>
                <w:rFonts w:ascii="Times New Roman"/>
              </w:rPr>
            </w:pPr>
          </w:p>
        </w:tc>
        <w:tc>
          <w:tcPr>
            <w:tcW w:w="3112" w:type="dxa"/>
            <w:tcBorders>
              <w:top w:val="single" w:color="auto" w:sz="4" w:space="0"/>
              <w:left w:val="single" w:color="auto" w:sz="4" w:space="0"/>
              <w:bottom w:val="single" w:color="auto" w:sz="4" w:space="0"/>
              <w:right w:val="single" w:color="auto" w:sz="8" w:space="0"/>
            </w:tcBorders>
            <w:vAlign w:val="center"/>
          </w:tcPr>
          <w:p w14:paraId="27E1E3EB">
            <w:pPr>
              <w:pStyle w:val="178"/>
              <w:rPr>
                <w:rFonts w:ascii="Times New Roman"/>
              </w:rPr>
            </w:pPr>
            <w:r>
              <w:rPr>
                <w:rFonts w:ascii="Times New Roman"/>
              </w:rPr>
              <w:t>t</w:t>
            </w:r>
          </w:p>
        </w:tc>
      </w:tr>
      <w:tr w14:paraId="065FC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vAlign w:val="center"/>
          </w:tcPr>
          <w:p w14:paraId="0F56D90D">
            <w:pPr>
              <w:pStyle w:val="178"/>
              <w:rPr>
                <w:rFonts w:ascii="Times New Roman"/>
              </w:rPr>
            </w:pPr>
            <w:r>
              <w:rPr>
                <w:rFonts w:ascii="Times New Roman"/>
              </w:rPr>
              <w:t>混合气体中CO</w:t>
            </w:r>
            <w:r>
              <w:rPr>
                <w:rFonts w:ascii="Times New Roman"/>
                <w:vertAlign w:val="subscript"/>
              </w:rPr>
              <w:t>2</w:t>
            </w:r>
            <w:r>
              <w:rPr>
                <w:rFonts w:ascii="Times New Roman"/>
              </w:rPr>
              <w:t>的体积百分比</w:t>
            </w:r>
          </w:p>
        </w:tc>
        <w:tc>
          <w:tcPr>
            <w:tcW w:w="3112" w:type="dxa"/>
            <w:tcBorders>
              <w:top w:val="single" w:color="auto" w:sz="4" w:space="0"/>
              <w:left w:val="single" w:color="auto" w:sz="4" w:space="0"/>
              <w:bottom w:val="single" w:color="auto" w:sz="4" w:space="0"/>
              <w:right w:val="single" w:color="auto" w:sz="4" w:space="0"/>
            </w:tcBorders>
            <w:vAlign w:val="center"/>
          </w:tcPr>
          <w:p w14:paraId="11D18BD6">
            <w:pPr>
              <w:pStyle w:val="178"/>
              <w:rPr>
                <w:rFonts w:ascii="Times New Roman"/>
              </w:rPr>
            </w:pPr>
          </w:p>
        </w:tc>
        <w:tc>
          <w:tcPr>
            <w:tcW w:w="3112" w:type="dxa"/>
            <w:tcBorders>
              <w:top w:val="single" w:color="auto" w:sz="4" w:space="0"/>
              <w:left w:val="single" w:color="auto" w:sz="4" w:space="0"/>
              <w:bottom w:val="single" w:color="auto" w:sz="4" w:space="0"/>
              <w:right w:val="single" w:color="auto" w:sz="8" w:space="0"/>
            </w:tcBorders>
            <w:vAlign w:val="center"/>
          </w:tcPr>
          <w:p w14:paraId="2EEE487D">
            <w:pPr>
              <w:pStyle w:val="178"/>
              <w:rPr>
                <w:rFonts w:ascii="Times New Roman"/>
              </w:rPr>
            </w:pPr>
            <w:r>
              <w:rPr>
                <w:rFonts w:ascii="Times New Roman"/>
              </w:rPr>
              <w:t>%</w:t>
            </w:r>
          </w:p>
        </w:tc>
      </w:tr>
      <w:tr w14:paraId="7EDF2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vAlign w:val="center"/>
          </w:tcPr>
          <w:p w14:paraId="22BB089D">
            <w:pPr>
              <w:pStyle w:val="178"/>
              <w:rPr>
                <w:rFonts w:ascii="Times New Roman"/>
              </w:rPr>
            </w:pPr>
            <w:r>
              <w:rPr>
                <w:rFonts w:ascii="Times New Roman"/>
              </w:rPr>
              <w:t>混合气体中气体A的体积百分比</w:t>
            </w:r>
          </w:p>
        </w:tc>
        <w:tc>
          <w:tcPr>
            <w:tcW w:w="3112" w:type="dxa"/>
            <w:tcBorders>
              <w:top w:val="single" w:color="auto" w:sz="4" w:space="0"/>
              <w:left w:val="single" w:color="auto" w:sz="4" w:space="0"/>
              <w:bottom w:val="single" w:color="auto" w:sz="4" w:space="0"/>
              <w:right w:val="single" w:color="auto" w:sz="4" w:space="0"/>
            </w:tcBorders>
            <w:vAlign w:val="center"/>
          </w:tcPr>
          <w:p w14:paraId="7C462C40">
            <w:pPr>
              <w:pStyle w:val="178"/>
              <w:rPr>
                <w:rFonts w:ascii="Times New Roman"/>
              </w:rPr>
            </w:pPr>
          </w:p>
        </w:tc>
        <w:tc>
          <w:tcPr>
            <w:tcW w:w="3112" w:type="dxa"/>
            <w:tcBorders>
              <w:top w:val="single" w:color="auto" w:sz="4" w:space="0"/>
              <w:left w:val="single" w:color="auto" w:sz="4" w:space="0"/>
              <w:bottom w:val="single" w:color="auto" w:sz="4" w:space="0"/>
              <w:right w:val="single" w:color="auto" w:sz="8" w:space="0"/>
            </w:tcBorders>
            <w:vAlign w:val="center"/>
          </w:tcPr>
          <w:p w14:paraId="2B1C7C73">
            <w:pPr>
              <w:pStyle w:val="178"/>
              <w:rPr>
                <w:rFonts w:ascii="Times New Roman"/>
              </w:rPr>
            </w:pPr>
            <w:r>
              <w:rPr>
                <w:rFonts w:ascii="Times New Roman"/>
              </w:rPr>
              <w:t>%</w:t>
            </w:r>
          </w:p>
        </w:tc>
      </w:tr>
      <w:tr w14:paraId="79DC3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vAlign w:val="center"/>
          </w:tcPr>
          <w:p w14:paraId="513BFA85">
            <w:pPr>
              <w:pStyle w:val="178"/>
              <w:rPr>
                <w:rFonts w:ascii="Times New Roman"/>
              </w:rPr>
            </w:pPr>
            <w:r>
              <w:rPr>
                <w:rFonts w:ascii="Times New Roman"/>
              </w:rPr>
              <w:t>混合气体中气体B的体积百分比</w:t>
            </w:r>
          </w:p>
        </w:tc>
        <w:tc>
          <w:tcPr>
            <w:tcW w:w="3112" w:type="dxa"/>
            <w:tcBorders>
              <w:top w:val="single" w:color="auto" w:sz="4" w:space="0"/>
              <w:left w:val="single" w:color="auto" w:sz="4" w:space="0"/>
              <w:bottom w:val="single" w:color="auto" w:sz="4" w:space="0"/>
              <w:right w:val="single" w:color="auto" w:sz="4" w:space="0"/>
            </w:tcBorders>
            <w:vAlign w:val="center"/>
          </w:tcPr>
          <w:p w14:paraId="05068EC5">
            <w:pPr>
              <w:pStyle w:val="178"/>
              <w:rPr>
                <w:rFonts w:ascii="Times New Roman"/>
              </w:rPr>
            </w:pPr>
          </w:p>
        </w:tc>
        <w:tc>
          <w:tcPr>
            <w:tcW w:w="3112" w:type="dxa"/>
            <w:tcBorders>
              <w:top w:val="single" w:color="auto" w:sz="4" w:space="0"/>
              <w:left w:val="single" w:color="auto" w:sz="4" w:space="0"/>
              <w:bottom w:val="single" w:color="auto" w:sz="4" w:space="0"/>
              <w:right w:val="single" w:color="auto" w:sz="8" w:space="0"/>
            </w:tcBorders>
            <w:vAlign w:val="center"/>
          </w:tcPr>
          <w:p w14:paraId="679FD5DC">
            <w:pPr>
              <w:pStyle w:val="178"/>
              <w:rPr>
                <w:rFonts w:ascii="Times New Roman"/>
              </w:rPr>
            </w:pPr>
            <w:r>
              <w:rPr>
                <w:rFonts w:ascii="Times New Roman"/>
              </w:rPr>
              <w:t>%</w:t>
            </w:r>
          </w:p>
        </w:tc>
      </w:tr>
      <w:tr w14:paraId="692E7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vAlign w:val="center"/>
          </w:tcPr>
          <w:p w14:paraId="1165DF90">
            <w:pPr>
              <w:pStyle w:val="178"/>
              <w:rPr>
                <w:rFonts w:ascii="Times New Roman"/>
              </w:rPr>
            </w:pPr>
            <w:r>
              <w:rPr>
                <w:rFonts w:ascii="Times New Roman"/>
              </w:rPr>
              <w:t>混合气体中气体A的摩尔质量</w:t>
            </w:r>
          </w:p>
        </w:tc>
        <w:tc>
          <w:tcPr>
            <w:tcW w:w="3112" w:type="dxa"/>
            <w:tcBorders>
              <w:top w:val="single" w:color="auto" w:sz="4" w:space="0"/>
              <w:left w:val="single" w:color="auto" w:sz="4" w:space="0"/>
              <w:bottom w:val="single" w:color="auto" w:sz="4" w:space="0"/>
              <w:right w:val="single" w:color="auto" w:sz="4" w:space="0"/>
            </w:tcBorders>
            <w:vAlign w:val="center"/>
          </w:tcPr>
          <w:p w14:paraId="0C3E6145">
            <w:pPr>
              <w:pStyle w:val="178"/>
              <w:rPr>
                <w:rFonts w:ascii="Times New Roman"/>
              </w:rPr>
            </w:pPr>
          </w:p>
        </w:tc>
        <w:tc>
          <w:tcPr>
            <w:tcW w:w="3112" w:type="dxa"/>
            <w:tcBorders>
              <w:top w:val="single" w:color="auto" w:sz="4" w:space="0"/>
              <w:left w:val="single" w:color="auto" w:sz="4" w:space="0"/>
              <w:bottom w:val="single" w:color="auto" w:sz="4" w:space="0"/>
              <w:right w:val="single" w:color="auto" w:sz="8" w:space="0"/>
            </w:tcBorders>
            <w:vAlign w:val="center"/>
          </w:tcPr>
          <w:p w14:paraId="50265242">
            <w:pPr>
              <w:pStyle w:val="178"/>
              <w:rPr>
                <w:rFonts w:ascii="Times New Roman"/>
              </w:rPr>
            </w:pPr>
            <w:r>
              <w:rPr>
                <w:rFonts w:ascii="Times New Roman"/>
                <w:color w:val="000000"/>
              </w:rPr>
              <w:t>g/mol</w:t>
            </w:r>
          </w:p>
        </w:tc>
      </w:tr>
      <w:tr w14:paraId="09EFA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8" w:space="0"/>
              <w:right w:val="single" w:color="auto" w:sz="4" w:space="0"/>
            </w:tcBorders>
            <w:vAlign w:val="center"/>
          </w:tcPr>
          <w:p w14:paraId="37BE7E60">
            <w:pPr>
              <w:pStyle w:val="178"/>
              <w:rPr>
                <w:rFonts w:ascii="Times New Roman"/>
              </w:rPr>
            </w:pPr>
            <w:r>
              <w:rPr>
                <w:rFonts w:ascii="Times New Roman"/>
              </w:rPr>
              <w:t>混合气体中气体B的摩尔质量</w:t>
            </w:r>
          </w:p>
        </w:tc>
        <w:tc>
          <w:tcPr>
            <w:tcW w:w="3112" w:type="dxa"/>
            <w:tcBorders>
              <w:top w:val="single" w:color="auto" w:sz="4" w:space="0"/>
              <w:left w:val="single" w:color="auto" w:sz="4" w:space="0"/>
              <w:bottom w:val="single" w:color="auto" w:sz="8" w:space="0"/>
              <w:right w:val="single" w:color="auto" w:sz="4" w:space="0"/>
            </w:tcBorders>
            <w:vAlign w:val="center"/>
          </w:tcPr>
          <w:p w14:paraId="22030650">
            <w:pPr>
              <w:pStyle w:val="178"/>
              <w:rPr>
                <w:rFonts w:ascii="Times New Roman"/>
              </w:rPr>
            </w:pPr>
          </w:p>
        </w:tc>
        <w:tc>
          <w:tcPr>
            <w:tcW w:w="3112" w:type="dxa"/>
            <w:tcBorders>
              <w:top w:val="single" w:color="auto" w:sz="4" w:space="0"/>
              <w:left w:val="single" w:color="auto" w:sz="4" w:space="0"/>
              <w:bottom w:val="single" w:color="auto" w:sz="8" w:space="0"/>
              <w:right w:val="single" w:color="auto" w:sz="8" w:space="0"/>
            </w:tcBorders>
            <w:vAlign w:val="center"/>
          </w:tcPr>
          <w:p w14:paraId="6915F1F1">
            <w:pPr>
              <w:pStyle w:val="178"/>
              <w:rPr>
                <w:rFonts w:ascii="Times New Roman"/>
              </w:rPr>
            </w:pPr>
            <w:r>
              <w:rPr>
                <w:rFonts w:ascii="Times New Roman"/>
                <w:color w:val="000000"/>
              </w:rPr>
              <w:t>g/mol</w:t>
            </w:r>
          </w:p>
        </w:tc>
      </w:tr>
      <w:tr w14:paraId="33698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34" w:type="dxa"/>
            <w:gridSpan w:val="3"/>
            <w:tcBorders>
              <w:top w:val="single" w:color="auto" w:sz="8" w:space="0"/>
              <w:left w:val="single" w:color="auto" w:sz="8" w:space="0"/>
              <w:bottom w:val="single" w:color="auto" w:sz="8" w:space="0"/>
              <w:right w:val="single" w:color="auto" w:sz="8" w:space="0"/>
            </w:tcBorders>
            <w:vAlign w:val="center"/>
          </w:tcPr>
          <w:p w14:paraId="497F4AE8">
            <w:pPr>
              <w:pStyle w:val="179"/>
              <w:rPr>
                <w:rFonts w:ascii="Times New Roman"/>
              </w:rPr>
            </w:pPr>
            <w:r>
              <w:rPr>
                <w:rFonts w:ascii="Times New Roman"/>
              </w:rPr>
              <w:t>根据实际情况增减和调整表格内容。</w:t>
            </w:r>
          </w:p>
        </w:tc>
      </w:tr>
    </w:tbl>
    <w:p w14:paraId="75D00D1B">
      <w:pPr>
        <w:pStyle w:val="56"/>
        <w:ind w:firstLine="420"/>
        <w:rPr>
          <w:rFonts w:ascii="Times New Roman"/>
        </w:rPr>
      </w:pPr>
    </w:p>
    <w:p w14:paraId="3BB812AC">
      <w:pPr>
        <w:pStyle w:val="77"/>
        <w:spacing w:before="120" w:after="120"/>
        <w:rPr>
          <w:rFonts w:ascii="Times New Roman"/>
        </w:rPr>
      </w:pPr>
      <w:r>
        <w:rPr>
          <w:rFonts w:ascii="Times New Roman"/>
        </w:rPr>
        <w:t>购入和输出电力对应的活动数据及排放因子数据一览表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6"/>
        <w:gridCol w:w="2336"/>
        <w:gridCol w:w="2336"/>
        <w:gridCol w:w="2336"/>
      </w:tblGrid>
      <w:tr w14:paraId="60110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vAlign w:val="center"/>
          </w:tcPr>
          <w:p w14:paraId="11128C75">
            <w:pPr>
              <w:pStyle w:val="178"/>
              <w:rPr>
                <w:rFonts w:ascii="Times New Roman"/>
                <w:szCs w:val="18"/>
              </w:rPr>
            </w:pPr>
            <w:r>
              <w:rPr>
                <w:rFonts w:ascii="Times New Roman"/>
              </w:rPr>
              <w:t>项目</w:t>
            </w:r>
          </w:p>
        </w:tc>
        <w:tc>
          <w:tcPr>
            <w:tcW w:w="2336" w:type="dxa"/>
            <w:tcBorders>
              <w:top w:val="single" w:color="auto" w:sz="8" w:space="0"/>
              <w:left w:val="single" w:color="auto" w:sz="4" w:space="0"/>
              <w:bottom w:val="single" w:color="auto" w:sz="8" w:space="0"/>
              <w:right w:val="single" w:color="auto" w:sz="4" w:space="0"/>
            </w:tcBorders>
            <w:vAlign w:val="center"/>
          </w:tcPr>
          <w:p w14:paraId="0FA321CC">
            <w:pPr>
              <w:pStyle w:val="178"/>
              <w:rPr>
                <w:rFonts w:ascii="Times New Roman"/>
              </w:rPr>
            </w:pPr>
            <w:r>
              <w:rPr>
                <w:rFonts w:ascii="Times New Roman"/>
              </w:rPr>
              <w:t>电量</w:t>
            </w:r>
          </w:p>
          <w:p w14:paraId="005458EB">
            <w:pPr>
              <w:pStyle w:val="178"/>
              <w:rPr>
                <w:rFonts w:ascii="Times New Roman"/>
              </w:rPr>
            </w:pPr>
            <w:r>
              <w:rPr>
                <w:rFonts w:ascii="Times New Roman"/>
              </w:rPr>
              <w:t>MW·h</w:t>
            </w:r>
          </w:p>
        </w:tc>
        <w:tc>
          <w:tcPr>
            <w:tcW w:w="2336" w:type="dxa"/>
            <w:tcBorders>
              <w:top w:val="single" w:color="auto" w:sz="8" w:space="0"/>
              <w:left w:val="single" w:color="auto" w:sz="4" w:space="0"/>
              <w:bottom w:val="single" w:color="auto" w:sz="8" w:space="0"/>
              <w:right w:val="single" w:color="auto" w:sz="4" w:space="0"/>
            </w:tcBorders>
            <w:vAlign w:val="center"/>
          </w:tcPr>
          <w:p w14:paraId="3EE3DFA0">
            <w:pPr>
              <w:pStyle w:val="178"/>
              <w:rPr>
                <w:rFonts w:ascii="Times New Roman"/>
              </w:rPr>
            </w:pPr>
            <w:r>
              <w:rPr>
                <w:rFonts w:ascii="Times New Roman"/>
              </w:rPr>
              <w:t>排放因子</w:t>
            </w:r>
          </w:p>
          <w:p w14:paraId="4706D611">
            <w:pPr>
              <w:pStyle w:val="178"/>
              <w:rPr>
                <w:rFonts w:ascii="Times New Roman"/>
              </w:rPr>
            </w:pPr>
            <w:r>
              <w:rPr>
                <w:rFonts w:ascii="Times New Roman"/>
              </w:rPr>
              <w:t>tCO</w:t>
            </w:r>
            <w:r>
              <w:rPr>
                <w:rFonts w:ascii="Times New Roman"/>
                <w:vertAlign w:val="subscript"/>
              </w:rPr>
              <w:t>2</w:t>
            </w:r>
            <w:r>
              <w:rPr>
                <w:rFonts w:ascii="Times New Roman"/>
              </w:rPr>
              <w:t>/（MW·h）</w:t>
            </w:r>
          </w:p>
        </w:tc>
        <w:tc>
          <w:tcPr>
            <w:tcW w:w="2336" w:type="dxa"/>
            <w:tcBorders>
              <w:top w:val="single" w:color="auto" w:sz="8" w:space="0"/>
              <w:left w:val="single" w:color="auto" w:sz="4" w:space="0"/>
              <w:bottom w:val="single" w:color="auto" w:sz="8" w:space="0"/>
              <w:right w:val="single" w:color="auto" w:sz="8" w:space="0"/>
            </w:tcBorders>
            <w:vAlign w:val="center"/>
          </w:tcPr>
          <w:p w14:paraId="6C4F2357">
            <w:pPr>
              <w:pStyle w:val="178"/>
              <w:rPr>
                <w:rFonts w:ascii="Times New Roman"/>
              </w:rPr>
            </w:pPr>
            <w:r>
              <w:rPr>
                <w:rFonts w:ascii="Times New Roman"/>
              </w:rPr>
              <w:t>排放量</w:t>
            </w:r>
          </w:p>
          <w:p w14:paraId="330BA04A">
            <w:pPr>
              <w:pStyle w:val="178"/>
              <w:rPr>
                <w:rFonts w:ascii="Times New Roman"/>
              </w:rPr>
            </w:pPr>
            <w:r>
              <w:rPr>
                <w:rFonts w:ascii="Times New Roman"/>
              </w:rPr>
              <w:t>tCO</w:t>
            </w:r>
            <w:r>
              <w:rPr>
                <w:rFonts w:ascii="Times New Roman"/>
                <w:vertAlign w:val="subscript"/>
              </w:rPr>
              <w:t>2</w:t>
            </w:r>
          </w:p>
        </w:tc>
      </w:tr>
      <w:tr w14:paraId="736A4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vAlign w:val="center"/>
          </w:tcPr>
          <w:p w14:paraId="097C1DBA">
            <w:pPr>
              <w:pStyle w:val="178"/>
              <w:rPr>
                <w:rFonts w:ascii="Times New Roman"/>
              </w:rPr>
            </w:pPr>
            <w:r>
              <w:rPr>
                <w:rFonts w:ascii="Times New Roman"/>
              </w:rPr>
              <w:t>购入</w:t>
            </w:r>
          </w:p>
        </w:tc>
        <w:tc>
          <w:tcPr>
            <w:tcW w:w="2336" w:type="dxa"/>
            <w:tcBorders>
              <w:top w:val="single" w:color="auto" w:sz="8" w:space="0"/>
              <w:left w:val="single" w:color="auto" w:sz="4" w:space="0"/>
              <w:bottom w:val="single" w:color="auto" w:sz="8" w:space="0"/>
              <w:right w:val="single" w:color="auto" w:sz="4" w:space="0"/>
            </w:tcBorders>
            <w:vAlign w:val="center"/>
          </w:tcPr>
          <w:p w14:paraId="798D2988">
            <w:pPr>
              <w:pStyle w:val="178"/>
              <w:rPr>
                <w:rFonts w:ascii="Times New Roman"/>
              </w:rPr>
            </w:pPr>
          </w:p>
        </w:tc>
        <w:tc>
          <w:tcPr>
            <w:tcW w:w="2336" w:type="dxa"/>
            <w:tcBorders>
              <w:top w:val="single" w:color="auto" w:sz="8" w:space="0"/>
              <w:left w:val="single" w:color="auto" w:sz="4" w:space="0"/>
              <w:bottom w:val="single" w:color="auto" w:sz="8" w:space="0"/>
              <w:right w:val="single" w:color="auto" w:sz="4" w:space="0"/>
            </w:tcBorders>
            <w:vAlign w:val="center"/>
          </w:tcPr>
          <w:p w14:paraId="377F32C1">
            <w:pPr>
              <w:pStyle w:val="178"/>
              <w:rPr>
                <w:rFonts w:ascii="Times New Roman"/>
              </w:rPr>
            </w:pPr>
          </w:p>
        </w:tc>
        <w:tc>
          <w:tcPr>
            <w:tcW w:w="2336" w:type="dxa"/>
            <w:tcBorders>
              <w:top w:val="single" w:color="auto" w:sz="8" w:space="0"/>
              <w:left w:val="single" w:color="auto" w:sz="4" w:space="0"/>
              <w:bottom w:val="single" w:color="auto" w:sz="8" w:space="0"/>
              <w:right w:val="single" w:color="auto" w:sz="8" w:space="0"/>
            </w:tcBorders>
            <w:vAlign w:val="center"/>
          </w:tcPr>
          <w:p w14:paraId="25CAE2C4">
            <w:pPr>
              <w:pStyle w:val="178"/>
              <w:rPr>
                <w:rFonts w:ascii="Times New Roman"/>
              </w:rPr>
            </w:pPr>
          </w:p>
        </w:tc>
      </w:tr>
    </w:tbl>
    <w:p w14:paraId="4BCF4E65">
      <w:pPr>
        <w:pStyle w:val="56"/>
        <w:ind w:firstLine="420"/>
        <w:rPr>
          <w:rFonts w:ascii="Times New Roman"/>
        </w:rPr>
      </w:pPr>
    </w:p>
    <w:p w14:paraId="78FF9819">
      <w:pPr>
        <w:pStyle w:val="56"/>
        <w:ind w:firstLine="420"/>
        <w:rPr>
          <w:rFonts w:ascii="Times New Roman"/>
        </w:rPr>
      </w:pPr>
    </w:p>
    <w:p w14:paraId="37BE20F3">
      <w:pPr>
        <w:pStyle w:val="56"/>
        <w:ind w:firstLine="420"/>
        <w:rPr>
          <w:rFonts w:ascii="Times New Roman"/>
        </w:rPr>
      </w:pPr>
    </w:p>
    <w:p w14:paraId="28073508">
      <w:pPr>
        <w:pStyle w:val="77"/>
        <w:spacing w:before="120" w:after="120"/>
        <w:rPr>
          <w:rFonts w:ascii="Times New Roman"/>
        </w:rPr>
      </w:pPr>
      <w:r>
        <w:rPr>
          <w:rFonts w:ascii="Times New Roman"/>
        </w:rPr>
        <w:t>购入热力对应的活动数据及排放因子数据一览表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6"/>
        <w:gridCol w:w="2336"/>
        <w:gridCol w:w="2336"/>
        <w:gridCol w:w="2336"/>
      </w:tblGrid>
      <w:tr w14:paraId="76DEB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vAlign w:val="center"/>
          </w:tcPr>
          <w:p w14:paraId="79683DDD">
            <w:pPr>
              <w:pStyle w:val="178"/>
              <w:rPr>
                <w:rFonts w:ascii="Times New Roman"/>
                <w:szCs w:val="18"/>
              </w:rPr>
            </w:pPr>
            <w:r>
              <w:rPr>
                <w:rFonts w:ascii="Times New Roman"/>
              </w:rPr>
              <w:t>项目</w:t>
            </w:r>
          </w:p>
        </w:tc>
        <w:tc>
          <w:tcPr>
            <w:tcW w:w="2336" w:type="dxa"/>
            <w:tcBorders>
              <w:top w:val="single" w:color="auto" w:sz="8" w:space="0"/>
              <w:left w:val="single" w:color="auto" w:sz="4" w:space="0"/>
              <w:bottom w:val="single" w:color="auto" w:sz="8" w:space="0"/>
              <w:right w:val="single" w:color="auto" w:sz="4" w:space="0"/>
            </w:tcBorders>
            <w:vAlign w:val="center"/>
          </w:tcPr>
          <w:p w14:paraId="2F1A4338">
            <w:pPr>
              <w:pStyle w:val="178"/>
              <w:rPr>
                <w:rFonts w:ascii="Times New Roman"/>
              </w:rPr>
            </w:pPr>
            <w:r>
              <w:rPr>
                <w:rFonts w:ascii="Times New Roman"/>
              </w:rPr>
              <w:t>热量</w:t>
            </w:r>
          </w:p>
          <w:p w14:paraId="1D917F9B">
            <w:pPr>
              <w:pStyle w:val="178"/>
              <w:rPr>
                <w:rFonts w:ascii="Times New Roman"/>
              </w:rPr>
            </w:pPr>
            <w:r>
              <w:rPr>
                <w:rFonts w:ascii="Times New Roman"/>
              </w:rPr>
              <w:t>GJ</w:t>
            </w:r>
          </w:p>
        </w:tc>
        <w:tc>
          <w:tcPr>
            <w:tcW w:w="2336" w:type="dxa"/>
            <w:tcBorders>
              <w:top w:val="single" w:color="auto" w:sz="8" w:space="0"/>
              <w:left w:val="single" w:color="auto" w:sz="4" w:space="0"/>
              <w:bottom w:val="single" w:color="auto" w:sz="8" w:space="0"/>
              <w:right w:val="single" w:color="auto" w:sz="4" w:space="0"/>
            </w:tcBorders>
            <w:vAlign w:val="center"/>
          </w:tcPr>
          <w:p w14:paraId="71D922FD">
            <w:pPr>
              <w:pStyle w:val="178"/>
              <w:rPr>
                <w:rFonts w:ascii="Times New Roman"/>
              </w:rPr>
            </w:pPr>
            <w:r>
              <w:rPr>
                <w:rFonts w:ascii="Times New Roman"/>
              </w:rPr>
              <w:t>排放因子</w:t>
            </w:r>
          </w:p>
          <w:p w14:paraId="32204144">
            <w:pPr>
              <w:pStyle w:val="178"/>
              <w:rPr>
                <w:rFonts w:ascii="Times New Roman"/>
              </w:rPr>
            </w:pPr>
            <w:r>
              <w:rPr>
                <w:rFonts w:ascii="Times New Roman"/>
              </w:rPr>
              <w:t>tCO</w:t>
            </w:r>
            <w:r>
              <w:rPr>
                <w:rFonts w:ascii="Times New Roman"/>
                <w:vertAlign w:val="subscript"/>
              </w:rPr>
              <w:t>2</w:t>
            </w:r>
            <w:r>
              <w:rPr>
                <w:rFonts w:ascii="Times New Roman"/>
              </w:rPr>
              <w:t>/GJ</w:t>
            </w:r>
          </w:p>
        </w:tc>
        <w:tc>
          <w:tcPr>
            <w:tcW w:w="2336" w:type="dxa"/>
            <w:tcBorders>
              <w:top w:val="single" w:color="auto" w:sz="8" w:space="0"/>
              <w:left w:val="single" w:color="auto" w:sz="4" w:space="0"/>
              <w:bottom w:val="single" w:color="auto" w:sz="8" w:space="0"/>
              <w:right w:val="single" w:color="auto" w:sz="8" w:space="0"/>
            </w:tcBorders>
            <w:vAlign w:val="center"/>
          </w:tcPr>
          <w:p w14:paraId="1A74A333">
            <w:pPr>
              <w:pStyle w:val="178"/>
              <w:rPr>
                <w:rFonts w:ascii="Times New Roman"/>
              </w:rPr>
            </w:pPr>
            <w:r>
              <w:rPr>
                <w:rFonts w:ascii="Times New Roman"/>
              </w:rPr>
              <w:t>排放量</w:t>
            </w:r>
          </w:p>
          <w:p w14:paraId="07A598AC">
            <w:pPr>
              <w:pStyle w:val="178"/>
              <w:rPr>
                <w:rFonts w:ascii="Times New Roman"/>
              </w:rPr>
            </w:pPr>
            <w:r>
              <w:rPr>
                <w:rFonts w:ascii="Times New Roman"/>
              </w:rPr>
              <w:t>tCO</w:t>
            </w:r>
            <w:r>
              <w:rPr>
                <w:rFonts w:ascii="Times New Roman"/>
                <w:vertAlign w:val="subscript"/>
              </w:rPr>
              <w:t>2</w:t>
            </w:r>
          </w:p>
        </w:tc>
      </w:tr>
      <w:tr w14:paraId="12C14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vAlign w:val="center"/>
          </w:tcPr>
          <w:p w14:paraId="599FED8E">
            <w:pPr>
              <w:pStyle w:val="178"/>
              <w:rPr>
                <w:rFonts w:ascii="Times New Roman"/>
              </w:rPr>
            </w:pPr>
            <w:r>
              <w:rPr>
                <w:rFonts w:ascii="Times New Roman"/>
              </w:rPr>
              <w:t>购入</w:t>
            </w:r>
          </w:p>
        </w:tc>
        <w:tc>
          <w:tcPr>
            <w:tcW w:w="2336" w:type="dxa"/>
            <w:tcBorders>
              <w:top w:val="single" w:color="auto" w:sz="8" w:space="0"/>
              <w:left w:val="single" w:color="auto" w:sz="4" w:space="0"/>
              <w:bottom w:val="single" w:color="auto" w:sz="8" w:space="0"/>
              <w:right w:val="single" w:color="auto" w:sz="4" w:space="0"/>
            </w:tcBorders>
            <w:vAlign w:val="center"/>
          </w:tcPr>
          <w:p w14:paraId="676938ED">
            <w:pPr>
              <w:pStyle w:val="178"/>
              <w:rPr>
                <w:rFonts w:ascii="Times New Roman"/>
              </w:rPr>
            </w:pPr>
          </w:p>
        </w:tc>
        <w:tc>
          <w:tcPr>
            <w:tcW w:w="2336" w:type="dxa"/>
            <w:tcBorders>
              <w:top w:val="single" w:color="auto" w:sz="8" w:space="0"/>
              <w:left w:val="single" w:color="auto" w:sz="4" w:space="0"/>
              <w:bottom w:val="single" w:color="auto" w:sz="8" w:space="0"/>
              <w:right w:val="single" w:color="auto" w:sz="4" w:space="0"/>
            </w:tcBorders>
            <w:vAlign w:val="center"/>
          </w:tcPr>
          <w:p w14:paraId="4AB9BBDB">
            <w:pPr>
              <w:pStyle w:val="178"/>
              <w:rPr>
                <w:rFonts w:ascii="Times New Roman"/>
              </w:rPr>
            </w:pPr>
          </w:p>
        </w:tc>
        <w:tc>
          <w:tcPr>
            <w:tcW w:w="2336" w:type="dxa"/>
            <w:tcBorders>
              <w:top w:val="single" w:color="auto" w:sz="8" w:space="0"/>
              <w:left w:val="single" w:color="auto" w:sz="4" w:space="0"/>
              <w:bottom w:val="single" w:color="auto" w:sz="8" w:space="0"/>
              <w:right w:val="single" w:color="auto" w:sz="8" w:space="0"/>
            </w:tcBorders>
            <w:vAlign w:val="center"/>
          </w:tcPr>
          <w:p w14:paraId="52689FA4">
            <w:pPr>
              <w:pStyle w:val="178"/>
              <w:rPr>
                <w:rFonts w:ascii="Times New Roman"/>
              </w:rPr>
            </w:pPr>
          </w:p>
        </w:tc>
      </w:tr>
    </w:tbl>
    <w:p w14:paraId="393D5766">
      <w:pPr>
        <w:pStyle w:val="56"/>
        <w:ind w:firstLine="420"/>
        <w:rPr>
          <w:rFonts w:ascii="Times New Roman"/>
        </w:rPr>
        <w:sectPr>
          <w:pgSz w:w="11906" w:h="16838"/>
          <w:pgMar w:top="1928" w:right="1134" w:bottom="1134" w:left="1134" w:header="1418" w:footer="1134" w:gutter="284"/>
          <w:cols w:space="425" w:num="1"/>
          <w:formProt w:val="0"/>
          <w:docGrid w:linePitch="312" w:charSpace="0"/>
        </w:sectPr>
      </w:pPr>
    </w:p>
    <w:p w14:paraId="77B9143C">
      <w:pPr>
        <w:pStyle w:val="198"/>
        <w:rPr>
          <w:rFonts w:ascii="Times New Roman" w:hAnsi="Times New Roman"/>
          <w:vanish w:val="0"/>
        </w:rPr>
      </w:pPr>
    </w:p>
    <w:p w14:paraId="58CDD199">
      <w:pPr>
        <w:pStyle w:val="199"/>
        <w:rPr>
          <w:rFonts w:ascii="Times New Roman"/>
          <w:vanish w:val="0"/>
        </w:rPr>
      </w:pPr>
    </w:p>
    <w:p w14:paraId="3720ED42">
      <w:pPr>
        <w:pStyle w:val="76"/>
        <w:spacing w:after="120"/>
        <w:rPr>
          <w:rFonts w:ascii="Times New Roman"/>
        </w:rPr>
      </w:pPr>
      <w:r>
        <w:rPr>
          <w:rFonts w:ascii="Times New Roman"/>
        </w:rPr>
        <w:br w:type="textWrapping"/>
      </w:r>
      <w:bookmarkStart w:id="79" w:name="_Toc213252354"/>
      <w:bookmarkStart w:id="80" w:name="_Toc215220252"/>
      <w:bookmarkStart w:id="81" w:name="_Toc215221166"/>
      <w:r>
        <w:rPr>
          <w:rFonts w:ascii="Times New Roman"/>
        </w:rPr>
        <w:t>（资料性）</w:t>
      </w:r>
      <w:r>
        <w:rPr>
          <w:rFonts w:ascii="Times New Roman"/>
        </w:rPr>
        <w:br w:type="textWrapping"/>
      </w:r>
      <w:r>
        <w:rPr>
          <w:rFonts w:ascii="Times New Roman"/>
        </w:rPr>
        <w:t>常用参数参考值</w:t>
      </w:r>
      <w:bookmarkEnd w:id="79"/>
      <w:bookmarkEnd w:id="80"/>
      <w:bookmarkEnd w:id="81"/>
    </w:p>
    <w:p w14:paraId="0927E9AE">
      <w:pPr>
        <w:pStyle w:val="56"/>
        <w:ind w:firstLine="420"/>
        <w:rPr>
          <w:rFonts w:ascii="Times New Roman"/>
        </w:rPr>
      </w:pPr>
      <w:r>
        <w:rPr>
          <w:rFonts w:ascii="Times New Roman"/>
        </w:rPr>
        <w:t>常用参数参考值见附录B.1。</w:t>
      </w:r>
    </w:p>
    <w:p w14:paraId="707A02BE">
      <w:pPr>
        <w:pStyle w:val="77"/>
        <w:spacing w:before="120" w:after="120"/>
        <w:rPr>
          <w:rFonts w:ascii="Times New Roman"/>
        </w:rPr>
      </w:pPr>
      <w:r>
        <w:rPr>
          <w:rFonts w:ascii="Times New Roman"/>
        </w:rPr>
        <w:t>常用化石燃料参数参考值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985"/>
        <w:gridCol w:w="1701"/>
        <w:gridCol w:w="2126"/>
        <w:gridCol w:w="1409"/>
        <w:gridCol w:w="1556"/>
      </w:tblGrid>
      <w:tr w14:paraId="1B828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2" w:type="dxa"/>
            <w:gridSpan w:val="2"/>
            <w:tcBorders>
              <w:top w:val="single" w:color="auto" w:sz="8" w:space="0"/>
              <w:left w:val="single" w:color="auto" w:sz="8" w:space="0"/>
              <w:bottom w:val="single" w:color="auto" w:sz="8" w:space="0"/>
              <w:right w:val="single" w:color="auto" w:sz="4" w:space="0"/>
            </w:tcBorders>
            <w:vAlign w:val="center"/>
          </w:tcPr>
          <w:p w14:paraId="18AEF7D2">
            <w:pPr>
              <w:pStyle w:val="178"/>
              <w:rPr>
                <w:rFonts w:ascii="Times New Roman"/>
                <w:szCs w:val="18"/>
              </w:rPr>
            </w:pPr>
            <w:r>
              <w:rPr>
                <w:rFonts w:ascii="Times New Roman"/>
              </w:rPr>
              <w:t>燃料品种</w:t>
            </w:r>
          </w:p>
        </w:tc>
        <w:tc>
          <w:tcPr>
            <w:tcW w:w="1701" w:type="dxa"/>
            <w:tcBorders>
              <w:top w:val="single" w:color="auto" w:sz="8" w:space="0"/>
              <w:left w:val="single" w:color="auto" w:sz="4" w:space="0"/>
              <w:bottom w:val="single" w:color="auto" w:sz="8" w:space="0"/>
              <w:right w:val="single" w:color="auto" w:sz="4" w:space="0"/>
            </w:tcBorders>
            <w:vAlign w:val="center"/>
          </w:tcPr>
          <w:p w14:paraId="0B65EA97">
            <w:pPr>
              <w:pStyle w:val="178"/>
              <w:rPr>
                <w:rFonts w:ascii="Times New Roman"/>
              </w:rPr>
            </w:pPr>
            <w:r>
              <w:rPr>
                <w:rFonts w:ascii="Times New Roman"/>
              </w:rPr>
              <w:t>计量单位</w:t>
            </w:r>
          </w:p>
        </w:tc>
        <w:tc>
          <w:tcPr>
            <w:tcW w:w="2126" w:type="dxa"/>
            <w:tcBorders>
              <w:top w:val="single" w:color="auto" w:sz="8" w:space="0"/>
              <w:left w:val="single" w:color="auto" w:sz="4" w:space="0"/>
              <w:bottom w:val="single" w:color="auto" w:sz="8" w:space="0"/>
              <w:right w:val="single" w:color="auto" w:sz="4" w:space="0"/>
            </w:tcBorders>
            <w:vAlign w:val="center"/>
          </w:tcPr>
          <w:p w14:paraId="5FE55847">
            <w:pPr>
              <w:pStyle w:val="178"/>
              <w:rPr>
                <w:rFonts w:ascii="Times New Roman"/>
              </w:rPr>
            </w:pPr>
            <w:r>
              <w:rPr>
                <w:rFonts w:ascii="Times New Roman"/>
              </w:rPr>
              <w:t>低位发热量</w:t>
            </w:r>
          </w:p>
          <w:p w14:paraId="7C78892F">
            <w:pPr>
              <w:pStyle w:val="178"/>
              <w:rPr>
                <w:rFonts w:ascii="Times New Roman"/>
              </w:rPr>
            </w:pPr>
            <w:r>
              <w:rPr>
                <w:rFonts w:ascii="Times New Roman"/>
              </w:rPr>
              <w:t>（GJ/t，GJ/×10</w:t>
            </w:r>
            <w:r>
              <w:rPr>
                <w:rFonts w:ascii="Times New Roman"/>
                <w:vertAlign w:val="superscript"/>
              </w:rPr>
              <w:t>4</w:t>
            </w:r>
            <w:r>
              <w:rPr>
                <w:rFonts w:ascii="Times New Roman"/>
              </w:rPr>
              <w:t>Nm</w:t>
            </w:r>
            <w:r>
              <w:rPr>
                <w:rFonts w:ascii="Times New Roman"/>
                <w:vertAlign w:val="superscript"/>
              </w:rPr>
              <w:t>3</w:t>
            </w:r>
            <w:r>
              <w:rPr>
                <w:rFonts w:ascii="Times New Roman"/>
              </w:rPr>
              <w:t>）</w:t>
            </w:r>
          </w:p>
        </w:tc>
        <w:tc>
          <w:tcPr>
            <w:tcW w:w="1409" w:type="dxa"/>
            <w:tcBorders>
              <w:top w:val="single" w:color="auto" w:sz="8" w:space="0"/>
              <w:left w:val="single" w:color="auto" w:sz="4" w:space="0"/>
              <w:bottom w:val="single" w:color="auto" w:sz="8" w:space="0"/>
              <w:right w:val="single" w:color="auto" w:sz="4" w:space="0"/>
            </w:tcBorders>
            <w:vAlign w:val="center"/>
          </w:tcPr>
          <w:p w14:paraId="3733D7C5">
            <w:pPr>
              <w:pStyle w:val="178"/>
              <w:rPr>
                <w:rFonts w:ascii="Times New Roman"/>
              </w:rPr>
            </w:pPr>
            <w:r>
              <w:rPr>
                <w:rFonts w:ascii="Times New Roman"/>
              </w:rPr>
              <w:t>单位热值含碳量</w:t>
            </w:r>
          </w:p>
          <w:p w14:paraId="5AE9789B">
            <w:pPr>
              <w:pStyle w:val="178"/>
              <w:rPr>
                <w:rFonts w:ascii="Times New Roman"/>
              </w:rPr>
            </w:pPr>
            <w:r>
              <w:rPr>
                <w:rFonts w:ascii="Times New Roman"/>
              </w:rPr>
              <w:t>（tC/GJ）</w:t>
            </w:r>
          </w:p>
        </w:tc>
        <w:tc>
          <w:tcPr>
            <w:tcW w:w="1556" w:type="dxa"/>
            <w:tcBorders>
              <w:top w:val="single" w:color="auto" w:sz="8" w:space="0"/>
              <w:left w:val="single" w:color="auto" w:sz="4" w:space="0"/>
              <w:bottom w:val="single" w:color="auto" w:sz="8" w:space="0"/>
              <w:right w:val="single" w:color="auto" w:sz="8" w:space="0"/>
            </w:tcBorders>
            <w:vAlign w:val="center"/>
          </w:tcPr>
          <w:p w14:paraId="49C4BC8E">
            <w:pPr>
              <w:pStyle w:val="178"/>
              <w:rPr>
                <w:rFonts w:ascii="Times New Roman"/>
              </w:rPr>
            </w:pPr>
            <w:r>
              <w:rPr>
                <w:rFonts w:ascii="Times New Roman"/>
              </w:rPr>
              <w:t>燃料碳氧化率</w:t>
            </w:r>
          </w:p>
        </w:tc>
      </w:tr>
      <w:tr w14:paraId="0507E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nil"/>
              <w:left w:val="single" w:color="auto" w:sz="8" w:space="0"/>
              <w:bottom w:val="single" w:color="auto" w:sz="4" w:space="0"/>
              <w:right w:val="single" w:color="auto" w:sz="4" w:space="0"/>
            </w:tcBorders>
            <w:vAlign w:val="center"/>
          </w:tcPr>
          <w:p w14:paraId="78EE5AC3">
            <w:pPr>
              <w:pStyle w:val="178"/>
              <w:rPr>
                <w:rFonts w:ascii="Times New Roman"/>
              </w:rPr>
            </w:pPr>
            <w:r>
              <w:rPr>
                <w:rFonts w:ascii="Times New Roman"/>
              </w:rPr>
              <w:t>固</w:t>
            </w:r>
          </w:p>
          <w:p w14:paraId="6B1CE4BF">
            <w:pPr>
              <w:pStyle w:val="178"/>
              <w:rPr>
                <w:rFonts w:ascii="Times New Roman"/>
              </w:rPr>
            </w:pPr>
            <w:r>
              <w:rPr>
                <w:rFonts w:ascii="Times New Roman"/>
              </w:rPr>
              <w:t>体</w:t>
            </w:r>
          </w:p>
          <w:p w14:paraId="4E80619B">
            <w:pPr>
              <w:pStyle w:val="178"/>
              <w:rPr>
                <w:rFonts w:ascii="Times New Roman"/>
              </w:rPr>
            </w:pPr>
            <w:r>
              <w:rPr>
                <w:rFonts w:ascii="Times New Roman"/>
              </w:rPr>
              <w:t>燃</w:t>
            </w:r>
          </w:p>
          <w:p w14:paraId="2E2D58A4">
            <w:pPr>
              <w:pStyle w:val="178"/>
              <w:rPr>
                <w:rFonts w:ascii="Times New Roman"/>
              </w:rPr>
            </w:pPr>
            <w:r>
              <w:rPr>
                <w:rFonts w:ascii="Times New Roman"/>
              </w:rPr>
              <w:t>料</w:t>
            </w:r>
          </w:p>
        </w:tc>
        <w:tc>
          <w:tcPr>
            <w:tcW w:w="1985" w:type="dxa"/>
            <w:tcBorders>
              <w:top w:val="single" w:color="auto" w:sz="8" w:space="0"/>
              <w:left w:val="single" w:color="auto" w:sz="4" w:space="0"/>
              <w:bottom w:val="single" w:color="auto" w:sz="4" w:space="0"/>
              <w:right w:val="single" w:color="auto" w:sz="4" w:space="0"/>
            </w:tcBorders>
            <w:vAlign w:val="center"/>
          </w:tcPr>
          <w:p w14:paraId="1CAE638C">
            <w:pPr>
              <w:pStyle w:val="178"/>
              <w:rPr>
                <w:rFonts w:ascii="Times New Roman"/>
              </w:rPr>
            </w:pPr>
            <w:r>
              <w:rPr>
                <w:rFonts w:ascii="Times New Roman"/>
              </w:rPr>
              <w:t>无烟煤</w:t>
            </w:r>
          </w:p>
        </w:tc>
        <w:tc>
          <w:tcPr>
            <w:tcW w:w="1701" w:type="dxa"/>
            <w:tcBorders>
              <w:top w:val="single" w:color="auto" w:sz="8" w:space="0"/>
              <w:left w:val="single" w:color="auto" w:sz="4" w:space="0"/>
              <w:bottom w:val="single" w:color="auto" w:sz="4" w:space="0"/>
              <w:right w:val="single" w:color="auto" w:sz="4" w:space="0"/>
            </w:tcBorders>
            <w:vAlign w:val="center"/>
          </w:tcPr>
          <w:p w14:paraId="692DAEC6">
            <w:pPr>
              <w:pStyle w:val="178"/>
              <w:rPr>
                <w:rFonts w:ascii="Times New Roman"/>
              </w:rPr>
            </w:pPr>
            <w:r>
              <w:rPr>
                <w:rFonts w:ascii="Times New Roman"/>
              </w:rPr>
              <w:t>t</w:t>
            </w:r>
          </w:p>
        </w:tc>
        <w:tc>
          <w:tcPr>
            <w:tcW w:w="2126" w:type="dxa"/>
            <w:tcBorders>
              <w:top w:val="single" w:color="auto" w:sz="8" w:space="0"/>
              <w:left w:val="single" w:color="auto" w:sz="4" w:space="0"/>
              <w:bottom w:val="single" w:color="auto" w:sz="4" w:space="0"/>
              <w:right w:val="single" w:color="auto" w:sz="4" w:space="0"/>
            </w:tcBorders>
            <w:vAlign w:val="center"/>
          </w:tcPr>
          <w:p w14:paraId="1896D59F">
            <w:pPr>
              <w:pStyle w:val="178"/>
              <w:rPr>
                <w:rFonts w:ascii="Times New Roman"/>
              </w:rPr>
            </w:pPr>
            <w:r>
              <w:rPr>
                <w:rFonts w:ascii="Times New Roman"/>
              </w:rPr>
              <w:t>26.7</w:t>
            </w:r>
          </w:p>
        </w:tc>
        <w:tc>
          <w:tcPr>
            <w:tcW w:w="1409" w:type="dxa"/>
            <w:tcBorders>
              <w:top w:val="single" w:color="auto" w:sz="8" w:space="0"/>
              <w:left w:val="single" w:color="auto" w:sz="4" w:space="0"/>
              <w:bottom w:val="single" w:color="auto" w:sz="4" w:space="0"/>
              <w:right w:val="single" w:color="auto" w:sz="4" w:space="0"/>
            </w:tcBorders>
            <w:vAlign w:val="center"/>
          </w:tcPr>
          <w:p w14:paraId="6D8DF99E">
            <w:pPr>
              <w:pStyle w:val="178"/>
              <w:rPr>
                <w:rFonts w:ascii="Times New Roman"/>
                <w:vertAlign w:val="superscript"/>
              </w:rPr>
            </w:pPr>
            <w:r>
              <w:rPr>
                <w:rFonts w:ascii="Times New Roman"/>
              </w:rPr>
              <w:t>27.4×10</w:t>
            </w:r>
            <w:r>
              <w:rPr>
                <w:rFonts w:ascii="Times New Roman"/>
                <w:vertAlign w:val="superscript"/>
              </w:rPr>
              <w:t>-3</w:t>
            </w:r>
          </w:p>
        </w:tc>
        <w:tc>
          <w:tcPr>
            <w:tcW w:w="1556" w:type="dxa"/>
            <w:tcBorders>
              <w:top w:val="single" w:color="auto" w:sz="8" w:space="0"/>
              <w:left w:val="single" w:color="auto" w:sz="4" w:space="0"/>
              <w:bottom w:val="single" w:color="auto" w:sz="4" w:space="0"/>
              <w:right w:val="single" w:color="auto" w:sz="8" w:space="0"/>
            </w:tcBorders>
            <w:vAlign w:val="center"/>
          </w:tcPr>
          <w:p w14:paraId="7AAE1FD3">
            <w:pPr>
              <w:pStyle w:val="178"/>
              <w:rPr>
                <w:rFonts w:ascii="Times New Roman"/>
              </w:rPr>
            </w:pPr>
            <w:r>
              <w:rPr>
                <w:rFonts w:ascii="Times New Roman"/>
              </w:rPr>
              <w:t>94%</w:t>
            </w:r>
          </w:p>
        </w:tc>
      </w:tr>
      <w:tr w14:paraId="3C115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vAlign w:val="center"/>
          </w:tcPr>
          <w:p w14:paraId="1AD7DBA7">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661254C1">
            <w:pPr>
              <w:pStyle w:val="178"/>
              <w:rPr>
                <w:rFonts w:ascii="Times New Roman"/>
              </w:rPr>
            </w:pPr>
            <w:r>
              <w:rPr>
                <w:rFonts w:ascii="Times New Roman"/>
              </w:rPr>
              <w:t>烟煤</w:t>
            </w:r>
          </w:p>
        </w:tc>
        <w:tc>
          <w:tcPr>
            <w:tcW w:w="1701" w:type="dxa"/>
            <w:tcBorders>
              <w:top w:val="single" w:color="auto" w:sz="4" w:space="0"/>
              <w:left w:val="single" w:color="auto" w:sz="4" w:space="0"/>
              <w:bottom w:val="single" w:color="auto" w:sz="4" w:space="0"/>
              <w:right w:val="single" w:color="auto" w:sz="4" w:space="0"/>
            </w:tcBorders>
            <w:vAlign w:val="center"/>
          </w:tcPr>
          <w:p w14:paraId="684A6E11">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0A6D68FB">
            <w:pPr>
              <w:pStyle w:val="178"/>
              <w:rPr>
                <w:rFonts w:ascii="Times New Roman"/>
              </w:rPr>
            </w:pPr>
            <w:r>
              <w:rPr>
                <w:rFonts w:ascii="Times New Roman"/>
              </w:rPr>
              <w:t>19.570</w:t>
            </w:r>
          </w:p>
        </w:tc>
        <w:tc>
          <w:tcPr>
            <w:tcW w:w="1409" w:type="dxa"/>
            <w:tcBorders>
              <w:top w:val="single" w:color="auto" w:sz="4" w:space="0"/>
              <w:left w:val="single" w:color="auto" w:sz="4" w:space="0"/>
              <w:bottom w:val="single" w:color="auto" w:sz="4" w:space="0"/>
              <w:right w:val="single" w:color="auto" w:sz="4" w:space="0"/>
            </w:tcBorders>
            <w:vAlign w:val="center"/>
          </w:tcPr>
          <w:p w14:paraId="226120C1">
            <w:pPr>
              <w:pStyle w:val="178"/>
              <w:rPr>
                <w:rFonts w:ascii="Times New Roman"/>
              </w:rPr>
            </w:pPr>
            <w:r>
              <w:rPr>
                <w:rFonts w:ascii="Times New Roman"/>
              </w:rPr>
              <w:t>26.1×10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03324F1A">
            <w:pPr>
              <w:pStyle w:val="178"/>
              <w:rPr>
                <w:rFonts w:ascii="Times New Roman"/>
              </w:rPr>
            </w:pPr>
            <w:r>
              <w:rPr>
                <w:rFonts w:ascii="Times New Roman"/>
              </w:rPr>
              <w:t>93%</w:t>
            </w:r>
          </w:p>
        </w:tc>
      </w:tr>
      <w:tr w14:paraId="39272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vAlign w:val="center"/>
          </w:tcPr>
          <w:p w14:paraId="00D394CE">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50006286">
            <w:pPr>
              <w:pStyle w:val="178"/>
              <w:rPr>
                <w:rFonts w:ascii="Times New Roman"/>
              </w:rPr>
            </w:pPr>
            <w:r>
              <w:rPr>
                <w:rFonts w:ascii="Times New Roman"/>
              </w:rPr>
              <w:t>褐煤</w:t>
            </w:r>
          </w:p>
        </w:tc>
        <w:tc>
          <w:tcPr>
            <w:tcW w:w="1701" w:type="dxa"/>
            <w:tcBorders>
              <w:top w:val="single" w:color="auto" w:sz="4" w:space="0"/>
              <w:left w:val="single" w:color="auto" w:sz="4" w:space="0"/>
              <w:bottom w:val="single" w:color="auto" w:sz="4" w:space="0"/>
              <w:right w:val="single" w:color="auto" w:sz="4" w:space="0"/>
            </w:tcBorders>
            <w:vAlign w:val="center"/>
          </w:tcPr>
          <w:p w14:paraId="39D097A8">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1256D955">
            <w:pPr>
              <w:pStyle w:val="178"/>
              <w:rPr>
                <w:rFonts w:ascii="Times New Roman"/>
              </w:rPr>
            </w:pPr>
            <w:r>
              <w:rPr>
                <w:rFonts w:ascii="Times New Roman"/>
              </w:rPr>
              <w:t>11.9</w:t>
            </w:r>
          </w:p>
        </w:tc>
        <w:tc>
          <w:tcPr>
            <w:tcW w:w="1409" w:type="dxa"/>
            <w:tcBorders>
              <w:top w:val="single" w:color="auto" w:sz="4" w:space="0"/>
              <w:left w:val="single" w:color="auto" w:sz="4" w:space="0"/>
              <w:bottom w:val="single" w:color="auto" w:sz="4" w:space="0"/>
              <w:right w:val="single" w:color="auto" w:sz="4" w:space="0"/>
            </w:tcBorders>
            <w:vAlign w:val="center"/>
          </w:tcPr>
          <w:p w14:paraId="28DC486E">
            <w:pPr>
              <w:pStyle w:val="178"/>
              <w:rPr>
                <w:rFonts w:ascii="Times New Roman"/>
              </w:rPr>
            </w:pPr>
            <w:r>
              <w:rPr>
                <w:rFonts w:ascii="Times New Roman"/>
              </w:rPr>
              <w:t>28×10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25D3606E">
            <w:pPr>
              <w:pStyle w:val="178"/>
              <w:rPr>
                <w:rFonts w:ascii="Times New Roman"/>
              </w:rPr>
            </w:pPr>
            <w:r>
              <w:rPr>
                <w:rFonts w:ascii="Times New Roman"/>
              </w:rPr>
              <w:t>96%</w:t>
            </w:r>
          </w:p>
        </w:tc>
      </w:tr>
      <w:tr w14:paraId="6B36F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vAlign w:val="center"/>
          </w:tcPr>
          <w:p w14:paraId="2DE386B1">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0CB30920">
            <w:pPr>
              <w:pStyle w:val="178"/>
              <w:rPr>
                <w:rFonts w:ascii="Times New Roman"/>
              </w:rPr>
            </w:pPr>
            <w:r>
              <w:rPr>
                <w:rFonts w:ascii="Times New Roman"/>
              </w:rPr>
              <w:t>洗精煤</w:t>
            </w:r>
          </w:p>
        </w:tc>
        <w:tc>
          <w:tcPr>
            <w:tcW w:w="1701" w:type="dxa"/>
            <w:tcBorders>
              <w:top w:val="single" w:color="auto" w:sz="4" w:space="0"/>
              <w:left w:val="single" w:color="auto" w:sz="4" w:space="0"/>
              <w:bottom w:val="single" w:color="auto" w:sz="4" w:space="0"/>
              <w:right w:val="single" w:color="auto" w:sz="4" w:space="0"/>
            </w:tcBorders>
            <w:vAlign w:val="center"/>
          </w:tcPr>
          <w:p w14:paraId="4B71B56A">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64498477">
            <w:pPr>
              <w:pStyle w:val="178"/>
              <w:rPr>
                <w:rFonts w:ascii="Times New Roman"/>
              </w:rPr>
            </w:pPr>
            <w:r>
              <w:rPr>
                <w:rFonts w:ascii="Times New Roman"/>
              </w:rPr>
              <w:t>26.334</w:t>
            </w:r>
          </w:p>
        </w:tc>
        <w:tc>
          <w:tcPr>
            <w:tcW w:w="1409" w:type="dxa"/>
            <w:tcBorders>
              <w:top w:val="single" w:color="auto" w:sz="4" w:space="0"/>
              <w:left w:val="single" w:color="auto" w:sz="4" w:space="0"/>
              <w:bottom w:val="single" w:color="auto" w:sz="4" w:space="0"/>
              <w:right w:val="single" w:color="auto" w:sz="4" w:space="0"/>
            </w:tcBorders>
            <w:vAlign w:val="center"/>
          </w:tcPr>
          <w:p w14:paraId="736BA4B7">
            <w:pPr>
              <w:pStyle w:val="178"/>
              <w:rPr>
                <w:rFonts w:ascii="Times New Roman"/>
              </w:rPr>
            </w:pPr>
            <w:r>
              <w:rPr>
                <w:rFonts w:ascii="Times New Roman"/>
              </w:rPr>
              <w:t>25.41×10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039AF85F">
            <w:pPr>
              <w:pStyle w:val="178"/>
              <w:rPr>
                <w:rFonts w:ascii="Times New Roman"/>
              </w:rPr>
            </w:pPr>
            <w:r>
              <w:rPr>
                <w:rFonts w:ascii="Times New Roman"/>
              </w:rPr>
              <w:t>90%</w:t>
            </w:r>
          </w:p>
        </w:tc>
      </w:tr>
      <w:tr w14:paraId="6975B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vAlign w:val="center"/>
          </w:tcPr>
          <w:p w14:paraId="37125F6A">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56E330A9">
            <w:pPr>
              <w:pStyle w:val="178"/>
              <w:rPr>
                <w:rFonts w:ascii="Times New Roman"/>
              </w:rPr>
            </w:pPr>
            <w:r>
              <w:rPr>
                <w:rFonts w:ascii="Times New Roman"/>
              </w:rPr>
              <w:t>其它洗煤</w:t>
            </w:r>
          </w:p>
        </w:tc>
        <w:tc>
          <w:tcPr>
            <w:tcW w:w="1701" w:type="dxa"/>
            <w:tcBorders>
              <w:top w:val="single" w:color="auto" w:sz="4" w:space="0"/>
              <w:left w:val="single" w:color="auto" w:sz="4" w:space="0"/>
              <w:bottom w:val="single" w:color="auto" w:sz="4" w:space="0"/>
              <w:right w:val="single" w:color="auto" w:sz="4" w:space="0"/>
            </w:tcBorders>
            <w:vAlign w:val="center"/>
          </w:tcPr>
          <w:p w14:paraId="64CEA45A">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6683EC2E">
            <w:pPr>
              <w:pStyle w:val="178"/>
              <w:rPr>
                <w:rFonts w:ascii="Times New Roman"/>
              </w:rPr>
            </w:pPr>
            <w:r>
              <w:rPr>
                <w:rFonts w:ascii="Times New Roman"/>
              </w:rPr>
              <w:t>12.545</w:t>
            </w:r>
          </w:p>
        </w:tc>
        <w:tc>
          <w:tcPr>
            <w:tcW w:w="1409" w:type="dxa"/>
            <w:tcBorders>
              <w:top w:val="single" w:color="auto" w:sz="4" w:space="0"/>
              <w:left w:val="single" w:color="auto" w:sz="4" w:space="0"/>
              <w:bottom w:val="single" w:color="auto" w:sz="4" w:space="0"/>
              <w:right w:val="single" w:color="auto" w:sz="4" w:space="0"/>
            </w:tcBorders>
            <w:vAlign w:val="center"/>
          </w:tcPr>
          <w:p w14:paraId="6E089898">
            <w:pPr>
              <w:pStyle w:val="178"/>
              <w:rPr>
                <w:rFonts w:ascii="Times New Roman"/>
              </w:rPr>
            </w:pPr>
            <w:r>
              <w:rPr>
                <w:rFonts w:ascii="Times New Roman"/>
              </w:rPr>
              <w:t>25.41×10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5AD2F109">
            <w:pPr>
              <w:pStyle w:val="178"/>
              <w:rPr>
                <w:rFonts w:ascii="Times New Roman"/>
              </w:rPr>
            </w:pPr>
            <w:r>
              <w:rPr>
                <w:rFonts w:ascii="Times New Roman"/>
              </w:rPr>
              <w:t>90%</w:t>
            </w:r>
          </w:p>
        </w:tc>
      </w:tr>
      <w:tr w14:paraId="68764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vAlign w:val="center"/>
          </w:tcPr>
          <w:p w14:paraId="64D94988">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7EE6DBAA">
            <w:pPr>
              <w:pStyle w:val="178"/>
              <w:rPr>
                <w:rFonts w:ascii="Times New Roman"/>
              </w:rPr>
            </w:pPr>
            <w:r>
              <w:rPr>
                <w:rFonts w:ascii="Times New Roman"/>
              </w:rPr>
              <w:t>型煤</w:t>
            </w:r>
          </w:p>
        </w:tc>
        <w:tc>
          <w:tcPr>
            <w:tcW w:w="1701" w:type="dxa"/>
            <w:tcBorders>
              <w:top w:val="single" w:color="auto" w:sz="4" w:space="0"/>
              <w:left w:val="single" w:color="auto" w:sz="4" w:space="0"/>
              <w:bottom w:val="single" w:color="auto" w:sz="4" w:space="0"/>
              <w:right w:val="single" w:color="auto" w:sz="4" w:space="0"/>
            </w:tcBorders>
            <w:vAlign w:val="center"/>
          </w:tcPr>
          <w:p w14:paraId="79861339">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279C6553">
            <w:pPr>
              <w:pStyle w:val="178"/>
              <w:rPr>
                <w:rFonts w:ascii="Times New Roman"/>
              </w:rPr>
            </w:pPr>
            <w:r>
              <w:rPr>
                <w:rFonts w:ascii="Times New Roman"/>
              </w:rPr>
              <w:t>17.460</w:t>
            </w:r>
          </w:p>
        </w:tc>
        <w:tc>
          <w:tcPr>
            <w:tcW w:w="1409" w:type="dxa"/>
            <w:tcBorders>
              <w:top w:val="single" w:color="auto" w:sz="4" w:space="0"/>
              <w:left w:val="single" w:color="auto" w:sz="4" w:space="0"/>
              <w:bottom w:val="single" w:color="auto" w:sz="4" w:space="0"/>
              <w:right w:val="single" w:color="auto" w:sz="4" w:space="0"/>
            </w:tcBorders>
            <w:vAlign w:val="center"/>
          </w:tcPr>
          <w:p w14:paraId="35E7DF1E">
            <w:pPr>
              <w:pStyle w:val="178"/>
              <w:rPr>
                <w:rFonts w:ascii="Times New Roman"/>
              </w:rPr>
            </w:pPr>
            <w:r>
              <w:rPr>
                <w:rFonts w:ascii="Times New Roman"/>
              </w:rPr>
              <w:t>33.6×10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1B67640F">
            <w:pPr>
              <w:pStyle w:val="178"/>
              <w:rPr>
                <w:rFonts w:ascii="Times New Roman"/>
              </w:rPr>
            </w:pPr>
            <w:r>
              <w:rPr>
                <w:rFonts w:ascii="Times New Roman"/>
              </w:rPr>
              <w:t>90%</w:t>
            </w:r>
          </w:p>
        </w:tc>
      </w:tr>
      <w:tr w14:paraId="376F9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vAlign w:val="center"/>
          </w:tcPr>
          <w:p w14:paraId="1C410722">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05BB74CD">
            <w:pPr>
              <w:pStyle w:val="178"/>
              <w:rPr>
                <w:rFonts w:ascii="Times New Roman"/>
              </w:rPr>
            </w:pPr>
            <w:r>
              <w:rPr>
                <w:rFonts w:ascii="Times New Roman"/>
              </w:rPr>
              <w:t>石油焦</w:t>
            </w:r>
          </w:p>
        </w:tc>
        <w:tc>
          <w:tcPr>
            <w:tcW w:w="1701" w:type="dxa"/>
            <w:tcBorders>
              <w:top w:val="single" w:color="auto" w:sz="4" w:space="0"/>
              <w:left w:val="single" w:color="auto" w:sz="4" w:space="0"/>
              <w:bottom w:val="single" w:color="auto" w:sz="4" w:space="0"/>
              <w:right w:val="single" w:color="auto" w:sz="4" w:space="0"/>
            </w:tcBorders>
            <w:vAlign w:val="center"/>
          </w:tcPr>
          <w:p w14:paraId="037CA0F6">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5F37B197">
            <w:pPr>
              <w:pStyle w:val="178"/>
              <w:rPr>
                <w:rFonts w:ascii="Times New Roman"/>
              </w:rPr>
            </w:pPr>
            <w:r>
              <w:rPr>
                <w:rFonts w:ascii="Times New Roman"/>
              </w:rPr>
              <w:t>32.5</w:t>
            </w:r>
          </w:p>
        </w:tc>
        <w:tc>
          <w:tcPr>
            <w:tcW w:w="1409" w:type="dxa"/>
            <w:tcBorders>
              <w:top w:val="single" w:color="auto" w:sz="4" w:space="0"/>
              <w:left w:val="single" w:color="auto" w:sz="4" w:space="0"/>
              <w:bottom w:val="single" w:color="auto" w:sz="4" w:space="0"/>
              <w:right w:val="single" w:color="auto" w:sz="4" w:space="0"/>
            </w:tcBorders>
            <w:vAlign w:val="center"/>
          </w:tcPr>
          <w:p w14:paraId="76A4DED8">
            <w:pPr>
              <w:pStyle w:val="178"/>
              <w:rPr>
                <w:rFonts w:ascii="Times New Roman"/>
              </w:rPr>
            </w:pPr>
            <w:r>
              <w:rPr>
                <w:rFonts w:ascii="Times New Roman"/>
              </w:rPr>
              <w:t>27.5×10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2E060160">
            <w:pPr>
              <w:pStyle w:val="178"/>
              <w:rPr>
                <w:rFonts w:ascii="Times New Roman"/>
              </w:rPr>
            </w:pPr>
            <w:r>
              <w:rPr>
                <w:rFonts w:ascii="Times New Roman"/>
              </w:rPr>
              <w:t>98%</w:t>
            </w:r>
          </w:p>
        </w:tc>
      </w:tr>
      <w:tr w14:paraId="02A90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vAlign w:val="center"/>
          </w:tcPr>
          <w:p w14:paraId="4E3DE09A">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36DE53EE">
            <w:pPr>
              <w:pStyle w:val="178"/>
              <w:rPr>
                <w:rFonts w:ascii="Times New Roman"/>
              </w:rPr>
            </w:pPr>
            <w:r>
              <w:rPr>
                <w:rFonts w:ascii="Times New Roman"/>
              </w:rPr>
              <w:t>其他煤制品</w:t>
            </w:r>
          </w:p>
        </w:tc>
        <w:tc>
          <w:tcPr>
            <w:tcW w:w="1701" w:type="dxa"/>
            <w:tcBorders>
              <w:top w:val="single" w:color="auto" w:sz="4" w:space="0"/>
              <w:left w:val="single" w:color="auto" w:sz="4" w:space="0"/>
              <w:bottom w:val="single" w:color="auto" w:sz="4" w:space="0"/>
              <w:right w:val="single" w:color="auto" w:sz="4" w:space="0"/>
            </w:tcBorders>
            <w:vAlign w:val="center"/>
          </w:tcPr>
          <w:p w14:paraId="0A469F17">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5251EFB9">
            <w:pPr>
              <w:pStyle w:val="178"/>
              <w:rPr>
                <w:rFonts w:ascii="Times New Roman"/>
              </w:rPr>
            </w:pPr>
            <w:r>
              <w:rPr>
                <w:rFonts w:ascii="Times New Roman"/>
              </w:rPr>
              <w:t>17.460</w:t>
            </w:r>
          </w:p>
        </w:tc>
        <w:tc>
          <w:tcPr>
            <w:tcW w:w="1409" w:type="dxa"/>
            <w:tcBorders>
              <w:top w:val="single" w:color="auto" w:sz="4" w:space="0"/>
              <w:left w:val="single" w:color="auto" w:sz="4" w:space="0"/>
              <w:bottom w:val="single" w:color="auto" w:sz="4" w:space="0"/>
              <w:right w:val="single" w:color="auto" w:sz="4" w:space="0"/>
            </w:tcBorders>
            <w:vAlign w:val="center"/>
          </w:tcPr>
          <w:p w14:paraId="2C667927">
            <w:pPr>
              <w:pStyle w:val="178"/>
              <w:rPr>
                <w:rFonts w:ascii="Times New Roman"/>
              </w:rPr>
            </w:pPr>
            <w:r>
              <w:rPr>
                <w:rFonts w:ascii="Times New Roman"/>
              </w:rPr>
              <w:t>33.6×10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7242AB0D">
            <w:pPr>
              <w:pStyle w:val="178"/>
              <w:rPr>
                <w:rFonts w:ascii="Times New Roman"/>
              </w:rPr>
            </w:pPr>
            <w:r>
              <w:rPr>
                <w:rFonts w:ascii="Times New Roman"/>
              </w:rPr>
              <w:t>90%</w:t>
            </w:r>
          </w:p>
        </w:tc>
      </w:tr>
      <w:tr w14:paraId="6B0C3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vAlign w:val="center"/>
          </w:tcPr>
          <w:p w14:paraId="28CE7D8B">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14B2F998">
            <w:pPr>
              <w:pStyle w:val="178"/>
              <w:rPr>
                <w:rFonts w:ascii="Times New Roman"/>
              </w:rPr>
            </w:pPr>
            <w:r>
              <w:rPr>
                <w:rFonts w:ascii="Times New Roman"/>
              </w:rPr>
              <w:t>焦炭</w:t>
            </w:r>
          </w:p>
        </w:tc>
        <w:tc>
          <w:tcPr>
            <w:tcW w:w="1701" w:type="dxa"/>
            <w:tcBorders>
              <w:top w:val="single" w:color="auto" w:sz="4" w:space="0"/>
              <w:left w:val="single" w:color="auto" w:sz="4" w:space="0"/>
              <w:bottom w:val="single" w:color="auto" w:sz="4" w:space="0"/>
              <w:right w:val="single" w:color="auto" w:sz="4" w:space="0"/>
            </w:tcBorders>
            <w:vAlign w:val="center"/>
          </w:tcPr>
          <w:p w14:paraId="311DFA43">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66169F19">
            <w:pPr>
              <w:pStyle w:val="178"/>
              <w:rPr>
                <w:rFonts w:ascii="Times New Roman"/>
              </w:rPr>
            </w:pPr>
            <w:r>
              <w:rPr>
                <w:rFonts w:ascii="Times New Roman"/>
              </w:rPr>
              <w:t>28.435</w:t>
            </w:r>
          </w:p>
        </w:tc>
        <w:tc>
          <w:tcPr>
            <w:tcW w:w="1409" w:type="dxa"/>
            <w:tcBorders>
              <w:top w:val="single" w:color="auto" w:sz="4" w:space="0"/>
              <w:left w:val="single" w:color="auto" w:sz="4" w:space="0"/>
              <w:bottom w:val="single" w:color="auto" w:sz="4" w:space="0"/>
              <w:right w:val="single" w:color="auto" w:sz="4" w:space="0"/>
            </w:tcBorders>
            <w:vAlign w:val="center"/>
          </w:tcPr>
          <w:p w14:paraId="0CE27C38">
            <w:pPr>
              <w:pStyle w:val="178"/>
              <w:rPr>
                <w:rFonts w:ascii="Times New Roman"/>
              </w:rPr>
            </w:pPr>
            <w:r>
              <w:rPr>
                <w:rFonts w:ascii="Times New Roman"/>
              </w:rPr>
              <w:t>29.5×10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67C426AA">
            <w:pPr>
              <w:pStyle w:val="178"/>
              <w:rPr>
                <w:rFonts w:ascii="Times New Roman"/>
              </w:rPr>
            </w:pPr>
            <w:r>
              <w:rPr>
                <w:rFonts w:ascii="Times New Roman"/>
              </w:rPr>
              <w:t>93%</w:t>
            </w:r>
          </w:p>
        </w:tc>
      </w:tr>
      <w:tr w14:paraId="36B04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4" w:space="0"/>
              <w:left w:val="single" w:color="auto" w:sz="8" w:space="0"/>
              <w:bottom w:val="single" w:color="auto" w:sz="4" w:space="0"/>
              <w:right w:val="single" w:color="auto" w:sz="4" w:space="0"/>
            </w:tcBorders>
            <w:vAlign w:val="center"/>
          </w:tcPr>
          <w:p w14:paraId="4F686E9A">
            <w:pPr>
              <w:pStyle w:val="178"/>
              <w:rPr>
                <w:rFonts w:ascii="Times New Roman"/>
              </w:rPr>
            </w:pPr>
            <w:r>
              <w:rPr>
                <w:rFonts w:ascii="Times New Roman"/>
              </w:rPr>
              <w:t>液</w:t>
            </w:r>
          </w:p>
          <w:p w14:paraId="7467E67B">
            <w:pPr>
              <w:pStyle w:val="178"/>
              <w:rPr>
                <w:rFonts w:ascii="Times New Roman"/>
              </w:rPr>
            </w:pPr>
            <w:r>
              <w:rPr>
                <w:rFonts w:ascii="Times New Roman"/>
              </w:rPr>
              <w:t>体</w:t>
            </w:r>
          </w:p>
          <w:p w14:paraId="5101E309">
            <w:pPr>
              <w:pStyle w:val="178"/>
              <w:rPr>
                <w:rFonts w:ascii="Times New Roman"/>
              </w:rPr>
            </w:pPr>
            <w:r>
              <w:rPr>
                <w:rFonts w:ascii="Times New Roman"/>
              </w:rPr>
              <w:t>燃</w:t>
            </w:r>
          </w:p>
          <w:p w14:paraId="506FAEE7">
            <w:pPr>
              <w:pStyle w:val="178"/>
              <w:rPr>
                <w:rFonts w:ascii="Times New Roman"/>
              </w:rPr>
            </w:pPr>
            <w:r>
              <w:rPr>
                <w:rFonts w:ascii="Times New Roman"/>
              </w:rPr>
              <w:t>料</w:t>
            </w:r>
          </w:p>
        </w:tc>
        <w:tc>
          <w:tcPr>
            <w:tcW w:w="1985" w:type="dxa"/>
            <w:tcBorders>
              <w:top w:val="single" w:color="auto" w:sz="4" w:space="0"/>
              <w:left w:val="single" w:color="auto" w:sz="4" w:space="0"/>
              <w:bottom w:val="single" w:color="auto" w:sz="4" w:space="0"/>
              <w:right w:val="single" w:color="auto" w:sz="4" w:space="0"/>
            </w:tcBorders>
            <w:vAlign w:val="center"/>
          </w:tcPr>
          <w:p w14:paraId="6795BD91">
            <w:pPr>
              <w:pStyle w:val="178"/>
              <w:rPr>
                <w:rFonts w:ascii="Times New Roman"/>
              </w:rPr>
            </w:pPr>
            <w:r>
              <w:rPr>
                <w:rFonts w:ascii="Times New Roman"/>
              </w:rPr>
              <w:t>原油</w:t>
            </w:r>
          </w:p>
        </w:tc>
        <w:tc>
          <w:tcPr>
            <w:tcW w:w="1701" w:type="dxa"/>
            <w:tcBorders>
              <w:top w:val="single" w:color="auto" w:sz="4" w:space="0"/>
              <w:left w:val="single" w:color="auto" w:sz="4" w:space="0"/>
              <w:bottom w:val="single" w:color="auto" w:sz="4" w:space="0"/>
              <w:right w:val="single" w:color="auto" w:sz="4" w:space="0"/>
            </w:tcBorders>
            <w:vAlign w:val="center"/>
          </w:tcPr>
          <w:p w14:paraId="769641DC">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7D697B1F">
            <w:pPr>
              <w:pStyle w:val="178"/>
              <w:rPr>
                <w:rFonts w:ascii="Times New Roman"/>
              </w:rPr>
            </w:pPr>
            <w:r>
              <w:rPr>
                <w:rFonts w:ascii="Times New Roman"/>
              </w:rPr>
              <w:t>41.816</w:t>
            </w:r>
          </w:p>
        </w:tc>
        <w:tc>
          <w:tcPr>
            <w:tcW w:w="1409" w:type="dxa"/>
            <w:tcBorders>
              <w:top w:val="single" w:color="auto" w:sz="4" w:space="0"/>
              <w:left w:val="single" w:color="auto" w:sz="4" w:space="0"/>
              <w:bottom w:val="single" w:color="auto" w:sz="4" w:space="0"/>
              <w:right w:val="single" w:color="auto" w:sz="4" w:space="0"/>
            </w:tcBorders>
            <w:vAlign w:val="center"/>
          </w:tcPr>
          <w:p w14:paraId="52A54B2C">
            <w:pPr>
              <w:pStyle w:val="178"/>
              <w:rPr>
                <w:rFonts w:ascii="Times New Roman"/>
              </w:rPr>
            </w:pPr>
            <w:r>
              <w:rPr>
                <w:rFonts w:ascii="Times New Roman"/>
              </w:rPr>
              <w:t>20.1×10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2A41BB04">
            <w:pPr>
              <w:pStyle w:val="178"/>
              <w:rPr>
                <w:rFonts w:ascii="Times New Roman"/>
              </w:rPr>
            </w:pPr>
            <w:r>
              <w:rPr>
                <w:rFonts w:ascii="Times New Roman"/>
              </w:rPr>
              <w:t>98%</w:t>
            </w:r>
          </w:p>
        </w:tc>
      </w:tr>
      <w:tr w14:paraId="6644F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4C96AAD">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5E0E234C">
            <w:pPr>
              <w:pStyle w:val="178"/>
              <w:rPr>
                <w:rFonts w:ascii="Times New Roman"/>
              </w:rPr>
            </w:pPr>
            <w:r>
              <w:rPr>
                <w:rFonts w:ascii="Times New Roman"/>
              </w:rPr>
              <w:t>燃料油</w:t>
            </w:r>
          </w:p>
        </w:tc>
        <w:tc>
          <w:tcPr>
            <w:tcW w:w="1701" w:type="dxa"/>
            <w:tcBorders>
              <w:top w:val="single" w:color="auto" w:sz="4" w:space="0"/>
              <w:left w:val="single" w:color="auto" w:sz="4" w:space="0"/>
              <w:bottom w:val="single" w:color="auto" w:sz="4" w:space="0"/>
              <w:right w:val="single" w:color="auto" w:sz="4" w:space="0"/>
            </w:tcBorders>
            <w:vAlign w:val="center"/>
          </w:tcPr>
          <w:p w14:paraId="5F6CFA24">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72C5279E">
            <w:pPr>
              <w:pStyle w:val="178"/>
              <w:rPr>
                <w:rFonts w:ascii="Times New Roman"/>
              </w:rPr>
            </w:pPr>
            <w:r>
              <w:rPr>
                <w:rFonts w:ascii="Times New Roman"/>
              </w:rPr>
              <w:t>41.816</w:t>
            </w:r>
          </w:p>
        </w:tc>
        <w:tc>
          <w:tcPr>
            <w:tcW w:w="1409" w:type="dxa"/>
            <w:tcBorders>
              <w:top w:val="single" w:color="auto" w:sz="4" w:space="0"/>
              <w:left w:val="single" w:color="auto" w:sz="4" w:space="0"/>
              <w:bottom w:val="single" w:color="auto" w:sz="4" w:space="0"/>
              <w:right w:val="single" w:color="auto" w:sz="4" w:space="0"/>
            </w:tcBorders>
            <w:vAlign w:val="center"/>
          </w:tcPr>
          <w:p w14:paraId="108DD1DC">
            <w:pPr>
              <w:pStyle w:val="178"/>
              <w:rPr>
                <w:rFonts w:ascii="Times New Roman"/>
              </w:rPr>
            </w:pPr>
            <w:r>
              <w:rPr>
                <w:rFonts w:ascii="Times New Roman"/>
              </w:rPr>
              <w:t>21.1×10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2BB8A955">
            <w:pPr>
              <w:pStyle w:val="178"/>
              <w:rPr>
                <w:rFonts w:ascii="Times New Roman"/>
              </w:rPr>
            </w:pPr>
            <w:r>
              <w:rPr>
                <w:rFonts w:ascii="Times New Roman"/>
              </w:rPr>
              <w:t>98%</w:t>
            </w:r>
          </w:p>
        </w:tc>
      </w:tr>
      <w:tr w14:paraId="12733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E8AFE3F">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3548B36B">
            <w:pPr>
              <w:pStyle w:val="178"/>
              <w:rPr>
                <w:rFonts w:ascii="Times New Roman"/>
              </w:rPr>
            </w:pPr>
            <w:r>
              <w:rPr>
                <w:rFonts w:ascii="Times New Roman"/>
              </w:rPr>
              <w:t>汽油</w:t>
            </w:r>
          </w:p>
        </w:tc>
        <w:tc>
          <w:tcPr>
            <w:tcW w:w="1701" w:type="dxa"/>
            <w:tcBorders>
              <w:top w:val="single" w:color="auto" w:sz="4" w:space="0"/>
              <w:left w:val="single" w:color="auto" w:sz="4" w:space="0"/>
              <w:bottom w:val="single" w:color="auto" w:sz="4" w:space="0"/>
              <w:right w:val="single" w:color="auto" w:sz="4" w:space="0"/>
            </w:tcBorders>
            <w:vAlign w:val="center"/>
          </w:tcPr>
          <w:p w14:paraId="4117E584">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4CCCC408">
            <w:pPr>
              <w:pStyle w:val="178"/>
              <w:rPr>
                <w:rFonts w:ascii="Times New Roman"/>
              </w:rPr>
            </w:pPr>
            <w:r>
              <w:rPr>
                <w:rFonts w:ascii="Times New Roman"/>
              </w:rPr>
              <w:t>43.070</w:t>
            </w:r>
          </w:p>
        </w:tc>
        <w:tc>
          <w:tcPr>
            <w:tcW w:w="1409" w:type="dxa"/>
            <w:tcBorders>
              <w:top w:val="single" w:color="auto" w:sz="4" w:space="0"/>
              <w:left w:val="single" w:color="auto" w:sz="4" w:space="0"/>
              <w:bottom w:val="single" w:color="auto" w:sz="4" w:space="0"/>
              <w:right w:val="single" w:color="auto" w:sz="4" w:space="0"/>
            </w:tcBorders>
            <w:vAlign w:val="center"/>
          </w:tcPr>
          <w:p w14:paraId="668940E5">
            <w:pPr>
              <w:pStyle w:val="178"/>
              <w:rPr>
                <w:rFonts w:ascii="Times New Roman"/>
              </w:rPr>
            </w:pPr>
            <w:r>
              <w:rPr>
                <w:rFonts w:ascii="Times New Roman"/>
              </w:rPr>
              <w:t>18.9×10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3A8B70CD">
            <w:pPr>
              <w:pStyle w:val="178"/>
              <w:rPr>
                <w:rFonts w:ascii="Times New Roman"/>
              </w:rPr>
            </w:pPr>
            <w:r>
              <w:rPr>
                <w:rFonts w:ascii="Times New Roman"/>
              </w:rPr>
              <w:t>98%</w:t>
            </w:r>
          </w:p>
        </w:tc>
      </w:tr>
      <w:tr w14:paraId="63C0F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697657BC">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7C10B25E">
            <w:pPr>
              <w:pStyle w:val="178"/>
              <w:rPr>
                <w:rFonts w:ascii="Times New Roman"/>
              </w:rPr>
            </w:pPr>
            <w:r>
              <w:rPr>
                <w:rFonts w:ascii="Times New Roman"/>
              </w:rPr>
              <w:t>柴油</w:t>
            </w:r>
          </w:p>
        </w:tc>
        <w:tc>
          <w:tcPr>
            <w:tcW w:w="1701" w:type="dxa"/>
            <w:tcBorders>
              <w:top w:val="single" w:color="auto" w:sz="4" w:space="0"/>
              <w:left w:val="single" w:color="auto" w:sz="4" w:space="0"/>
              <w:bottom w:val="single" w:color="auto" w:sz="4" w:space="0"/>
              <w:right w:val="single" w:color="auto" w:sz="4" w:space="0"/>
            </w:tcBorders>
            <w:vAlign w:val="center"/>
          </w:tcPr>
          <w:p w14:paraId="2797AFA5">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013A0B36">
            <w:pPr>
              <w:pStyle w:val="178"/>
              <w:rPr>
                <w:rFonts w:ascii="Times New Roman"/>
              </w:rPr>
            </w:pPr>
            <w:r>
              <w:rPr>
                <w:rFonts w:ascii="Times New Roman"/>
              </w:rPr>
              <w:t>42.652</w:t>
            </w:r>
          </w:p>
        </w:tc>
        <w:tc>
          <w:tcPr>
            <w:tcW w:w="1409" w:type="dxa"/>
            <w:tcBorders>
              <w:top w:val="single" w:color="auto" w:sz="4" w:space="0"/>
              <w:left w:val="single" w:color="auto" w:sz="4" w:space="0"/>
              <w:bottom w:val="single" w:color="auto" w:sz="4" w:space="0"/>
              <w:right w:val="single" w:color="auto" w:sz="4" w:space="0"/>
            </w:tcBorders>
            <w:vAlign w:val="center"/>
          </w:tcPr>
          <w:p w14:paraId="2ACCC7EC">
            <w:pPr>
              <w:pStyle w:val="178"/>
              <w:rPr>
                <w:rFonts w:ascii="Times New Roman"/>
              </w:rPr>
            </w:pPr>
            <w:r>
              <w:rPr>
                <w:rFonts w:ascii="Times New Roman"/>
              </w:rPr>
              <w:t>20.2×10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0D1E7025">
            <w:pPr>
              <w:pStyle w:val="178"/>
              <w:rPr>
                <w:rFonts w:ascii="Times New Roman"/>
              </w:rPr>
            </w:pPr>
            <w:r>
              <w:rPr>
                <w:rFonts w:ascii="Times New Roman"/>
              </w:rPr>
              <w:t>98%</w:t>
            </w:r>
          </w:p>
        </w:tc>
      </w:tr>
      <w:tr w14:paraId="1B566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DEC1455">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64D50CD8">
            <w:pPr>
              <w:pStyle w:val="178"/>
              <w:rPr>
                <w:rFonts w:ascii="Times New Roman"/>
              </w:rPr>
            </w:pPr>
            <w:r>
              <w:rPr>
                <w:rFonts w:ascii="Times New Roman"/>
              </w:rPr>
              <w:t>一般煤油</w:t>
            </w:r>
          </w:p>
        </w:tc>
        <w:tc>
          <w:tcPr>
            <w:tcW w:w="1701" w:type="dxa"/>
            <w:tcBorders>
              <w:top w:val="single" w:color="auto" w:sz="4" w:space="0"/>
              <w:left w:val="single" w:color="auto" w:sz="4" w:space="0"/>
              <w:bottom w:val="single" w:color="auto" w:sz="4" w:space="0"/>
              <w:right w:val="single" w:color="auto" w:sz="4" w:space="0"/>
            </w:tcBorders>
            <w:vAlign w:val="center"/>
          </w:tcPr>
          <w:p w14:paraId="5C5A9FFF">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1BB8D833">
            <w:pPr>
              <w:pStyle w:val="178"/>
              <w:rPr>
                <w:rFonts w:ascii="Times New Roman"/>
              </w:rPr>
            </w:pPr>
            <w:r>
              <w:rPr>
                <w:rFonts w:ascii="Times New Roman"/>
              </w:rPr>
              <w:t>43.070</w:t>
            </w:r>
          </w:p>
        </w:tc>
        <w:tc>
          <w:tcPr>
            <w:tcW w:w="1409" w:type="dxa"/>
            <w:tcBorders>
              <w:top w:val="single" w:color="auto" w:sz="4" w:space="0"/>
              <w:left w:val="single" w:color="auto" w:sz="4" w:space="0"/>
              <w:bottom w:val="single" w:color="auto" w:sz="4" w:space="0"/>
              <w:right w:val="single" w:color="auto" w:sz="4" w:space="0"/>
            </w:tcBorders>
            <w:vAlign w:val="center"/>
          </w:tcPr>
          <w:p w14:paraId="1D4AD8D9">
            <w:pPr>
              <w:pStyle w:val="178"/>
              <w:rPr>
                <w:rFonts w:ascii="Times New Roman"/>
              </w:rPr>
            </w:pPr>
            <w:r>
              <w:rPr>
                <w:rFonts w:ascii="Times New Roman"/>
              </w:rPr>
              <w:t>19.6×10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5B6DB8C6">
            <w:pPr>
              <w:pStyle w:val="178"/>
              <w:rPr>
                <w:rFonts w:ascii="Times New Roman"/>
              </w:rPr>
            </w:pPr>
            <w:r>
              <w:rPr>
                <w:rFonts w:ascii="Times New Roman"/>
              </w:rPr>
              <w:t>98%</w:t>
            </w:r>
          </w:p>
        </w:tc>
      </w:tr>
      <w:tr w14:paraId="06882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D240B8B">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4ADBCC0E">
            <w:pPr>
              <w:pStyle w:val="178"/>
              <w:rPr>
                <w:rFonts w:ascii="Times New Roman"/>
              </w:rPr>
            </w:pPr>
            <w:r>
              <w:rPr>
                <w:rFonts w:ascii="Times New Roman"/>
              </w:rPr>
              <w:t>炼厂干气</w:t>
            </w:r>
          </w:p>
        </w:tc>
        <w:tc>
          <w:tcPr>
            <w:tcW w:w="1701" w:type="dxa"/>
            <w:tcBorders>
              <w:top w:val="single" w:color="auto" w:sz="4" w:space="0"/>
              <w:left w:val="single" w:color="auto" w:sz="4" w:space="0"/>
              <w:bottom w:val="single" w:color="auto" w:sz="4" w:space="0"/>
              <w:right w:val="single" w:color="auto" w:sz="4" w:space="0"/>
            </w:tcBorders>
            <w:vAlign w:val="center"/>
          </w:tcPr>
          <w:p w14:paraId="6D3018E3">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6937BA91">
            <w:pPr>
              <w:pStyle w:val="178"/>
              <w:rPr>
                <w:rFonts w:ascii="Times New Roman"/>
              </w:rPr>
            </w:pPr>
            <w:r>
              <w:rPr>
                <w:rFonts w:ascii="Times New Roman"/>
              </w:rPr>
              <w:t>45.998</w:t>
            </w:r>
          </w:p>
        </w:tc>
        <w:tc>
          <w:tcPr>
            <w:tcW w:w="1409" w:type="dxa"/>
            <w:tcBorders>
              <w:top w:val="single" w:color="auto" w:sz="4" w:space="0"/>
              <w:left w:val="single" w:color="auto" w:sz="4" w:space="0"/>
              <w:bottom w:val="single" w:color="auto" w:sz="4" w:space="0"/>
              <w:right w:val="single" w:color="auto" w:sz="4" w:space="0"/>
            </w:tcBorders>
            <w:vAlign w:val="center"/>
          </w:tcPr>
          <w:p w14:paraId="19FD417E">
            <w:pPr>
              <w:pStyle w:val="178"/>
              <w:rPr>
                <w:rFonts w:ascii="Times New Roman"/>
              </w:rPr>
            </w:pPr>
            <w:r>
              <w:rPr>
                <w:rFonts w:ascii="Times New Roman"/>
              </w:rPr>
              <w:t>18.2×10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23C63912">
            <w:pPr>
              <w:pStyle w:val="178"/>
              <w:rPr>
                <w:rFonts w:ascii="Times New Roman"/>
              </w:rPr>
            </w:pPr>
            <w:r>
              <w:rPr>
                <w:rFonts w:ascii="Times New Roman"/>
              </w:rPr>
              <w:t>99%</w:t>
            </w:r>
          </w:p>
        </w:tc>
      </w:tr>
      <w:tr w14:paraId="0FF4A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052E52D">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772EB94D">
            <w:pPr>
              <w:pStyle w:val="178"/>
              <w:rPr>
                <w:rFonts w:ascii="Times New Roman"/>
              </w:rPr>
            </w:pPr>
            <w:r>
              <w:rPr>
                <w:rFonts w:ascii="Times New Roman"/>
              </w:rPr>
              <w:t>液化天然气</w:t>
            </w:r>
          </w:p>
        </w:tc>
        <w:tc>
          <w:tcPr>
            <w:tcW w:w="1701" w:type="dxa"/>
            <w:tcBorders>
              <w:top w:val="single" w:color="auto" w:sz="4" w:space="0"/>
              <w:left w:val="single" w:color="auto" w:sz="4" w:space="0"/>
              <w:bottom w:val="single" w:color="auto" w:sz="4" w:space="0"/>
              <w:right w:val="single" w:color="auto" w:sz="4" w:space="0"/>
            </w:tcBorders>
            <w:vAlign w:val="center"/>
          </w:tcPr>
          <w:p w14:paraId="5687A386">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2C9942E4">
            <w:pPr>
              <w:pStyle w:val="178"/>
              <w:rPr>
                <w:rFonts w:ascii="Times New Roman"/>
              </w:rPr>
            </w:pPr>
            <w:r>
              <w:rPr>
                <w:rFonts w:ascii="Times New Roman"/>
              </w:rPr>
              <w:t>44.2</w:t>
            </w:r>
          </w:p>
        </w:tc>
        <w:tc>
          <w:tcPr>
            <w:tcW w:w="1409" w:type="dxa"/>
            <w:tcBorders>
              <w:top w:val="single" w:color="auto" w:sz="4" w:space="0"/>
              <w:left w:val="single" w:color="auto" w:sz="4" w:space="0"/>
              <w:bottom w:val="single" w:color="auto" w:sz="4" w:space="0"/>
              <w:right w:val="single" w:color="auto" w:sz="4" w:space="0"/>
            </w:tcBorders>
            <w:vAlign w:val="center"/>
          </w:tcPr>
          <w:p w14:paraId="0EA7FE4C">
            <w:pPr>
              <w:pStyle w:val="178"/>
              <w:rPr>
                <w:rFonts w:ascii="Times New Roman"/>
              </w:rPr>
            </w:pPr>
            <w:r>
              <w:rPr>
                <w:rFonts w:ascii="Times New Roman"/>
              </w:rPr>
              <w:t>17.2×10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5DD35870">
            <w:pPr>
              <w:pStyle w:val="178"/>
              <w:rPr>
                <w:rFonts w:ascii="Times New Roman"/>
              </w:rPr>
            </w:pPr>
            <w:r>
              <w:rPr>
                <w:rFonts w:ascii="Times New Roman"/>
              </w:rPr>
              <w:t>98%</w:t>
            </w:r>
          </w:p>
        </w:tc>
      </w:tr>
      <w:tr w14:paraId="66A93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8DE3BED">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40ADD075">
            <w:pPr>
              <w:pStyle w:val="178"/>
              <w:rPr>
                <w:rFonts w:ascii="Times New Roman"/>
              </w:rPr>
            </w:pPr>
            <w:r>
              <w:rPr>
                <w:rFonts w:ascii="Times New Roman"/>
              </w:rPr>
              <w:t>液化石油气</w:t>
            </w:r>
          </w:p>
        </w:tc>
        <w:tc>
          <w:tcPr>
            <w:tcW w:w="1701" w:type="dxa"/>
            <w:tcBorders>
              <w:top w:val="single" w:color="auto" w:sz="4" w:space="0"/>
              <w:left w:val="single" w:color="auto" w:sz="4" w:space="0"/>
              <w:bottom w:val="single" w:color="auto" w:sz="4" w:space="0"/>
              <w:right w:val="single" w:color="auto" w:sz="4" w:space="0"/>
            </w:tcBorders>
            <w:vAlign w:val="center"/>
          </w:tcPr>
          <w:p w14:paraId="6722FEC7">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4495162C">
            <w:pPr>
              <w:pStyle w:val="178"/>
              <w:rPr>
                <w:rFonts w:ascii="Times New Roman"/>
              </w:rPr>
            </w:pPr>
            <w:r>
              <w:rPr>
                <w:rFonts w:ascii="Times New Roman"/>
              </w:rPr>
              <w:t>50.179</w:t>
            </w:r>
          </w:p>
        </w:tc>
        <w:tc>
          <w:tcPr>
            <w:tcW w:w="1409" w:type="dxa"/>
            <w:tcBorders>
              <w:top w:val="single" w:color="auto" w:sz="4" w:space="0"/>
              <w:left w:val="single" w:color="auto" w:sz="4" w:space="0"/>
              <w:bottom w:val="single" w:color="auto" w:sz="4" w:space="0"/>
              <w:right w:val="single" w:color="auto" w:sz="4" w:space="0"/>
            </w:tcBorders>
            <w:vAlign w:val="center"/>
          </w:tcPr>
          <w:p w14:paraId="268075D2">
            <w:pPr>
              <w:pStyle w:val="178"/>
              <w:rPr>
                <w:rFonts w:ascii="Times New Roman"/>
              </w:rPr>
            </w:pPr>
            <w:r>
              <w:rPr>
                <w:rFonts w:ascii="Times New Roman"/>
              </w:rPr>
              <w:t>17.2×10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2934B8FB">
            <w:pPr>
              <w:pStyle w:val="178"/>
              <w:rPr>
                <w:rFonts w:ascii="Times New Roman"/>
              </w:rPr>
            </w:pPr>
            <w:r>
              <w:rPr>
                <w:rFonts w:ascii="Times New Roman"/>
              </w:rPr>
              <w:t>98%</w:t>
            </w:r>
          </w:p>
        </w:tc>
      </w:tr>
      <w:tr w14:paraId="1FD97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4CE52F2">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7A50CC7A">
            <w:pPr>
              <w:pStyle w:val="178"/>
              <w:rPr>
                <w:rFonts w:ascii="Times New Roman"/>
              </w:rPr>
            </w:pPr>
            <w:r>
              <w:rPr>
                <w:rFonts w:ascii="Times New Roman"/>
              </w:rPr>
              <w:t>石脑油</w:t>
            </w:r>
          </w:p>
        </w:tc>
        <w:tc>
          <w:tcPr>
            <w:tcW w:w="1701" w:type="dxa"/>
            <w:tcBorders>
              <w:top w:val="single" w:color="auto" w:sz="4" w:space="0"/>
              <w:left w:val="single" w:color="auto" w:sz="4" w:space="0"/>
              <w:bottom w:val="single" w:color="auto" w:sz="4" w:space="0"/>
              <w:right w:val="single" w:color="auto" w:sz="4" w:space="0"/>
            </w:tcBorders>
            <w:vAlign w:val="center"/>
          </w:tcPr>
          <w:p w14:paraId="08C157DD">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7C54705B">
            <w:pPr>
              <w:pStyle w:val="178"/>
              <w:rPr>
                <w:rFonts w:ascii="Times New Roman"/>
              </w:rPr>
            </w:pPr>
            <w:r>
              <w:rPr>
                <w:rFonts w:ascii="Times New Roman"/>
              </w:rPr>
              <w:t>44.5</w:t>
            </w:r>
          </w:p>
        </w:tc>
        <w:tc>
          <w:tcPr>
            <w:tcW w:w="1409" w:type="dxa"/>
            <w:tcBorders>
              <w:top w:val="single" w:color="auto" w:sz="4" w:space="0"/>
              <w:left w:val="single" w:color="auto" w:sz="4" w:space="0"/>
              <w:bottom w:val="single" w:color="auto" w:sz="4" w:space="0"/>
              <w:right w:val="single" w:color="auto" w:sz="4" w:space="0"/>
            </w:tcBorders>
            <w:vAlign w:val="center"/>
          </w:tcPr>
          <w:p w14:paraId="4E67404E">
            <w:pPr>
              <w:pStyle w:val="178"/>
              <w:rPr>
                <w:rFonts w:ascii="Times New Roman"/>
              </w:rPr>
            </w:pPr>
            <w:r>
              <w:rPr>
                <w:rFonts w:ascii="Times New Roman"/>
              </w:rPr>
              <w:t>20.0×10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6A1AC3E1">
            <w:pPr>
              <w:pStyle w:val="178"/>
              <w:rPr>
                <w:rFonts w:ascii="Times New Roman"/>
              </w:rPr>
            </w:pPr>
            <w:r>
              <w:rPr>
                <w:rFonts w:ascii="Times New Roman"/>
              </w:rPr>
              <w:t>98%</w:t>
            </w:r>
          </w:p>
        </w:tc>
      </w:tr>
      <w:tr w14:paraId="57FF2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598C463">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00B30573">
            <w:pPr>
              <w:pStyle w:val="178"/>
              <w:rPr>
                <w:rFonts w:ascii="Times New Roman"/>
              </w:rPr>
            </w:pPr>
            <w:r>
              <w:rPr>
                <w:rFonts w:ascii="Times New Roman"/>
              </w:rPr>
              <w:t>其它石油制品</w:t>
            </w:r>
          </w:p>
        </w:tc>
        <w:tc>
          <w:tcPr>
            <w:tcW w:w="1701" w:type="dxa"/>
            <w:tcBorders>
              <w:top w:val="single" w:color="auto" w:sz="4" w:space="0"/>
              <w:left w:val="single" w:color="auto" w:sz="4" w:space="0"/>
              <w:bottom w:val="single" w:color="auto" w:sz="4" w:space="0"/>
              <w:right w:val="single" w:color="auto" w:sz="4" w:space="0"/>
            </w:tcBorders>
            <w:vAlign w:val="center"/>
          </w:tcPr>
          <w:p w14:paraId="6EE4CD70">
            <w:pPr>
              <w:pStyle w:val="178"/>
              <w:rPr>
                <w:rFonts w:ascii="Times New Roman"/>
              </w:rPr>
            </w:pPr>
            <w:r>
              <w:rPr>
                <w:rFonts w:ascii="Times New Roman"/>
              </w:rPr>
              <w:t>t</w:t>
            </w:r>
          </w:p>
        </w:tc>
        <w:tc>
          <w:tcPr>
            <w:tcW w:w="2126" w:type="dxa"/>
            <w:tcBorders>
              <w:top w:val="single" w:color="auto" w:sz="4" w:space="0"/>
              <w:left w:val="single" w:color="auto" w:sz="4" w:space="0"/>
              <w:bottom w:val="single" w:color="auto" w:sz="4" w:space="0"/>
              <w:right w:val="single" w:color="auto" w:sz="4" w:space="0"/>
            </w:tcBorders>
            <w:vAlign w:val="center"/>
          </w:tcPr>
          <w:p w14:paraId="5AAA3886">
            <w:pPr>
              <w:pStyle w:val="178"/>
              <w:rPr>
                <w:rFonts w:ascii="Times New Roman"/>
              </w:rPr>
            </w:pPr>
            <w:r>
              <w:rPr>
                <w:rFonts w:ascii="Times New Roman"/>
              </w:rPr>
              <w:t>40.2</w:t>
            </w:r>
          </w:p>
        </w:tc>
        <w:tc>
          <w:tcPr>
            <w:tcW w:w="1409" w:type="dxa"/>
            <w:tcBorders>
              <w:top w:val="single" w:color="auto" w:sz="4" w:space="0"/>
              <w:left w:val="single" w:color="auto" w:sz="4" w:space="0"/>
              <w:bottom w:val="single" w:color="auto" w:sz="4" w:space="0"/>
              <w:right w:val="single" w:color="auto" w:sz="4" w:space="0"/>
            </w:tcBorders>
            <w:vAlign w:val="center"/>
          </w:tcPr>
          <w:p w14:paraId="4F475534">
            <w:pPr>
              <w:pStyle w:val="178"/>
              <w:rPr>
                <w:rFonts w:ascii="Times New Roman"/>
              </w:rPr>
            </w:pPr>
            <w:r>
              <w:rPr>
                <w:rFonts w:ascii="Times New Roman"/>
              </w:rPr>
              <w:t>20.0×10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7E9C94A3">
            <w:pPr>
              <w:pStyle w:val="178"/>
              <w:rPr>
                <w:rFonts w:ascii="Times New Roman"/>
              </w:rPr>
            </w:pPr>
            <w:r>
              <w:rPr>
                <w:rFonts w:ascii="Times New Roman"/>
              </w:rPr>
              <w:t>98%</w:t>
            </w:r>
          </w:p>
        </w:tc>
      </w:tr>
      <w:tr w14:paraId="620F8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4" w:space="0"/>
              <w:left w:val="single" w:color="auto" w:sz="8" w:space="0"/>
              <w:bottom w:val="single" w:color="auto" w:sz="4" w:space="0"/>
              <w:right w:val="single" w:color="auto" w:sz="4" w:space="0"/>
            </w:tcBorders>
            <w:vAlign w:val="center"/>
          </w:tcPr>
          <w:p w14:paraId="73B5EC03">
            <w:pPr>
              <w:pStyle w:val="178"/>
              <w:rPr>
                <w:rFonts w:ascii="Times New Roman"/>
              </w:rPr>
            </w:pPr>
            <w:r>
              <w:rPr>
                <w:rFonts w:ascii="Times New Roman"/>
              </w:rPr>
              <w:t>气</w:t>
            </w:r>
          </w:p>
          <w:p w14:paraId="252C287A">
            <w:pPr>
              <w:pStyle w:val="178"/>
              <w:rPr>
                <w:rFonts w:ascii="Times New Roman"/>
              </w:rPr>
            </w:pPr>
            <w:r>
              <w:rPr>
                <w:rFonts w:ascii="Times New Roman"/>
              </w:rPr>
              <w:t>体</w:t>
            </w:r>
          </w:p>
          <w:p w14:paraId="2A198DB0">
            <w:pPr>
              <w:pStyle w:val="178"/>
              <w:rPr>
                <w:rFonts w:ascii="Times New Roman"/>
              </w:rPr>
            </w:pPr>
            <w:r>
              <w:rPr>
                <w:rFonts w:ascii="Times New Roman"/>
              </w:rPr>
              <w:t>燃</w:t>
            </w:r>
          </w:p>
          <w:p w14:paraId="315D69B6">
            <w:pPr>
              <w:pStyle w:val="178"/>
              <w:rPr>
                <w:rFonts w:ascii="Times New Roman"/>
              </w:rPr>
            </w:pPr>
            <w:r>
              <w:rPr>
                <w:rFonts w:ascii="Times New Roman"/>
              </w:rPr>
              <w:t>料</w:t>
            </w:r>
          </w:p>
        </w:tc>
        <w:tc>
          <w:tcPr>
            <w:tcW w:w="1985" w:type="dxa"/>
            <w:tcBorders>
              <w:top w:val="single" w:color="auto" w:sz="4" w:space="0"/>
              <w:left w:val="single" w:color="auto" w:sz="4" w:space="0"/>
              <w:bottom w:val="single" w:color="auto" w:sz="4" w:space="0"/>
              <w:right w:val="single" w:color="auto" w:sz="4" w:space="0"/>
            </w:tcBorders>
            <w:vAlign w:val="center"/>
          </w:tcPr>
          <w:p w14:paraId="67AD3D9C">
            <w:pPr>
              <w:pStyle w:val="178"/>
              <w:rPr>
                <w:rFonts w:ascii="Times New Roman"/>
              </w:rPr>
            </w:pPr>
            <w:r>
              <w:rPr>
                <w:rFonts w:ascii="Times New Roman"/>
              </w:rPr>
              <w:t>天然气</w:t>
            </w:r>
          </w:p>
        </w:tc>
        <w:tc>
          <w:tcPr>
            <w:tcW w:w="1701" w:type="dxa"/>
            <w:tcBorders>
              <w:top w:val="single" w:color="auto" w:sz="4" w:space="0"/>
              <w:left w:val="single" w:color="auto" w:sz="4" w:space="0"/>
              <w:bottom w:val="single" w:color="auto" w:sz="4" w:space="0"/>
              <w:right w:val="single" w:color="auto" w:sz="4" w:space="0"/>
            </w:tcBorders>
            <w:vAlign w:val="center"/>
          </w:tcPr>
          <w:p w14:paraId="7C218959">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tcBorders>
              <w:top w:val="single" w:color="auto" w:sz="4" w:space="0"/>
              <w:left w:val="single" w:color="auto" w:sz="4" w:space="0"/>
              <w:bottom w:val="single" w:color="auto" w:sz="4" w:space="0"/>
              <w:right w:val="single" w:color="auto" w:sz="4" w:space="0"/>
            </w:tcBorders>
            <w:vAlign w:val="center"/>
          </w:tcPr>
          <w:p w14:paraId="2D9F08F4">
            <w:pPr>
              <w:pStyle w:val="178"/>
              <w:rPr>
                <w:rFonts w:ascii="Times New Roman"/>
              </w:rPr>
            </w:pPr>
            <w:r>
              <w:rPr>
                <w:rFonts w:ascii="Times New Roman"/>
              </w:rPr>
              <w:t>389.31</w:t>
            </w:r>
          </w:p>
        </w:tc>
        <w:tc>
          <w:tcPr>
            <w:tcW w:w="1409" w:type="dxa"/>
            <w:tcBorders>
              <w:top w:val="single" w:color="auto" w:sz="4" w:space="0"/>
              <w:left w:val="single" w:color="auto" w:sz="4" w:space="0"/>
              <w:bottom w:val="single" w:color="auto" w:sz="4" w:space="0"/>
              <w:right w:val="single" w:color="auto" w:sz="4" w:space="0"/>
            </w:tcBorders>
            <w:vAlign w:val="center"/>
          </w:tcPr>
          <w:p w14:paraId="49274897">
            <w:pPr>
              <w:pStyle w:val="178"/>
              <w:rPr>
                <w:rFonts w:ascii="Times New Roman"/>
              </w:rPr>
            </w:pPr>
            <w:r>
              <w:rPr>
                <w:rFonts w:ascii="Times New Roman"/>
              </w:rPr>
              <w:t>15.3×10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03189B6E">
            <w:pPr>
              <w:pStyle w:val="178"/>
              <w:rPr>
                <w:rFonts w:ascii="Times New Roman"/>
              </w:rPr>
            </w:pPr>
            <w:r>
              <w:rPr>
                <w:rFonts w:ascii="Times New Roman"/>
              </w:rPr>
              <w:t>99%</w:t>
            </w:r>
          </w:p>
        </w:tc>
      </w:tr>
      <w:tr w14:paraId="5F207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869953E">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558F2C69">
            <w:pPr>
              <w:pStyle w:val="178"/>
              <w:rPr>
                <w:rFonts w:ascii="Times New Roman"/>
              </w:rPr>
            </w:pPr>
            <w:r>
              <w:rPr>
                <w:rFonts w:ascii="Times New Roman"/>
              </w:rPr>
              <w:t>焦炉煤气</w:t>
            </w:r>
          </w:p>
        </w:tc>
        <w:tc>
          <w:tcPr>
            <w:tcW w:w="1701" w:type="dxa"/>
            <w:tcBorders>
              <w:top w:val="single" w:color="auto" w:sz="4" w:space="0"/>
              <w:left w:val="single" w:color="auto" w:sz="4" w:space="0"/>
              <w:bottom w:val="single" w:color="auto" w:sz="4" w:space="0"/>
              <w:right w:val="single" w:color="auto" w:sz="4" w:space="0"/>
            </w:tcBorders>
            <w:vAlign w:val="center"/>
          </w:tcPr>
          <w:p w14:paraId="70A79D85">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tcBorders>
              <w:top w:val="single" w:color="auto" w:sz="4" w:space="0"/>
              <w:left w:val="single" w:color="auto" w:sz="4" w:space="0"/>
              <w:bottom w:val="single" w:color="auto" w:sz="4" w:space="0"/>
              <w:right w:val="single" w:color="auto" w:sz="4" w:space="0"/>
            </w:tcBorders>
            <w:vAlign w:val="center"/>
          </w:tcPr>
          <w:p w14:paraId="6952EE4D">
            <w:pPr>
              <w:pStyle w:val="178"/>
              <w:rPr>
                <w:rFonts w:ascii="Times New Roman"/>
              </w:rPr>
            </w:pPr>
            <w:r>
              <w:rPr>
                <w:rFonts w:ascii="Times New Roman"/>
              </w:rPr>
              <w:t>179.81</w:t>
            </w:r>
          </w:p>
        </w:tc>
        <w:tc>
          <w:tcPr>
            <w:tcW w:w="1409" w:type="dxa"/>
            <w:tcBorders>
              <w:top w:val="single" w:color="auto" w:sz="4" w:space="0"/>
              <w:left w:val="single" w:color="auto" w:sz="4" w:space="0"/>
              <w:bottom w:val="single" w:color="auto" w:sz="4" w:space="0"/>
              <w:right w:val="single" w:color="auto" w:sz="4" w:space="0"/>
            </w:tcBorders>
            <w:vAlign w:val="center"/>
          </w:tcPr>
          <w:p w14:paraId="2D8CEAE6">
            <w:pPr>
              <w:pStyle w:val="178"/>
              <w:rPr>
                <w:rFonts w:ascii="Times New Roman"/>
              </w:rPr>
            </w:pPr>
            <w:r>
              <w:rPr>
                <w:rFonts w:ascii="Times New Roman"/>
              </w:rPr>
              <w:t>13.58×10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121C34C0">
            <w:pPr>
              <w:pStyle w:val="178"/>
              <w:rPr>
                <w:rFonts w:ascii="Times New Roman"/>
              </w:rPr>
            </w:pPr>
            <w:r>
              <w:rPr>
                <w:rFonts w:ascii="Times New Roman"/>
              </w:rPr>
              <w:t>99%</w:t>
            </w:r>
          </w:p>
        </w:tc>
      </w:tr>
      <w:tr w14:paraId="0B8B2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A7F6AE4">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0534A1A5">
            <w:pPr>
              <w:pStyle w:val="178"/>
              <w:rPr>
                <w:rFonts w:ascii="Times New Roman"/>
              </w:rPr>
            </w:pPr>
            <w:r>
              <w:rPr>
                <w:rFonts w:ascii="Times New Roman"/>
              </w:rPr>
              <w:t>高炉煤气</w:t>
            </w:r>
          </w:p>
        </w:tc>
        <w:tc>
          <w:tcPr>
            <w:tcW w:w="1701" w:type="dxa"/>
            <w:tcBorders>
              <w:top w:val="single" w:color="auto" w:sz="4" w:space="0"/>
              <w:left w:val="single" w:color="auto" w:sz="4" w:space="0"/>
              <w:bottom w:val="single" w:color="auto" w:sz="4" w:space="0"/>
              <w:right w:val="single" w:color="auto" w:sz="4" w:space="0"/>
            </w:tcBorders>
            <w:vAlign w:val="center"/>
          </w:tcPr>
          <w:p w14:paraId="4F29F14F">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tcBorders>
              <w:top w:val="single" w:color="auto" w:sz="4" w:space="0"/>
              <w:left w:val="single" w:color="auto" w:sz="4" w:space="0"/>
              <w:bottom w:val="single" w:color="auto" w:sz="4" w:space="0"/>
              <w:right w:val="single" w:color="auto" w:sz="4" w:space="0"/>
            </w:tcBorders>
            <w:vAlign w:val="center"/>
          </w:tcPr>
          <w:p w14:paraId="171B50A6">
            <w:pPr>
              <w:pStyle w:val="178"/>
              <w:rPr>
                <w:rFonts w:ascii="Times New Roman"/>
              </w:rPr>
            </w:pPr>
            <w:r>
              <w:rPr>
                <w:rFonts w:ascii="Times New Roman"/>
              </w:rPr>
              <w:t>33.000</w:t>
            </w:r>
          </w:p>
        </w:tc>
        <w:tc>
          <w:tcPr>
            <w:tcW w:w="1409" w:type="dxa"/>
            <w:tcBorders>
              <w:top w:val="single" w:color="auto" w:sz="4" w:space="0"/>
              <w:left w:val="single" w:color="auto" w:sz="4" w:space="0"/>
              <w:bottom w:val="single" w:color="auto" w:sz="4" w:space="0"/>
              <w:right w:val="single" w:color="auto" w:sz="4" w:space="0"/>
            </w:tcBorders>
            <w:vAlign w:val="center"/>
          </w:tcPr>
          <w:p w14:paraId="0DF1A7D4">
            <w:pPr>
              <w:pStyle w:val="178"/>
              <w:rPr>
                <w:rFonts w:ascii="Times New Roman"/>
              </w:rPr>
            </w:pPr>
            <w:r>
              <w:rPr>
                <w:rFonts w:ascii="Times New Roman"/>
              </w:rPr>
              <w:t>70.8×10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0AC03A59">
            <w:pPr>
              <w:pStyle w:val="178"/>
              <w:rPr>
                <w:rFonts w:ascii="Times New Roman"/>
              </w:rPr>
            </w:pPr>
            <w:r>
              <w:rPr>
                <w:rFonts w:ascii="Times New Roman"/>
              </w:rPr>
              <w:t>99%</w:t>
            </w:r>
          </w:p>
        </w:tc>
      </w:tr>
      <w:tr w14:paraId="74F00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3CA9974">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3E6DEAE8">
            <w:pPr>
              <w:pStyle w:val="178"/>
              <w:rPr>
                <w:rFonts w:ascii="Times New Roman"/>
              </w:rPr>
            </w:pPr>
            <w:r>
              <w:rPr>
                <w:rFonts w:ascii="Times New Roman"/>
              </w:rPr>
              <w:t>转炉煤气</w:t>
            </w:r>
          </w:p>
        </w:tc>
        <w:tc>
          <w:tcPr>
            <w:tcW w:w="1701" w:type="dxa"/>
            <w:tcBorders>
              <w:top w:val="single" w:color="auto" w:sz="4" w:space="0"/>
              <w:left w:val="single" w:color="auto" w:sz="4" w:space="0"/>
              <w:bottom w:val="single" w:color="auto" w:sz="4" w:space="0"/>
              <w:right w:val="single" w:color="auto" w:sz="4" w:space="0"/>
            </w:tcBorders>
            <w:vAlign w:val="center"/>
          </w:tcPr>
          <w:p w14:paraId="19D99230">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tcBorders>
              <w:top w:val="single" w:color="auto" w:sz="4" w:space="0"/>
              <w:left w:val="single" w:color="auto" w:sz="4" w:space="0"/>
              <w:bottom w:val="single" w:color="auto" w:sz="4" w:space="0"/>
              <w:right w:val="single" w:color="auto" w:sz="4" w:space="0"/>
            </w:tcBorders>
            <w:vAlign w:val="center"/>
          </w:tcPr>
          <w:p w14:paraId="4AC9EEFD">
            <w:pPr>
              <w:pStyle w:val="178"/>
              <w:rPr>
                <w:rFonts w:ascii="Times New Roman"/>
              </w:rPr>
            </w:pPr>
            <w:r>
              <w:rPr>
                <w:rFonts w:ascii="Times New Roman"/>
              </w:rPr>
              <w:t>84.000</w:t>
            </w:r>
          </w:p>
        </w:tc>
        <w:tc>
          <w:tcPr>
            <w:tcW w:w="1409" w:type="dxa"/>
            <w:tcBorders>
              <w:top w:val="single" w:color="auto" w:sz="4" w:space="0"/>
              <w:left w:val="single" w:color="auto" w:sz="4" w:space="0"/>
              <w:bottom w:val="single" w:color="auto" w:sz="4" w:space="0"/>
              <w:right w:val="single" w:color="auto" w:sz="4" w:space="0"/>
            </w:tcBorders>
            <w:vAlign w:val="center"/>
          </w:tcPr>
          <w:p w14:paraId="3FE2388D">
            <w:pPr>
              <w:pStyle w:val="178"/>
              <w:rPr>
                <w:rFonts w:ascii="Times New Roman"/>
              </w:rPr>
            </w:pPr>
            <w:r>
              <w:rPr>
                <w:rFonts w:ascii="Times New Roman"/>
              </w:rPr>
              <w:t>49.60×10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64A04E7D">
            <w:pPr>
              <w:pStyle w:val="178"/>
              <w:rPr>
                <w:rFonts w:ascii="Times New Roman"/>
              </w:rPr>
            </w:pPr>
            <w:r>
              <w:rPr>
                <w:rFonts w:ascii="Times New Roman"/>
              </w:rPr>
              <w:t>99%</w:t>
            </w:r>
          </w:p>
        </w:tc>
      </w:tr>
      <w:tr w14:paraId="05FA6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731591B">
            <w:pPr>
              <w:widowControl/>
              <w:adjustRightInd/>
              <w:spacing w:line="240" w:lineRule="auto"/>
              <w:jc w:val="left"/>
              <w:rPr>
                <w:rFonts w:ascii="Times New Roman" w:hAnsi="Times New Roman"/>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7B343E8A">
            <w:pPr>
              <w:pStyle w:val="178"/>
              <w:rPr>
                <w:rFonts w:ascii="Times New Roman"/>
              </w:rPr>
            </w:pPr>
            <w:r>
              <w:rPr>
                <w:rFonts w:ascii="Times New Roman"/>
              </w:rPr>
              <w:t>其它煤气</w:t>
            </w:r>
          </w:p>
        </w:tc>
        <w:tc>
          <w:tcPr>
            <w:tcW w:w="1701" w:type="dxa"/>
            <w:tcBorders>
              <w:top w:val="single" w:color="auto" w:sz="4" w:space="0"/>
              <w:left w:val="single" w:color="auto" w:sz="4" w:space="0"/>
              <w:bottom w:val="single" w:color="auto" w:sz="4" w:space="0"/>
              <w:right w:val="single" w:color="auto" w:sz="4" w:space="0"/>
            </w:tcBorders>
            <w:vAlign w:val="center"/>
          </w:tcPr>
          <w:p w14:paraId="1E503D41">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tcBorders>
              <w:top w:val="single" w:color="auto" w:sz="4" w:space="0"/>
              <w:left w:val="single" w:color="auto" w:sz="4" w:space="0"/>
              <w:bottom w:val="single" w:color="auto" w:sz="4" w:space="0"/>
              <w:right w:val="single" w:color="auto" w:sz="4" w:space="0"/>
            </w:tcBorders>
            <w:vAlign w:val="center"/>
          </w:tcPr>
          <w:p w14:paraId="074AA9AE">
            <w:pPr>
              <w:pStyle w:val="178"/>
              <w:rPr>
                <w:rFonts w:ascii="Times New Roman"/>
              </w:rPr>
            </w:pPr>
            <w:r>
              <w:rPr>
                <w:rFonts w:ascii="Times New Roman"/>
              </w:rPr>
              <w:t>52.270</w:t>
            </w:r>
          </w:p>
        </w:tc>
        <w:tc>
          <w:tcPr>
            <w:tcW w:w="1409" w:type="dxa"/>
            <w:tcBorders>
              <w:top w:val="single" w:color="auto" w:sz="4" w:space="0"/>
              <w:left w:val="single" w:color="auto" w:sz="4" w:space="0"/>
              <w:bottom w:val="single" w:color="auto" w:sz="4" w:space="0"/>
              <w:right w:val="single" w:color="auto" w:sz="4" w:space="0"/>
            </w:tcBorders>
            <w:vAlign w:val="center"/>
          </w:tcPr>
          <w:p w14:paraId="565C1B20">
            <w:pPr>
              <w:pStyle w:val="178"/>
              <w:rPr>
                <w:rFonts w:ascii="Times New Roman"/>
              </w:rPr>
            </w:pPr>
            <w:r>
              <w:rPr>
                <w:rFonts w:ascii="Times New Roman"/>
              </w:rPr>
              <w:t>12.2×10</w:t>
            </w:r>
            <w:r>
              <w:rPr>
                <w:rFonts w:ascii="Times New Roman"/>
                <w:vertAlign w:val="superscript"/>
              </w:rPr>
              <w:t>-3</w:t>
            </w:r>
          </w:p>
        </w:tc>
        <w:tc>
          <w:tcPr>
            <w:tcW w:w="1556" w:type="dxa"/>
            <w:tcBorders>
              <w:top w:val="single" w:color="auto" w:sz="4" w:space="0"/>
              <w:left w:val="single" w:color="auto" w:sz="4" w:space="0"/>
              <w:bottom w:val="single" w:color="auto" w:sz="4" w:space="0"/>
              <w:right w:val="single" w:color="auto" w:sz="8" w:space="0"/>
            </w:tcBorders>
            <w:vAlign w:val="center"/>
          </w:tcPr>
          <w:p w14:paraId="26898D31">
            <w:pPr>
              <w:pStyle w:val="178"/>
              <w:rPr>
                <w:rFonts w:ascii="Times New Roman"/>
              </w:rPr>
            </w:pPr>
            <w:r>
              <w:rPr>
                <w:rFonts w:ascii="Times New Roman"/>
              </w:rPr>
              <w:t>99%</w:t>
            </w:r>
          </w:p>
        </w:tc>
      </w:tr>
      <w:tr w14:paraId="4C4DD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34" w:type="dxa"/>
            <w:gridSpan w:val="6"/>
            <w:tcBorders>
              <w:top w:val="single" w:color="auto" w:sz="4" w:space="0"/>
              <w:left w:val="single" w:color="auto" w:sz="8" w:space="0"/>
              <w:bottom w:val="single" w:color="auto" w:sz="8" w:space="0"/>
              <w:right w:val="single" w:color="auto" w:sz="8" w:space="0"/>
            </w:tcBorders>
            <w:vAlign w:val="center"/>
          </w:tcPr>
          <w:p w14:paraId="714A5939">
            <w:pPr>
              <w:pStyle w:val="179"/>
              <w:rPr>
                <w:rFonts w:ascii="Times New Roman"/>
              </w:rPr>
            </w:pPr>
            <w:r>
              <w:rPr>
                <w:rFonts w:ascii="Times New Roman"/>
              </w:rPr>
              <w:t>数据来源于《机械设备制造企业温室气体排放核算方法与报告指南（试行）》，仅供参考，如采用更新数据或其他数据，在报告中注明数据来源。</w:t>
            </w:r>
          </w:p>
        </w:tc>
      </w:tr>
    </w:tbl>
    <w:p w14:paraId="0D82481D">
      <w:pPr>
        <w:pStyle w:val="56"/>
        <w:ind w:firstLine="420"/>
        <w:rPr>
          <w:rFonts w:ascii="Times New Roman"/>
        </w:rPr>
      </w:pPr>
    </w:p>
    <w:bookmarkEnd w:id="75"/>
    <w:p w14:paraId="6E7EDFC7">
      <w:pPr>
        <w:pStyle w:val="56"/>
        <w:ind w:firstLine="0" w:firstLineChars="0"/>
        <w:jc w:val="center"/>
        <w:rPr>
          <w:rFonts w:ascii="Times New Roman"/>
        </w:rPr>
      </w:pPr>
      <w:bookmarkStart w:id="82" w:name="BookMark8"/>
      <w:r>
        <w:rPr>
          <w:rFonts w:ascii="Times New Roman"/>
        </w:rPr>
        <w:drawing>
          <wp:inline distT="0" distB="0" distL="0" distR="0">
            <wp:extent cx="1485900" cy="317500"/>
            <wp:effectExtent l="0" t="0" r="0" b="6350"/>
            <wp:docPr id="75635145" name="图片 22"/>
            <wp:cNvGraphicFramePr/>
            <a:graphic xmlns:a="http://schemas.openxmlformats.org/drawingml/2006/main">
              <a:graphicData uri="http://schemas.openxmlformats.org/drawingml/2006/picture">
                <pic:pic xmlns:pic="http://schemas.openxmlformats.org/drawingml/2006/picture">
                  <pic:nvPicPr>
                    <pic:cNvPr id="75635145" name="图片 22"/>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A14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9360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4A8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6E9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116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3BC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292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935E">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50C8">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A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5FB"/>
    <w:rsid w:val="00296C66"/>
    <w:rsid w:val="00296EBE"/>
    <w:rsid w:val="002974E3"/>
    <w:rsid w:val="002A084B"/>
    <w:rsid w:val="002A107E"/>
    <w:rsid w:val="002A1260"/>
    <w:rsid w:val="002A1589"/>
    <w:rsid w:val="002A1608"/>
    <w:rsid w:val="002A25DC"/>
    <w:rsid w:val="002A3AAB"/>
    <w:rsid w:val="002A4CEA"/>
    <w:rsid w:val="002A5977"/>
    <w:rsid w:val="002A5A13"/>
    <w:rsid w:val="002A6C74"/>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37A1D"/>
    <w:rsid w:val="0034194F"/>
    <w:rsid w:val="00344605"/>
    <w:rsid w:val="003474AA"/>
    <w:rsid w:val="00350D1D"/>
    <w:rsid w:val="00352C83"/>
    <w:rsid w:val="00352F1A"/>
    <w:rsid w:val="00353FAC"/>
    <w:rsid w:val="0036107C"/>
    <w:rsid w:val="003615D2"/>
    <w:rsid w:val="0036429C"/>
    <w:rsid w:val="00364A53"/>
    <w:rsid w:val="003654CB"/>
    <w:rsid w:val="00365AA9"/>
    <w:rsid w:val="00365F86"/>
    <w:rsid w:val="00365F87"/>
    <w:rsid w:val="00366E89"/>
    <w:rsid w:val="003705F4"/>
    <w:rsid w:val="00370D58"/>
    <w:rsid w:val="00370D8F"/>
    <w:rsid w:val="00371316"/>
    <w:rsid w:val="00374969"/>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085"/>
    <w:rsid w:val="004167A3"/>
    <w:rsid w:val="00432DAA"/>
    <w:rsid w:val="00434305"/>
    <w:rsid w:val="00435DF7"/>
    <w:rsid w:val="0044083F"/>
    <w:rsid w:val="00441AE7"/>
    <w:rsid w:val="0044281F"/>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0D1"/>
    <w:rsid w:val="004C1FBC"/>
    <w:rsid w:val="004C25A2"/>
    <w:rsid w:val="004C3F1D"/>
    <w:rsid w:val="004C458D"/>
    <w:rsid w:val="004C7556"/>
    <w:rsid w:val="004C7E8B"/>
    <w:rsid w:val="004C7E9D"/>
    <w:rsid w:val="004C7F67"/>
    <w:rsid w:val="004D076D"/>
    <w:rsid w:val="004D0EF1"/>
    <w:rsid w:val="004D1FCB"/>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E20"/>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97A48"/>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5A6"/>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2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2E4"/>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CA6"/>
    <w:rsid w:val="00765C43"/>
    <w:rsid w:val="00765EFB"/>
    <w:rsid w:val="007671CA"/>
    <w:rsid w:val="00767C61"/>
    <w:rsid w:val="0077008A"/>
    <w:rsid w:val="00773C1F"/>
    <w:rsid w:val="00774DA4"/>
    <w:rsid w:val="00776599"/>
    <w:rsid w:val="0078114B"/>
    <w:rsid w:val="00781DD2"/>
    <w:rsid w:val="00783ECF"/>
    <w:rsid w:val="0078413A"/>
    <w:rsid w:val="00791D39"/>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E78"/>
    <w:rsid w:val="007C20A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EDC"/>
    <w:rsid w:val="00840617"/>
    <w:rsid w:val="00840F84"/>
    <w:rsid w:val="00842A47"/>
    <w:rsid w:val="00843C13"/>
    <w:rsid w:val="00843DEF"/>
    <w:rsid w:val="008454F8"/>
    <w:rsid w:val="0085173A"/>
    <w:rsid w:val="00855B62"/>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A86"/>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5F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8D"/>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CB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FE4"/>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865"/>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30C"/>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291"/>
    <w:rsid w:val="00DE0A4B"/>
    <w:rsid w:val="00DE2410"/>
    <w:rsid w:val="00DE2939"/>
    <w:rsid w:val="00DE552F"/>
    <w:rsid w:val="00DE6E81"/>
    <w:rsid w:val="00DE703F"/>
    <w:rsid w:val="00DE7595"/>
    <w:rsid w:val="00DF1961"/>
    <w:rsid w:val="00DF44DE"/>
    <w:rsid w:val="00E01138"/>
    <w:rsid w:val="00E0140F"/>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993"/>
    <w:rsid w:val="00E74C54"/>
    <w:rsid w:val="00E76F04"/>
    <w:rsid w:val="00E77A03"/>
    <w:rsid w:val="00E822E8"/>
    <w:rsid w:val="00E82554"/>
    <w:rsid w:val="00E82606"/>
    <w:rsid w:val="00E831C1"/>
    <w:rsid w:val="00E846C8"/>
    <w:rsid w:val="00E84957"/>
    <w:rsid w:val="00E84A55"/>
    <w:rsid w:val="00E85BFF"/>
    <w:rsid w:val="00E90391"/>
    <w:rsid w:val="00E906C2"/>
    <w:rsid w:val="00E92669"/>
    <w:rsid w:val="00E9311F"/>
    <w:rsid w:val="00E934D1"/>
    <w:rsid w:val="00E94AF0"/>
    <w:rsid w:val="00E95D13"/>
    <w:rsid w:val="00E95DD3"/>
    <w:rsid w:val="00E969D5"/>
    <w:rsid w:val="00EA5146"/>
    <w:rsid w:val="00EA524F"/>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576F6"/>
    <w:rsid w:val="00F6194E"/>
    <w:rsid w:val="00F623AC"/>
    <w:rsid w:val="00F6412A"/>
    <w:rsid w:val="00F65893"/>
    <w:rsid w:val="00F66A4A"/>
    <w:rsid w:val="00F71E22"/>
    <w:rsid w:val="00F72142"/>
    <w:rsid w:val="00F72AE7"/>
    <w:rsid w:val="00F76C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6AFD"/>
    <w:rsid w:val="00FA73B1"/>
    <w:rsid w:val="00FB0CB9"/>
    <w:rsid w:val="00FB231D"/>
    <w:rsid w:val="00FB45F1"/>
    <w:rsid w:val="00FB4A72"/>
    <w:rsid w:val="00FB54E8"/>
    <w:rsid w:val="00FB7054"/>
    <w:rsid w:val="00FB79CC"/>
    <w:rsid w:val="00FC17B7"/>
    <w:rsid w:val="00FC2CB7"/>
    <w:rsid w:val="00FC4090"/>
    <w:rsid w:val="00FC55B4"/>
    <w:rsid w:val="00FD00E6"/>
    <w:rsid w:val="00FD09A1"/>
    <w:rsid w:val="00FD2A7C"/>
    <w:rsid w:val="00FD59EB"/>
    <w:rsid w:val="00FD5B2C"/>
    <w:rsid w:val="00FD7299"/>
    <w:rsid w:val="00FE1FBE"/>
    <w:rsid w:val="00FE3901"/>
    <w:rsid w:val="00FE39D3"/>
    <w:rsid w:val="00FE4BCE"/>
    <w:rsid w:val="00FE54AE"/>
    <w:rsid w:val="00FE576A"/>
    <w:rsid w:val="00FE7E79"/>
    <w:rsid w:val="00FF3E7D"/>
    <w:rsid w:val="00FF5B99"/>
    <w:rsid w:val="00FF730C"/>
    <w:rsid w:val="00FF73F4"/>
    <w:rsid w:val="00FF7CE4"/>
    <w:rsid w:val="00FF7E39"/>
    <w:rsid w:val="40F8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786D582B2D243A5A0CC20DD7C5C0CF0"/>
        <w:style w:val=""/>
        <w:category>
          <w:name w:val="常规"/>
          <w:gallery w:val="placeholder"/>
        </w:category>
        <w:types>
          <w:type w:val="bbPlcHdr"/>
        </w:types>
        <w:behaviors>
          <w:behavior w:val="content"/>
        </w:behaviors>
        <w:description w:val=""/>
        <w:guid w:val="{D5C5DD83-33DC-43A8-83CC-5758B2E3A79B}"/>
      </w:docPartPr>
      <w:docPartBody>
        <w:p w14:paraId="3F20903D">
          <w:pPr>
            <w:pStyle w:val="5"/>
            <w:rPr>
              <w:rFonts w:hint="eastAsia"/>
            </w:rPr>
          </w:pPr>
          <w:r>
            <w:rPr>
              <w:rStyle w:val="4"/>
              <w:rFonts w:hint="eastAsia"/>
            </w:rPr>
            <w:t>单击或点击此处输入文字。</w:t>
          </w:r>
        </w:p>
      </w:docPartBody>
    </w:docPart>
    <w:docPart>
      <w:docPartPr>
        <w:name w:val="19904622751049A5A6DEB781D12F8ED8"/>
        <w:style w:val=""/>
        <w:category>
          <w:name w:val="常规"/>
          <w:gallery w:val="placeholder"/>
        </w:category>
        <w:types>
          <w:type w:val="bbPlcHdr"/>
        </w:types>
        <w:behaviors>
          <w:behavior w:val="content"/>
        </w:behaviors>
        <w:description w:val=""/>
        <w:guid w:val="{C15ABF54-E5E9-42A5-A0B2-A508D69D6B2A}"/>
      </w:docPartPr>
      <w:docPartBody>
        <w:p w14:paraId="53266F0C">
          <w:pPr>
            <w:pStyle w:val="6"/>
            <w:rPr>
              <w:rFonts w:hint="eastAsia"/>
            </w:rPr>
          </w:pPr>
          <w:r>
            <w:rPr>
              <w:rStyle w:val="4"/>
              <w:rFonts w:hint="eastAsia"/>
            </w:rPr>
            <w:t>选择一项。</w:t>
          </w:r>
        </w:p>
      </w:docPartBody>
    </w:docPart>
    <w:docPart>
      <w:docPartPr>
        <w:name w:val="665D09B12CE34AA5AF6AABB4460AD043"/>
        <w:style w:val=""/>
        <w:category>
          <w:name w:val="常规"/>
          <w:gallery w:val="placeholder"/>
        </w:category>
        <w:types>
          <w:type w:val="bbPlcHdr"/>
        </w:types>
        <w:behaviors>
          <w:behavior w:val="content"/>
        </w:behaviors>
        <w:description w:val=""/>
        <w:guid w:val="{685AFD1C-EBED-4D7A-856A-4889C8E1323D}"/>
      </w:docPartPr>
      <w:docPartBody>
        <w:p w14:paraId="1A6310E0">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E9"/>
    <w:rsid w:val="000371FC"/>
    <w:rsid w:val="003C3C89"/>
    <w:rsid w:val="00416085"/>
    <w:rsid w:val="00562E20"/>
    <w:rsid w:val="00597A48"/>
    <w:rsid w:val="00681514"/>
    <w:rsid w:val="007222E4"/>
    <w:rsid w:val="00791D39"/>
    <w:rsid w:val="00876DD0"/>
    <w:rsid w:val="008D363D"/>
    <w:rsid w:val="00932B10"/>
    <w:rsid w:val="00A635F2"/>
    <w:rsid w:val="00D4130C"/>
    <w:rsid w:val="00DB79F6"/>
    <w:rsid w:val="00DD03C6"/>
    <w:rsid w:val="00DE0291"/>
    <w:rsid w:val="00E92669"/>
    <w:rsid w:val="00EB7CE9"/>
    <w:rsid w:val="00F22582"/>
    <w:rsid w:val="00F61B89"/>
    <w:rsid w:val="00FD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786D582B2D243A5A0CC20DD7C5C0CF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9904622751049A5A6DEB781D12F8ED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65D09B12CE34AA5AF6AABB4460AD043"/>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2572</Words>
  <Characters>3095</Characters>
  <Lines>64</Lines>
  <Paragraphs>18</Paragraphs>
  <TotalTime>202</TotalTime>
  <ScaleCrop>false</ScaleCrop>
  <LinksUpToDate>false</LinksUpToDate>
  <CharactersWithSpaces>3247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2025-11-05T03:36:00Z</dcterms:created>
  <dc:creator>Administrator</dc:creator>
  <dc:description>&lt;config cover="true" show_menu="true" version="1.0.0" doctype="SDKXY"&gt;_x000d_
&lt;/config&gt;</dc:description>
  <cp:lastModifiedBy>Shimmer</cp:lastModifiedBy>
  <cp:lastPrinted>2021-02-02T08:22:00Z</cp:lastPrinted>
  <dcterms:modified xsi:type="dcterms:W3CDTF">2025-12-08T06:06:22Z</dcterms:modified>
  <dc:title>团体标准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2052-12.1.0.23542</vt:lpwstr>
  </property>
  <property fmtid="{D5CDD505-2E9C-101B-9397-08002B2CF9AE}" pid="16" name="ICV">
    <vt:lpwstr>420F992EF87A42188926B36526DE6494_12</vt:lpwstr>
  </property>
</Properties>
</file>