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伺服驱动器高频波载PCBA差分抗干扰系统设计规范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伺</w:t>
      </w:r>
      <w:r>
        <w:rPr>
          <w:rFonts w:hint="eastAsia" w:ascii="宋体" w:hAnsi="宋体" w:eastAsia="宋体" w:cs="宋体"/>
          <w:kern w:val="0"/>
          <w:sz w:val="28"/>
          <w:szCs w:val="28"/>
        </w:rPr>
        <w:t>服驱动器高频波载PCBA差分抗干扰系统设计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技术要求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苏州华誉智能科技有限公司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伺服驱动器高频波载PCBA差分抗干扰系统设计规范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36B3D5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 xml:space="preserve">本标准编写旨在明确伺服驱动器高频波载场景下PCBA差分抗干扰系统的设计原则、技术要求、测试方法及验收准则，填补行业在该细分领域的标准空白。通过统一设计规范与技术参数，指导企业开展差异化抗干扰设计，解决高频波载下差分信号传输的共模噪声抑制、阻抗匹配、电磁兼容等关键技术问题，确保伺服驱动器在复杂电磁环境中实现高精度、稳定运行。 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 xml:space="preserve">对企业而言，标准可提供清晰的设计指引，降低研发成本与测试周期，提升产品抗干扰性能与市场竞争力，助力企业突破技术瓶颈，实现产品升级迭代；对行业而言，标准能够规范市场秩序，统一产品技术要求与评估依据，促进产业链上下游协同发展，提升行业整体技术水平；对国家而言，标准有利于推动伺服驱动器核心技术自主可控，支撑智能制造、工业机器人等战略性新兴产业发展，增强我国在高端装备领域的国际竞争力。 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苏州华誉智能科技有限公司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中国中小企业协会关于《纳米二氧化铈抛光液缓冲能力测试方法》等五项团体标准的立项公告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伺服驱动器高频波载PCBA差分抗干扰系统设计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伺服驱动器高频波载PCBA差分抗干扰系统设计规范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伺服驱动器高频波载PCBA差分抗干扰系统设计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伺服驱动器高频波载PCBA差分抗干扰系统设计规范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至02月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苏州华誉智能科技有限公司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伺服驱动器高频波载PCBA差分抗干扰系统设计技术要求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本标准征求意见稿主要内容如下： </w:t>
      </w:r>
    </w:p>
    <w:p w14:paraId="2CC02F9E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范围：规定了伺服驱动器高频波载 PCBA 差分抗干扰系统的设计原则、要求、验证方法及实施管理，适用于自动化设备用伺服驱动器相关 PCBA 设计、生产及检验，其他类似高频开关类电力电子设备可参照。</w:t>
      </w:r>
    </w:p>
    <w:p w14:paraId="0040896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规范性引用文件：列出了构成本文件必要条款的相关国家标准，注日期的仅对应版本适用，不注日期的其最新版本（含修改单）适用。</w:t>
      </w:r>
    </w:p>
    <w:p w14:paraId="2E6E63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术语和定义：界定了差分信号、共模干扰、地平面三个适用于本文件的术语含义。</w:t>
      </w:r>
    </w:p>
    <w:p w14:paraId="6AB3720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缩略语：给出了 ADC、CMRR、DSP 等与伺服驱动器 PCBA 相关的多个专业术语的英文全称及中文释义。</w:t>
      </w:r>
    </w:p>
    <w:p w14:paraId="4C35E27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设计原则：明确了伺服驱动器 PCBA 差分抗干扰设计需遵循的源头抑制、路径阻断、敏感保护、对称设计、最小环路五项核心原则。</w:t>
      </w:r>
    </w:p>
    <w:p w14:paraId="7EFAF108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设计要求：从干扰源抑制、功能分区与布局、差分信号 PCB、接地与屏蔽、电源与滤波、接口隔离六个维度，明确了各类设计的具体标准和要求。</w:t>
      </w:r>
    </w:p>
    <w:p w14:paraId="58F4FAA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验证方法：制定了 EMC 性能、控制精度、噪声抑制效果、长期稳定性四类指标的测试依据、范围及合格判定标准。</w:t>
      </w:r>
    </w:p>
    <w:p w14:paraId="4AD1D04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实施和管理：规定了设计流程管理、生产工艺要求、进货检验、过程检验及成品检验的具体规范，确保设计要求落地和产品质量合格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《伺服驱动器高频波载PCBA差分抗干扰系统设计规范》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技术的标准化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伺服驱动器高频波载PCBA差分抗干扰系统设计规范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01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1E18327E"/>
    <w:rsid w:val="30F26155"/>
    <w:rsid w:val="311F3D36"/>
    <w:rsid w:val="608E3F48"/>
    <w:rsid w:val="6B582350"/>
    <w:rsid w:val="7D7864E4"/>
    <w:rsid w:val="7E621E77"/>
    <w:rsid w:val="7F0136A4"/>
    <w:rsid w:val="7FAB2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1971</Words>
  <Characters>2010</Characters>
  <Lines>2</Lines>
  <Paragraphs>1</Paragraphs>
  <TotalTime>3</TotalTime>
  <ScaleCrop>false</ScaleCrop>
  <LinksUpToDate>false</LinksUpToDate>
  <CharactersWithSpaces>2046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2026-01-16T08:59:28Z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