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6BDA7">
      <w:pPr>
        <w:jc w:val="center"/>
      </w:pPr>
    </w:p>
    <w:p w14:paraId="7E22C76D">
      <w:pPr>
        <w:jc w:val="center"/>
      </w:pPr>
    </w:p>
    <w:p w14:paraId="071B8717">
      <w:pPr>
        <w:jc w:val="center"/>
      </w:pPr>
    </w:p>
    <w:p w14:paraId="6BBD61D6">
      <w:pPr>
        <w:jc w:val="center"/>
      </w:pPr>
    </w:p>
    <w:p w14:paraId="68EF036B">
      <w:pPr>
        <w:jc w:val="center"/>
      </w:pPr>
    </w:p>
    <w:p w14:paraId="746A2479">
      <w:pPr>
        <w:jc w:val="center"/>
      </w:pPr>
    </w:p>
    <w:p w14:paraId="2F827E59">
      <w:pPr>
        <w:jc w:val="center"/>
      </w:pPr>
    </w:p>
    <w:p w14:paraId="4E9132DA">
      <w:pPr>
        <w:jc w:val="center"/>
      </w:pPr>
    </w:p>
    <w:p w14:paraId="0269B1DC">
      <w:pPr>
        <w:jc w:val="center"/>
      </w:pPr>
    </w:p>
    <w:p w14:paraId="281771DA">
      <w:pPr>
        <w:jc w:val="center"/>
      </w:pPr>
    </w:p>
    <w:p w14:paraId="780CD702">
      <w:pPr>
        <w:jc w:val="center"/>
      </w:pPr>
    </w:p>
    <w:p w14:paraId="3409BB48">
      <w:pPr>
        <w:jc w:val="center"/>
      </w:pPr>
    </w:p>
    <w:p w14:paraId="7C5DE75E">
      <w:pPr>
        <w:jc w:val="center"/>
      </w:pPr>
    </w:p>
    <w:p w14:paraId="3B814560">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纳米二氧化铈抛光液缓冲能力测试方法</w:t>
      </w:r>
      <w:r>
        <w:rPr>
          <w:rFonts w:hint="eastAsia" w:ascii="迷你简小标宋" w:hAnsi="宋体" w:eastAsia="迷你简小标宋"/>
          <w:w w:val="90"/>
          <w:sz w:val="44"/>
          <w:szCs w:val="44"/>
        </w:rPr>
        <w:t>》</w:t>
      </w:r>
    </w:p>
    <w:p w14:paraId="2860710B">
      <w:pPr>
        <w:jc w:val="center"/>
        <w:rPr>
          <w:rFonts w:ascii="迷你简小标宋" w:hAnsi="宋体" w:eastAsia="迷你简小标宋"/>
          <w:sz w:val="44"/>
          <w:szCs w:val="44"/>
        </w:rPr>
      </w:pPr>
    </w:p>
    <w:p w14:paraId="4C7EC6F7">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22353140">
      <w:pPr>
        <w:jc w:val="center"/>
      </w:pPr>
    </w:p>
    <w:p w14:paraId="1DF703A3">
      <w:pPr>
        <w:jc w:val="center"/>
      </w:pPr>
    </w:p>
    <w:p w14:paraId="19B74417">
      <w:pPr>
        <w:jc w:val="center"/>
      </w:pPr>
    </w:p>
    <w:p w14:paraId="6F7D7D97">
      <w:pPr>
        <w:jc w:val="center"/>
      </w:pPr>
    </w:p>
    <w:p w14:paraId="6D8488C6">
      <w:pPr>
        <w:jc w:val="center"/>
      </w:pPr>
    </w:p>
    <w:p w14:paraId="14BBE8A6">
      <w:pPr>
        <w:jc w:val="center"/>
      </w:pPr>
    </w:p>
    <w:p w14:paraId="6799B66F">
      <w:pPr>
        <w:jc w:val="center"/>
      </w:pPr>
    </w:p>
    <w:p w14:paraId="1CCDD2F1">
      <w:pPr>
        <w:jc w:val="center"/>
      </w:pPr>
    </w:p>
    <w:p w14:paraId="1A9395D6">
      <w:pPr>
        <w:jc w:val="center"/>
      </w:pPr>
    </w:p>
    <w:p w14:paraId="7AF0D8F9">
      <w:pPr>
        <w:jc w:val="center"/>
      </w:pPr>
    </w:p>
    <w:p w14:paraId="1A76D51E">
      <w:pPr>
        <w:jc w:val="center"/>
      </w:pPr>
    </w:p>
    <w:p w14:paraId="2FC76E1B">
      <w:pPr>
        <w:jc w:val="center"/>
      </w:pPr>
    </w:p>
    <w:p w14:paraId="4F6A9B5E">
      <w:pPr>
        <w:jc w:val="center"/>
      </w:pPr>
    </w:p>
    <w:p w14:paraId="5A5C362F">
      <w:pPr>
        <w:jc w:val="center"/>
      </w:pPr>
    </w:p>
    <w:p w14:paraId="5EE3BBAF">
      <w:pPr>
        <w:jc w:val="center"/>
      </w:pPr>
    </w:p>
    <w:p w14:paraId="5280A370">
      <w:pPr>
        <w:jc w:val="center"/>
      </w:pPr>
    </w:p>
    <w:p w14:paraId="6F5A5788">
      <w:pPr>
        <w:jc w:val="center"/>
        <w:rPr>
          <w:rFonts w:ascii="宋体" w:hAnsi="宋体" w:eastAsia="宋体"/>
          <w:sz w:val="28"/>
          <w:szCs w:val="28"/>
        </w:rPr>
      </w:pPr>
      <w:r>
        <w:rPr>
          <w:rFonts w:hint="eastAsia" w:ascii="宋体" w:hAnsi="宋体" w:eastAsia="宋体"/>
          <w:sz w:val="28"/>
          <w:szCs w:val="28"/>
        </w:rPr>
        <w:t xml:space="preserve">团标制定工作组 </w:t>
      </w:r>
    </w:p>
    <w:p w14:paraId="3258B97C">
      <w:pPr>
        <w:jc w:val="center"/>
        <w:rPr>
          <w:rFonts w:ascii="宋体" w:hAnsi="宋体" w:eastAsia="宋体"/>
          <w:sz w:val="28"/>
          <w:szCs w:val="28"/>
        </w:rPr>
      </w:pPr>
    </w:p>
    <w:p w14:paraId="461C29EA">
      <w:pPr>
        <w:jc w:val="center"/>
        <w:rPr>
          <w:rFonts w:ascii="宋体" w:hAnsi="宋体" w:eastAsia="宋体"/>
          <w:sz w:val="28"/>
          <w:szCs w:val="28"/>
        </w:rPr>
      </w:pPr>
      <w:r>
        <w:rPr>
          <w:rFonts w:hint="eastAsia" w:ascii="宋体" w:hAnsi="宋体" w:eastAsia="宋体"/>
          <w:sz w:val="28"/>
          <w:szCs w:val="28"/>
        </w:rPr>
        <w:t>二零二</w:t>
      </w:r>
      <w:r>
        <w:rPr>
          <w:rFonts w:hint="eastAsia" w:ascii="宋体" w:hAnsi="宋体" w:eastAsia="宋体"/>
          <w:sz w:val="28"/>
          <w:szCs w:val="28"/>
          <w:lang w:val="en-US" w:eastAsia="zh-CN"/>
        </w:rPr>
        <w:t>六</w:t>
      </w:r>
      <w:r>
        <w:rPr>
          <w:rFonts w:hint="eastAsia" w:ascii="宋体" w:hAnsi="宋体" w:eastAsia="宋体"/>
          <w:sz w:val="28"/>
          <w:szCs w:val="28"/>
        </w:rPr>
        <w:t>年</w:t>
      </w:r>
      <w:r>
        <w:rPr>
          <w:rFonts w:hint="eastAsia" w:ascii="宋体" w:hAnsi="宋体" w:eastAsia="宋体"/>
          <w:sz w:val="28"/>
          <w:szCs w:val="28"/>
          <w:lang w:val="en-US" w:eastAsia="zh-CN"/>
        </w:rPr>
        <w:t>一</w:t>
      </w:r>
      <w:r>
        <w:rPr>
          <w:rFonts w:hint="eastAsia" w:ascii="宋体" w:hAnsi="宋体" w:eastAsia="宋体"/>
          <w:sz w:val="28"/>
          <w:szCs w:val="28"/>
        </w:rPr>
        <w:t>月</w:t>
      </w:r>
    </w:p>
    <w:p w14:paraId="4A3A188F">
      <w:pPr>
        <w:jc w:val="center"/>
        <w:rPr>
          <w:rFonts w:ascii="宋体" w:hAnsi="宋体" w:eastAsia="宋体"/>
          <w:sz w:val="28"/>
          <w:szCs w:val="28"/>
        </w:rPr>
      </w:pPr>
    </w:p>
    <w:p w14:paraId="0D87B6A4">
      <w:pPr>
        <w:jc w:val="center"/>
        <w:rPr>
          <w:rFonts w:ascii="宋体" w:hAnsi="宋体" w:eastAsia="宋体"/>
          <w:sz w:val="28"/>
          <w:szCs w:val="28"/>
        </w:rPr>
      </w:pPr>
    </w:p>
    <w:p w14:paraId="427E09CB">
      <w:pPr>
        <w:jc w:val="center"/>
        <w:rPr>
          <w:rFonts w:ascii="宋体" w:hAnsi="宋体" w:eastAsia="宋体"/>
          <w:sz w:val="28"/>
          <w:szCs w:val="28"/>
        </w:rPr>
      </w:pPr>
    </w:p>
    <w:p w14:paraId="5C636944">
      <w:pPr>
        <w:jc w:val="center"/>
        <w:rPr>
          <w:rFonts w:ascii="宋体" w:hAnsi="宋体" w:eastAsia="宋体"/>
          <w:sz w:val="28"/>
          <w:szCs w:val="28"/>
        </w:rPr>
      </w:pPr>
    </w:p>
    <w:p w14:paraId="32A21D37">
      <w:pPr>
        <w:jc w:val="center"/>
        <w:rPr>
          <w:rFonts w:ascii="宋体" w:hAnsi="宋体" w:eastAsia="宋体"/>
          <w:sz w:val="28"/>
          <w:szCs w:val="28"/>
        </w:rPr>
      </w:pPr>
    </w:p>
    <w:p w14:paraId="7567C28E">
      <w:pPr>
        <w:jc w:val="center"/>
        <w:rPr>
          <w:rFonts w:ascii="宋体" w:hAnsi="宋体" w:eastAsia="宋体"/>
          <w:sz w:val="28"/>
          <w:szCs w:val="28"/>
        </w:rPr>
      </w:pPr>
    </w:p>
    <w:p w14:paraId="2596D28D">
      <w:pPr>
        <w:spacing w:line="360" w:lineRule="auto"/>
        <w:jc w:val="left"/>
        <w:rPr>
          <w:rFonts w:ascii="宋体" w:hAnsi="宋体" w:eastAsia="宋体"/>
          <w:b/>
          <w:bCs/>
          <w:sz w:val="28"/>
          <w:szCs w:val="28"/>
        </w:rPr>
      </w:pPr>
      <w:r>
        <w:rPr>
          <w:rFonts w:hint="eastAsia" w:ascii="宋体" w:hAnsi="宋体" w:eastAsia="宋体"/>
          <w:b/>
          <w:bCs/>
          <w:sz w:val="28"/>
          <w:szCs w:val="28"/>
        </w:rPr>
        <w:t>一、工作简况</w:t>
      </w:r>
    </w:p>
    <w:p w14:paraId="52B5D597">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66EB3CC4">
      <w:pPr>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kern w:val="0"/>
          <w:sz w:val="28"/>
          <w:szCs w:val="28"/>
        </w:rPr>
        <w:t>根据 2020 年全国标准化工作要点，大力推动实施标准化战略，持续深化标准化工作改革，加强标准体系建设，提升引领高质量发展的能力。为响应市场需求，需要制定完善的纳米二氧化铈抛光液缓冲能力测试方法</w:t>
      </w:r>
      <w:r>
        <w:rPr>
          <w:rFonts w:hint="eastAsia" w:ascii="宋体" w:hAnsi="宋体" w:eastAsia="宋体" w:cs="宋体"/>
          <w:kern w:val="0"/>
          <w:sz w:val="28"/>
          <w:szCs w:val="28"/>
          <w:lang w:val="en-US" w:eastAsia="zh-CN"/>
        </w:rPr>
        <w:t>团体标准</w:t>
      </w:r>
      <w:r>
        <w:rPr>
          <w:rFonts w:hint="eastAsia" w:ascii="宋体" w:hAnsi="宋体" w:eastAsia="宋体" w:cs="宋体"/>
          <w:kern w:val="0"/>
          <w:sz w:val="28"/>
          <w:szCs w:val="28"/>
        </w:rPr>
        <w:t>，满足市场产品质量提升需要。依据《中华人民共和国标准化法》，以及《团体标准管理规定》相关规定，</w:t>
      </w:r>
      <w:r>
        <w:rPr>
          <w:rFonts w:hint="eastAsia" w:ascii="宋体" w:hAnsi="宋体" w:eastAsia="宋体" w:cs="宋体"/>
          <w:kern w:val="0"/>
          <w:sz w:val="28"/>
          <w:szCs w:val="28"/>
          <w:lang w:eastAsia="zh-CN"/>
        </w:rPr>
        <w:t>中国中小企业协会</w:t>
      </w:r>
      <w:r>
        <w:rPr>
          <w:rFonts w:hint="eastAsia" w:ascii="宋体" w:hAnsi="宋体" w:eastAsia="宋体" w:cs="宋体"/>
          <w:kern w:val="0"/>
          <w:sz w:val="28"/>
          <w:szCs w:val="28"/>
        </w:rPr>
        <w:t>决定立项并联合</w:t>
      </w:r>
      <w:r>
        <w:rPr>
          <w:rFonts w:hint="eastAsia" w:ascii="宋体" w:hAnsi="宋体" w:eastAsia="宋体" w:cs="宋体"/>
          <w:kern w:val="0"/>
          <w:sz w:val="28"/>
          <w:szCs w:val="28"/>
          <w:lang w:val="en-US" w:eastAsia="zh-CN" w:bidi="ar-SA"/>
        </w:rPr>
        <w:t>内蒙古科技大学及</w:t>
      </w:r>
      <w:r>
        <w:rPr>
          <w:rFonts w:hint="eastAsia" w:ascii="宋体" w:hAnsi="宋体" w:eastAsia="宋体" w:cs="宋体"/>
          <w:kern w:val="0"/>
          <w:sz w:val="28"/>
          <w:szCs w:val="28"/>
        </w:rPr>
        <w:t>相关单位共同制定《</w:t>
      </w:r>
      <w:r>
        <w:rPr>
          <w:rFonts w:hint="eastAsia" w:ascii="宋体" w:hAnsi="宋体" w:eastAsia="宋体" w:cs="宋体"/>
          <w:kern w:val="0"/>
          <w:sz w:val="28"/>
          <w:szCs w:val="28"/>
          <w:lang w:eastAsia="zh-CN"/>
        </w:rPr>
        <w:t>纳米二氧化铈抛光液缓冲能力测试方法</w:t>
      </w:r>
      <w:r>
        <w:rPr>
          <w:rFonts w:hint="eastAsia" w:ascii="宋体" w:hAnsi="宋体" w:eastAsia="宋体" w:cs="宋体"/>
          <w:kern w:val="0"/>
          <w:sz w:val="28"/>
          <w:szCs w:val="28"/>
        </w:rPr>
        <w:t>》团体标准。</w:t>
      </w:r>
    </w:p>
    <w:p w14:paraId="5DC77592">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77F9BECA">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随着科技的飞速发展，纳米二氧化铈抛光液在众多领域的应用愈发广泛。在光电子显示行业，其助力手机屏幕、液晶显示器实现高精度抛光；在半导体产业，对芯片制造过程中的精密抛光至关重要。据相关数据显示，近年来我国研磨抛光液行业市场规模持续增长，预计在 2025-2030 年间将以年均复合增长率 10% 的速度攀升，纳米二氧化铈抛光液作为其中重要的细分领域，也呈现出强劲的发展态势，越来越多的企业投身到该行业，推动产业不断向前发展。</w:t>
      </w:r>
    </w:p>
    <w:p w14:paraId="216792A0">
      <w:pPr>
        <w:numPr>
          <w:ilvl w:val="0"/>
          <w:numId w:val="0"/>
        </w:numPr>
        <w:spacing w:line="360" w:lineRule="auto"/>
        <w:ind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然而，当前纳米二氧化铈抛光液行业也面临着诸多挑战。一方面，市场上产品质量参差不齐，不同企业生产的抛光液在性能上差异较大，这给下游应用企业带来了选择难题，增加了产品质量控制的成本。另一方面，由于缺乏统一的标准规范，在缓冲能力及润湿角等关键指标上，行业内没有明确的衡量尺度，导致企业间的交流合作存在障碍，严重制约了行业整体的健康发展。因此，制定标准具有极其重要的意义</w:t>
      </w:r>
      <w:r>
        <w:rPr>
          <w:rFonts w:hint="eastAsia" w:ascii="宋体" w:hAnsi="宋体" w:eastAsia="宋体"/>
          <w:b w:val="0"/>
          <w:bCs w:val="0"/>
          <w:sz w:val="28"/>
          <w:szCs w:val="28"/>
          <w:lang w:eastAsia="zh-CN"/>
        </w:rPr>
        <w:t>。</w:t>
      </w:r>
    </w:p>
    <w:p w14:paraId="51D0DB2D">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lang w:val="en-US" w:eastAsia="zh-CN"/>
        </w:rPr>
        <w:t>1、</w:t>
      </w:r>
      <w:r>
        <w:rPr>
          <w:rFonts w:hint="eastAsia" w:ascii="宋体" w:hAnsi="宋体" w:eastAsia="宋体"/>
          <w:b w:val="0"/>
          <w:bCs w:val="0"/>
          <w:sz w:val="28"/>
          <w:szCs w:val="28"/>
        </w:rPr>
        <w:t>提高产品质量一致性：统一的测试方法标准能够规范企业的生产和检测流程，确保不同厂家生产的纳米二氧化铈抛光液缓冲能力测试结果的准确性和可比性，从而提高整个行业产品质量的一致性，提升我国相关产品在国际市场上的竞争力。​</w:t>
      </w:r>
    </w:p>
    <w:p w14:paraId="2FA2C649">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lang w:val="en-US" w:eastAsia="zh-CN"/>
        </w:rPr>
        <w:t>2、</w:t>
      </w:r>
      <w:r>
        <w:rPr>
          <w:rFonts w:hint="eastAsia" w:ascii="宋体" w:hAnsi="宋体" w:eastAsia="宋体"/>
          <w:b w:val="0"/>
          <w:bCs w:val="0"/>
          <w:sz w:val="28"/>
          <w:szCs w:val="28"/>
        </w:rPr>
        <w:t>促进技术交流与创新：标准的制定为行业内的技术交流搭建了平台，有助于企业和科研机构共享缓冲能力测试方面的技术和经验，加速新技术、新方法的研发和应用，推动纳米二氧化铈抛光液技术的创新发展。​</w:t>
      </w:r>
    </w:p>
    <w:p w14:paraId="38D0EA44">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lang w:val="en-US" w:eastAsia="zh-CN"/>
        </w:rPr>
        <w:t>3、</w:t>
      </w:r>
      <w:r>
        <w:rPr>
          <w:rFonts w:hint="eastAsia" w:ascii="宋体" w:hAnsi="宋体" w:eastAsia="宋体"/>
          <w:b w:val="0"/>
          <w:bCs w:val="0"/>
          <w:sz w:val="28"/>
          <w:szCs w:val="28"/>
        </w:rPr>
        <w:t>规范市场秩序：缺乏统一标准容易导致市场上产品质量参差不齐，部分不良企业可能利用测试方法的不规范进行虚假宣传。通过制定团体标准，能够建立明确的市场准入门槛，规范市场竞争秩序，保护消费者的合法权益。​</w:t>
      </w:r>
    </w:p>
    <w:p w14:paraId="62BAA187">
      <w:pPr>
        <w:numPr>
          <w:ilvl w:val="0"/>
          <w:numId w:val="0"/>
        </w:numPr>
        <w:spacing w:line="360" w:lineRule="auto"/>
        <w:ind w:firstLine="560" w:firstLineChars="200"/>
        <w:jc w:val="left"/>
        <w:rPr>
          <w:rFonts w:ascii="宋体" w:hAnsi="宋体" w:eastAsia="宋体"/>
          <w:b w:val="0"/>
          <w:bCs w:val="0"/>
          <w:sz w:val="28"/>
          <w:szCs w:val="28"/>
        </w:rPr>
      </w:pPr>
      <w:r>
        <w:rPr>
          <w:rFonts w:hint="eastAsia" w:ascii="宋体" w:hAnsi="宋体" w:eastAsia="宋体"/>
          <w:b w:val="0"/>
          <w:bCs w:val="0"/>
          <w:sz w:val="28"/>
          <w:szCs w:val="28"/>
          <w:lang w:val="en-US" w:eastAsia="zh-CN"/>
        </w:rPr>
        <w:t>4、</w:t>
      </w:r>
      <w:r>
        <w:rPr>
          <w:rFonts w:hint="eastAsia" w:ascii="宋体" w:hAnsi="宋体" w:eastAsia="宋体"/>
          <w:b w:val="0"/>
          <w:bCs w:val="0"/>
          <w:sz w:val="28"/>
          <w:szCs w:val="28"/>
        </w:rPr>
        <w:t>满足产业发展需求：随着集成电路、光电子等产业向更高精度、更高性能方向发展，对纳米二氧化铈抛光液缓冲能力的要求也日益严苛。制定标准能够及时响应产业发展的需求，为产业升级提供技术支撑。</w:t>
      </w:r>
    </w:p>
    <w:p w14:paraId="17A6BEDE">
      <w:pPr>
        <w:keepNext w:val="0"/>
        <w:keepLines w:val="0"/>
        <w:pageBreakBefore w:val="0"/>
        <w:widowControl w:val="0"/>
        <w:numPr>
          <w:ilvl w:val="0"/>
          <w:numId w:val="1"/>
        </w:numPr>
        <w:kinsoku/>
        <w:wordWrap/>
        <w:overflowPunct/>
        <w:topLinePunct w:val="0"/>
        <w:autoSpaceDE/>
        <w:autoSpaceDN/>
        <w:bidi w:val="0"/>
        <w:adjustRightInd/>
        <w:snapToGrid/>
        <w:spacing w:before="150" w:beforeLines="50" w:line="360" w:lineRule="auto"/>
        <w:ind w:left="0" w:leftChars="0" w:firstLine="0" w:firstLineChars="0"/>
        <w:jc w:val="left"/>
        <w:textAlignment w:val="auto"/>
        <w:rPr>
          <w:rFonts w:ascii="宋体" w:hAnsi="宋体" w:eastAsia="宋体"/>
          <w:sz w:val="28"/>
          <w:szCs w:val="28"/>
        </w:rPr>
      </w:pPr>
      <w:r>
        <w:rPr>
          <w:rFonts w:ascii="宋体" w:hAnsi="宋体" w:eastAsia="宋体"/>
          <w:b/>
          <w:bCs/>
          <w:sz w:val="28"/>
          <w:szCs w:val="28"/>
        </w:rPr>
        <w:t>编制过程</w:t>
      </w:r>
      <w:r>
        <w:rPr>
          <w:rFonts w:ascii="宋体" w:hAnsi="宋体" w:eastAsia="宋体"/>
          <w:sz w:val="28"/>
          <w:szCs w:val="28"/>
        </w:rPr>
        <w:t xml:space="preserve"> </w:t>
      </w:r>
    </w:p>
    <w:p w14:paraId="75BFFC51">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1、起草阶段</w:t>
      </w:r>
    </w:p>
    <w:p w14:paraId="4499BABB">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202</w:t>
      </w:r>
      <w:r>
        <w:rPr>
          <w:rFonts w:hint="eastAsia" w:ascii="宋体" w:hAnsi="宋体" w:eastAsia="宋体" w:cs="Times New Roman"/>
          <w:kern w:val="0"/>
          <w:sz w:val="28"/>
          <w:szCs w:val="28"/>
          <w:lang w:val="en-US" w:eastAsia="zh-CN"/>
        </w:rPr>
        <w:t>6年11</w:t>
      </w:r>
      <w:r>
        <w:rPr>
          <w:rFonts w:hint="eastAsia" w:ascii="宋体" w:hAnsi="宋体" w:eastAsia="宋体" w:cs="Times New Roman"/>
          <w:kern w:val="0"/>
          <w:sz w:val="28"/>
          <w:szCs w:val="28"/>
        </w:rPr>
        <w:t>月，成立标准起草工作组。对国内外纳米二氧化铈抛光液缓冲能力测试方法</w:t>
      </w:r>
      <w:r>
        <w:rPr>
          <w:rFonts w:hint="eastAsia" w:ascii="宋体" w:hAnsi="宋体" w:eastAsia="宋体" w:cs="Times New Roman"/>
          <w:kern w:val="0"/>
          <w:sz w:val="28"/>
          <w:szCs w:val="28"/>
          <w:lang w:val="en-US" w:eastAsia="zh-CN"/>
        </w:rPr>
        <w:t>的</w:t>
      </w:r>
      <w:r>
        <w:rPr>
          <w:rFonts w:hint="eastAsia" w:ascii="宋体" w:hAnsi="宋体" w:eastAsia="宋体" w:cs="Times New Roman"/>
          <w:kern w:val="0"/>
          <w:sz w:val="28"/>
          <w:szCs w:val="28"/>
        </w:rPr>
        <w:t>技术现状与发展情况进行全面调研，同时广泛搜集和检索</w:t>
      </w:r>
      <w:r>
        <w:rPr>
          <w:rFonts w:hint="eastAsia" w:ascii="宋体" w:hAnsi="宋体" w:eastAsia="宋体" w:cs="Times New Roman"/>
          <w:kern w:val="0"/>
          <w:sz w:val="28"/>
          <w:szCs w:val="28"/>
          <w:lang w:val="en-US" w:eastAsia="zh-CN"/>
        </w:rPr>
        <w:t>相关</w:t>
      </w:r>
      <w:r>
        <w:rPr>
          <w:rFonts w:hint="eastAsia" w:ascii="宋体" w:hAnsi="宋体" w:eastAsia="宋体" w:cs="Times New Roman"/>
          <w:kern w:val="0"/>
          <w:sz w:val="28"/>
          <w:szCs w:val="28"/>
        </w:rPr>
        <w:t>技术资料，并进行大量的研制、试验及验证。在此基础上编制《</w:t>
      </w:r>
      <w:r>
        <w:rPr>
          <w:rFonts w:hint="eastAsia" w:ascii="宋体" w:hAnsi="宋体" w:eastAsia="宋体" w:cs="Times New Roman"/>
          <w:kern w:val="0"/>
          <w:sz w:val="28"/>
          <w:szCs w:val="28"/>
          <w:lang w:eastAsia="zh-CN"/>
        </w:rPr>
        <w:t>纳米二氧化铈抛光液缓冲能力测试方法</w:t>
      </w:r>
      <w:r>
        <w:rPr>
          <w:rFonts w:hint="eastAsia" w:ascii="宋体" w:hAnsi="宋体" w:eastAsia="宋体" w:cs="Times New Roman"/>
          <w:kern w:val="0"/>
          <w:sz w:val="28"/>
          <w:szCs w:val="28"/>
        </w:rPr>
        <w:t>》标准草案。</w:t>
      </w:r>
    </w:p>
    <w:p w14:paraId="0A60FA09">
      <w:pPr>
        <w:spacing w:line="540" w:lineRule="exac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2、征求意见阶段</w:t>
      </w:r>
    </w:p>
    <w:p w14:paraId="3E9CF06D">
      <w:pPr>
        <w:spacing w:line="540" w:lineRule="exact"/>
        <w:ind w:firstLine="560" w:firstLineChars="200"/>
        <w:rPr>
          <w:rFonts w:hint="eastAsia" w:ascii="宋体" w:hAnsi="宋体" w:eastAsia="宋体" w:cs="Times New Roman"/>
          <w:kern w:val="0"/>
          <w:sz w:val="28"/>
          <w:szCs w:val="28"/>
        </w:rPr>
      </w:pPr>
      <w:r>
        <w:rPr>
          <w:rFonts w:hint="eastAsia" w:ascii="宋体" w:hAnsi="宋体" w:eastAsia="宋体" w:cs="Times New Roman"/>
          <w:kern w:val="0"/>
          <w:sz w:val="28"/>
          <w:szCs w:val="28"/>
        </w:rPr>
        <w:t>形成标准草案稿之后，</w:t>
      </w:r>
      <w:r>
        <w:rPr>
          <w:rFonts w:hint="eastAsia" w:ascii="宋体" w:hAnsi="宋体" w:eastAsia="宋体" w:cs="Times New Roman"/>
          <w:kern w:val="0"/>
          <w:sz w:val="28"/>
          <w:szCs w:val="28"/>
          <w:lang w:val="en-US" w:eastAsia="zh-CN"/>
        </w:rPr>
        <w:t>由</w:t>
      </w:r>
      <w:r>
        <w:rPr>
          <w:rFonts w:hint="eastAsia" w:ascii="宋体" w:hAnsi="宋体" w:eastAsia="宋体" w:cs="Times New Roman"/>
          <w:kern w:val="0"/>
          <w:sz w:val="28"/>
          <w:szCs w:val="28"/>
        </w:rPr>
        <w:t>起草组召开专家研讨会，从标准框架、标准起草等角度征求多方意见，从理论完善和实践应用方面提升标准的适用性和实用性。经过理论研究和方法验证，明确和规范</w:t>
      </w:r>
      <w:r>
        <w:rPr>
          <w:rFonts w:hint="eastAsia" w:ascii="宋体" w:hAnsi="宋体" w:eastAsia="宋体" w:cs="Times New Roman"/>
          <w:kern w:val="0"/>
          <w:sz w:val="28"/>
          <w:szCs w:val="28"/>
          <w:lang w:eastAsia="zh-CN"/>
        </w:rPr>
        <w:t>纳米二氧化铈抛光液缓冲能力测试方法</w:t>
      </w:r>
      <w:r>
        <w:rPr>
          <w:rFonts w:hint="eastAsia" w:ascii="宋体" w:hAnsi="宋体" w:eastAsia="宋体" w:cs="Times New Roman"/>
          <w:kern w:val="0"/>
          <w:sz w:val="28"/>
          <w:szCs w:val="28"/>
        </w:rPr>
        <w:t>。</w:t>
      </w:r>
      <w:r>
        <w:rPr>
          <w:rFonts w:hint="eastAsia" w:ascii="宋体" w:hAnsi="宋体" w:eastAsia="宋体" w:cs="Times New Roman"/>
          <w:kern w:val="0"/>
          <w:sz w:val="28"/>
          <w:szCs w:val="28"/>
          <w:lang w:val="en-US" w:eastAsia="zh-CN"/>
        </w:rPr>
        <w:t>计划</w:t>
      </w:r>
      <w:r>
        <w:rPr>
          <w:rFonts w:hint="eastAsia" w:ascii="宋体" w:hAnsi="宋体" w:eastAsia="宋体" w:cs="Times New Roman"/>
          <w:kern w:val="0"/>
          <w:sz w:val="28"/>
          <w:szCs w:val="28"/>
        </w:rPr>
        <w:t>于202</w:t>
      </w:r>
      <w:r>
        <w:rPr>
          <w:rFonts w:hint="eastAsia" w:ascii="宋体" w:hAnsi="宋体" w:eastAsia="宋体" w:cs="Times New Roman"/>
          <w:kern w:val="0"/>
          <w:sz w:val="28"/>
          <w:szCs w:val="28"/>
          <w:lang w:val="en-US" w:eastAsia="zh-CN"/>
        </w:rPr>
        <w:t>6</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1</w:t>
      </w:r>
      <w:r>
        <w:rPr>
          <w:rFonts w:hint="eastAsia" w:ascii="宋体" w:hAnsi="宋体" w:eastAsia="宋体" w:cs="Times New Roman"/>
          <w:kern w:val="0"/>
          <w:sz w:val="28"/>
          <w:szCs w:val="28"/>
        </w:rPr>
        <w:t>月提交《</w:t>
      </w:r>
      <w:r>
        <w:rPr>
          <w:rFonts w:hint="eastAsia" w:ascii="宋体" w:hAnsi="宋体" w:eastAsia="宋体" w:cs="Times New Roman"/>
          <w:kern w:val="0"/>
          <w:sz w:val="28"/>
          <w:szCs w:val="28"/>
          <w:lang w:eastAsia="zh-CN"/>
        </w:rPr>
        <w:t>纳米二氧化铈抛光液缓冲能力测试方法</w:t>
      </w:r>
      <w:r>
        <w:rPr>
          <w:rFonts w:hint="eastAsia" w:ascii="宋体" w:hAnsi="宋体" w:eastAsia="宋体" w:cs="Times New Roman"/>
          <w:kern w:val="0"/>
          <w:sz w:val="28"/>
          <w:szCs w:val="28"/>
        </w:rPr>
        <w:t>》标准征求意见稿及征求意见稿编制说明，拟定于202</w:t>
      </w:r>
      <w:r>
        <w:rPr>
          <w:rFonts w:hint="eastAsia" w:ascii="宋体" w:hAnsi="宋体" w:eastAsia="宋体" w:cs="Times New Roman"/>
          <w:kern w:val="0"/>
          <w:sz w:val="28"/>
          <w:szCs w:val="28"/>
          <w:lang w:val="en-US" w:eastAsia="zh-CN"/>
        </w:rPr>
        <w:t>6</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2</w:t>
      </w:r>
      <w:r>
        <w:rPr>
          <w:rFonts w:hint="eastAsia" w:ascii="宋体" w:hAnsi="宋体" w:eastAsia="宋体" w:cs="Times New Roman"/>
          <w:kern w:val="0"/>
          <w:sz w:val="28"/>
          <w:szCs w:val="28"/>
        </w:rPr>
        <w:t>月网上公示征求意见稿，广泛征求各方意见和建议。</w:t>
      </w:r>
    </w:p>
    <w:p w14:paraId="580725F6">
      <w:pPr>
        <w:spacing w:line="540" w:lineRule="exact"/>
        <w:jc w:val="left"/>
        <w:rPr>
          <w:rFonts w:hint="eastAsia"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3、专家审核阶段</w:t>
      </w:r>
    </w:p>
    <w:p w14:paraId="7019B4D5">
      <w:pPr>
        <w:spacing w:line="540" w:lineRule="exact"/>
        <w:ind w:firstLine="560" w:firstLineChars="200"/>
        <w:jc w:val="left"/>
        <w:rPr>
          <w:rFonts w:hint="eastAsia" w:ascii="宋体" w:hAnsi="宋体" w:eastAsia="宋体" w:cs="Times New Roman"/>
          <w:kern w:val="0"/>
          <w:sz w:val="28"/>
          <w:szCs w:val="28"/>
        </w:rPr>
      </w:pPr>
      <w:r>
        <w:rPr>
          <w:rFonts w:hint="eastAsia" w:ascii="宋体" w:hAnsi="宋体" w:eastAsia="宋体" w:cs="Times New Roman"/>
          <w:kern w:val="0"/>
          <w:sz w:val="28"/>
          <w:szCs w:val="28"/>
        </w:rPr>
        <w:t>拟定于202</w:t>
      </w:r>
      <w:r>
        <w:rPr>
          <w:rFonts w:hint="eastAsia" w:ascii="宋体" w:hAnsi="宋体" w:eastAsia="宋体" w:cs="Times New Roman"/>
          <w:kern w:val="0"/>
          <w:sz w:val="28"/>
          <w:szCs w:val="28"/>
          <w:lang w:val="en-US" w:eastAsia="zh-CN"/>
        </w:rPr>
        <w:t>6</w:t>
      </w:r>
      <w:r>
        <w:rPr>
          <w:rFonts w:hint="eastAsia" w:ascii="宋体" w:hAnsi="宋体" w:eastAsia="宋体" w:cs="Times New Roman"/>
          <w:kern w:val="0"/>
          <w:sz w:val="28"/>
          <w:szCs w:val="28"/>
        </w:rPr>
        <w:t>年</w:t>
      </w:r>
      <w:r>
        <w:rPr>
          <w:rFonts w:hint="eastAsia" w:ascii="宋体" w:hAnsi="宋体" w:eastAsia="宋体" w:cs="Times New Roman"/>
          <w:kern w:val="0"/>
          <w:sz w:val="28"/>
          <w:szCs w:val="28"/>
          <w:lang w:val="en-US" w:eastAsia="zh-CN"/>
        </w:rPr>
        <w:t>03</w:t>
      </w:r>
      <w:r>
        <w:rPr>
          <w:rFonts w:hint="eastAsia" w:ascii="宋体" w:hAnsi="宋体" w:eastAsia="宋体" w:cs="Times New Roman"/>
          <w:kern w:val="0"/>
          <w:sz w:val="28"/>
          <w:szCs w:val="28"/>
        </w:rPr>
        <w:t>月召集专家审核标准，汇总专家审核意见之后，修改标准并发布。</w:t>
      </w:r>
    </w:p>
    <w:p w14:paraId="3E47BB1C">
      <w:pPr>
        <w:keepNext w:val="0"/>
        <w:keepLines w:val="0"/>
        <w:pageBreakBefore w:val="0"/>
        <w:widowControl w:val="0"/>
        <w:numPr>
          <w:ilvl w:val="0"/>
          <w:numId w:val="1"/>
        </w:numPr>
        <w:kinsoku/>
        <w:wordWrap/>
        <w:overflowPunct/>
        <w:topLinePunct w:val="0"/>
        <w:autoSpaceDE/>
        <w:autoSpaceDN/>
        <w:bidi w:val="0"/>
        <w:adjustRightInd/>
        <w:snapToGrid/>
        <w:spacing w:before="150" w:beforeLines="50" w:after="150" w:afterLines="50" w:line="360" w:lineRule="auto"/>
        <w:ind w:left="0" w:leftChars="0" w:firstLine="0" w:firstLineChars="0"/>
        <w:jc w:val="left"/>
        <w:textAlignment w:val="auto"/>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502B4C8A">
      <w:pPr>
        <w:numPr>
          <w:ilvl w:val="0"/>
          <w:numId w:val="0"/>
        </w:numPr>
        <w:spacing w:line="360" w:lineRule="auto"/>
        <w:ind w:leftChars="0"/>
        <w:jc w:val="left"/>
        <w:rPr>
          <w:rFonts w:hint="eastAsia" w:ascii="宋体" w:hAnsi="宋体" w:eastAsia="宋体"/>
          <w:sz w:val="28"/>
          <w:szCs w:val="28"/>
          <w:lang w:val="en-US" w:eastAsia="zh-CN"/>
        </w:rPr>
      </w:pPr>
      <w:r>
        <w:rPr>
          <w:rFonts w:hint="eastAsia" w:ascii="宋体" w:hAnsi="宋体" w:eastAsia="宋体"/>
          <w:sz w:val="28"/>
          <w:szCs w:val="28"/>
          <w:lang w:val="en-US" w:eastAsia="zh-CN"/>
        </w:rPr>
        <w:t xml:space="preserve">    本文件由</w:t>
      </w:r>
      <w:r>
        <w:rPr>
          <w:rFonts w:hint="eastAsia" w:ascii="宋体" w:hAnsi="宋体" w:eastAsia="宋体" w:cstheme="minorBidi"/>
          <w:kern w:val="2"/>
          <w:sz w:val="28"/>
          <w:szCs w:val="28"/>
          <w:lang w:val="en-US" w:eastAsia="zh-CN" w:bidi="ar-SA"/>
        </w:rPr>
        <w:t>内蒙古科技大学等</w:t>
      </w:r>
      <w:r>
        <w:rPr>
          <w:rFonts w:hint="eastAsia" w:ascii="宋体" w:hAnsi="宋体" w:eastAsia="宋体" w:cs="Times New Roman"/>
          <w:kern w:val="0"/>
          <w:sz w:val="28"/>
          <w:szCs w:val="28"/>
          <w:lang w:val="en-US" w:eastAsia="zh-CN"/>
        </w:rPr>
        <w:t>单位</w:t>
      </w:r>
      <w:r>
        <w:rPr>
          <w:rFonts w:hint="eastAsia" w:ascii="宋体" w:hAnsi="宋体" w:eastAsia="宋体"/>
          <w:sz w:val="28"/>
          <w:szCs w:val="28"/>
          <w:lang w:val="en-US" w:eastAsia="zh-CN"/>
        </w:rPr>
        <w:t>负责起草。</w:t>
      </w:r>
    </w:p>
    <w:p w14:paraId="313450C4">
      <w:pPr>
        <w:numPr>
          <w:ilvl w:val="0"/>
          <w:numId w:val="0"/>
        </w:numPr>
        <w:spacing w:line="360" w:lineRule="auto"/>
        <w:ind w:leftChars="0" w:firstLine="560" w:firstLineChars="200"/>
        <w:jc w:val="left"/>
        <w:rPr>
          <w:rFonts w:hint="default" w:ascii="宋体" w:hAnsi="宋体" w:eastAsia="宋体"/>
          <w:sz w:val="28"/>
          <w:szCs w:val="28"/>
          <w:lang w:val="en-US" w:eastAsia="zh-CN"/>
        </w:rPr>
      </w:pPr>
      <w:r>
        <w:rPr>
          <w:rFonts w:hint="eastAsia" w:ascii="宋体" w:hAnsi="宋体" w:eastAsia="宋体"/>
          <w:sz w:val="28"/>
          <w:szCs w:val="28"/>
          <w:lang w:val="en-US" w:eastAsia="zh-CN"/>
        </w:rPr>
        <w:t>所做的工作：标准工作的总体策划、组织；立项及协调工作组工作；标准文本及编制说明的起草和编写；协助标准文本及编制说明的编写；对国内外相关标准的调研和搜集；对</w:t>
      </w:r>
      <w:r>
        <w:rPr>
          <w:rFonts w:hint="eastAsia" w:ascii="宋体" w:hAnsi="宋体" w:eastAsia="宋体" w:cs="Times New Roman"/>
          <w:kern w:val="0"/>
          <w:sz w:val="28"/>
          <w:szCs w:val="28"/>
          <w:lang w:eastAsia="zh-CN"/>
        </w:rPr>
        <w:t>纳米二氧化铈抛光液缓冲能力测试方法</w:t>
      </w:r>
      <w:r>
        <w:rPr>
          <w:rFonts w:hint="eastAsia" w:ascii="宋体" w:hAnsi="宋体" w:eastAsia="宋体"/>
          <w:sz w:val="28"/>
          <w:szCs w:val="28"/>
          <w:lang w:val="en-US" w:eastAsia="zh-CN"/>
        </w:rPr>
        <w:t>的测试及验证等。</w:t>
      </w:r>
    </w:p>
    <w:p w14:paraId="5B72956B">
      <w:pPr>
        <w:numPr>
          <w:ilvl w:val="0"/>
          <w:numId w:val="2"/>
        </w:numPr>
        <w:spacing w:line="360" w:lineRule="auto"/>
        <w:jc w:val="left"/>
        <w:rPr>
          <w:rFonts w:hint="eastAsia" w:ascii="宋体" w:hAnsi="宋体" w:eastAsia="宋体"/>
          <w:b/>
          <w:bCs/>
          <w:sz w:val="28"/>
          <w:szCs w:val="28"/>
        </w:rPr>
      </w:pPr>
      <w:r>
        <w:rPr>
          <w:rFonts w:hint="eastAsia" w:ascii="宋体" w:hAnsi="宋体" w:eastAsia="宋体"/>
          <w:b/>
          <w:bCs/>
          <w:sz w:val="28"/>
          <w:szCs w:val="28"/>
        </w:rPr>
        <w:t>标准编制原则和主要内容</w:t>
      </w:r>
    </w:p>
    <w:p w14:paraId="2131F79E">
      <w:pPr>
        <w:numPr>
          <w:ilvl w:val="0"/>
          <w:numId w:val="3"/>
        </w:numPr>
        <w:spacing w:line="360" w:lineRule="auto"/>
        <w:jc w:val="left"/>
        <w:rPr>
          <w:rFonts w:ascii="宋体" w:hAnsi="宋体" w:eastAsia="宋体"/>
          <w:b/>
          <w:bCs/>
          <w:sz w:val="28"/>
          <w:szCs w:val="28"/>
        </w:rPr>
      </w:pPr>
      <w:r>
        <w:rPr>
          <w:rFonts w:ascii="宋体" w:hAnsi="宋体" w:eastAsia="宋体"/>
          <w:b/>
          <w:bCs/>
          <w:sz w:val="28"/>
          <w:szCs w:val="28"/>
        </w:rPr>
        <w:t>标准制定原则</w:t>
      </w:r>
    </w:p>
    <w:p w14:paraId="78A0F2D6">
      <w:pPr>
        <w:numPr>
          <w:ilvl w:val="0"/>
          <w:numId w:val="0"/>
        </w:numPr>
        <w:spacing w:line="360" w:lineRule="auto"/>
        <w:ind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本文件的制定符合产业发展和市场需要原则，本着先进性、科学性、合理性、可操作性、适用性、一致性和规范性原则来进行本文件的制定。</w:t>
      </w:r>
    </w:p>
    <w:p w14:paraId="0CD25A7C">
      <w:pPr>
        <w:numPr>
          <w:ilvl w:val="0"/>
          <w:numId w:val="0"/>
        </w:numPr>
        <w:spacing w:line="360" w:lineRule="auto"/>
        <w:jc w:val="left"/>
        <w:rPr>
          <w:rFonts w:hint="eastAsia" w:ascii="宋体" w:hAnsi="宋体" w:eastAsia="宋体"/>
          <w:b w:val="0"/>
          <w:bCs w:val="0"/>
          <w:sz w:val="28"/>
          <w:szCs w:val="28"/>
        </w:rPr>
      </w:pPr>
      <w:r>
        <w:rPr>
          <w:rFonts w:hint="eastAsia" w:ascii="宋体" w:hAnsi="宋体" w:eastAsia="宋体"/>
          <w:b w:val="0"/>
          <w:bCs w:val="0"/>
          <w:sz w:val="28"/>
          <w:szCs w:val="28"/>
        </w:rPr>
        <w:t>本文件起草过程中，主要按照GB/T 1.1-2020《标准化工作导则第1部分：标准化文件的结构和起草规则》进行编写。</w:t>
      </w:r>
    </w:p>
    <w:p w14:paraId="5C3F0E66">
      <w:pPr>
        <w:numPr>
          <w:ilvl w:val="0"/>
          <w:numId w:val="3"/>
        </w:numPr>
        <w:spacing w:line="360" w:lineRule="auto"/>
        <w:ind w:left="0" w:leftChars="0" w:firstLine="0" w:firstLineChars="0"/>
        <w:jc w:val="left"/>
        <w:rPr>
          <w:rFonts w:ascii="宋体" w:hAnsi="宋体" w:eastAsia="宋体"/>
          <w:sz w:val="28"/>
          <w:szCs w:val="28"/>
        </w:rPr>
      </w:pPr>
      <w:r>
        <w:rPr>
          <w:rFonts w:ascii="宋体" w:hAnsi="宋体" w:eastAsia="宋体"/>
          <w:b/>
          <w:bCs/>
          <w:sz w:val="28"/>
          <w:szCs w:val="28"/>
        </w:rPr>
        <w:t xml:space="preserve">标准主要技术内容 </w:t>
      </w:r>
      <w:r>
        <w:rPr>
          <w:rFonts w:ascii="宋体" w:hAnsi="宋体" w:eastAsia="宋体"/>
          <w:sz w:val="28"/>
          <w:szCs w:val="28"/>
        </w:rPr>
        <w:t xml:space="preserve"> </w:t>
      </w:r>
    </w:p>
    <w:p w14:paraId="10479860">
      <w:pPr>
        <w:numPr>
          <w:ilvl w:val="0"/>
          <w:numId w:val="0"/>
        </w:numPr>
        <w:spacing w:line="360" w:lineRule="auto"/>
        <w:ind w:leftChars="0"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本标准规定了</w:t>
      </w:r>
      <w:r>
        <w:rPr>
          <w:rFonts w:hint="eastAsia" w:ascii="宋体" w:hAnsi="宋体" w:eastAsia="宋体" w:cstheme="minorBidi"/>
          <w:kern w:val="2"/>
          <w:sz w:val="28"/>
          <w:szCs w:val="28"/>
          <w:lang w:val="en-US" w:eastAsia="zh-CN" w:bidi="ar-SA"/>
        </w:rPr>
        <w:t>规定纳米二氧化铈抛光液缓冲能力测试的相关要求，适用于以纳米二氧化铈为主要磨料的各类水相体系抛光液</w:t>
      </w:r>
      <w:r>
        <w:rPr>
          <w:rFonts w:hint="eastAsia" w:ascii="宋体" w:hAnsi="宋体" w:eastAsia="宋体"/>
          <w:sz w:val="28"/>
          <w:szCs w:val="28"/>
        </w:rPr>
        <w:t>。</w:t>
      </w:r>
      <w:r>
        <w:rPr>
          <w:rFonts w:hint="eastAsia" w:ascii="宋体" w:hAnsi="宋体" w:eastAsia="宋体"/>
          <w:sz w:val="28"/>
          <w:szCs w:val="28"/>
          <w:lang w:val="en-US" w:eastAsia="zh-CN"/>
        </w:rPr>
        <w:t>主要技术内容：</w:t>
      </w:r>
    </w:p>
    <w:p w14:paraId="103B7D7C">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测试原理：通过向抛光液滴定强酸或强碱标准溶液，监测 pH 值变化并记录相关数据，进而计算酸、碱缓冲能力以反映体系抗酸碱干扰能力。</w:t>
      </w:r>
    </w:p>
    <w:p w14:paraId="4BD53E1C">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试剂与仪器：明确测试所需试剂的规格、配制及标定要求，以及各类仪器的精度、性能等技术指标。</w:t>
      </w:r>
    </w:p>
    <w:p w14:paraId="0234E4FA">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样品制备：规定样品预处理（有沉淀分层需超声分散）和测试液制备（固含量超 20wt% 需稀释并二次超声）的操作流程。</w:t>
      </w:r>
    </w:p>
    <w:p w14:paraId="25B5767A">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测试步骤：详细说明仪器校准、初始 pH 值测量、酸 / 碱滴定、平行测试及仪器清洗的具体操作规范。</w:t>
      </w:r>
    </w:p>
    <w:p w14:paraId="26D644F8">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数据处理：给出酸、碱缓冲能力及相对标准偏差的计算公式，明确结果表示方式和数据有效性判断标准（RSD≤5%）。</w:t>
      </w:r>
    </w:p>
    <w:p w14:paraId="70D6954F">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精密度：规定同一实验室的重复性 RSD≤3%，不同实验室的再现性 RSD≤8%。</w:t>
      </w:r>
    </w:p>
    <w:p w14:paraId="4E9809BC">
      <w:pPr>
        <w:numPr>
          <w:ilvl w:val="0"/>
          <w:numId w:val="0"/>
        </w:numPr>
        <w:spacing w:line="360" w:lineRule="auto"/>
        <w:ind w:leftChars="0" w:firstLine="560" w:firstLineChars="200"/>
        <w:jc w:val="left"/>
        <w:rPr>
          <w:rFonts w:hint="eastAsia" w:ascii="宋体" w:hAnsi="宋体" w:eastAsia="宋体"/>
          <w:sz w:val="28"/>
          <w:szCs w:val="28"/>
        </w:rPr>
      </w:pPr>
      <w:r>
        <w:rPr>
          <w:rFonts w:hint="eastAsia" w:ascii="宋体" w:hAnsi="宋体" w:eastAsia="宋体"/>
          <w:sz w:val="28"/>
          <w:szCs w:val="28"/>
        </w:rPr>
        <w:t>注意事项：提出测试环境、滴加速度、电极维护、颗粒堆积避免等多项保障测试准确性的要求。</w:t>
      </w:r>
    </w:p>
    <w:p w14:paraId="52E808A1">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sz w:val="28"/>
          <w:szCs w:val="28"/>
        </w:rPr>
        <w:t>试验报告：列出报告需包含的报告编号、样品信息、测试条件等九项核心内容。</w:t>
      </w:r>
    </w:p>
    <w:p w14:paraId="33D94FB8">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7E964672">
      <w:pPr>
        <w:numPr>
          <w:ilvl w:val="0"/>
          <w:numId w:val="0"/>
        </w:numPr>
        <w:spacing w:line="360" w:lineRule="auto"/>
        <w:ind w:leftChars="0" w:firstLine="560" w:firstLineChars="200"/>
        <w:jc w:val="left"/>
        <w:rPr>
          <w:rFonts w:hint="eastAsia" w:ascii="宋体" w:hAnsi="宋体" w:eastAsia="宋体" w:cs="宋体"/>
          <w:kern w:val="0"/>
          <w:sz w:val="28"/>
          <w:szCs w:val="28"/>
          <w:lang w:eastAsia="zh-CN"/>
        </w:rPr>
      </w:pPr>
      <w:r>
        <w:rPr>
          <w:rFonts w:hint="eastAsia" w:ascii="宋体" w:hAnsi="宋体" w:eastAsia="宋体" w:cs="宋体"/>
          <w:kern w:val="0"/>
          <w:sz w:val="28"/>
          <w:szCs w:val="28"/>
        </w:rPr>
        <w:t>结合国内外的行业测试和企业内部管控项目进行试验验证</w:t>
      </w:r>
      <w:r>
        <w:rPr>
          <w:rFonts w:hint="eastAsia" w:ascii="宋体" w:hAnsi="宋体" w:eastAsia="宋体" w:cs="宋体"/>
          <w:kern w:val="0"/>
          <w:sz w:val="28"/>
          <w:szCs w:val="28"/>
          <w:lang w:eastAsia="zh-CN"/>
        </w:rPr>
        <w:t>。</w:t>
      </w:r>
    </w:p>
    <w:p w14:paraId="25E2ADE4">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007A77F7">
      <w:pPr>
        <w:numPr>
          <w:ilvl w:val="0"/>
          <w:numId w:val="0"/>
        </w:numPr>
        <w:spacing w:line="360" w:lineRule="auto"/>
        <w:ind w:leftChars="0" w:firstLine="560" w:firstLineChars="200"/>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无。</w:t>
      </w:r>
    </w:p>
    <w:p w14:paraId="00EE7CA9">
      <w:pPr>
        <w:numPr>
          <w:ilvl w:val="0"/>
          <w:numId w:val="3"/>
        </w:numPr>
        <w:spacing w:line="360" w:lineRule="auto"/>
        <w:ind w:left="0" w:leftChars="0" w:firstLine="0" w:firstLineChars="0"/>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C1251CD">
      <w:pPr>
        <w:numPr>
          <w:ilvl w:val="0"/>
          <w:numId w:val="0"/>
        </w:numPr>
        <w:spacing w:line="360" w:lineRule="auto"/>
        <w:ind w:leftChars="0" w:firstLine="560" w:firstLineChars="200"/>
        <w:jc w:val="left"/>
        <w:rPr>
          <w:rFonts w:ascii="宋体" w:hAnsi="宋体" w:eastAsia="宋体"/>
          <w:sz w:val="28"/>
          <w:szCs w:val="28"/>
        </w:rPr>
      </w:pPr>
      <w:r>
        <w:rPr>
          <w:rFonts w:hint="eastAsia" w:ascii="宋体" w:hAnsi="宋体" w:eastAsia="宋体"/>
          <w:sz w:val="28"/>
          <w:szCs w:val="28"/>
          <w:lang w:eastAsia="zh-CN"/>
        </w:rPr>
        <w:t>《纳米二氧化铈抛光液缓冲能力测试方法》</w:t>
      </w:r>
      <w:r>
        <w:rPr>
          <w:rFonts w:hint="eastAsia" w:ascii="宋体" w:hAnsi="宋体" w:eastAsia="宋体"/>
          <w:sz w:val="28"/>
          <w:szCs w:val="28"/>
        </w:rPr>
        <w:t>应满足市场及环境需求。对相关企业标准化管理水平的提升、科技成果认定、及今后类似</w:t>
      </w:r>
      <w:r>
        <w:rPr>
          <w:rFonts w:hint="eastAsia" w:ascii="宋体" w:hAnsi="宋体" w:eastAsia="宋体"/>
          <w:sz w:val="28"/>
          <w:szCs w:val="28"/>
          <w:lang w:val="en-US" w:eastAsia="zh-CN"/>
        </w:rPr>
        <w:t>技术</w:t>
      </w:r>
      <w:r>
        <w:rPr>
          <w:rFonts w:hint="eastAsia" w:ascii="宋体" w:hAnsi="宋体" w:eastAsia="宋体"/>
          <w:sz w:val="28"/>
          <w:szCs w:val="28"/>
        </w:rPr>
        <w:t>的</w:t>
      </w:r>
      <w:r>
        <w:rPr>
          <w:rFonts w:hint="eastAsia" w:ascii="宋体" w:hAnsi="宋体" w:eastAsia="宋体"/>
          <w:sz w:val="28"/>
          <w:szCs w:val="28"/>
          <w:lang w:val="en-US" w:eastAsia="zh-CN"/>
        </w:rPr>
        <w:t>标准化</w:t>
      </w:r>
      <w:r>
        <w:rPr>
          <w:rFonts w:hint="eastAsia" w:ascii="宋体" w:hAnsi="宋体" w:eastAsia="宋体"/>
          <w:sz w:val="28"/>
          <w:szCs w:val="28"/>
        </w:rPr>
        <w:t>具有重要</w:t>
      </w:r>
      <w:r>
        <w:rPr>
          <w:rFonts w:hint="eastAsia" w:ascii="宋体" w:hAnsi="宋体" w:eastAsia="宋体"/>
          <w:sz w:val="28"/>
          <w:szCs w:val="28"/>
          <w:lang w:val="en-US" w:eastAsia="zh-CN"/>
        </w:rPr>
        <w:t>意义。</w:t>
      </w:r>
    </w:p>
    <w:p w14:paraId="2E1C1EE4">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5426D359">
      <w:pPr>
        <w:numPr>
          <w:ilvl w:val="0"/>
          <w:numId w:val="0"/>
        </w:numPr>
        <w:spacing w:line="360" w:lineRule="auto"/>
        <w:ind w:leftChars="0" w:firstLine="560" w:firstLineChars="200"/>
        <w:jc w:val="left"/>
        <w:rPr>
          <w:rFonts w:hint="eastAsia" w:ascii="宋体" w:hAnsi="宋体" w:eastAsia="宋体"/>
          <w:b w:val="0"/>
          <w:bCs w:val="0"/>
          <w:sz w:val="28"/>
          <w:szCs w:val="28"/>
          <w:lang w:eastAsia="zh-CN"/>
        </w:rPr>
      </w:pPr>
      <w:r>
        <w:rPr>
          <w:rFonts w:hint="eastAsia" w:ascii="宋体" w:hAnsi="宋体" w:eastAsia="宋体"/>
          <w:b w:val="0"/>
          <w:bCs w:val="0"/>
          <w:sz w:val="28"/>
          <w:szCs w:val="28"/>
        </w:rPr>
        <w:t>符合现行相关法律、法规、规章及相关标准，与强制性标准协调一致</w:t>
      </w:r>
      <w:r>
        <w:rPr>
          <w:rFonts w:hint="eastAsia" w:ascii="宋体" w:hAnsi="宋体" w:eastAsia="宋体"/>
          <w:b w:val="0"/>
          <w:bCs w:val="0"/>
          <w:sz w:val="28"/>
          <w:szCs w:val="28"/>
          <w:lang w:eastAsia="zh-CN"/>
        </w:rPr>
        <w:t>。</w:t>
      </w:r>
    </w:p>
    <w:p w14:paraId="002691BD">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重大分歧意见的处理经过和依据</w:t>
      </w:r>
    </w:p>
    <w:p w14:paraId="7C97BACA">
      <w:pPr>
        <w:numPr>
          <w:ilvl w:val="0"/>
          <w:numId w:val="0"/>
        </w:numPr>
        <w:spacing w:line="360" w:lineRule="auto"/>
        <w:ind w:leftChars="0" w:firstLine="560" w:firstLineChars="200"/>
        <w:jc w:val="left"/>
        <w:rPr>
          <w:rFonts w:hint="eastAsia"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2D0008ED">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标准性质的建议说明</w:t>
      </w:r>
    </w:p>
    <w:p w14:paraId="4FF95BF2">
      <w:pPr>
        <w:numPr>
          <w:ilvl w:val="0"/>
          <w:numId w:val="0"/>
        </w:numPr>
        <w:spacing w:line="360" w:lineRule="auto"/>
        <w:ind w:leftChars="0" w:firstLine="560" w:firstLineChars="200"/>
        <w:jc w:val="left"/>
        <w:rPr>
          <w:rFonts w:hint="eastAsia" w:ascii="宋体" w:hAnsi="宋体" w:eastAsia="宋体"/>
          <w:b w:val="0"/>
          <w:bCs w:val="0"/>
          <w:sz w:val="28"/>
          <w:szCs w:val="28"/>
        </w:rPr>
      </w:pPr>
      <w:r>
        <w:rPr>
          <w:rFonts w:hint="eastAsia" w:ascii="宋体" w:hAnsi="宋体" w:eastAsia="宋体"/>
          <w:b w:val="0"/>
          <w:bCs w:val="0"/>
          <w:sz w:val="28"/>
          <w:szCs w:val="28"/>
        </w:rPr>
        <w:t>本标准为团体标准，供社会各界自愿使用。</w:t>
      </w:r>
    </w:p>
    <w:p w14:paraId="73DC576A">
      <w:pPr>
        <w:numPr>
          <w:ilvl w:val="0"/>
          <w:numId w:val="3"/>
        </w:numPr>
        <w:spacing w:line="360" w:lineRule="auto"/>
        <w:ind w:left="0" w:leftChars="0" w:firstLine="0" w:firstLineChars="0"/>
        <w:jc w:val="left"/>
        <w:rPr>
          <w:rFonts w:hint="eastAsia" w:ascii="宋体" w:hAnsi="宋体" w:eastAsia="宋体"/>
          <w:b/>
          <w:bCs/>
          <w:sz w:val="28"/>
          <w:szCs w:val="28"/>
          <w:lang w:eastAsia="zh-CN"/>
        </w:rPr>
      </w:pPr>
      <w:r>
        <w:rPr>
          <w:rFonts w:hint="eastAsia" w:ascii="宋体" w:hAnsi="宋体" w:eastAsia="宋体"/>
          <w:b/>
          <w:bCs/>
          <w:sz w:val="28"/>
          <w:szCs w:val="28"/>
        </w:rPr>
        <w:t>贯彻标准的要求和措施建议</w:t>
      </w:r>
    </w:p>
    <w:p w14:paraId="21DE61A3">
      <w:pPr>
        <w:numPr>
          <w:ilvl w:val="0"/>
          <w:numId w:val="0"/>
        </w:numPr>
        <w:spacing w:line="360" w:lineRule="auto"/>
        <w:ind w:firstLine="560" w:firstLineChars="20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无。</w:t>
      </w:r>
    </w:p>
    <w:p w14:paraId="135D29E9">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废止现行相关标准的建议</w:t>
      </w:r>
    </w:p>
    <w:p w14:paraId="3E1AFB1A">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本标准为首次发布。</w:t>
      </w:r>
    </w:p>
    <w:p w14:paraId="40B9EE77">
      <w:pPr>
        <w:numPr>
          <w:ilvl w:val="0"/>
          <w:numId w:val="3"/>
        </w:numPr>
        <w:spacing w:line="360" w:lineRule="auto"/>
        <w:ind w:left="0" w:leftChars="0" w:firstLine="0" w:firstLineChars="0"/>
        <w:jc w:val="left"/>
        <w:rPr>
          <w:rFonts w:hint="eastAsia" w:ascii="宋体" w:hAnsi="宋体" w:eastAsia="宋体"/>
          <w:b/>
          <w:bCs/>
          <w:sz w:val="28"/>
          <w:szCs w:val="28"/>
        </w:rPr>
      </w:pPr>
      <w:r>
        <w:rPr>
          <w:rFonts w:hint="eastAsia" w:ascii="宋体" w:hAnsi="宋体" w:eastAsia="宋体"/>
          <w:b/>
          <w:bCs/>
          <w:sz w:val="28"/>
          <w:szCs w:val="28"/>
        </w:rPr>
        <w:t>其他应予说明的事项</w:t>
      </w:r>
    </w:p>
    <w:p w14:paraId="1081D117">
      <w:pPr>
        <w:numPr>
          <w:ilvl w:val="0"/>
          <w:numId w:val="0"/>
        </w:numPr>
        <w:spacing w:line="360" w:lineRule="auto"/>
        <w:ind w:leftChars="0"/>
        <w:jc w:val="left"/>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 xml:space="preserve">   无。</w:t>
      </w:r>
    </w:p>
    <w:p w14:paraId="6002D6EC">
      <w:pPr>
        <w:topLinePunct/>
        <w:spacing w:line="360" w:lineRule="auto"/>
        <w:ind w:firstLine="560" w:firstLineChars="200"/>
        <w:jc w:val="right"/>
        <w:rPr>
          <w:rFonts w:ascii="宋体" w:hAnsi="宋体" w:eastAsia="宋体"/>
          <w:sz w:val="28"/>
          <w:szCs w:val="28"/>
        </w:rPr>
      </w:pPr>
      <w:r>
        <w:rPr>
          <w:rFonts w:ascii="宋体" w:hAnsi="宋体" w:eastAsia="宋体"/>
          <w:sz w:val="28"/>
          <w:szCs w:val="28"/>
        </w:rPr>
        <w:t xml:space="preserve">  </w:t>
      </w:r>
    </w:p>
    <w:p w14:paraId="21419D99">
      <w:pPr>
        <w:topLinePunct/>
        <w:spacing w:line="360" w:lineRule="auto"/>
        <w:ind w:firstLine="2240" w:firstLineChars="800"/>
        <w:jc w:val="both"/>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sz w:val="28"/>
          <w:szCs w:val="28"/>
          <w:lang w:eastAsia="zh-CN"/>
        </w:rPr>
        <w:t>纳米二氧化铈抛光液缓冲能力测试方法</w:t>
      </w:r>
      <w:r>
        <w:rPr>
          <w:rFonts w:hint="eastAsia" w:ascii="宋体" w:hAnsi="宋体" w:eastAsia="宋体"/>
          <w:sz w:val="28"/>
          <w:szCs w:val="28"/>
        </w:rPr>
        <w:t>》</w:t>
      </w:r>
      <w:r>
        <w:rPr>
          <w:rFonts w:hint="eastAsia" w:ascii="宋体" w:hAnsi="宋体" w:eastAsia="宋体"/>
          <w:sz w:val="28"/>
          <w:szCs w:val="28"/>
          <w:lang w:val="en-US" w:eastAsia="zh-CN"/>
        </w:rPr>
        <w:t>起草组</w:t>
      </w:r>
    </w:p>
    <w:p w14:paraId="433B8395">
      <w:pPr>
        <w:topLinePunct/>
        <w:spacing w:line="360" w:lineRule="auto"/>
        <w:ind w:firstLine="560" w:firstLineChars="200"/>
        <w:jc w:val="right"/>
        <w:rPr>
          <w:rFonts w:ascii="宋体" w:hAnsi="宋体" w:eastAsia="宋体"/>
          <w:sz w:val="28"/>
          <w:szCs w:val="28"/>
        </w:rPr>
      </w:pPr>
      <w:r>
        <w:rPr>
          <w:rFonts w:hint="eastAsia" w:ascii="宋体" w:hAnsi="宋体" w:eastAsia="宋体"/>
          <w:sz w:val="28"/>
          <w:szCs w:val="28"/>
          <w:lang w:val="en-US" w:eastAsia="zh-CN"/>
        </w:rPr>
        <w:t>2026</w:t>
      </w:r>
      <w:r>
        <w:rPr>
          <w:rFonts w:ascii="宋体" w:hAnsi="宋体" w:eastAsia="宋体"/>
          <w:sz w:val="28"/>
          <w:szCs w:val="28"/>
        </w:rPr>
        <w:t>年</w:t>
      </w:r>
      <w:r>
        <w:rPr>
          <w:rFonts w:hint="eastAsia" w:ascii="宋体" w:hAnsi="宋体" w:eastAsia="宋体"/>
          <w:sz w:val="28"/>
          <w:szCs w:val="28"/>
          <w:lang w:val="en-US" w:eastAsia="zh-CN"/>
        </w:rPr>
        <w:t>01</w:t>
      </w:r>
      <w:r>
        <w:rPr>
          <w:rFonts w:ascii="宋体" w:hAnsi="宋体" w:eastAsia="宋体"/>
          <w:sz w:val="28"/>
          <w:szCs w:val="28"/>
        </w:rPr>
        <w:t>月</w:t>
      </w:r>
      <w:r>
        <w:rPr>
          <w:rFonts w:hint="eastAsia" w:ascii="宋体" w:hAnsi="宋体" w:eastAsia="宋体"/>
          <w:sz w:val="28"/>
          <w:szCs w:val="28"/>
          <w:lang w:val="en-US" w:eastAsia="zh-CN"/>
        </w:rPr>
        <w:t>20</w:t>
      </w:r>
      <w:bookmarkStart w:id="0" w:name="_GoBack"/>
      <w:bookmarkEnd w:id="0"/>
      <w:r>
        <w:rPr>
          <w:rFonts w:ascii="宋体" w:hAnsi="宋体" w:eastAsia="宋体"/>
          <w:sz w:val="28"/>
          <w:szCs w:val="28"/>
        </w:rPr>
        <w:t>日</w:t>
      </w: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8F5A2"/>
    <w:multiLevelType w:val="singleLevel"/>
    <w:tmpl w:val="9B18F5A2"/>
    <w:lvl w:ilvl="0" w:tentative="0">
      <w:start w:val="2"/>
      <w:numFmt w:val="chineseCounting"/>
      <w:suff w:val="space"/>
      <w:lvlText w:val="%1、"/>
      <w:lvlJc w:val="left"/>
      <w:rPr>
        <w:rFonts w:hint="eastAsia"/>
      </w:rPr>
    </w:lvl>
  </w:abstractNum>
  <w:abstractNum w:abstractNumId="1">
    <w:nsid w:val="A7303B05"/>
    <w:multiLevelType w:val="singleLevel"/>
    <w:tmpl w:val="A7303B05"/>
    <w:lvl w:ilvl="0" w:tentative="0">
      <w:start w:val="2"/>
      <w:numFmt w:val="chineseCounting"/>
      <w:suff w:val="nothing"/>
      <w:lvlText w:val="（%1）"/>
      <w:lvlJc w:val="left"/>
      <w:rPr>
        <w:rFonts w:hint="eastAsia"/>
      </w:rPr>
    </w:lvl>
  </w:abstractNum>
  <w:abstractNum w:abstractNumId="2">
    <w:nsid w:val="514D817E"/>
    <w:multiLevelType w:val="singleLevel"/>
    <w:tmpl w:val="514D817E"/>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29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TI4NTUzOGQ3OTcwYjk3NjAwNWUwMDUyZjBiMGIifQ=="/>
  </w:docVars>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C7B43"/>
    <w:rsid w:val="00612447"/>
    <w:rsid w:val="006379F1"/>
    <w:rsid w:val="00647F5C"/>
    <w:rsid w:val="006770FA"/>
    <w:rsid w:val="006771DA"/>
    <w:rsid w:val="0068107B"/>
    <w:rsid w:val="00683BC8"/>
    <w:rsid w:val="00693278"/>
    <w:rsid w:val="00696DC6"/>
    <w:rsid w:val="006A2989"/>
    <w:rsid w:val="006A7619"/>
    <w:rsid w:val="007236F7"/>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5EF3"/>
    <w:rsid w:val="008639DD"/>
    <w:rsid w:val="00873DB6"/>
    <w:rsid w:val="00895E54"/>
    <w:rsid w:val="008F2746"/>
    <w:rsid w:val="00901136"/>
    <w:rsid w:val="00905D53"/>
    <w:rsid w:val="00921AEC"/>
    <w:rsid w:val="00925E06"/>
    <w:rsid w:val="009349E7"/>
    <w:rsid w:val="009468CF"/>
    <w:rsid w:val="00954D9A"/>
    <w:rsid w:val="009603D3"/>
    <w:rsid w:val="00975BD6"/>
    <w:rsid w:val="009D3675"/>
    <w:rsid w:val="009D498C"/>
    <w:rsid w:val="009D796E"/>
    <w:rsid w:val="00A32DBC"/>
    <w:rsid w:val="00A3749C"/>
    <w:rsid w:val="00A76277"/>
    <w:rsid w:val="00A824EF"/>
    <w:rsid w:val="00A869F3"/>
    <w:rsid w:val="00A86B89"/>
    <w:rsid w:val="00B36263"/>
    <w:rsid w:val="00B379B8"/>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2A88"/>
    <w:rsid w:val="00E50746"/>
    <w:rsid w:val="00E650FA"/>
    <w:rsid w:val="00EA1735"/>
    <w:rsid w:val="00EC3FE9"/>
    <w:rsid w:val="00ED4E5B"/>
    <w:rsid w:val="00F30933"/>
    <w:rsid w:val="00F7230A"/>
    <w:rsid w:val="00F724A6"/>
    <w:rsid w:val="00F829FC"/>
    <w:rsid w:val="00F92024"/>
    <w:rsid w:val="00FA1182"/>
    <w:rsid w:val="00FC34D9"/>
    <w:rsid w:val="00FE27EF"/>
    <w:rsid w:val="00FF28A7"/>
    <w:rsid w:val="0DEA024B"/>
    <w:rsid w:val="60BD6997"/>
    <w:rsid w:val="6B582350"/>
    <w:rsid w:val="6D504B38"/>
    <w:rsid w:val="7D7864E4"/>
    <w:rsid w:val="7F013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日期 字符"/>
    <w:basedOn w:val="7"/>
    <w:link w:val="2"/>
    <w:semiHidden/>
    <w:qFormat/>
    <w:uiPriority w:val="99"/>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5"/>
    <w:qFormat/>
    <w:uiPriority w:val="99"/>
    <w:rPr>
      <w:sz w:val="18"/>
      <w:szCs w:val="18"/>
    </w:rPr>
  </w:style>
  <w:style w:type="character" w:customStyle="1" w:styleId="12">
    <w:name w:val="页脚 字符"/>
    <w:basedOn w:val="7"/>
    <w:link w:val="4"/>
    <w:qFormat/>
    <w:uiPriority w:val="99"/>
    <w:rPr>
      <w:sz w:val="18"/>
      <w:szCs w:val="18"/>
    </w:rPr>
  </w:style>
  <w:style w:type="character" w:customStyle="1" w:styleId="13">
    <w:name w:val="批注框文本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6</Pages>
  <Words>3135</Words>
  <Characters>3326</Characters>
  <Lines>2</Lines>
  <Paragraphs>1</Paragraphs>
  <TotalTime>1</TotalTime>
  <ScaleCrop>false</ScaleCrop>
  <LinksUpToDate>false</LinksUpToDate>
  <CharactersWithSpaces>3405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2022-04-21T01:39:00Z</dcterms:created>
  <dc:creator>高 福云</dc:creator>
  <cp:lastModifiedBy>YU</cp:lastModifiedBy>
  <cp:lastPrinted>2022-05-11T05:51:00Z</cp:lastPrinted>
  <dcterms:modified xsi:type="dcterms:W3CDTF">2026-01-29T01:50:45Z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E74AD880ED1E481D969A33F3DE7C53B9_12</vt:lpwstr>
  </property>
  <property fmtid="{D5CDD505-2E9C-101B-9397-08002B2CF9AE}" pid="4" name="KSOTemplateDocerSaveRecord">
    <vt:lpwstr>eyJoZGlkIjoiNjY0YTI4NTUzOGQ3OTcwYjk3NjAwNWUwMDUyZjBiMGIiLCJ1c2VySWQiOiI0NTc4MTAxNTMifQ==</vt:lpwstr>
  </property>
</Properties>
</file>