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B22BD">
        <w:tc>
          <w:tcPr>
            <w:tcW w:w="509" w:type="dxa"/>
          </w:tcPr>
          <w:p w:rsidR="002B22BD" w:rsidRDefault="004B72B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B22BD" w:rsidRDefault="004B72B4">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29.020</w:t>
            </w:r>
            <w:r>
              <w:rPr>
                <w:rFonts w:ascii="黑体" w:eastAsia="黑体" w:hAnsi="黑体"/>
                <w:sz w:val="21"/>
                <w:szCs w:val="21"/>
              </w:rPr>
              <w:fldChar w:fldCharType="end"/>
            </w:r>
            <w:bookmarkEnd w:id="0"/>
          </w:p>
        </w:tc>
      </w:tr>
      <w:tr w:rsidR="002B22BD">
        <w:tc>
          <w:tcPr>
            <w:tcW w:w="509" w:type="dxa"/>
          </w:tcPr>
          <w:p w:rsidR="002B22BD" w:rsidRDefault="004B72B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2B22BD" w:rsidRDefault="004B72B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T 47</w:t>
            </w:r>
            <w:r>
              <w:rPr>
                <w:rFonts w:ascii="黑体" w:eastAsia="黑体" w:hAnsi="黑体"/>
                <w:sz w:val="21"/>
                <w:szCs w:val="21"/>
              </w:rPr>
              <w:fldChar w:fldCharType="end"/>
            </w:r>
            <w:bookmarkEnd w:id="1"/>
          </w:p>
        </w:tc>
      </w:tr>
    </w:tbl>
    <w:p w:rsidR="002B22BD" w:rsidRDefault="004B72B4">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2B22BD" w:rsidRDefault="004B72B4">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2B22BD" w:rsidRDefault="004B72B4">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2B22BD" w:rsidRDefault="004B72B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2B22BD" w:rsidRDefault="002B22BD">
      <w:pPr>
        <w:pStyle w:val="affff9"/>
        <w:framePr w:w="9639" w:h="6976" w:hRule="exact" w:hSpace="0" w:vSpace="0" w:wrap="around" w:hAnchor="page" w:y="6408"/>
        <w:jc w:val="center"/>
        <w:rPr>
          <w:rFonts w:ascii="黑体" w:eastAsia="黑体" w:hAnsi="黑体"/>
          <w:b w:val="0"/>
          <w:bCs w:val="0"/>
          <w:w w:val="100"/>
        </w:rPr>
      </w:pPr>
    </w:p>
    <w:p w:rsidR="002B22BD" w:rsidRDefault="004B72B4">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电动汽车用储能移动充电装备</w:t>
      </w:r>
      <w:r>
        <w:fldChar w:fldCharType="end"/>
      </w:r>
      <w:bookmarkEnd w:id="7"/>
    </w:p>
    <w:p w:rsidR="002B22BD" w:rsidRDefault="002B22BD">
      <w:pPr>
        <w:framePr w:w="9639" w:h="6974" w:hRule="exact" w:wrap="around" w:vAnchor="page" w:hAnchor="page" w:x="1419" w:y="6408" w:anchorLock="1"/>
        <w:ind w:left="-1418"/>
      </w:pPr>
    </w:p>
    <w:p w:rsidR="002B22BD" w:rsidRDefault="004B72B4">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Energy storage mobile charging equipment for electric vehicles</w:t>
      </w:r>
      <w:r>
        <w:rPr>
          <w:rFonts w:eastAsia="黑体"/>
          <w:szCs w:val="28"/>
        </w:rPr>
        <w:fldChar w:fldCharType="end"/>
      </w:r>
      <w:bookmarkEnd w:id="8"/>
    </w:p>
    <w:p w:rsidR="002B22BD" w:rsidRDefault="002B22BD">
      <w:pPr>
        <w:pStyle w:val="afffffff1"/>
        <w:framePr w:w="9639" w:h="6974" w:hRule="exact" w:wrap="around" w:vAnchor="page" w:hAnchor="page" w:x="1419" w:y="6408" w:anchorLock="1"/>
        <w:textAlignment w:val="bottom"/>
        <w:rPr>
          <w:rFonts w:eastAsia="黑体"/>
          <w:szCs w:val="28"/>
        </w:rPr>
      </w:pPr>
    </w:p>
    <w:p w:rsidR="002B22BD" w:rsidRDefault="002B22BD">
      <w:pPr>
        <w:pStyle w:val="afffffff1"/>
        <w:framePr w:w="9639" w:h="6974" w:hRule="exact" w:wrap="around" w:vAnchor="page" w:hAnchor="page" w:x="1419" w:y="6408" w:anchorLock="1"/>
        <w:textAlignment w:val="bottom"/>
        <w:rPr>
          <w:rFonts w:eastAsia="黑体"/>
          <w:szCs w:val="28"/>
        </w:rPr>
      </w:pPr>
    </w:p>
    <w:p w:rsidR="002B22BD" w:rsidRDefault="002B22BD">
      <w:pPr>
        <w:pStyle w:val="afffffff1"/>
        <w:framePr w:w="9639" w:h="6974" w:hRule="exact" w:wrap="around" w:vAnchor="page" w:hAnchor="page" w:x="1419" w:y="6408" w:anchorLock="1"/>
        <w:textAlignment w:val="bottom"/>
        <w:rPr>
          <w:rFonts w:eastAsia="黑体"/>
          <w:szCs w:val="28"/>
        </w:rPr>
      </w:pPr>
    </w:p>
    <w:p w:rsidR="002B22BD" w:rsidRDefault="004A65FD">
      <w:pPr>
        <w:pStyle w:val="afffffff1"/>
        <w:framePr w:w="9639" w:h="6974" w:hRule="exact" w:wrap="around" w:vAnchor="page" w:hAnchor="page" w:x="1419" w:y="6408" w:anchorLock="1"/>
        <w:textAlignment w:val="bottom"/>
        <w:rPr>
          <w:rFonts w:ascii="宋体" w:hAnsi="宋体"/>
          <w:sz w:val="24"/>
          <w:szCs w:val="24"/>
        </w:rPr>
      </w:pPr>
      <w:r>
        <w:rPr>
          <w:rFonts w:ascii="宋体" w:hAnsi="宋体"/>
          <w:sz w:val="24"/>
          <w:szCs w:val="24"/>
        </w:rPr>
        <w:t>（征求意见稿</w:t>
      </w:r>
      <w:bookmarkStart w:id="9" w:name="_GoBack"/>
      <w:bookmarkEnd w:id="9"/>
      <w:r>
        <w:rPr>
          <w:rFonts w:ascii="宋体" w:hAnsi="宋体"/>
          <w:sz w:val="24"/>
          <w:szCs w:val="24"/>
        </w:rPr>
        <w:t>）</w:t>
      </w:r>
    </w:p>
    <w:p w:rsidR="002B22BD" w:rsidRDefault="002B22BD">
      <w:pPr>
        <w:framePr w:w="9639" w:h="6974" w:hRule="exact" w:wrap="around" w:vAnchor="page" w:hAnchor="page" w:x="1419" w:y="6408" w:anchorLock="1"/>
        <w:spacing w:line="760" w:lineRule="exact"/>
        <w:ind w:left="-1418"/>
      </w:pPr>
    </w:p>
    <w:p w:rsidR="002B22BD" w:rsidRDefault="004B72B4">
      <w:pPr>
        <w:pStyle w:val="afffffffff9"/>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2B22BD" w:rsidRDefault="004B72B4">
      <w:pPr>
        <w:pStyle w:val="afffffffffa"/>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2B22BD" w:rsidRDefault="004B72B4">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2B22BD" w:rsidRDefault="004B72B4">
      <w:pPr>
        <w:rPr>
          <w:rFonts w:ascii="宋体" w:hAnsi="宋体"/>
          <w:sz w:val="28"/>
          <w:szCs w:val="28"/>
        </w:rPr>
        <w:sectPr w:rsidR="002B22BD" w:rsidSect="00ED40E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ED40EA" w:rsidRDefault="00ED40EA" w:rsidP="00ED40EA">
      <w:pPr>
        <w:pStyle w:val="affffff3"/>
        <w:spacing w:after="360"/>
      </w:pPr>
      <w:bookmarkStart w:id="17" w:name="BookMark1"/>
      <w:bookmarkStart w:id="18" w:name="_Toc137628779"/>
      <w:bookmarkStart w:id="19" w:name="_Toc147912174"/>
      <w:bookmarkStart w:id="20" w:name="_Toc172966248"/>
      <w:bookmarkStart w:id="21" w:name="_Toc160092234"/>
      <w:bookmarkStart w:id="22" w:name="_Toc137288571"/>
      <w:bookmarkStart w:id="23" w:name="_Toc148629163"/>
      <w:bookmarkStart w:id="24" w:name="_Toc172966006"/>
      <w:bookmarkStart w:id="25" w:name="_Toc147136679"/>
      <w:bookmarkStart w:id="26" w:name="_Toc175906439"/>
      <w:bookmarkStart w:id="27" w:name="_Toc176436383"/>
      <w:bookmarkStart w:id="28" w:name="_Toc172966374"/>
      <w:bookmarkStart w:id="29" w:name="_Toc141272483"/>
      <w:bookmarkStart w:id="30" w:name="_Toc147912237"/>
      <w:bookmarkStart w:id="31" w:name="_Toc159252381"/>
      <w:r w:rsidRPr="00ED40EA">
        <w:rPr>
          <w:rFonts w:hint="eastAsia"/>
          <w:spacing w:val="320"/>
        </w:rPr>
        <w:lastRenderedPageBreak/>
        <w:t>目</w:t>
      </w:r>
      <w:r>
        <w:rPr>
          <w:rFonts w:hint="eastAsia"/>
        </w:rPr>
        <w:t>次</w:t>
      </w:r>
    </w:p>
    <w:p w:rsidR="00ED40EA" w:rsidRPr="00ED40EA" w:rsidRDefault="00ED40EA">
      <w:pPr>
        <w:pStyle w:val="10"/>
        <w:tabs>
          <w:tab w:val="right" w:leader="dot" w:pos="9344"/>
        </w:tabs>
        <w:rPr>
          <w:rFonts w:asciiTheme="minorHAnsi" w:eastAsiaTheme="minorEastAsia" w:hAnsiTheme="minorHAnsi" w:cstheme="minorBidi"/>
          <w:noProof/>
          <w:szCs w:val="22"/>
        </w:rPr>
      </w:pPr>
      <w:r w:rsidRPr="00ED40EA">
        <w:fldChar w:fldCharType="begin"/>
      </w:r>
      <w:r w:rsidRPr="00ED40EA">
        <w:instrText xml:space="preserve"> TOC \o "1-1" \h </w:instrText>
      </w:r>
      <w:r w:rsidRPr="00ED40EA">
        <w:fldChar w:fldCharType="separate"/>
      </w:r>
      <w:hyperlink w:anchor="_Toc217468497" w:history="1">
        <w:r w:rsidRPr="00ED40EA">
          <w:rPr>
            <w:rStyle w:val="affff5"/>
            <w:rFonts w:hint="eastAsia"/>
            <w:noProof/>
          </w:rPr>
          <w:t>前言</w:t>
        </w:r>
        <w:r w:rsidRPr="00ED40EA">
          <w:rPr>
            <w:noProof/>
          </w:rPr>
          <w:tab/>
        </w:r>
        <w:r w:rsidRPr="00ED40EA">
          <w:rPr>
            <w:noProof/>
          </w:rPr>
          <w:fldChar w:fldCharType="begin"/>
        </w:r>
        <w:r w:rsidRPr="00ED40EA">
          <w:rPr>
            <w:noProof/>
          </w:rPr>
          <w:instrText xml:space="preserve"> PAGEREF _Toc217468497 \h </w:instrText>
        </w:r>
        <w:r w:rsidRPr="00ED40EA">
          <w:rPr>
            <w:noProof/>
          </w:rPr>
        </w:r>
        <w:r w:rsidRPr="00ED40EA">
          <w:rPr>
            <w:noProof/>
          </w:rPr>
          <w:fldChar w:fldCharType="separate"/>
        </w:r>
        <w:r w:rsidR="000C0590">
          <w:rPr>
            <w:noProof/>
          </w:rPr>
          <w:t>II</w:t>
        </w:r>
        <w:r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498" w:history="1">
        <w:r w:rsidR="00ED40EA" w:rsidRPr="00ED40EA">
          <w:rPr>
            <w:rStyle w:val="affff5"/>
            <w:noProof/>
          </w:rPr>
          <w:t>1</w:t>
        </w:r>
        <w:r w:rsidR="00ED40EA">
          <w:rPr>
            <w:rStyle w:val="affff5"/>
            <w:noProof/>
          </w:rPr>
          <w:t xml:space="preserve"> </w:t>
        </w:r>
        <w:r w:rsidR="00ED40EA" w:rsidRPr="00ED40EA">
          <w:rPr>
            <w:rStyle w:val="affff5"/>
            <w:rFonts w:hint="eastAsia"/>
            <w:noProof/>
          </w:rPr>
          <w:t xml:space="preserve"> 范围</w:t>
        </w:r>
        <w:r w:rsidR="00ED40EA" w:rsidRPr="00ED40EA">
          <w:rPr>
            <w:noProof/>
          </w:rPr>
          <w:tab/>
        </w:r>
        <w:r w:rsidR="00ED40EA" w:rsidRPr="00ED40EA">
          <w:rPr>
            <w:noProof/>
          </w:rPr>
          <w:fldChar w:fldCharType="begin"/>
        </w:r>
        <w:r w:rsidR="00ED40EA" w:rsidRPr="00ED40EA">
          <w:rPr>
            <w:noProof/>
          </w:rPr>
          <w:instrText xml:space="preserve"> PAGEREF _Toc217468498 \h </w:instrText>
        </w:r>
        <w:r w:rsidR="00ED40EA" w:rsidRPr="00ED40EA">
          <w:rPr>
            <w:noProof/>
          </w:rPr>
        </w:r>
        <w:r w:rsidR="00ED40EA" w:rsidRPr="00ED40EA">
          <w:rPr>
            <w:noProof/>
          </w:rPr>
          <w:fldChar w:fldCharType="separate"/>
        </w:r>
        <w:r w:rsidR="000C0590">
          <w:rPr>
            <w:noProof/>
          </w:rPr>
          <w:t>1</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499" w:history="1">
        <w:r w:rsidR="00ED40EA" w:rsidRPr="00ED40EA">
          <w:rPr>
            <w:rStyle w:val="affff5"/>
            <w:noProof/>
          </w:rPr>
          <w:t>2</w:t>
        </w:r>
        <w:r w:rsidR="00ED40EA">
          <w:rPr>
            <w:rStyle w:val="affff5"/>
            <w:noProof/>
          </w:rPr>
          <w:t xml:space="preserve"> </w:t>
        </w:r>
        <w:r w:rsidR="00ED40EA" w:rsidRPr="00ED40EA">
          <w:rPr>
            <w:rStyle w:val="affff5"/>
            <w:rFonts w:hint="eastAsia"/>
            <w:noProof/>
          </w:rPr>
          <w:t xml:space="preserve"> 规范性引用文件</w:t>
        </w:r>
        <w:r w:rsidR="00ED40EA" w:rsidRPr="00ED40EA">
          <w:rPr>
            <w:noProof/>
          </w:rPr>
          <w:tab/>
        </w:r>
        <w:r w:rsidR="00ED40EA" w:rsidRPr="00ED40EA">
          <w:rPr>
            <w:noProof/>
          </w:rPr>
          <w:fldChar w:fldCharType="begin"/>
        </w:r>
        <w:r w:rsidR="00ED40EA" w:rsidRPr="00ED40EA">
          <w:rPr>
            <w:noProof/>
          </w:rPr>
          <w:instrText xml:space="preserve"> PAGEREF _Toc217468499 \h </w:instrText>
        </w:r>
        <w:r w:rsidR="00ED40EA" w:rsidRPr="00ED40EA">
          <w:rPr>
            <w:noProof/>
          </w:rPr>
        </w:r>
        <w:r w:rsidR="00ED40EA" w:rsidRPr="00ED40EA">
          <w:rPr>
            <w:noProof/>
          </w:rPr>
          <w:fldChar w:fldCharType="separate"/>
        </w:r>
        <w:r w:rsidR="000C0590">
          <w:rPr>
            <w:noProof/>
          </w:rPr>
          <w:t>1</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500" w:history="1">
        <w:r w:rsidR="00ED40EA" w:rsidRPr="00ED40EA">
          <w:rPr>
            <w:rStyle w:val="affff5"/>
            <w:noProof/>
          </w:rPr>
          <w:t>3</w:t>
        </w:r>
        <w:r w:rsidR="00ED40EA">
          <w:rPr>
            <w:rStyle w:val="affff5"/>
            <w:noProof/>
          </w:rPr>
          <w:t xml:space="preserve"> </w:t>
        </w:r>
        <w:r w:rsidR="00ED40EA" w:rsidRPr="00ED40EA">
          <w:rPr>
            <w:rStyle w:val="affff5"/>
            <w:rFonts w:hint="eastAsia"/>
            <w:noProof/>
          </w:rPr>
          <w:t xml:space="preserve"> 术语和定义</w:t>
        </w:r>
        <w:r w:rsidR="00ED40EA" w:rsidRPr="00ED40EA">
          <w:rPr>
            <w:noProof/>
          </w:rPr>
          <w:tab/>
        </w:r>
        <w:r w:rsidR="00ED40EA" w:rsidRPr="00ED40EA">
          <w:rPr>
            <w:noProof/>
          </w:rPr>
          <w:fldChar w:fldCharType="begin"/>
        </w:r>
        <w:r w:rsidR="00ED40EA" w:rsidRPr="00ED40EA">
          <w:rPr>
            <w:noProof/>
          </w:rPr>
          <w:instrText xml:space="preserve"> PAGEREF _Toc217468500 \h </w:instrText>
        </w:r>
        <w:r w:rsidR="00ED40EA" w:rsidRPr="00ED40EA">
          <w:rPr>
            <w:noProof/>
          </w:rPr>
        </w:r>
        <w:r w:rsidR="00ED40EA" w:rsidRPr="00ED40EA">
          <w:rPr>
            <w:noProof/>
          </w:rPr>
          <w:fldChar w:fldCharType="separate"/>
        </w:r>
        <w:r w:rsidR="000C0590">
          <w:rPr>
            <w:noProof/>
          </w:rPr>
          <w:t>1</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501" w:history="1">
        <w:r w:rsidR="00ED40EA" w:rsidRPr="00ED40EA">
          <w:rPr>
            <w:rStyle w:val="affff5"/>
            <w:noProof/>
          </w:rPr>
          <w:t>4</w:t>
        </w:r>
        <w:r w:rsidR="00ED40EA">
          <w:rPr>
            <w:rStyle w:val="affff5"/>
            <w:noProof/>
          </w:rPr>
          <w:t xml:space="preserve"> </w:t>
        </w:r>
        <w:r w:rsidR="00ED40EA" w:rsidRPr="00ED40EA">
          <w:rPr>
            <w:rStyle w:val="affff5"/>
            <w:rFonts w:hint="eastAsia"/>
            <w:noProof/>
          </w:rPr>
          <w:t xml:space="preserve"> 构成</w:t>
        </w:r>
        <w:r w:rsidR="00ED40EA">
          <w:rPr>
            <w:rStyle w:val="affff5"/>
            <w:rFonts w:hint="eastAsia"/>
            <w:noProof/>
          </w:rPr>
          <w:t>和性能</w:t>
        </w:r>
        <w:r w:rsidR="00ED40EA" w:rsidRPr="00ED40EA">
          <w:rPr>
            <w:noProof/>
          </w:rPr>
          <w:tab/>
        </w:r>
        <w:r w:rsidR="00ED40EA" w:rsidRPr="00ED40EA">
          <w:rPr>
            <w:noProof/>
          </w:rPr>
          <w:fldChar w:fldCharType="begin"/>
        </w:r>
        <w:r w:rsidR="00ED40EA" w:rsidRPr="00ED40EA">
          <w:rPr>
            <w:noProof/>
          </w:rPr>
          <w:instrText xml:space="preserve"> PAGEREF _Toc217468501 \h </w:instrText>
        </w:r>
        <w:r w:rsidR="00ED40EA" w:rsidRPr="00ED40EA">
          <w:rPr>
            <w:noProof/>
          </w:rPr>
        </w:r>
        <w:r w:rsidR="00ED40EA" w:rsidRPr="00ED40EA">
          <w:rPr>
            <w:noProof/>
          </w:rPr>
          <w:fldChar w:fldCharType="separate"/>
        </w:r>
        <w:r w:rsidR="000C0590">
          <w:rPr>
            <w:noProof/>
          </w:rPr>
          <w:t>1</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502" w:history="1">
        <w:r w:rsidR="00ED40EA" w:rsidRPr="00ED40EA">
          <w:rPr>
            <w:rStyle w:val="affff5"/>
            <w:noProof/>
          </w:rPr>
          <w:t>5</w:t>
        </w:r>
        <w:r w:rsidR="00ED40EA">
          <w:rPr>
            <w:rStyle w:val="affff5"/>
            <w:noProof/>
          </w:rPr>
          <w:t xml:space="preserve"> </w:t>
        </w:r>
        <w:r w:rsidR="00ED40EA" w:rsidRPr="00ED40EA">
          <w:rPr>
            <w:rStyle w:val="affff5"/>
            <w:rFonts w:hint="eastAsia"/>
            <w:noProof/>
          </w:rPr>
          <w:t xml:space="preserve"> 使用条件</w:t>
        </w:r>
        <w:r w:rsidR="00ED40EA" w:rsidRPr="00ED40EA">
          <w:rPr>
            <w:noProof/>
          </w:rPr>
          <w:tab/>
        </w:r>
        <w:r w:rsidR="00ED40EA" w:rsidRPr="00ED40EA">
          <w:rPr>
            <w:noProof/>
          </w:rPr>
          <w:fldChar w:fldCharType="begin"/>
        </w:r>
        <w:r w:rsidR="00ED40EA" w:rsidRPr="00ED40EA">
          <w:rPr>
            <w:noProof/>
          </w:rPr>
          <w:instrText xml:space="preserve"> PAGEREF _Toc217468502 \h </w:instrText>
        </w:r>
        <w:r w:rsidR="00ED40EA" w:rsidRPr="00ED40EA">
          <w:rPr>
            <w:noProof/>
          </w:rPr>
        </w:r>
        <w:r w:rsidR="00ED40EA" w:rsidRPr="00ED40EA">
          <w:rPr>
            <w:noProof/>
          </w:rPr>
          <w:fldChar w:fldCharType="separate"/>
        </w:r>
        <w:r w:rsidR="000C0590">
          <w:rPr>
            <w:noProof/>
          </w:rPr>
          <w:t>2</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503" w:history="1">
        <w:r w:rsidR="00ED40EA" w:rsidRPr="00ED40EA">
          <w:rPr>
            <w:rStyle w:val="affff5"/>
            <w:noProof/>
          </w:rPr>
          <w:t>6</w:t>
        </w:r>
        <w:r w:rsidR="00ED40EA">
          <w:rPr>
            <w:rStyle w:val="affff5"/>
            <w:noProof/>
          </w:rPr>
          <w:t xml:space="preserve"> </w:t>
        </w:r>
        <w:r w:rsidR="00ED40EA" w:rsidRPr="00ED40EA">
          <w:rPr>
            <w:rStyle w:val="affff5"/>
            <w:rFonts w:hint="eastAsia"/>
            <w:noProof/>
          </w:rPr>
          <w:t xml:space="preserve"> 技术要求</w:t>
        </w:r>
        <w:r w:rsidR="00ED40EA" w:rsidRPr="00ED40EA">
          <w:rPr>
            <w:noProof/>
          </w:rPr>
          <w:tab/>
        </w:r>
        <w:r w:rsidR="00ED40EA" w:rsidRPr="00ED40EA">
          <w:rPr>
            <w:noProof/>
          </w:rPr>
          <w:fldChar w:fldCharType="begin"/>
        </w:r>
        <w:r w:rsidR="00ED40EA" w:rsidRPr="00ED40EA">
          <w:rPr>
            <w:noProof/>
          </w:rPr>
          <w:instrText xml:space="preserve"> PAGEREF _Toc217468503 \h </w:instrText>
        </w:r>
        <w:r w:rsidR="00ED40EA" w:rsidRPr="00ED40EA">
          <w:rPr>
            <w:noProof/>
          </w:rPr>
        </w:r>
        <w:r w:rsidR="00ED40EA" w:rsidRPr="00ED40EA">
          <w:rPr>
            <w:noProof/>
          </w:rPr>
          <w:fldChar w:fldCharType="separate"/>
        </w:r>
        <w:r w:rsidR="000C0590">
          <w:rPr>
            <w:noProof/>
          </w:rPr>
          <w:t>2</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504" w:history="1">
        <w:r w:rsidR="00ED40EA" w:rsidRPr="00ED40EA">
          <w:rPr>
            <w:rStyle w:val="affff5"/>
            <w:noProof/>
          </w:rPr>
          <w:t>7</w:t>
        </w:r>
        <w:r w:rsidR="00ED40EA">
          <w:rPr>
            <w:rStyle w:val="affff5"/>
            <w:noProof/>
          </w:rPr>
          <w:t xml:space="preserve"> </w:t>
        </w:r>
        <w:r w:rsidR="00ED40EA" w:rsidRPr="00ED40EA">
          <w:rPr>
            <w:rStyle w:val="affff5"/>
            <w:rFonts w:hint="eastAsia"/>
            <w:noProof/>
          </w:rPr>
          <w:t xml:space="preserve"> 试验方法</w:t>
        </w:r>
        <w:r w:rsidR="00ED40EA" w:rsidRPr="00ED40EA">
          <w:rPr>
            <w:noProof/>
          </w:rPr>
          <w:tab/>
        </w:r>
        <w:r w:rsidR="00ED40EA" w:rsidRPr="00ED40EA">
          <w:rPr>
            <w:noProof/>
          </w:rPr>
          <w:fldChar w:fldCharType="begin"/>
        </w:r>
        <w:r w:rsidR="00ED40EA" w:rsidRPr="00ED40EA">
          <w:rPr>
            <w:noProof/>
          </w:rPr>
          <w:instrText xml:space="preserve"> PAGEREF _Toc217468504 \h </w:instrText>
        </w:r>
        <w:r w:rsidR="00ED40EA" w:rsidRPr="00ED40EA">
          <w:rPr>
            <w:noProof/>
          </w:rPr>
        </w:r>
        <w:r w:rsidR="00ED40EA" w:rsidRPr="00ED40EA">
          <w:rPr>
            <w:noProof/>
          </w:rPr>
          <w:fldChar w:fldCharType="separate"/>
        </w:r>
        <w:r w:rsidR="000C0590">
          <w:rPr>
            <w:noProof/>
          </w:rPr>
          <w:t>5</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505" w:history="1">
        <w:r w:rsidR="00ED40EA" w:rsidRPr="00ED40EA">
          <w:rPr>
            <w:rStyle w:val="affff5"/>
            <w:noProof/>
          </w:rPr>
          <w:t>8</w:t>
        </w:r>
        <w:r w:rsidR="00ED40EA">
          <w:rPr>
            <w:rStyle w:val="affff5"/>
            <w:noProof/>
          </w:rPr>
          <w:t xml:space="preserve"> </w:t>
        </w:r>
        <w:r w:rsidR="00ED40EA" w:rsidRPr="00ED40EA">
          <w:rPr>
            <w:rStyle w:val="affff5"/>
            <w:rFonts w:hint="eastAsia"/>
            <w:noProof/>
          </w:rPr>
          <w:t xml:space="preserve"> 检验规则</w:t>
        </w:r>
        <w:r w:rsidR="00ED40EA" w:rsidRPr="00ED40EA">
          <w:rPr>
            <w:noProof/>
          </w:rPr>
          <w:tab/>
        </w:r>
        <w:r w:rsidR="00ED40EA" w:rsidRPr="00ED40EA">
          <w:rPr>
            <w:noProof/>
          </w:rPr>
          <w:fldChar w:fldCharType="begin"/>
        </w:r>
        <w:r w:rsidR="00ED40EA" w:rsidRPr="00ED40EA">
          <w:rPr>
            <w:noProof/>
          </w:rPr>
          <w:instrText xml:space="preserve"> PAGEREF _Toc217468505 \h </w:instrText>
        </w:r>
        <w:r w:rsidR="00ED40EA" w:rsidRPr="00ED40EA">
          <w:rPr>
            <w:noProof/>
          </w:rPr>
        </w:r>
        <w:r w:rsidR="00ED40EA" w:rsidRPr="00ED40EA">
          <w:rPr>
            <w:noProof/>
          </w:rPr>
          <w:fldChar w:fldCharType="separate"/>
        </w:r>
        <w:r w:rsidR="000C0590">
          <w:rPr>
            <w:noProof/>
          </w:rPr>
          <w:t>6</w:t>
        </w:r>
        <w:r w:rsidR="00ED40EA" w:rsidRPr="00ED40EA">
          <w:rPr>
            <w:noProof/>
          </w:rPr>
          <w:fldChar w:fldCharType="end"/>
        </w:r>
      </w:hyperlink>
    </w:p>
    <w:p w:rsidR="00ED40EA" w:rsidRPr="00ED40EA" w:rsidRDefault="007416F9">
      <w:pPr>
        <w:pStyle w:val="10"/>
        <w:tabs>
          <w:tab w:val="right" w:leader="dot" w:pos="9344"/>
        </w:tabs>
        <w:rPr>
          <w:rFonts w:asciiTheme="minorHAnsi" w:eastAsiaTheme="minorEastAsia" w:hAnsiTheme="minorHAnsi" w:cstheme="minorBidi"/>
          <w:noProof/>
          <w:szCs w:val="22"/>
        </w:rPr>
      </w:pPr>
      <w:hyperlink w:anchor="_Toc217468506" w:history="1">
        <w:r w:rsidR="00ED40EA" w:rsidRPr="00ED40EA">
          <w:rPr>
            <w:rStyle w:val="affff5"/>
            <w:noProof/>
          </w:rPr>
          <w:t>9</w:t>
        </w:r>
        <w:r w:rsidR="00ED40EA">
          <w:rPr>
            <w:rStyle w:val="affff5"/>
            <w:noProof/>
          </w:rPr>
          <w:t xml:space="preserve"> </w:t>
        </w:r>
        <w:r w:rsidR="00ED40EA" w:rsidRPr="00ED40EA">
          <w:rPr>
            <w:rStyle w:val="affff5"/>
            <w:rFonts w:hint="eastAsia"/>
            <w:noProof/>
          </w:rPr>
          <w:t xml:space="preserve"> 标识、标志、包装、运输和贮存</w:t>
        </w:r>
        <w:r w:rsidR="00ED40EA" w:rsidRPr="00ED40EA">
          <w:rPr>
            <w:noProof/>
          </w:rPr>
          <w:tab/>
        </w:r>
        <w:r w:rsidR="00ED40EA" w:rsidRPr="00ED40EA">
          <w:rPr>
            <w:noProof/>
          </w:rPr>
          <w:fldChar w:fldCharType="begin"/>
        </w:r>
        <w:r w:rsidR="00ED40EA" w:rsidRPr="00ED40EA">
          <w:rPr>
            <w:noProof/>
          </w:rPr>
          <w:instrText xml:space="preserve"> PAGEREF _Toc217468506 \h </w:instrText>
        </w:r>
        <w:r w:rsidR="00ED40EA" w:rsidRPr="00ED40EA">
          <w:rPr>
            <w:noProof/>
          </w:rPr>
        </w:r>
        <w:r w:rsidR="00ED40EA" w:rsidRPr="00ED40EA">
          <w:rPr>
            <w:noProof/>
          </w:rPr>
          <w:fldChar w:fldCharType="separate"/>
        </w:r>
        <w:r w:rsidR="000C0590">
          <w:rPr>
            <w:noProof/>
          </w:rPr>
          <w:t>8</w:t>
        </w:r>
        <w:r w:rsidR="00ED40EA" w:rsidRPr="00ED40EA">
          <w:rPr>
            <w:noProof/>
          </w:rPr>
          <w:fldChar w:fldCharType="end"/>
        </w:r>
      </w:hyperlink>
    </w:p>
    <w:p w:rsidR="00ED40EA" w:rsidRPr="00ED40EA" w:rsidRDefault="00ED40EA" w:rsidP="00ED40EA">
      <w:pPr>
        <w:pStyle w:val="affffff3"/>
        <w:spacing w:after="360"/>
        <w:sectPr w:rsidR="00ED40EA" w:rsidRPr="00ED40EA" w:rsidSect="00ED40EA">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ED40EA">
        <w:fldChar w:fldCharType="end"/>
      </w:r>
    </w:p>
    <w:p w:rsidR="002B22BD" w:rsidRDefault="004B72B4">
      <w:pPr>
        <w:pStyle w:val="a6"/>
        <w:spacing w:after="360"/>
      </w:pPr>
      <w:bookmarkStart w:id="32" w:name="_Toc217468497"/>
      <w:bookmarkStart w:id="33" w:name="BookMark2"/>
      <w:bookmarkEnd w:id="17"/>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B22BD" w:rsidRDefault="004B72B4">
      <w:pPr>
        <w:pStyle w:val="affffe"/>
        <w:spacing w:line="288" w:lineRule="auto"/>
        <w:ind w:firstLine="420"/>
      </w:pPr>
      <w:r>
        <w:rPr>
          <w:rFonts w:hint="eastAsia"/>
        </w:rPr>
        <w:t>本文件按照GB/T 1.1—2020《标准化工作导则  第1部分：标准化文件的结构和起草规则》的规定起草。</w:t>
      </w:r>
    </w:p>
    <w:p w:rsidR="002B22BD" w:rsidRDefault="004B72B4">
      <w:pPr>
        <w:pStyle w:val="affffe"/>
        <w:spacing w:line="288" w:lineRule="auto"/>
        <w:ind w:firstLine="420"/>
      </w:pPr>
      <w:r>
        <w:rPr>
          <w:rFonts w:hint="eastAsia"/>
        </w:rPr>
        <w:t>请注意本文件的某些内容可能涉及专利。本文件的发布机构不承担识别专利的责任。</w:t>
      </w:r>
    </w:p>
    <w:p w:rsidR="002B22BD" w:rsidRDefault="004B72B4">
      <w:pPr>
        <w:pStyle w:val="affffe"/>
        <w:spacing w:line="288" w:lineRule="auto"/>
        <w:ind w:firstLine="420"/>
      </w:pPr>
      <w:r>
        <w:rPr>
          <w:rFonts w:hint="eastAsia"/>
        </w:rPr>
        <w:t>本文件由贵州车联邦网络科技有限公司提出。</w:t>
      </w:r>
    </w:p>
    <w:p w:rsidR="002B22BD" w:rsidRDefault="004B72B4">
      <w:pPr>
        <w:pStyle w:val="affffe"/>
        <w:spacing w:line="288" w:lineRule="auto"/>
        <w:ind w:firstLine="420"/>
      </w:pPr>
      <w:r>
        <w:rPr>
          <w:rFonts w:hint="eastAsia"/>
        </w:rPr>
        <w:t>本文件由中国中小企业协会归口。</w:t>
      </w:r>
    </w:p>
    <w:p w:rsidR="002B22BD" w:rsidRDefault="004B72B4">
      <w:pPr>
        <w:pStyle w:val="affffe"/>
        <w:spacing w:line="288" w:lineRule="auto"/>
        <w:ind w:firstLine="420"/>
      </w:pPr>
      <w:r>
        <w:rPr>
          <w:rFonts w:hint="eastAsia"/>
        </w:rPr>
        <w:t>本文件起草单位：</w:t>
      </w:r>
      <w:bookmarkStart w:id="34" w:name="OLE_LINK5"/>
      <w:bookmarkStart w:id="35" w:name="OLE_LINK6"/>
      <w:r>
        <w:rPr>
          <w:rFonts w:hint="eastAsia"/>
        </w:rPr>
        <w:t>贵州车联邦网络科技有限公司</w:t>
      </w:r>
      <w:bookmarkEnd w:id="34"/>
      <w:bookmarkEnd w:id="35"/>
      <w:r>
        <w:rPr>
          <w:rFonts w:hint="eastAsia"/>
        </w:rPr>
        <w:t>。</w:t>
      </w:r>
    </w:p>
    <w:p w:rsidR="002B22BD" w:rsidRDefault="004B72B4">
      <w:pPr>
        <w:pStyle w:val="affffe"/>
        <w:spacing w:line="288" w:lineRule="auto"/>
        <w:ind w:firstLine="420"/>
        <w:rPr>
          <w:color w:val="FF0000"/>
        </w:rPr>
      </w:pPr>
      <w:r>
        <w:rPr>
          <w:rFonts w:hint="eastAsia"/>
        </w:rPr>
        <w:t>本文件主要起草人：XXX。</w:t>
      </w:r>
    </w:p>
    <w:p w:rsidR="002B22BD" w:rsidRDefault="002B22BD">
      <w:pPr>
        <w:pStyle w:val="affffe"/>
        <w:ind w:firstLine="420"/>
      </w:pPr>
    </w:p>
    <w:p w:rsidR="002B22BD" w:rsidRDefault="002B22BD">
      <w:pPr>
        <w:pStyle w:val="affffe"/>
        <w:ind w:firstLine="420"/>
        <w:sectPr w:rsidR="002B22BD" w:rsidSect="00ED40EA">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2B22BD" w:rsidRDefault="002B22BD">
      <w:pPr>
        <w:spacing w:line="20" w:lineRule="exact"/>
        <w:jc w:val="center"/>
        <w:rPr>
          <w:rFonts w:ascii="黑体" w:eastAsia="黑体" w:hAnsi="黑体"/>
          <w:sz w:val="32"/>
          <w:szCs w:val="32"/>
        </w:rPr>
      </w:pPr>
      <w:bookmarkStart w:id="36" w:name="BookMark4"/>
      <w:bookmarkEnd w:id="33"/>
    </w:p>
    <w:p w:rsidR="002B22BD" w:rsidRDefault="002B22BD">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7E4D79857A3744BF8B06ECA5172CB02A"/>
        </w:placeholder>
      </w:sdtPr>
      <w:sdtEndPr/>
      <w:sdtContent>
        <w:p w:rsidR="002B22BD" w:rsidRDefault="004B72B4">
          <w:pPr>
            <w:pStyle w:val="afffffffff1"/>
            <w:spacing w:beforeLines="1" w:before="2" w:afterLines="220" w:after="528"/>
          </w:pPr>
          <w:r>
            <w:rPr>
              <w:rFonts w:hint="eastAsia"/>
            </w:rPr>
            <w:t>电动汽车用储能移动充电装备</w:t>
          </w:r>
        </w:p>
      </w:sdtContent>
    </w:sdt>
    <w:p w:rsidR="002B22BD" w:rsidRDefault="004B72B4" w:rsidP="00FD2FDE">
      <w:pPr>
        <w:pStyle w:val="affc"/>
        <w:spacing w:before="240" w:after="240" w:line="288" w:lineRule="auto"/>
      </w:pPr>
      <w:bookmarkStart w:id="38" w:name="_Toc24884211"/>
      <w:bookmarkStart w:id="39" w:name="_Toc26648465"/>
      <w:bookmarkStart w:id="40" w:name="_Toc17233333"/>
      <w:bookmarkStart w:id="41" w:name="_Toc17233325"/>
      <w:bookmarkStart w:id="42" w:name="_Toc24884218"/>
      <w:bookmarkStart w:id="43" w:name="_Toc147136680"/>
      <w:bookmarkStart w:id="44" w:name="_Toc172966007"/>
      <w:bookmarkStart w:id="45" w:name="_Toc141272484"/>
      <w:bookmarkStart w:id="46" w:name="_Toc137628780"/>
      <w:bookmarkStart w:id="47" w:name="_Toc137288572"/>
      <w:bookmarkStart w:id="48" w:name="_Toc160092235"/>
      <w:bookmarkStart w:id="49" w:name="_Toc26986530"/>
      <w:bookmarkStart w:id="50" w:name="_Toc147912238"/>
      <w:bookmarkStart w:id="51" w:name="_Toc172966375"/>
      <w:bookmarkStart w:id="52" w:name="_Toc172966249"/>
      <w:bookmarkStart w:id="53" w:name="_Toc148629164"/>
      <w:bookmarkStart w:id="54" w:name="_Toc159252382"/>
      <w:bookmarkStart w:id="55" w:name="_Toc26718930"/>
      <w:bookmarkStart w:id="56" w:name="_Toc147912175"/>
      <w:bookmarkStart w:id="57" w:name="_Toc26986771"/>
      <w:bookmarkStart w:id="58" w:name="_Toc175906440"/>
      <w:bookmarkStart w:id="59" w:name="_Toc176436384"/>
      <w:bookmarkStart w:id="60" w:name="_Toc217468498"/>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2B22BD" w:rsidRDefault="004B72B4" w:rsidP="00FD2FDE">
      <w:pPr>
        <w:pStyle w:val="affffe"/>
        <w:spacing w:line="288" w:lineRule="auto"/>
        <w:ind w:firstLine="420"/>
      </w:pPr>
      <w:bookmarkStart w:id="61" w:name="_Toc26648466"/>
      <w:bookmarkStart w:id="62" w:name="_Toc24884219"/>
      <w:bookmarkStart w:id="63" w:name="_Toc17233334"/>
      <w:bookmarkStart w:id="64" w:name="_Toc17233326"/>
      <w:bookmarkStart w:id="65" w:name="_Toc24884212"/>
      <w:r>
        <w:rPr>
          <w:rFonts w:hint="eastAsia"/>
        </w:rPr>
        <w:t>本文件规定了电动汽车用储能移动充电装备</w:t>
      </w:r>
      <w:r w:rsidR="00905ECB">
        <w:rPr>
          <w:rFonts w:hint="eastAsia"/>
        </w:rPr>
        <w:t>（以下简称充电装备）</w:t>
      </w:r>
      <w:r>
        <w:rPr>
          <w:rFonts w:hint="eastAsia"/>
        </w:rPr>
        <w:t>的构成</w:t>
      </w:r>
      <w:r w:rsidR="00ED40EA">
        <w:rPr>
          <w:rFonts w:hint="eastAsia"/>
        </w:rPr>
        <w:t>和性能、使用条件、</w:t>
      </w:r>
      <w:r>
        <w:rPr>
          <w:rFonts w:hint="eastAsia"/>
        </w:rPr>
        <w:t>技术要求、试验方法、</w:t>
      </w:r>
      <w:r w:rsidR="00ED40EA">
        <w:rPr>
          <w:rFonts w:hint="eastAsia"/>
        </w:rPr>
        <w:t>标识、</w:t>
      </w:r>
      <w:r>
        <w:rPr>
          <w:rFonts w:hint="eastAsia"/>
        </w:rPr>
        <w:t>标志、包装、运输和贮存。</w:t>
      </w:r>
    </w:p>
    <w:p w:rsidR="002B22BD" w:rsidRDefault="004B72B4" w:rsidP="00FD2FDE">
      <w:pPr>
        <w:pStyle w:val="affffe"/>
        <w:spacing w:line="288" w:lineRule="auto"/>
        <w:ind w:firstLine="420"/>
      </w:pPr>
      <w:r>
        <w:rPr>
          <w:rFonts w:hint="eastAsia"/>
        </w:rPr>
        <w:t>本文件适用于公共停车场、公交充电站、高速公路服务区、公共建筑配建停车场等公共场所</w:t>
      </w:r>
      <w:r w:rsidR="00905ECB">
        <w:rPr>
          <w:rFonts w:hint="eastAsia"/>
        </w:rPr>
        <w:t>供</w:t>
      </w:r>
      <w:r>
        <w:rPr>
          <w:rFonts w:hint="eastAsia"/>
        </w:rPr>
        <w:t>电动汽车</w:t>
      </w:r>
      <w:r w:rsidR="00905ECB">
        <w:rPr>
          <w:rFonts w:hint="eastAsia"/>
        </w:rPr>
        <w:t>充电用的可移动</w:t>
      </w:r>
      <w:r>
        <w:rPr>
          <w:rFonts w:hint="eastAsia"/>
        </w:rPr>
        <w:t>装备。</w:t>
      </w:r>
    </w:p>
    <w:p w:rsidR="002B22BD" w:rsidRDefault="004B72B4" w:rsidP="00FD2FDE">
      <w:pPr>
        <w:pStyle w:val="affc"/>
        <w:spacing w:before="240" w:after="240" w:line="288" w:lineRule="auto"/>
      </w:pPr>
      <w:bookmarkStart w:id="66" w:name="_Toc141272485"/>
      <w:bookmarkStart w:id="67" w:name="_Toc137288573"/>
      <w:bookmarkStart w:id="68" w:name="_Toc147912176"/>
      <w:bookmarkStart w:id="69" w:name="_Toc26986531"/>
      <w:bookmarkStart w:id="70" w:name="_Toc148629165"/>
      <w:bookmarkStart w:id="71" w:name="_Toc160092236"/>
      <w:bookmarkStart w:id="72" w:name="_Toc172966250"/>
      <w:bookmarkStart w:id="73" w:name="_Toc147136681"/>
      <w:bookmarkStart w:id="74" w:name="_Toc172966008"/>
      <w:bookmarkStart w:id="75" w:name="_Toc137628781"/>
      <w:bookmarkStart w:id="76" w:name="_Toc26718931"/>
      <w:bookmarkStart w:id="77" w:name="_Toc26986772"/>
      <w:bookmarkStart w:id="78" w:name="_Toc176436385"/>
      <w:bookmarkStart w:id="79" w:name="_Toc172966376"/>
      <w:bookmarkStart w:id="80" w:name="_Toc159252383"/>
      <w:bookmarkStart w:id="81" w:name="_Toc175906441"/>
      <w:bookmarkStart w:id="82" w:name="_Toc147912239"/>
      <w:bookmarkStart w:id="83" w:name="_Toc217468499"/>
      <w:r>
        <w:rPr>
          <w:rFonts w:hint="eastAsia"/>
        </w:rPr>
        <w:t>规范性引用文件</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2B22BD" w:rsidRDefault="004B72B4" w:rsidP="00FD2FDE">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B22BD" w:rsidRPr="00A16D27" w:rsidRDefault="004B72B4" w:rsidP="00FD2FDE">
      <w:pPr>
        <w:pStyle w:val="affffe"/>
        <w:spacing w:line="288" w:lineRule="auto"/>
        <w:ind w:firstLine="420"/>
      </w:pPr>
      <w:bookmarkStart w:id="84" w:name="_Toc137628782"/>
      <w:bookmarkStart w:id="85" w:name="_Toc141272486"/>
      <w:bookmarkStart w:id="86" w:name="_Toc137288574"/>
      <w:bookmarkEnd w:id="84"/>
      <w:bookmarkEnd w:id="85"/>
      <w:bookmarkEnd w:id="86"/>
      <w:r w:rsidRPr="00A16D27">
        <w:rPr>
          <w:rFonts w:hint="eastAsia"/>
        </w:rPr>
        <w:t>GB/T 191  包装储运图形符号标志</w:t>
      </w:r>
    </w:p>
    <w:p w:rsidR="002B22BD" w:rsidRPr="00A16D27" w:rsidRDefault="004B72B4" w:rsidP="00FD2FDE">
      <w:pPr>
        <w:pStyle w:val="affffe"/>
        <w:spacing w:line="288" w:lineRule="auto"/>
        <w:ind w:firstLine="420"/>
      </w:pPr>
      <w:r w:rsidRPr="00A16D27">
        <w:rPr>
          <w:rFonts w:hint="eastAsia"/>
        </w:rPr>
        <w:t>GB/T 2423.1  电工电子产品环境试验  第 2 部分：试验方法  试验 A：低温</w:t>
      </w:r>
    </w:p>
    <w:p w:rsidR="002B22BD" w:rsidRPr="00A16D27" w:rsidRDefault="004B72B4" w:rsidP="00FD2FDE">
      <w:pPr>
        <w:pStyle w:val="affffe"/>
        <w:spacing w:line="288" w:lineRule="auto"/>
        <w:ind w:firstLine="420"/>
      </w:pPr>
      <w:r w:rsidRPr="00A16D27">
        <w:rPr>
          <w:rFonts w:hint="eastAsia"/>
        </w:rPr>
        <w:t>GB/T 2423.2  电工电子产品环境试验  第 2 部分：试验方法  试验 B：高温</w:t>
      </w:r>
    </w:p>
    <w:p w:rsidR="002B22BD" w:rsidRPr="00A16D27" w:rsidRDefault="004B72B4" w:rsidP="00FD2FDE">
      <w:pPr>
        <w:pStyle w:val="affffe"/>
        <w:spacing w:line="288" w:lineRule="auto"/>
        <w:ind w:firstLine="420"/>
      </w:pPr>
      <w:r w:rsidRPr="00A16D27">
        <w:rPr>
          <w:rFonts w:hint="eastAsia"/>
        </w:rPr>
        <w:t xml:space="preserve">GB/T 2423.4  电工电子产品环境试验  第 2 部分：试验方法  试验 </w:t>
      </w:r>
      <w:proofErr w:type="spellStart"/>
      <w:r w:rsidRPr="00A16D27">
        <w:rPr>
          <w:rFonts w:hint="eastAsia"/>
        </w:rPr>
        <w:t>Db</w:t>
      </w:r>
      <w:proofErr w:type="spellEnd"/>
      <w:r w:rsidRPr="00A16D27">
        <w:rPr>
          <w:rFonts w:hint="eastAsia"/>
        </w:rPr>
        <w:t>：交变湿热(12h+12h循环)</w:t>
      </w:r>
    </w:p>
    <w:p w:rsidR="002B22BD" w:rsidRPr="00A16D27" w:rsidRDefault="004B72B4" w:rsidP="00FD2FDE">
      <w:pPr>
        <w:pStyle w:val="affffe"/>
        <w:spacing w:line="288" w:lineRule="auto"/>
        <w:ind w:firstLine="420"/>
      </w:pPr>
      <w:r w:rsidRPr="00A16D27">
        <w:rPr>
          <w:rFonts w:hint="eastAsia"/>
        </w:rPr>
        <w:t>GB/T 4208—2017  外壳防护等级(IP代码)</w:t>
      </w:r>
    </w:p>
    <w:p w:rsidR="002B22BD" w:rsidRPr="00A16D27" w:rsidRDefault="004B72B4" w:rsidP="00FD2FDE">
      <w:pPr>
        <w:pStyle w:val="affffe"/>
        <w:spacing w:line="288" w:lineRule="auto"/>
        <w:ind w:firstLine="420"/>
      </w:pPr>
      <w:r w:rsidRPr="00A16D27">
        <w:rPr>
          <w:rFonts w:hint="eastAsia"/>
        </w:rPr>
        <w:t>GB/T 5048  防潮包装</w:t>
      </w:r>
    </w:p>
    <w:p w:rsidR="002B22BD" w:rsidRPr="00A16D27" w:rsidRDefault="004B72B4" w:rsidP="00FD2FDE">
      <w:pPr>
        <w:pStyle w:val="affffe"/>
        <w:spacing w:line="288" w:lineRule="auto"/>
        <w:ind w:firstLine="420"/>
      </w:pPr>
      <w:r w:rsidRPr="00A16D27">
        <w:rPr>
          <w:rFonts w:hint="eastAsia"/>
        </w:rPr>
        <w:t>GB/T 6388  运输包装收发货标志</w:t>
      </w:r>
    </w:p>
    <w:p w:rsidR="002B22BD" w:rsidRPr="00A16D27" w:rsidRDefault="004B72B4" w:rsidP="00FD2FDE">
      <w:pPr>
        <w:pStyle w:val="affffe"/>
        <w:spacing w:line="288" w:lineRule="auto"/>
        <w:ind w:firstLine="420"/>
      </w:pPr>
      <w:r w:rsidRPr="00A16D27">
        <w:rPr>
          <w:rFonts w:hint="eastAsia"/>
        </w:rPr>
        <w:t>GB/T 13384  机电产品包装通用技术条件</w:t>
      </w:r>
    </w:p>
    <w:p w:rsidR="002B22BD" w:rsidRPr="00A16D27" w:rsidRDefault="004B72B4" w:rsidP="00FD2FDE">
      <w:pPr>
        <w:pStyle w:val="affffe"/>
        <w:spacing w:line="288" w:lineRule="auto"/>
        <w:ind w:firstLine="420"/>
      </w:pPr>
      <w:r w:rsidRPr="00A16D27">
        <w:rPr>
          <w:rFonts w:hint="eastAsia"/>
        </w:rPr>
        <w:t xml:space="preserve">GB/T 18487.1—2023  </w:t>
      </w:r>
      <w:bookmarkStart w:id="87" w:name="OLE_LINK1"/>
      <w:bookmarkStart w:id="88" w:name="OLE_LINK2"/>
      <w:r w:rsidRPr="00A16D27">
        <w:rPr>
          <w:rFonts w:hint="eastAsia"/>
        </w:rPr>
        <w:t>电动汽车传导充电系统  第 1 部分：通用要求</w:t>
      </w:r>
      <w:bookmarkEnd w:id="87"/>
      <w:bookmarkEnd w:id="88"/>
    </w:p>
    <w:p w:rsidR="002B22BD" w:rsidRPr="00A16D27" w:rsidRDefault="004B72B4" w:rsidP="00FD2FDE">
      <w:pPr>
        <w:pStyle w:val="affffe"/>
        <w:spacing w:line="288" w:lineRule="auto"/>
        <w:ind w:firstLine="420"/>
      </w:pPr>
      <w:r w:rsidRPr="00A16D27">
        <w:rPr>
          <w:rFonts w:hint="eastAsia"/>
        </w:rPr>
        <w:t>GB/T 27930  非车载传导式充电机与电动汽车之间的数字通信协议</w:t>
      </w:r>
    </w:p>
    <w:p w:rsidR="002B22BD" w:rsidRPr="00A16D27" w:rsidRDefault="004B72B4" w:rsidP="00FD2FDE">
      <w:pPr>
        <w:pStyle w:val="affffe"/>
        <w:spacing w:line="288" w:lineRule="auto"/>
        <w:ind w:firstLine="420"/>
      </w:pPr>
      <w:r w:rsidRPr="00A16D27">
        <w:rPr>
          <w:rFonts w:hint="eastAsia"/>
        </w:rPr>
        <w:t>GB/T 29317  电动汽车</w:t>
      </w:r>
      <w:proofErr w:type="gramStart"/>
      <w:r w:rsidRPr="00A16D27">
        <w:rPr>
          <w:rFonts w:hint="eastAsia"/>
        </w:rPr>
        <w:t>充换电</w:t>
      </w:r>
      <w:proofErr w:type="gramEnd"/>
      <w:r w:rsidRPr="00A16D27">
        <w:rPr>
          <w:rFonts w:hint="eastAsia"/>
        </w:rPr>
        <w:t>设施术语</w:t>
      </w:r>
    </w:p>
    <w:p w:rsidR="002B22BD" w:rsidRPr="00A16D27" w:rsidRDefault="004B72B4" w:rsidP="00FD2FDE">
      <w:pPr>
        <w:pStyle w:val="affffe"/>
        <w:spacing w:line="288" w:lineRule="auto"/>
        <w:ind w:firstLine="420"/>
      </w:pPr>
      <w:r w:rsidRPr="00A16D27">
        <w:t>GB/T 29318</w:t>
      </w:r>
      <w:r w:rsidRPr="00A16D27">
        <w:rPr>
          <w:rFonts w:hint="eastAsia"/>
        </w:rPr>
        <w:t xml:space="preserve">  电动汽车非车载充电</w:t>
      </w:r>
      <w:proofErr w:type="gramStart"/>
      <w:r w:rsidRPr="00A16D27">
        <w:rPr>
          <w:rFonts w:hint="eastAsia"/>
        </w:rPr>
        <w:t>机电能</w:t>
      </w:r>
      <w:proofErr w:type="gramEnd"/>
      <w:r w:rsidRPr="00A16D27">
        <w:rPr>
          <w:rFonts w:hint="eastAsia"/>
        </w:rPr>
        <w:t>计量</w:t>
      </w:r>
    </w:p>
    <w:p w:rsidR="00FD2FDE" w:rsidRPr="00A16D27" w:rsidRDefault="00FD2FDE" w:rsidP="00FD2FDE">
      <w:pPr>
        <w:pStyle w:val="affffe"/>
        <w:spacing w:line="288" w:lineRule="auto"/>
        <w:ind w:firstLine="420"/>
      </w:pPr>
      <w:r w:rsidRPr="00A16D27">
        <w:rPr>
          <w:rFonts w:hint="eastAsia"/>
        </w:rPr>
        <w:t>GB/T 34131  电力储能用电池管理系统</w:t>
      </w:r>
    </w:p>
    <w:p w:rsidR="00FD2FDE" w:rsidRPr="00A16D27" w:rsidRDefault="00FD2FDE" w:rsidP="00FD2FDE">
      <w:pPr>
        <w:pStyle w:val="affffe"/>
        <w:spacing w:line="288" w:lineRule="auto"/>
        <w:ind w:firstLine="420"/>
      </w:pPr>
      <w:r w:rsidRPr="00A16D27">
        <w:rPr>
          <w:rFonts w:hint="eastAsia"/>
        </w:rPr>
        <w:t>GB/T 34658  电动汽车非车载传导式充电机与电池管理系统之间的通信协议一致性测试</w:t>
      </w:r>
    </w:p>
    <w:p w:rsidR="00FD2FDE" w:rsidRPr="00A16D27" w:rsidRDefault="00FD2FDE" w:rsidP="00FD2FDE">
      <w:pPr>
        <w:pStyle w:val="affffe"/>
        <w:spacing w:line="288" w:lineRule="auto"/>
        <w:ind w:firstLine="420"/>
      </w:pPr>
      <w:r w:rsidRPr="00A16D27">
        <w:rPr>
          <w:rFonts w:hint="eastAsia"/>
        </w:rPr>
        <w:t>GB/T 36276  电力储能用锂离子电池</w:t>
      </w:r>
    </w:p>
    <w:p w:rsidR="002B22BD" w:rsidRPr="00B7787E" w:rsidRDefault="004B72B4" w:rsidP="00FD2FDE">
      <w:pPr>
        <w:pStyle w:val="affffe"/>
        <w:spacing w:line="288" w:lineRule="auto"/>
        <w:ind w:firstLine="420"/>
      </w:pPr>
      <w:r w:rsidRPr="00A16D27">
        <w:rPr>
          <w:rFonts w:hint="eastAsia"/>
        </w:rPr>
        <w:t>GB 39752  电动汽车供电设备安全要求</w:t>
      </w:r>
    </w:p>
    <w:p w:rsidR="002B22BD" w:rsidRDefault="004B72B4" w:rsidP="00FD2FDE">
      <w:pPr>
        <w:pStyle w:val="affc"/>
        <w:spacing w:before="240" w:after="240" w:line="288" w:lineRule="auto"/>
      </w:pPr>
      <w:bookmarkStart w:id="89" w:name="_Toc175906442"/>
      <w:bookmarkStart w:id="90" w:name="_Toc176436386"/>
      <w:bookmarkStart w:id="91" w:name="_Toc147912177"/>
      <w:bookmarkStart w:id="92" w:name="_Toc147136682"/>
      <w:bookmarkStart w:id="93" w:name="_Toc147912240"/>
      <w:bookmarkStart w:id="94" w:name="_Toc172966009"/>
      <w:bookmarkStart w:id="95" w:name="_Toc148629166"/>
      <w:bookmarkStart w:id="96" w:name="_Toc159252384"/>
      <w:bookmarkStart w:id="97" w:name="_Toc172966251"/>
      <w:bookmarkStart w:id="98" w:name="_Toc172966377"/>
      <w:bookmarkStart w:id="99" w:name="_Toc160092237"/>
      <w:bookmarkStart w:id="100" w:name="_Toc217468500"/>
      <w:r>
        <w:t>术语和定义</w:t>
      </w:r>
      <w:bookmarkEnd w:id="89"/>
      <w:bookmarkEnd w:id="90"/>
      <w:bookmarkEnd w:id="91"/>
      <w:bookmarkEnd w:id="92"/>
      <w:bookmarkEnd w:id="93"/>
      <w:bookmarkEnd w:id="94"/>
      <w:bookmarkEnd w:id="95"/>
      <w:bookmarkEnd w:id="96"/>
      <w:bookmarkEnd w:id="97"/>
      <w:bookmarkEnd w:id="98"/>
      <w:bookmarkEnd w:id="99"/>
      <w:bookmarkEnd w:id="100"/>
    </w:p>
    <w:bookmarkStart w:id="101" w:name="_Toc26986532" w:displacedByCustomXml="next"/>
    <w:bookmarkEnd w:id="101"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B22BD" w:rsidRDefault="004B72B4" w:rsidP="00FD2FDE">
          <w:pPr>
            <w:pStyle w:val="affffe"/>
            <w:spacing w:line="288" w:lineRule="auto"/>
            <w:ind w:firstLine="420"/>
          </w:pPr>
          <w:r>
            <w:rPr>
              <w:rFonts w:hint="eastAsia"/>
            </w:rPr>
            <w:t>GB/T 18487.1—2023、GB/T 29317 界定的术语和定义适用于本文件。</w:t>
          </w:r>
        </w:p>
      </w:sdtContent>
    </w:sdt>
    <w:p w:rsidR="002B22BD" w:rsidRDefault="004B72B4" w:rsidP="00FD2FDE">
      <w:pPr>
        <w:pStyle w:val="affc"/>
        <w:spacing w:before="240" w:after="240" w:line="288" w:lineRule="auto"/>
      </w:pPr>
      <w:bookmarkStart w:id="102" w:name="_Toc172966011"/>
      <w:bookmarkStart w:id="103" w:name="_Toc175906444"/>
      <w:bookmarkStart w:id="104" w:name="_Toc176436388"/>
      <w:bookmarkStart w:id="105" w:name="_Toc172966253"/>
      <w:bookmarkStart w:id="106" w:name="_Toc172966379"/>
      <w:bookmarkStart w:id="107" w:name="_Toc217468501"/>
      <w:bookmarkStart w:id="108" w:name="_Toc143617070"/>
      <w:bookmarkStart w:id="109" w:name="_Toc143675540"/>
      <w:r>
        <w:rPr>
          <w:rFonts w:hint="eastAsia"/>
        </w:rPr>
        <w:t>构成</w:t>
      </w:r>
      <w:bookmarkEnd w:id="102"/>
      <w:bookmarkEnd w:id="103"/>
      <w:bookmarkEnd w:id="104"/>
      <w:bookmarkEnd w:id="105"/>
      <w:bookmarkEnd w:id="106"/>
      <w:bookmarkEnd w:id="107"/>
      <w:r w:rsidR="00ED40EA">
        <w:rPr>
          <w:rFonts w:hint="eastAsia"/>
        </w:rPr>
        <w:t>和性能</w:t>
      </w:r>
    </w:p>
    <w:p w:rsidR="002B22BD" w:rsidRPr="00F9175C" w:rsidRDefault="004B72B4" w:rsidP="00FD2FDE">
      <w:pPr>
        <w:pStyle w:val="affd"/>
        <w:spacing w:before="120" w:after="120" w:line="288" w:lineRule="auto"/>
      </w:pPr>
      <w:r w:rsidRPr="00F9175C">
        <w:rPr>
          <w:rFonts w:hint="eastAsia"/>
        </w:rPr>
        <w:t>构成</w:t>
      </w:r>
    </w:p>
    <w:p w:rsidR="002B22BD" w:rsidRPr="00F9175C" w:rsidRDefault="004B72B4" w:rsidP="00FD2FDE">
      <w:pPr>
        <w:pStyle w:val="affffe"/>
        <w:spacing w:line="288" w:lineRule="auto"/>
        <w:ind w:firstLine="420"/>
      </w:pPr>
      <w:r w:rsidRPr="00F9175C">
        <w:rPr>
          <w:rFonts w:hint="eastAsia"/>
        </w:rPr>
        <w:t>产品由以下部分构成：</w:t>
      </w:r>
    </w:p>
    <w:p w:rsidR="002B22BD" w:rsidRPr="00F9175C" w:rsidRDefault="004B72B4" w:rsidP="00FD2FDE">
      <w:pPr>
        <w:pStyle w:val="af5"/>
        <w:spacing w:line="288" w:lineRule="auto"/>
      </w:pPr>
      <w:r w:rsidRPr="00F9175C">
        <w:rPr>
          <w:rFonts w:hint="eastAsia"/>
        </w:rPr>
        <w:t>储能电池系统；</w:t>
      </w:r>
    </w:p>
    <w:p w:rsidR="002B22BD" w:rsidRPr="00F9175C" w:rsidRDefault="004B72B4" w:rsidP="00FD2FDE">
      <w:pPr>
        <w:pStyle w:val="af5"/>
        <w:spacing w:line="288" w:lineRule="auto"/>
      </w:pPr>
      <w:r w:rsidRPr="00F9175C">
        <w:rPr>
          <w:rFonts w:hint="eastAsia"/>
        </w:rPr>
        <w:lastRenderedPageBreak/>
        <w:t xml:space="preserve">充电系统：由充电模块、充电控制器、电气控制器件、电气保护器件及充电枪等组成； </w:t>
      </w:r>
    </w:p>
    <w:p w:rsidR="002B22BD" w:rsidRPr="00F9175C" w:rsidRDefault="004B72B4" w:rsidP="00FD2FDE">
      <w:pPr>
        <w:pStyle w:val="af5"/>
        <w:spacing w:line="288" w:lineRule="auto"/>
      </w:pPr>
      <w:r w:rsidRPr="00F9175C">
        <w:rPr>
          <w:rFonts w:hint="eastAsia"/>
        </w:rPr>
        <w:t>底盘。</w:t>
      </w:r>
    </w:p>
    <w:p w:rsidR="002B22BD" w:rsidRPr="00F9175C" w:rsidRDefault="004B72B4" w:rsidP="00FD2FDE">
      <w:pPr>
        <w:pStyle w:val="affd"/>
        <w:spacing w:before="120" w:after="120" w:line="288" w:lineRule="auto"/>
      </w:pPr>
      <w:r w:rsidRPr="00F9175C">
        <w:rPr>
          <w:rFonts w:hint="eastAsia"/>
        </w:rPr>
        <w:t>性能</w:t>
      </w:r>
    </w:p>
    <w:p w:rsidR="002B22BD" w:rsidRPr="00F9175C" w:rsidRDefault="004B72B4" w:rsidP="00FD2FDE">
      <w:pPr>
        <w:pStyle w:val="affffe"/>
        <w:spacing w:line="288" w:lineRule="auto"/>
        <w:ind w:firstLine="420"/>
      </w:pPr>
      <w:r w:rsidRPr="00F9175C">
        <w:rPr>
          <w:rFonts w:hint="eastAsia"/>
        </w:rPr>
        <w:t>充电装备的性能指标参数，应在产品说明书中规定，可包括但不限于以下各项：</w:t>
      </w:r>
    </w:p>
    <w:p w:rsidR="00B7787E" w:rsidRPr="00F9175C" w:rsidRDefault="00B7787E" w:rsidP="00FD2FDE">
      <w:pPr>
        <w:pStyle w:val="af5"/>
        <w:numPr>
          <w:ilvl w:val="0"/>
          <w:numId w:val="32"/>
        </w:numPr>
        <w:spacing w:line="288" w:lineRule="auto"/>
      </w:pPr>
      <w:r w:rsidRPr="00F9175C">
        <w:rPr>
          <w:rFonts w:hint="eastAsia"/>
        </w:rPr>
        <w:t>额定输出功率；</w:t>
      </w:r>
    </w:p>
    <w:p w:rsidR="00B7787E" w:rsidRPr="00F9175C" w:rsidRDefault="00B7787E" w:rsidP="00FD2FDE">
      <w:pPr>
        <w:pStyle w:val="af5"/>
        <w:numPr>
          <w:ilvl w:val="0"/>
          <w:numId w:val="32"/>
        </w:numPr>
        <w:spacing w:line="288" w:lineRule="auto"/>
      </w:pPr>
      <w:r w:rsidRPr="00F9175C">
        <w:rPr>
          <w:rFonts w:hint="eastAsia"/>
        </w:rPr>
        <w:t>充电接口数量；</w:t>
      </w:r>
    </w:p>
    <w:p w:rsidR="00B7787E" w:rsidRPr="00F9175C" w:rsidRDefault="00B7787E" w:rsidP="00FD2FDE">
      <w:pPr>
        <w:pStyle w:val="af5"/>
        <w:numPr>
          <w:ilvl w:val="0"/>
          <w:numId w:val="32"/>
        </w:numPr>
        <w:spacing w:line="288" w:lineRule="auto"/>
      </w:pPr>
      <w:r w:rsidRPr="00F9175C">
        <w:rPr>
          <w:rFonts w:hint="eastAsia"/>
        </w:rPr>
        <w:t>直流输出电压范围；</w:t>
      </w:r>
    </w:p>
    <w:p w:rsidR="00B7787E" w:rsidRPr="00F9175C" w:rsidRDefault="00B7787E" w:rsidP="00FD2FDE">
      <w:pPr>
        <w:pStyle w:val="af5"/>
        <w:numPr>
          <w:ilvl w:val="0"/>
          <w:numId w:val="32"/>
        </w:numPr>
        <w:spacing w:line="288" w:lineRule="auto"/>
      </w:pPr>
      <w:r w:rsidRPr="00F9175C">
        <w:rPr>
          <w:rFonts w:hint="eastAsia"/>
        </w:rPr>
        <w:t>最大充电电流；</w:t>
      </w:r>
    </w:p>
    <w:p w:rsidR="00B7787E" w:rsidRDefault="00B7787E" w:rsidP="00FD2FDE">
      <w:pPr>
        <w:pStyle w:val="af5"/>
        <w:numPr>
          <w:ilvl w:val="0"/>
          <w:numId w:val="32"/>
        </w:numPr>
        <w:spacing w:line="288" w:lineRule="auto"/>
      </w:pPr>
      <w:r w:rsidRPr="00F9175C">
        <w:rPr>
          <w:rFonts w:hint="eastAsia"/>
        </w:rPr>
        <w:t>额定输入电流；</w:t>
      </w:r>
    </w:p>
    <w:p w:rsidR="00ED40EA" w:rsidRPr="00F9175C" w:rsidRDefault="00ED40EA" w:rsidP="00FD2FDE">
      <w:pPr>
        <w:pStyle w:val="af5"/>
        <w:numPr>
          <w:ilvl w:val="0"/>
          <w:numId w:val="32"/>
        </w:numPr>
        <w:spacing w:line="288" w:lineRule="auto"/>
      </w:pPr>
      <w:r>
        <w:rPr>
          <w:rFonts w:hint="eastAsia"/>
        </w:rPr>
        <w:t>最快移动速度；</w:t>
      </w:r>
    </w:p>
    <w:p w:rsidR="00B7787E" w:rsidRPr="00F9175C" w:rsidRDefault="00B7787E" w:rsidP="00FD2FDE">
      <w:pPr>
        <w:pStyle w:val="af5"/>
        <w:numPr>
          <w:ilvl w:val="0"/>
          <w:numId w:val="32"/>
        </w:numPr>
        <w:spacing w:line="288" w:lineRule="auto"/>
      </w:pPr>
      <w:r w:rsidRPr="00F9175C">
        <w:rPr>
          <w:rFonts w:hint="eastAsia"/>
        </w:rPr>
        <w:t>最大爬坡度；</w:t>
      </w:r>
    </w:p>
    <w:p w:rsidR="00B7787E" w:rsidRPr="00F9175C" w:rsidRDefault="00B7787E" w:rsidP="00FD2FDE">
      <w:pPr>
        <w:pStyle w:val="af5"/>
        <w:numPr>
          <w:ilvl w:val="0"/>
          <w:numId w:val="32"/>
        </w:numPr>
        <w:spacing w:line="288" w:lineRule="auto"/>
      </w:pPr>
      <w:r w:rsidRPr="00F9175C">
        <w:rPr>
          <w:rFonts w:hint="eastAsia"/>
        </w:rPr>
        <w:t>外形尺寸；</w:t>
      </w:r>
    </w:p>
    <w:p w:rsidR="00B7787E" w:rsidRPr="00F9175C" w:rsidRDefault="00B7787E" w:rsidP="00FD2FDE">
      <w:pPr>
        <w:pStyle w:val="af5"/>
        <w:numPr>
          <w:ilvl w:val="0"/>
          <w:numId w:val="32"/>
        </w:numPr>
        <w:spacing w:line="288" w:lineRule="auto"/>
      </w:pPr>
      <w:r w:rsidRPr="00F9175C">
        <w:rPr>
          <w:rFonts w:hint="eastAsia"/>
        </w:rPr>
        <w:t>重量。</w:t>
      </w:r>
    </w:p>
    <w:p w:rsidR="002B22BD" w:rsidRPr="008F1DDF" w:rsidRDefault="004B72B4" w:rsidP="00FD2FDE">
      <w:pPr>
        <w:pStyle w:val="affc"/>
        <w:spacing w:before="240" w:after="240" w:line="288" w:lineRule="auto"/>
      </w:pPr>
      <w:bookmarkStart w:id="110" w:name="_Toc176436389"/>
      <w:bookmarkStart w:id="111" w:name="_Toc172966380"/>
      <w:bookmarkStart w:id="112" w:name="_Toc175906445"/>
      <w:bookmarkStart w:id="113" w:name="_Toc172966012"/>
      <w:bookmarkStart w:id="114" w:name="_Toc172966254"/>
      <w:bookmarkStart w:id="115" w:name="_Toc217468502"/>
      <w:r w:rsidRPr="008F1DDF">
        <w:rPr>
          <w:rFonts w:hint="eastAsia"/>
        </w:rPr>
        <w:t>使用条件</w:t>
      </w:r>
      <w:bookmarkEnd w:id="110"/>
      <w:bookmarkEnd w:id="111"/>
      <w:bookmarkEnd w:id="112"/>
      <w:bookmarkEnd w:id="113"/>
      <w:bookmarkEnd w:id="114"/>
      <w:bookmarkEnd w:id="115"/>
    </w:p>
    <w:p w:rsidR="002B22BD" w:rsidRPr="008F1DDF" w:rsidRDefault="004B72B4" w:rsidP="00FD2FDE">
      <w:pPr>
        <w:pStyle w:val="affffe"/>
        <w:spacing w:line="288" w:lineRule="auto"/>
        <w:ind w:firstLine="420"/>
      </w:pPr>
      <w:r w:rsidRPr="008F1DDF">
        <w:rPr>
          <w:rFonts w:hint="eastAsia"/>
        </w:rPr>
        <w:t>充电</w:t>
      </w:r>
      <w:r w:rsidR="00F9175C" w:rsidRPr="008F1DDF">
        <w:rPr>
          <w:rFonts w:hint="eastAsia"/>
        </w:rPr>
        <w:t>装备</w:t>
      </w:r>
      <w:r w:rsidRPr="008F1DDF">
        <w:rPr>
          <w:rFonts w:hint="eastAsia"/>
        </w:rPr>
        <w:t>的</w:t>
      </w:r>
      <w:r w:rsidR="00F9175C" w:rsidRPr="008F1DDF">
        <w:rPr>
          <w:rFonts w:hint="eastAsia"/>
        </w:rPr>
        <w:t>使用</w:t>
      </w:r>
      <w:r w:rsidRPr="008F1DDF">
        <w:rPr>
          <w:rFonts w:hint="eastAsia"/>
        </w:rPr>
        <w:t>环境要求如下：</w:t>
      </w:r>
    </w:p>
    <w:p w:rsidR="002B22BD" w:rsidRPr="008F1DDF" w:rsidRDefault="00F9175C" w:rsidP="00FD2FDE">
      <w:pPr>
        <w:pStyle w:val="af5"/>
        <w:numPr>
          <w:ilvl w:val="0"/>
          <w:numId w:val="33"/>
        </w:numPr>
        <w:spacing w:line="288" w:lineRule="auto"/>
      </w:pPr>
      <w:r w:rsidRPr="008F1DDF">
        <w:rPr>
          <w:rFonts w:hint="eastAsia"/>
        </w:rPr>
        <w:t>环境</w:t>
      </w:r>
      <w:r w:rsidR="004B72B4" w:rsidRPr="008F1DDF">
        <w:rPr>
          <w:rFonts w:hint="eastAsia"/>
        </w:rPr>
        <w:t>温度：</w:t>
      </w:r>
      <w:r w:rsidR="009B08B3" w:rsidRPr="008F1DDF">
        <w:rPr>
          <w:rFonts w:hint="eastAsia"/>
        </w:rPr>
        <w:t>-</w:t>
      </w:r>
      <w:r w:rsidR="00296311" w:rsidRPr="008F1DDF">
        <w:rPr>
          <w:rFonts w:hint="eastAsia"/>
        </w:rPr>
        <w:t>25</w:t>
      </w:r>
      <w:r w:rsidR="009B08B3" w:rsidRPr="008F1DDF">
        <w:rPr>
          <w:rFonts w:hint="eastAsia"/>
        </w:rPr>
        <w:t xml:space="preserve"> ℃</w:t>
      </w:r>
      <w:bookmarkStart w:id="116" w:name="OLE_LINK19"/>
      <w:bookmarkStart w:id="117" w:name="OLE_LINK20"/>
      <w:r w:rsidR="009B08B3" w:rsidRPr="008F1DDF">
        <w:rPr>
          <w:rFonts w:hint="eastAsia"/>
        </w:rPr>
        <w:t>～</w:t>
      </w:r>
      <w:bookmarkEnd w:id="116"/>
      <w:bookmarkEnd w:id="117"/>
      <w:r w:rsidR="009B08B3" w:rsidRPr="008F1DDF">
        <w:rPr>
          <w:rFonts w:hint="eastAsia"/>
        </w:rPr>
        <w:t>+40 ℃</w:t>
      </w:r>
      <w:r w:rsidR="004B72B4" w:rsidRPr="008F1DDF">
        <w:rPr>
          <w:rFonts w:hint="eastAsia"/>
        </w:rPr>
        <w:t>；</w:t>
      </w:r>
    </w:p>
    <w:p w:rsidR="002B22BD" w:rsidRPr="008F1DDF" w:rsidRDefault="00F9175C" w:rsidP="00FD2FDE">
      <w:pPr>
        <w:pStyle w:val="af5"/>
        <w:spacing w:line="288" w:lineRule="auto"/>
      </w:pPr>
      <w:r w:rsidRPr="008F1DDF">
        <w:rPr>
          <w:rFonts w:hint="eastAsia"/>
        </w:rPr>
        <w:t>相对湿度</w:t>
      </w:r>
      <w:r w:rsidR="004B72B4" w:rsidRPr="008F1DDF">
        <w:t>：</w:t>
      </w:r>
      <w:r w:rsidR="009B08B3" w:rsidRPr="008F1DDF">
        <w:rPr>
          <w:rFonts w:hint="eastAsia"/>
        </w:rPr>
        <w:t>5%～95%</w:t>
      </w:r>
      <w:r w:rsidR="004B72B4" w:rsidRPr="008F1DDF">
        <w:rPr>
          <w:rFonts w:hint="eastAsia"/>
        </w:rPr>
        <w:t>；</w:t>
      </w:r>
    </w:p>
    <w:p w:rsidR="008F1DDF" w:rsidRPr="008F1DDF" w:rsidRDefault="004B72B4" w:rsidP="00FD2FDE">
      <w:pPr>
        <w:pStyle w:val="af5"/>
        <w:spacing w:line="288" w:lineRule="auto"/>
      </w:pPr>
      <w:r w:rsidRPr="008F1DDF">
        <w:rPr>
          <w:rFonts w:hint="eastAsia"/>
        </w:rPr>
        <w:t>海拔：≤2 000 m。</w:t>
      </w:r>
    </w:p>
    <w:p w:rsidR="002B22BD" w:rsidRDefault="004B72B4" w:rsidP="00FD2FDE">
      <w:pPr>
        <w:pStyle w:val="affc"/>
        <w:spacing w:before="240" w:after="240" w:line="288" w:lineRule="auto"/>
      </w:pPr>
      <w:bookmarkStart w:id="118" w:name="_Toc172966381"/>
      <w:bookmarkStart w:id="119" w:name="_Toc172966255"/>
      <w:bookmarkStart w:id="120" w:name="_Toc175906446"/>
      <w:bookmarkStart w:id="121" w:name="_Toc172966013"/>
      <w:bookmarkStart w:id="122" w:name="_Toc176436390"/>
      <w:bookmarkStart w:id="123" w:name="_Toc217468503"/>
      <w:r>
        <w:rPr>
          <w:rFonts w:hint="eastAsia"/>
        </w:rPr>
        <w:t>技术要求</w:t>
      </w:r>
      <w:bookmarkEnd w:id="118"/>
      <w:bookmarkEnd w:id="119"/>
      <w:bookmarkEnd w:id="120"/>
      <w:bookmarkEnd w:id="121"/>
      <w:bookmarkEnd w:id="122"/>
      <w:bookmarkEnd w:id="123"/>
    </w:p>
    <w:p w:rsidR="002B22BD" w:rsidRDefault="004B72B4" w:rsidP="00FD2FDE">
      <w:pPr>
        <w:pStyle w:val="affd"/>
        <w:spacing w:before="120" w:after="120" w:line="288" w:lineRule="auto"/>
      </w:pPr>
      <w:r>
        <w:rPr>
          <w:rFonts w:hint="eastAsia"/>
        </w:rPr>
        <w:t>基本要求</w:t>
      </w:r>
    </w:p>
    <w:p w:rsidR="006B7EBD" w:rsidRDefault="004B72B4" w:rsidP="00FD2FDE">
      <w:pPr>
        <w:pStyle w:val="affffffffa"/>
        <w:spacing w:line="288" w:lineRule="auto"/>
      </w:pPr>
      <w:r>
        <w:rPr>
          <w:rFonts w:hint="eastAsia"/>
        </w:rPr>
        <w:t xml:space="preserve">充电装备中锂离子电池单体应符合 </w:t>
      </w:r>
      <w:bookmarkStart w:id="124" w:name="OLE_LINK23"/>
      <w:bookmarkStart w:id="125" w:name="OLE_LINK24"/>
      <w:r>
        <w:rPr>
          <w:rFonts w:hint="eastAsia"/>
        </w:rPr>
        <w:t>GB/T 36276</w:t>
      </w:r>
      <w:bookmarkEnd w:id="124"/>
      <w:bookmarkEnd w:id="125"/>
      <w:r>
        <w:rPr>
          <w:rFonts w:hint="eastAsia"/>
        </w:rPr>
        <w:t xml:space="preserve"> 的规定。</w:t>
      </w:r>
    </w:p>
    <w:p w:rsidR="006B7EBD" w:rsidRDefault="004B72B4" w:rsidP="00FD2FDE">
      <w:pPr>
        <w:pStyle w:val="affffffffa"/>
        <w:spacing w:line="288" w:lineRule="auto"/>
      </w:pPr>
      <w:r>
        <w:rPr>
          <w:rFonts w:hint="eastAsia"/>
        </w:rPr>
        <w:t xml:space="preserve">充电装备中电池管理系统应符合 </w:t>
      </w:r>
      <w:bookmarkStart w:id="126" w:name="OLE_LINK33"/>
      <w:bookmarkStart w:id="127" w:name="OLE_LINK34"/>
      <w:r>
        <w:rPr>
          <w:rFonts w:hint="eastAsia"/>
        </w:rPr>
        <w:t>GB/T 34131</w:t>
      </w:r>
      <w:bookmarkEnd w:id="126"/>
      <w:bookmarkEnd w:id="127"/>
      <w:r>
        <w:rPr>
          <w:rFonts w:hint="eastAsia"/>
        </w:rPr>
        <w:t xml:space="preserve"> 的规定。</w:t>
      </w:r>
    </w:p>
    <w:p w:rsidR="005108F4" w:rsidRDefault="004B72B4" w:rsidP="00FD2FDE">
      <w:pPr>
        <w:pStyle w:val="affffffffa"/>
        <w:spacing w:line="288" w:lineRule="auto"/>
      </w:pPr>
      <w:r>
        <w:rPr>
          <w:rFonts w:hint="eastAsia"/>
        </w:rPr>
        <w:t>充电装备中机械开关设备特性应符合 GB/T 18487.1—2023 中 11.2 的规定。</w:t>
      </w:r>
    </w:p>
    <w:p w:rsidR="005108F4" w:rsidRDefault="005108F4" w:rsidP="00FD2FDE">
      <w:pPr>
        <w:pStyle w:val="affffffffa"/>
        <w:spacing w:line="288" w:lineRule="auto"/>
      </w:pPr>
      <w:r w:rsidRPr="005108F4">
        <w:rPr>
          <w:rFonts w:hint="eastAsia"/>
        </w:rPr>
        <w:t>其他零部件应经检验合格，外购件、外协件应有合格证方可进行装配。</w:t>
      </w:r>
    </w:p>
    <w:p w:rsidR="002B22BD" w:rsidRDefault="004B72B4" w:rsidP="00FD2FDE">
      <w:pPr>
        <w:pStyle w:val="affd"/>
        <w:spacing w:before="120" w:after="120" w:line="288" w:lineRule="auto"/>
      </w:pPr>
      <w:r>
        <w:t>外观</w:t>
      </w:r>
    </w:p>
    <w:p w:rsidR="002B22BD" w:rsidRDefault="004B72B4" w:rsidP="00FD2FDE">
      <w:pPr>
        <w:pStyle w:val="affffffffa"/>
        <w:spacing w:line="288" w:lineRule="auto"/>
      </w:pPr>
      <w:r>
        <w:rPr>
          <w:rFonts w:hint="eastAsia"/>
        </w:rPr>
        <w:t>充电装备（含充电连接装置）的外壳应平整，不应有凹凸痕、划伤、变形等缺陷。</w:t>
      </w:r>
    </w:p>
    <w:p w:rsidR="002B22BD" w:rsidRDefault="004B72B4" w:rsidP="00FD2FDE">
      <w:pPr>
        <w:pStyle w:val="affffffffa"/>
        <w:spacing w:line="288" w:lineRule="auto"/>
      </w:pPr>
      <w:r>
        <w:rPr>
          <w:rFonts w:hint="eastAsia"/>
        </w:rPr>
        <w:t>充电装备表面的涂镀层应均匀，不应脱落。</w:t>
      </w:r>
    </w:p>
    <w:p w:rsidR="002B22BD" w:rsidRDefault="004B72B4" w:rsidP="00FD2FDE">
      <w:pPr>
        <w:pStyle w:val="affffffffa"/>
        <w:spacing w:line="288" w:lineRule="auto"/>
      </w:pPr>
      <w:r>
        <w:rPr>
          <w:rFonts w:hint="eastAsia"/>
        </w:rPr>
        <w:t>充电装备零部件（含充电连接装置）应紧固可靠，不应有锈蚀、毛刺、裂纹等缺陷和损伤。</w:t>
      </w:r>
    </w:p>
    <w:p w:rsidR="002B22BD" w:rsidRDefault="004B72B4" w:rsidP="00FD2FDE">
      <w:pPr>
        <w:pStyle w:val="affffffffa"/>
        <w:spacing w:line="288" w:lineRule="auto"/>
      </w:pPr>
      <w:r>
        <w:rPr>
          <w:rFonts w:hint="eastAsia"/>
        </w:rPr>
        <w:t>充电装备各焊接部位应牢固、焊缝均匀，不应有漏焊、咬边、气孔、飞溅等分缺陷。</w:t>
      </w:r>
    </w:p>
    <w:p w:rsidR="002B22BD" w:rsidRDefault="004B72B4" w:rsidP="00FD2FDE">
      <w:pPr>
        <w:pStyle w:val="affffffffa"/>
        <w:spacing w:line="288" w:lineRule="auto"/>
      </w:pPr>
      <w:r>
        <w:rPr>
          <w:rFonts w:hint="eastAsia"/>
        </w:rPr>
        <w:t>充电装备铁质外壳和暴露的铁质零件应采用双重防锈措施，非铁质的金属外壳应具有防氧化保护膜或进行防氧化处理。</w:t>
      </w:r>
    </w:p>
    <w:p w:rsidR="002B22BD" w:rsidRDefault="004B72B4" w:rsidP="00FD2FDE">
      <w:pPr>
        <w:pStyle w:val="affffffffa"/>
        <w:spacing w:line="288" w:lineRule="auto"/>
      </w:pPr>
      <w:r>
        <w:rPr>
          <w:rFonts w:hint="eastAsia"/>
        </w:rPr>
        <w:t>内部印刷线路板、接插件等电路应进行防潮湿、防霉变、防盐雾处理，充电线缆不应有松动、破损，防水护套处线缆不应脱出裸露。</w:t>
      </w:r>
    </w:p>
    <w:p w:rsidR="002B22BD" w:rsidRDefault="004B72B4" w:rsidP="00FD2FDE">
      <w:pPr>
        <w:pStyle w:val="affffffffa"/>
        <w:spacing w:line="288" w:lineRule="auto"/>
      </w:pPr>
      <w:r>
        <w:rPr>
          <w:rFonts w:hint="eastAsia"/>
        </w:rPr>
        <w:t>显示屏</w:t>
      </w:r>
      <w:proofErr w:type="gramStart"/>
      <w:r>
        <w:rPr>
          <w:rFonts w:hint="eastAsia"/>
        </w:rPr>
        <w:t>应反应</w:t>
      </w:r>
      <w:proofErr w:type="gramEnd"/>
      <w:r>
        <w:rPr>
          <w:rFonts w:hint="eastAsia"/>
        </w:rPr>
        <w:t>灵敏，屏幕上的字符、图案应正确、清晰，不应有缺损、跳线等现象。</w:t>
      </w:r>
    </w:p>
    <w:p w:rsidR="002B22BD" w:rsidRDefault="004B72B4" w:rsidP="00FD2FDE">
      <w:pPr>
        <w:pStyle w:val="affffffffa"/>
        <w:spacing w:line="288" w:lineRule="auto"/>
      </w:pPr>
      <w:r>
        <w:rPr>
          <w:rFonts w:hint="eastAsia"/>
        </w:rPr>
        <w:t>指示灯应能正常指示。</w:t>
      </w:r>
    </w:p>
    <w:p w:rsidR="002B22BD" w:rsidRDefault="004B72B4" w:rsidP="00FD2FDE">
      <w:pPr>
        <w:pStyle w:val="affffffffa"/>
        <w:spacing w:line="288" w:lineRule="auto"/>
      </w:pPr>
      <w:r>
        <w:rPr>
          <w:rFonts w:hint="eastAsia"/>
        </w:rPr>
        <w:lastRenderedPageBreak/>
        <w:t>充电装备应配有门锁并能正常上锁。</w:t>
      </w:r>
    </w:p>
    <w:p w:rsidR="002B22BD" w:rsidRDefault="004B72B4" w:rsidP="00FD2FDE">
      <w:pPr>
        <w:pStyle w:val="affd"/>
        <w:spacing w:before="120" w:after="120" w:line="288" w:lineRule="auto"/>
      </w:pPr>
      <w:r>
        <w:rPr>
          <w:rFonts w:hint="eastAsia"/>
        </w:rPr>
        <w:t>结构</w:t>
      </w:r>
    </w:p>
    <w:p w:rsidR="002B22BD" w:rsidRDefault="004B72B4" w:rsidP="00FD2FDE">
      <w:pPr>
        <w:pStyle w:val="affffffffa"/>
        <w:spacing w:line="288" w:lineRule="auto"/>
      </w:pPr>
      <w:r>
        <w:rPr>
          <w:rFonts w:hint="eastAsia"/>
        </w:rPr>
        <w:t>充电装备的结构应布局合理，电气连接应可靠、不易脱落。</w:t>
      </w:r>
    </w:p>
    <w:p w:rsidR="002B22BD" w:rsidRDefault="004B72B4" w:rsidP="00FD2FDE">
      <w:pPr>
        <w:pStyle w:val="affffffffa"/>
        <w:spacing w:line="288" w:lineRule="auto"/>
      </w:pPr>
      <w:r>
        <w:rPr>
          <w:rFonts w:hint="eastAsia"/>
        </w:rPr>
        <w:t>零部件连接应紧固无松动。开关、按键</w:t>
      </w:r>
      <w:proofErr w:type="gramStart"/>
      <w:r>
        <w:rPr>
          <w:rFonts w:hint="eastAsia"/>
        </w:rPr>
        <w:t>应操作</w:t>
      </w:r>
      <w:proofErr w:type="gramEnd"/>
      <w:r>
        <w:rPr>
          <w:rFonts w:hint="eastAsia"/>
        </w:rPr>
        <w:t>灵活可靠。内饰件应装配牢固、可靠，无漏装、错装、装配不良等现象。</w:t>
      </w:r>
    </w:p>
    <w:p w:rsidR="002B22BD" w:rsidRDefault="004B72B4" w:rsidP="00FD2FDE">
      <w:pPr>
        <w:pStyle w:val="affd"/>
        <w:spacing w:before="120" w:after="120" w:line="288" w:lineRule="auto"/>
      </w:pPr>
      <w:r>
        <w:rPr>
          <w:rFonts w:hint="eastAsia"/>
        </w:rPr>
        <w:t>功能</w:t>
      </w:r>
    </w:p>
    <w:p w:rsidR="002B22BD" w:rsidRDefault="004B72B4" w:rsidP="00FD2FDE">
      <w:pPr>
        <w:pStyle w:val="affe"/>
        <w:spacing w:before="120" w:after="120" w:line="288" w:lineRule="auto"/>
      </w:pPr>
      <w:r>
        <w:rPr>
          <w:rFonts w:hint="eastAsia"/>
        </w:rPr>
        <w:t>充电方式选择</w:t>
      </w:r>
    </w:p>
    <w:p w:rsidR="002B22BD" w:rsidRDefault="004B72B4" w:rsidP="00FD2FDE">
      <w:pPr>
        <w:pStyle w:val="affffe"/>
        <w:spacing w:line="288" w:lineRule="auto"/>
        <w:ind w:firstLine="420"/>
      </w:pPr>
      <w:r>
        <w:rPr>
          <w:rFonts w:hint="eastAsia"/>
        </w:rPr>
        <w:t>应能选择以下任</w:t>
      </w:r>
      <w:proofErr w:type="gramStart"/>
      <w:r>
        <w:rPr>
          <w:rFonts w:hint="eastAsia"/>
        </w:rPr>
        <w:t>一</w:t>
      </w:r>
      <w:proofErr w:type="gramEnd"/>
      <w:r>
        <w:rPr>
          <w:rFonts w:hint="eastAsia"/>
        </w:rPr>
        <w:t>方式进行充电：</w:t>
      </w:r>
    </w:p>
    <w:p w:rsidR="002B22BD" w:rsidRDefault="004B72B4" w:rsidP="00FD2FDE">
      <w:pPr>
        <w:pStyle w:val="af2"/>
        <w:spacing w:line="288" w:lineRule="auto"/>
      </w:pPr>
      <w:r>
        <w:rPr>
          <w:rFonts w:hint="eastAsia"/>
        </w:rPr>
        <w:t>刷卡启动充电；</w:t>
      </w:r>
    </w:p>
    <w:p w:rsidR="002B22BD" w:rsidRDefault="004B72B4" w:rsidP="00FD2FDE">
      <w:pPr>
        <w:pStyle w:val="af2"/>
        <w:spacing w:line="288" w:lineRule="auto"/>
      </w:pPr>
      <w:r>
        <w:rPr>
          <w:rFonts w:hint="eastAsia"/>
        </w:rPr>
        <w:t>手机应用程序（APP）</w:t>
      </w:r>
      <w:proofErr w:type="gramStart"/>
      <w:r>
        <w:rPr>
          <w:rFonts w:hint="eastAsia"/>
        </w:rPr>
        <w:t>扫码充电</w:t>
      </w:r>
      <w:proofErr w:type="gramEnd"/>
      <w:r>
        <w:rPr>
          <w:rFonts w:hint="eastAsia"/>
        </w:rPr>
        <w:t>；</w:t>
      </w:r>
    </w:p>
    <w:p w:rsidR="002B22BD" w:rsidRDefault="004B72B4" w:rsidP="00FD2FDE">
      <w:pPr>
        <w:pStyle w:val="af2"/>
        <w:spacing w:line="288" w:lineRule="auto"/>
      </w:pPr>
      <w:r>
        <w:rPr>
          <w:rFonts w:hint="eastAsia"/>
        </w:rPr>
        <w:t>车辆识别码（VIN）启动充电；</w:t>
      </w:r>
    </w:p>
    <w:p w:rsidR="002B22BD" w:rsidRDefault="004B72B4" w:rsidP="00FD2FDE">
      <w:pPr>
        <w:pStyle w:val="af2"/>
        <w:spacing w:line="288" w:lineRule="auto"/>
      </w:pPr>
      <w:r>
        <w:rPr>
          <w:rFonts w:hint="eastAsia"/>
        </w:rPr>
        <w:t>本地启动充电。</w:t>
      </w:r>
    </w:p>
    <w:p w:rsidR="002B22BD" w:rsidRPr="00A638F8" w:rsidRDefault="004B72B4" w:rsidP="00FD2FDE">
      <w:pPr>
        <w:pStyle w:val="affe"/>
        <w:spacing w:before="120" w:after="120" w:line="288" w:lineRule="auto"/>
      </w:pPr>
      <w:r w:rsidRPr="00A638F8">
        <w:rPr>
          <w:rFonts w:hint="eastAsia"/>
        </w:rPr>
        <w:t>启停控制</w:t>
      </w:r>
    </w:p>
    <w:p w:rsidR="002B22BD" w:rsidRPr="00A638F8" w:rsidRDefault="004B72B4" w:rsidP="00FD2FDE">
      <w:pPr>
        <w:pStyle w:val="affffe"/>
        <w:spacing w:line="288" w:lineRule="auto"/>
        <w:ind w:firstLine="420"/>
      </w:pPr>
      <w:r w:rsidRPr="00A638F8">
        <w:rPr>
          <w:rFonts w:hint="eastAsia"/>
        </w:rPr>
        <w:t>充电装备收到启停指令后应执行相应的启动充电、停止充电操作。</w:t>
      </w:r>
    </w:p>
    <w:p w:rsidR="002B22BD" w:rsidRPr="00A638F8" w:rsidRDefault="004B72B4" w:rsidP="00FD2FDE">
      <w:pPr>
        <w:pStyle w:val="affe"/>
        <w:spacing w:before="120" w:after="120" w:line="288" w:lineRule="auto"/>
      </w:pPr>
      <w:r w:rsidRPr="00A638F8">
        <w:rPr>
          <w:rFonts w:hint="eastAsia"/>
        </w:rPr>
        <w:t>急停</w:t>
      </w:r>
    </w:p>
    <w:p w:rsidR="002B22BD" w:rsidRPr="00A638F8" w:rsidRDefault="004B72B4" w:rsidP="00FD2FDE">
      <w:pPr>
        <w:pStyle w:val="affffe"/>
        <w:spacing w:line="288" w:lineRule="auto"/>
        <w:ind w:firstLine="420"/>
      </w:pPr>
      <w:r w:rsidRPr="00A638F8">
        <w:rPr>
          <w:rFonts w:hint="eastAsia"/>
        </w:rPr>
        <w:t>当启动急停装置时，充电装备应切断直流输出和动力电源输出。</w:t>
      </w:r>
    </w:p>
    <w:p w:rsidR="002B22BD" w:rsidRPr="00A638F8" w:rsidRDefault="004B72B4" w:rsidP="00FD2FDE">
      <w:pPr>
        <w:pStyle w:val="affe"/>
        <w:spacing w:before="120" w:after="120" w:line="288" w:lineRule="auto"/>
      </w:pPr>
      <w:r w:rsidRPr="00A638F8">
        <w:rPr>
          <w:rFonts w:hint="eastAsia"/>
        </w:rPr>
        <w:t>紧急停机</w:t>
      </w:r>
    </w:p>
    <w:p w:rsidR="002B22BD" w:rsidRDefault="004D55CD" w:rsidP="00FD2FDE">
      <w:pPr>
        <w:pStyle w:val="affffe"/>
        <w:spacing w:line="288" w:lineRule="auto"/>
        <w:ind w:firstLine="420"/>
      </w:pPr>
      <w:r>
        <w:t>充电过程中检测到紧急情况时，充电装备应能在</w:t>
      </w:r>
      <w:r>
        <w:rPr>
          <w:rFonts w:hint="eastAsia"/>
        </w:rPr>
        <w:t xml:space="preserve"> 100 </w:t>
      </w:r>
      <w:proofErr w:type="spellStart"/>
      <w:r>
        <w:rPr>
          <w:rFonts w:hint="eastAsia"/>
        </w:rPr>
        <w:t>ms</w:t>
      </w:r>
      <w:proofErr w:type="spellEnd"/>
      <w:r>
        <w:rPr>
          <w:rFonts w:hint="eastAsia"/>
        </w:rPr>
        <w:t xml:space="preserve"> 内断开直流输出接触器。</w:t>
      </w:r>
    </w:p>
    <w:p w:rsidR="004D55CD" w:rsidRDefault="004D55CD" w:rsidP="00FD2FDE">
      <w:pPr>
        <w:pStyle w:val="affe"/>
        <w:spacing w:before="120" w:after="120" w:line="288" w:lineRule="auto"/>
      </w:pPr>
      <w:r>
        <w:rPr>
          <w:rFonts w:hint="eastAsia"/>
        </w:rPr>
        <w:t>故障停机</w:t>
      </w:r>
    </w:p>
    <w:p w:rsidR="004D55CD" w:rsidRPr="004D55CD" w:rsidRDefault="004D55CD" w:rsidP="00FD2FDE">
      <w:pPr>
        <w:pStyle w:val="affffe"/>
        <w:spacing w:line="288" w:lineRule="auto"/>
        <w:ind w:firstLine="420"/>
      </w:pPr>
      <w:r>
        <w:rPr>
          <w:rFonts w:hint="eastAsia"/>
        </w:rPr>
        <w:t>当检测到电动汽车通信控制器发生通信超时，充电装备应能在 5 s 内停止充电，并发出告警信息。</w:t>
      </w:r>
    </w:p>
    <w:p w:rsidR="002B22BD" w:rsidRDefault="004B72B4" w:rsidP="00FD2FDE">
      <w:pPr>
        <w:pStyle w:val="affe"/>
        <w:spacing w:before="120" w:after="120" w:line="288" w:lineRule="auto"/>
      </w:pPr>
      <w:r>
        <w:rPr>
          <w:rFonts w:hint="eastAsia"/>
        </w:rPr>
        <w:t>人机交互</w:t>
      </w:r>
    </w:p>
    <w:p w:rsidR="002B22BD" w:rsidRDefault="004B72B4" w:rsidP="00FD2FDE">
      <w:pPr>
        <w:pStyle w:val="affffe"/>
        <w:spacing w:line="288" w:lineRule="auto"/>
        <w:ind w:firstLine="420"/>
      </w:pPr>
      <w:r>
        <w:rPr>
          <w:rFonts w:hint="eastAsia"/>
        </w:rPr>
        <w:t>充电装备应能</w:t>
      </w:r>
      <w:proofErr w:type="gramStart"/>
      <w:r>
        <w:rPr>
          <w:rFonts w:hint="eastAsia"/>
        </w:rPr>
        <w:t>显示补能状态</w:t>
      </w:r>
      <w:proofErr w:type="gramEnd"/>
      <w:r>
        <w:rPr>
          <w:rFonts w:hint="eastAsia"/>
        </w:rPr>
        <w:t>、充电状态、充电枪枪口状态等信息。</w:t>
      </w:r>
    </w:p>
    <w:p w:rsidR="002B22BD" w:rsidRDefault="004B72B4" w:rsidP="00FD2FDE">
      <w:pPr>
        <w:pStyle w:val="affe"/>
        <w:spacing w:before="120" w:after="120" w:line="288" w:lineRule="auto"/>
      </w:pPr>
      <w:r>
        <w:rPr>
          <w:rFonts w:hint="eastAsia"/>
        </w:rPr>
        <w:t>计量</w:t>
      </w:r>
    </w:p>
    <w:p w:rsidR="002B22BD" w:rsidRDefault="004B72B4" w:rsidP="00FD2FDE">
      <w:pPr>
        <w:pStyle w:val="affffe"/>
        <w:spacing w:line="288" w:lineRule="auto"/>
        <w:ind w:firstLine="420"/>
      </w:pPr>
      <w:r>
        <w:rPr>
          <w:rFonts w:hint="eastAsia"/>
        </w:rPr>
        <w:t>充电装备应能对充电电能量进行计量，计量功能应符合 GB/T 29318 的规定。</w:t>
      </w:r>
    </w:p>
    <w:p w:rsidR="002B22BD" w:rsidRDefault="004B72B4" w:rsidP="00FD2FDE">
      <w:pPr>
        <w:pStyle w:val="affe"/>
        <w:spacing w:before="120" w:after="120" w:line="288" w:lineRule="auto"/>
      </w:pPr>
      <w:r>
        <w:rPr>
          <w:rFonts w:hint="eastAsia"/>
        </w:rPr>
        <w:t>消防报警和自动灭火</w:t>
      </w:r>
    </w:p>
    <w:p w:rsidR="002B22BD" w:rsidRDefault="004B72B4" w:rsidP="00FD2FDE">
      <w:pPr>
        <w:pStyle w:val="affffe"/>
        <w:spacing w:line="288" w:lineRule="auto"/>
        <w:ind w:firstLine="420"/>
      </w:pPr>
      <w:r>
        <w:rPr>
          <w:rFonts w:hint="eastAsia"/>
        </w:rPr>
        <w:t>当出现火情时充电装备应能通过远程或</w:t>
      </w:r>
      <w:proofErr w:type="gramStart"/>
      <w:r>
        <w:rPr>
          <w:rFonts w:hint="eastAsia"/>
        </w:rPr>
        <w:t>本地方式</w:t>
      </w:r>
      <w:proofErr w:type="gramEnd"/>
      <w:r>
        <w:rPr>
          <w:rFonts w:hint="eastAsia"/>
        </w:rPr>
        <w:t>发出消防报警，并进行自动灭火。</w:t>
      </w:r>
    </w:p>
    <w:p w:rsidR="002B22BD" w:rsidRDefault="004B72B4" w:rsidP="00FD2FDE">
      <w:pPr>
        <w:pStyle w:val="affd"/>
        <w:spacing w:before="120" w:after="120" w:line="288" w:lineRule="auto"/>
      </w:pPr>
      <w:r>
        <w:rPr>
          <w:rFonts w:hint="eastAsia"/>
        </w:rPr>
        <w:t>运行</w:t>
      </w:r>
    </w:p>
    <w:p w:rsidR="002B22BD" w:rsidRDefault="004B72B4" w:rsidP="00FD2FDE">
      <w:pPr>
        <w:pStyle w:val="affffe"/>
        <w:spacing w:line="288" w:lineRule="auto"/>
        <w:ind w:firstLine="420"/>
      </w:pPr>
      <w:r>
        <w:rPr>
          <w:rFonts w:hint="eastAsia"/>
        </w:rPr>
        <w:t>充电装备运行过程中应正常，不应出现异响等异常情况。</w:t>
      </w:r>
    </w:p>
    <w:p w:rsidR="002B22BD" w:rsidRDefault="004B72B4" w:rsidP="00FD2FDE">
      <w:pPr>
        <w:pStyle w:val="affd"/>
        <w:spacing w:before="120" w:after="120" w:line="288" w:lineRule="auto"/>
      </w:pPr>
      <w:r>
        <w:rPr>
          <w:rFonts w:hint="eastAsia"/>
        </w:rPr>
        <w:t>充电效率</w:t>
      </w:r>
    </w:p>
    <w:p w:rsidR="002B22BD" w:rsidRDefault="0097178B" w:rsidP="00FD2FDE">
      <w:pPr>
        <w:pStyle w:val="affffe"/>
        <w:spacing w:line="288" w:lineRule="auto"/>
        <w:ind w:firstLine="420"/>
      </w:pPr>
      <w:r>
        <w:t>在额定</w:t>
      </w:r>
      <w:r>
        <w:rPr>
          <w:rFonts w:hint="eastAsia"/>
        </w:rPr>
        <w:t>工况</w:t>
      </w:r>
      <w:r>
        <w:t>下，充电装备的转换效率应不低于</w:t>
      </w:r>
      <w:r>
        <w:rPr>
          <w:rFonts w:hint="eastAsia"/>
        </w:rPr>
        <w:t xml:space="preserve"> 94%。</w:t>
      </w:r>
    </w:p>
    <w:p w:rsidR="002B22BD" w:rsidRDefault="004B72B4" w:rsidP="00FD2FDE">
      <w:pPr>
        <w:pStyle w:val="affd"/>
        <w:spacing w:before="120" w:after="120" w:line="288" w:lineRule="auto"/>
      </w:pPr>
      <w:r>
        <w:rPr>
          <w:rFonts w:hint="eastAsia"/>
        </w:rPr>
        <w:t>移动性能</w:t>
      </w:r>
    </w:p>
    <w:p w:rsidR="002B22BD" w:rsidRDefault="004B72B4" w:rsidP="00FD2FDE">
      <w:pPr>
        <w:pStyle w:val="affffe"/>
        <w:spacing w:line="288" w:lineRule="auto"/>
        <w:ind w:firstLine="420"/>
      </w:pPr>
      <w:r>
        <w:rPr>
          <w:rFonts w:hint="eastAsia"/>
        </w:rPr>
        <w:lastRenderedPageBreak/>
        <w:t>应符合表 1 的规定。</w:t>
      </w:r>
    </w:p>
    <w:p w:rsidR="002B22BD" w:rsidRDefault="004B72B4" w:rsidP="00FD2FDE">
      <w:pPr>
        <w:pStyle w:val="aff2"/>
        <w:spacing w:before="120" w:after="120" w:line="288" w:lineRule="auto"/>
      </w:pPr>
      <w:r>
        <w:rPr>
          <w:rFonts w:hint="eastAsia"/>
        </w:rPr>
        <w:t>移动性能</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5"/>
        <w:gridCol w:w="4689"/>
      </w:tblGrid>
      <w:tr w:rsidR="002B22BD">
        <w:trPr>
          <w:tblHeader/>
          <w:jc w:val="center"/>
        </w:trPr>
        <w:tc>
          <w:tcPr>
            <w:tcW w:w="4685"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pPr>
            <w:r>
              <w:rPr>
                <w:rFonts w:hint="eastAsia"/>
              </w:rPr>
              <w:t>项目</w:t>
            </w:r>
          </w:p>
        </w:tc>
        <w:tc>
          <w:tcPr>
            <w:tcW w:w="4689"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pPr>
            <w:r>
              <w:rPr>
                <w:rFonts w:hint="eastAsia"/>
              </w:rPr>
              <w:t>性能</w:t>
            </w:r>
          </w:p>
        </w:tc>
      </w:tr>
      <w:tr w:rsidR="002B22BD">
        <w:trPr>
          <w:jc w:val="center"/>
        </w:trPr>
        <w:tc>
          <w:tcPr>
            <w:tcW w:w="4685" w:type="dxa"/>
            <w:tcBorders>
              <w:top w:val="single" w:sz="8" w:space="0" w:color="auto"/>
            </w:tcBorders>
            <w:shd w:val="clear" w:color="auto" w:fill="auto"/>
            <w:vAlign w:val="center"/>
          </w:tcPr>
          <w:p w:rsidR="002B22BD" w:rsidRDefault="004B72B4" w:rsidP="00FD2FDE">
            <w:pPr>
              <w:pStyle w:val="afffffffff2"/>
              <w:spacing w:line="288" w:lineRule="auto"/>
            </w:pPr>
            <w:bookmarkStart w:id="128" w:name="_Hlk217461798"/>
            <w:r>
              <w:rPr>
                <w:rFonts w:hint="eastAsia"/>
              </w:rPr>
              <w:t>移动形式</w:t>
            </w:r>
          </w:p>
        </w:tc>
        <w:tc>
          <w:tcPr>
            <w:tcW w:w="4689" w:type="dxa"/>
            <w:tcBorders>
              <w:top w:val="single" w:sz="8" w:space="0" w:color="auto"/>
            </w:tcBorders>
            <w:shd w:val="clear" w:color="auto" w:fill="auto"/>
            <w:vAlign w:val="center"/>
          </w:tcPr>
          <w:p w:rsidR="002B22BD" w:rsidRDefault="004B72B4" w:rsidP="00FD2FDE">
            <w:pPr>
              <w:pStyle w:val="afffffffff2"/>
              <w:spacing w:line="288" w:lineRule="auto"/>
            </w:pPr>
            <w:r>
              <w:rPr>
                <w:rFonts w:hint="eastAsia"/>
              </w:rPr>
              <w:t>无动力、遥控或自动驾驶</w:t>
            </w:r>
          </w:p>
        </w:tc>
      </w:tr>
      <w:tr w:rsidR="002B22BD">
        <w:trPr>
          <w:jc w:val="center"/>
        </w:trPr>
        <w:tc>
          <w:tcPr>
            <w:tcW w:w="4685" w:type="dxa"/>
            <w:shd w:val="clear" w:color="auto" w:fill="auto"/>
            <w:vAlign w:val="center"/>
          </w:tcPr>
          <w:p w:rsidR="002B22BD" w:rsidRDefault="004B72B4" w:rsidP="00FD2FDE">
            <w:pPr>
              <w:pStyle w:val="afffffffff2"/>
              <w:spacing w:line="288" w:lineRule="auto"/>
            </w:pPr>
            <w:r>
              <w:rPr>
                <w:rFonts w:hint="eastAsia"/>
              </w:rPr>
              <w:t>遥控有效控制距离</w:t>
            </w:r>
          </w:p>
        </w:tc>
        <w:tc>
          <w:tcPr>
            <w:tcW w:w="4689" w:type="dxa"/>
            <w:shd w:val="clear" w:color="auto" w:fill="auto"/>
            <w:vAlign w:val="center"/>
          </w:tcPr>
          <w:p w:rsidR="002B22BD" w:rsidRDefault="004B72B4" w:rsidP="00FD2FDE">
            <w:pPr>
              <w:pStyle w:val="afffffffff2"/>
              <w:spacing w:line="288" w:lineRule="auto"/>
            </w:pPr>
            <w:r>
              <w:rPr>
                <w:rFonts w:hint="eastAsia"/>
              </w:rPr>
              <w:t>≤50 m</w:t>
            </w:r>
          </w:p>
        </w:tc>
      </w:tr>
      <w:tr w:rsidR="002B22BD">
        <w:trPr>
          <w:jc w:val="center"/>
        </w:trPr>
        <w:tc>
          <w:tcPr>
            <w:tcW w:w="4685" w:type="dxa"/>
            <w:shd w:val="clear" w:color="auto" w:fill="auto"/>
            <w:vAlign w:val="center"/>
          </w:tcPr>
          <w:p w:rsidR="002B22BD" w:rsidRDefault="004B72B4" w:rsidP="00FD2FDE">
            <w:pPr>
              <w:pStyle w:val="afffffffff2"/>
              <w:spacing w:line="288" w:lineRule="auto"/>
            </w:pPr>
            <w:bookmarkStart w:id="129" w:name="OLE_LINK21"/>
            <w:bookmarkStart w:id="130" w:name="OLE_LINK22"/>
            <w:r>
              <w:rPr>
                <w:rFonts w:hint="eastAsia"/>
              </w:rPr>
              <w:t>最快移动速度</w:t>
            </w:r>
            <w:bookmarkEnd w:id="129"/>
            <w:bookmarkEnd w:id="130"/>
          </w:p>
        </w:tc>
        <w:tc>
          <w:tcPr>
            <w:tcW w:w="4689" w:type="dxa"/>
            <w:shd w:val="clear" w:color="auto" w:fill="auto"/>
            <w:vAlign w:val="center"/>
          </w:tcPr>
          <w:p w:rsidR="002B22BD" w:rsidRDefault="004B72B4" w:rsidP="00FD2FDE">
            <w:pPr>
              <w:pStyle w:val="afffffffff2"/>
              <w:spacing w:line="288" w:lineRule="auto"/>
            </w:pPr>
            <w:r>
              <w:rPr>
                <w:rFonts w:hint="eastAsia"/>
              </w:rPr>
              <w:t>15 km/h</w:t>
            </w:r>
          </w:p>
        </w:tc>
      </w:tr>
      <w:tr w:rsidR="002B22BD">
        <w:trPr>
          <w:jc w:val="center"/>
        </w:trPr>
        <w:tc>
          <w:tcPr>
            <w:tcW w:w="4685" w:type="dxa"/>
            <w:shd w:val="clear" w:color="auto" w:fill="auto"/>
            <w:vAlign w:val="center"/>
          </w:tcPr>
          <w:p w:rsidR="002B22BD" w:rsidRDefault="004B72B4" w:rsidP="00FD2FDE">
            <w:pPr>
              <w:pStyle w:val="afffffffff2"/>
              <w:spacing w:line="288" w:lineRule="auto"/>
            </w:pPr>
            <w:r>
              <w:rPr>
                <w:rFonts w:hint="eastAsia"/>
              </w:rPr>
              <w:t>满载最大爬坡度</w:t>
            </w:r>
          </w:p>
        </w:tc>
        <w:tc>
          <w:tcPr>
            <w:tcW w:w="4689" w:type="dxa"/>
            <w:shd w:val="clear" w:color="auto" w:fill="auto"/>
            <w:vAlign w:val="center"/>
          </w:tcPr>
          <w:p w:rsidR="002B22BD" w:rsidRDefault="004B72B4" w:rsidP="00FD2FDE">
            <w:pPr>
              <w:pStyle w:val="afffffffff2"/>
              <w:spacing w:line="288" w:lineRule="auto"/>
            </w:pPr>
            <w:r>
              <w:rPr>
                <w:rFonts w:hint="eastAsia"/>
              </w:rPr>
              <w:t>20%</w:t>
            </w:r>
          </w:p>
        </w:tc>
      </w:tr>
      <w:bookmarkEnd w:id="128"/>
    </w:tbl>
    <w:p w:rsidR="002B22BD" w:rsidRDefault="002B22BD" w:rsidP="00FD2FDE">
      <w:pPr>
        <w:pStyle w:val="affffe"/>
        <w:spacing w:line="288" w:lineRule="auto"/>
        <w:ind w:firstLine="420"/>
        <w:rPr>
          <w:highlight w:val="yellow"/>
        </w:rPr>
      </w:pPr>
    </w:p>
    <w:p w:rsidR="002B22BD" w:rsidRDefault="004B72B4" w:rsidP="00FD2FDE">
      <w:pPr>
        <w:pStyle w:val="affd"/>
        <w:spacing w:before="120" w:after="120" w:line="288" w:lineRule="auto"/>
      </w:pPr>
      <w:r>
        <w:rPr>
          <w:rFonts w:hint="eastAsia"/>
        </w:rPr>
        <w:t>通信</w:t>
      </w:r>
    </w:p>
    <w:p w:rsidR="002B22BD" w:rsidRDefault="004B72B4" w:rsidP="00FD2FDE">
      <w:pPr>
        <w:pStyle w:val="affffe"/>
        <w:spacing w:line="288" w:lineRule="auto"/>
        <w:ind w:firstLine="420"/>
      </w:pPr>
      <w:r>
        <w:rPr>
          <w:rFonts w:hint="eastAsia"/>
        </w:rPr>
        <w:t xml:space="preserve">应采用数字通信实现电动汽车与充电装备之间的数据交互，通信协议应符合 </w:t>
      </w:r>
      <w:bookmarkStart w:id="131" w:name="OLE_LINK12"/>
      <w:bookmarkStart w:id="132" w:name="OLE_LINK11"/>
      <w:r>
        <w:rPr>
          <w:rFonts w:hint="eastAsia"/>
        </w:rPr>
        <w:t>GB/T 27930</w:t>
      </w:r>
      <w:bookmarkEnd w:id="131"/>
      <w:bookmarkEnd w:id="132"/>
      <w:r>
        <w:rPr>
          <w:rFonts w:hint="eastAsia"/>
        </w:rPr>
        <w:t xml:space="preserve"> 的规定。</w:t>
      </w:r>
    </w:p>
    <w:p w:rsidR="002B22BD" w:rsidRDefault="004B72B4" w:rsidP="00FD2FDE">
      <w:pPr>
        <w:pStyle w:val="affd"/>
        <w:spacing w:before="120" w:after="120" w:line="288" w:lineRule="auto"/>
      </w:pPr>
      <w:r>
        <w:rPr>
          <w:rFonts w:hint="eastAsia"/>
        </w:rPr>
        <w:t>噪声</w:t>
      </w:r>
    </w:p>
    <w:p w:rsidR="002B22BD" w:rsidRDefault="004B72B4" w:rsidP="00FD2FDE">
      <w:pPr>
        <w:pStyle w:val="affffe"/>
        <w:spacing w:line="288" w:lineRule="auto"/>
        <w:ind w:firstLine="420"/>
      </w:pPr>
      <w:r>
        <w:rPr>
          <w:rFonts w:hint="eastAsia"/>
        </w:rPr>
        <w:t>充电装备在额定输出功率下稳定运行，在周围环境</w:t>
      </w:r>
      <w:r w:rsidRPr="00FD2FDE">
        <w:rPr>
          <w:rFonts w:hint="eastAsia"/>
        </w:rPr>
        <w:t>噪声不大于 40 dB（A） 的条件下，距离充电</w:t>
      </w:r>
      <w:proofErr w:type="gramStart"/>
      <w:r w:rsidR="00332EE5" w:rsidRPr="00FD2FDE">
        <w:rPr>
          <w:rFonts w:hint="eastAsia"/>
        </w:rPr>
        <w:t>装备</w:t>
      </w:r>
      <w:r w:rsidRPr="00FD2FDE">
        <w:rPr>
          <w:rFonts w:hint="eastAsia"/>
        </w:rPr>
        <w:t>水</w:t>
      </w:r>
      <w:proofErr w:type="gramEnd"/>
      <w:r w:rsidRPr="00FD2FDE">
        <w:rPr>
          <w:rFonts w:hint="eastAsia"/>
        </w:rPr>
        <w:t>平位置 1 m 处，离地面高度 1 m～1.5 m 处测量噪声，测得噪声最大值应</w:t>
      </w:r>
      <w:r w:rsidR="0077634C" w:rsidRPr="00FD2FDE">
        <w:rPr>
          <w:rFonts w:hint="eastAsia"/>
        </w:rPr>
        <w:t>符合表 2 的规定</w:t>
      </w:r>
      <w:r>
        <w:rPr>
          <w:rFonts w:hint="eastAsia"/>
        </w:rPr>
        <w:t>。</w:t>
      </w:r>
    </w:p>
    <w:p w:rsidR="0077634C" w:rsidRDefault="004D1867" w:rsidP="00FD2FDE">
      <w:pPr>
        <w:pStyle w:val="aff2"/>
        <w:spacing w:before="120" w:after="120" w:line="288" w:lineRule="auto"/>
      </w:pPr>
      <w:r>
        <w:t>噪声级别要求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4"/>
        <w:gridCol w:w="4690"/>
      </w:tblGrid>
      <w:tr w:rsidR="004D1867" w:rsidTr="004D1867">
        <w:trPr>
          <w:tblHeader/>
          <w:jc w:val="center"/>
        </w:trPr>
        <w:tc>
          <w:tcPr>
            <w:tcW w:w="4684" w:type="dxa"/>
            <w:tcBorders>
              <w:top w:val="single" w:sz="8" w:space="0" w:color="auto"/>
              <w:bottom w:val="single" w:sz="8" w:space="0" w:color="auto"/>
            </w:tcBorders>
            <w:shd w:val="clear" w:color="auto" w:fill="auto"/>
            <w:vAlign w:val="center"/>
          </w:tcPr>
          <w:p w:rsidR="004D1867" w:rsidRDefault="004D1867" w:rsidP="00FD2FDE">
            <w:pPr>
              <w:pStyle w:val="afffffffff2"/>
              <w:spacing w:line="288" w:lineRule="auto"/>
            </w:pPr>
            <w:r>
              <w:t>噪音等级</w:t>
            </w:r>
          </w:p>
        </w:tc>
        <w:tc>
          <w:tcPr>
            <w:tcW w:w="4690" w:type="dxa"/>
            <w:tcBorders>
              <w:top w:val="single" w:sz="8" w:space="0" w:color="auto"/>
              <w:bottom w:val="single" w:sz="8" w:space="0" w:color="auto"/>
            </w:tcBorders>
            <w:shd w:val="clear" w:color="auto" w:fill="auto"/>
            <w:vAlign w:val="center"/>
          </w:tcPr>
          <w:p w:rsidR="004D1867" w:rsidRDefault="004D1867" w:rsidP="00FD2FDE">
            <w:pPr>
              <w:pStyle w:val="afffffffff2"/>
              <w:spacing w:line="288" w:lineRule="auto"/>
            </w:pPr>
            <w:r>
              <w:t>噪声最大值</w:t>
            </w:r>
            <w:r>
              <w:rPr>
                <w:rFonts w:hint="eastAsia"/>
              </w:rPr>
              <w:t xml:space="preserve"> </w:t>
            </w:r>
            <w:bookmarkStart w:id="133" w:name="OLE_LINK15"/>
            <w:bookmarkStart w:id="134" w:name="OLE_LINK16"/>
            <w:r w:rsidRPr="004D1867">
              <w:rPr>
                <w:rFonts w:ascii="Times New Roman"/>
                <w:i/>
              </w:rPr>
              <w:t>L</w:t>
            </w:r>
            <w:bookmarkEnd w:id="133"/>
            <w:bookmarkEnd w:id="134"/>
            <w:r>
              <w:rPr>
                <w:rFonts w:hint="eastAsia"/>
              </w:rPr>
              <w:t>/dB（A）</w:t>
            </w:r>
          </w:p>
        </w:tc>
      </w:tr>
      <w:tr w:rsidR="004D1867" w:rsidTr="004D1867">
        <w:trPr>
          <w:jc w:val="center"/>
        </w:trPr>
        <w:tc>
          <w:tcPr>
            <w:tcW w:w="4684" w:type="dxa"/>
            <w:tcBorders>
              <w:top w:val="single" w:sz="8" w:space="0" w:color="auto"/>
            </w:tcBorders>
            <w:shd w:val="clear" w:color="auto" w:fill="auto"/>
            <w:vAlign w:val="center"/>
          </w:tcPr>
          <w:p w:rsidR="004D1867" w:rsidRDefault="004D1867" w:rsidP="00FD2FDE">
            <w:pPr>
              <w:pStyle w:val="afffffffff2"/>
              <w:spacing w:line="288" w:lineRule="auto"/>
            </w:pPr>
            <w:r w:rsidRPr="004D1867">
              <w:rPr>
                <w:rFonts w:hint="eastAsia"/>
              </w:rPr>
              <w:t>Ⅰ</w:t>
            </w:r>
            <w:bookmarkStart w:id="135" w:name="OLE_LINK13"/>
            <w:bookmarkStart w:id="136" w:name="OLE_LINK14"/>
            <w:r>
              <w:rPr>
                <w:rFonts w:hint="eastAsia"/>
              </w:rPr>
              <w:t>级</w:t>
            </w:r>
            <w:bookmarkEnd w:id="135"/>
            <w:bookmarkEnd w:id="136"/>
          </w:p>
        </w:tc>
        <w:tc>
          <w:tcPr>
            <w:tcW w:w="4690" w:type="dxa"/>
            <w:tcBorders>
              <w:top w:val="single" w:sz="8" w:space="0" w:color="auto"/>
            </w:tcBorders>
            <w:shd w:val="clear" w:color="auto" w:fill="auto"/>
            <w:vAlign w:val="center"/>
          </w:tcPr>
          <w:p w:rsidR="004D1867" w:rsidRDefault="004D1867" w:rsidP="00FD2FDE">
            <w:pPr>
              <w:pStyle w:val="afffffffff2"/>
              <w:spacing w:line="288" w:lineRule="auto"/>
            </w:pPr>
            <w:r w:rsidRPr="004D1867">
              <w:rPr>
                <w:rFonts w:ascii="Times New Roman"/>
                <w:i/>
              </w:rPr>
              <w:t>L</w:t>
            </w:r>
            <w:r w:rsidRPr="004D1867">
              <w:rPr>
                <w:rFonts w:hAnsi="宋体"/>
              </w:rPr>
              <w:t>≤</w:t>
            </w:r>
            <w:r>
              <w:rPr>
                <w:rFonts w:hint="eastAsia"/>
              </w:rPr>
              <w:t>55</w:t>
            </w:r>
          </w:p>
        </w:tc>
      </w:tr>
      <w:tr w:rsidR="004D1867" w:rsidTr="004D1867">
        <w:trPr>
          <w:jc w:val="center"/>
        </w:trPr>
        <w:tc>
          <w:tcPr>
            <w:tcW w:w="4684" w:type="dxa"/>
            <w:shd w:val="clear" w:color="auto" w:fill="auto"/>
            <w:vAlign w:val="center"/>
          </w:tcPr>
          <w:p w:rsidR="004D1867" w:rsidRDefault="004D1867" w:rsidP="00FD2FDE">
            <w:pPr>
              <w:pStyle w:val="afffffffff2"/>
              <w:spacing w:line="288" w:lineRule="auto"/>
            </w:pPr>
            <w:r w:rsidRPr="004D1867">
              <w:rPr>
                <w:rFonts w:hint="eastAsia"/>
              </w:rPr>
              <w:t>Ⅱ</w:t>
            </w:r>
            <w:r>
              <w:rPr>
                <w:rFonts w:hint="eastAsia"/>
              </w:rPr>
              <w:t>级</w:t>
            </w:r>
          </w:p>
        </w:tc>
        <w:tc>
          <w:tcPr>
            <w:tcW w:w="4690" w:type="dxa"/>
            <w:shd w:val="clear" w:color="auto" w:fill="auto"/>
            <w:vAlign w:val="center"/>
          </w:tcPr>
          <w:p w:rsidR="004D1867" w:rsidRDefault="004D1867" w:rsidP="00FD2FDE">
            <w:pPr>
              <w:pStyle w:val="afffffffff2"/>
              <w:spacing w:line="288" w:lineRule="auto"/>
            </w:pPr>
            <w:bookmarkStart w:id="137" w:name="OLE_LINK17"/>
            <w:bookmarkStart w:id="138" w:name="OLE_LINK18"/>
            <w:r w:rsidRPr="004D1867">
              <w:rPr>
                <w:rFonts w:hAnsi="宋体" w:hint="eastAsia"/>
              </w:rPr>
              <w:t>55</w:t>
            </w:r>
            <w:r w:rsidRPr="004D1867">
              <w:rPr>
                <w:rFonts w:hAnsi="宋体" w:hint="eastAsia"/>
                <w:i/>
              </w:rPr>
              <w:t>＜</w:t>
            </w:r>
            <w:r w:rsidRPr="004D1867">
              <w:rPr>
                <w:rFonts w:ascii="Times New Roman"/>
                <w:i/>
              </w:rPr>
              <w:t>L</w:t>
            </w:r>
            <w:r w:rsidRPr="004D1867">
              <w:rPr>
                <w:rFonts w:hAnsi="宋体"/>
              </w:rPr>
              <w:t>≤</w:t>
            </w:r>
            <w:r>
              <w:rPr>
                <w:rFonts w:hint="eastAsia"/>
              </w:rPr>
              <w:t>65</w:t>
            </w:r>
            <w:bookmarkEnd w:id="137"/>
            <w:bookmarkEnd w:id="138"/>
          </w:p>
        </w:tc>
      </w:tr>
      <w:tr w:rsidR="004D1867" w:rsidTr="004D1867">
        <w:trPr>
          <w:jc w:val="center"/>
        </w:trPr>
        <w:tc>
          <w:tcPr>
            <w:tcW w:w="4684" w:type="dxa"/>
            <w:shd w:val="clear" w:color="auto" w:fill="auto"/>
            <w:vAlign w:val="center"/>
          </w:tcPr>
          <w:p w:rsidR="004D1867" w:rsidRDefault="004D1867" w:rsidP="00FD2FDE">
            <w:pPr>
              <w:pStyle w:val="afffffffff2"/>
              <w:spacing w:line="288" w:lineRule="auto"/>
            </w:pPr>
            <w:r w:rsidRPr="004D1867">
              <w:rPr>
                <w:rFonts w:hint="eastAsia"/>
              </w:rPr>
              <w:t>Ⅲ</w:t>
            </w:r>
            <w:r>
              <w:rPr>
                <w:rFonts w:hint="eastAsia"/>
              </w:rPr>
              <w:t>级</w:t>
            </w:r>
          </w:p>
        </w:tc>
        <w:tc>
          <w:tcPr>
            <w:tcW w:w="4690" w:type="dxa"/>
            <w:shd w:val="clear" w:color="auto" w:fill="auto"/>
            <w:vAlign w:val="center"/>
          </w:tcPr>
          <w:p w:rsidR="004D1867" w:rsidRDefault="004D1867" w:rsidP="00FD2FDE">
            <w:pPr>
              <w:pStyle w:val="afffffffff2"/>
              <w:spacing w:line="288" w:lineRule="auto"/>
            </w:pPr>
            <w:r>
              <w:rPr>
                <w:rFonts w:hAnsi="宋体" w:hint="eastAsia"/>
              </w:rPr>
              <w:t>65</w:t>
            </w:r>
            <w:r w:rsidRPr="004D1867">
              <w:rPr>
                <w:rFonts w:hAnsi="宋体" w:hint="eastAsia"/>
                <w:i/>
              </w:rPr>
              <w:t>＜</w:t>
            </w:r>
            <w:r w:rsidRPr="004D1867">
              <w:rPr>
                <w:rFonts w:ascii="Times New Roman"/>
                <w:i/>
              </w:rPr>
              <w:t>L</w:t>
            </w:r>
            <w:r w:rsidRPr="004D1867">
              <w:rPr>
                <w:rFonts w:hAnsi="宋体"/>
              </w:rPr>
              <w:t>≤</w:t>
            </w:r>
            <w:r>
              <w:rPr>
                <w:rFonts w:hint="eastAsia"/>
              </w:rPr>
              <w:t>80</w:t>
            </w:r>
          </w:p>
        </w:tc>
      </w:tr>
      <w:tr w:rsidR="004D1867" w:rsidTr="004D1867">
        <w:trPr>
          <w:jc w:val="center"/>
        </w:trPr>
        <w:tc>
          <w:tcPr>
            <w:tcW w:w="4684" w:type="dxa"/>
            <w:shd w:val="clear" w:color="auto" w:fill="auto"/>
            <w:vAlign w:val="center"/>
          </w:tcPr>
          <w:p w:rsidR="004D1867" w:rsidRDefault="004D1867" w:rsidP="00FD2FDE">
            <w:pPr>
              <w:pStyle w:val="afffffffff2"/>
              <w:spacing w:line="288" w:lineRule="auto"/>
            </w:pPr>
            <w:r w:rsidRPr="004D1867">
              <w:rPr>
                <w:rFonts w:hint="eastAsia"/>
              </w:rPr>
              <w:t>Ⅳ</w:t>
            </w:r>
            <w:r>
              <w:rPr>
                <w:rFonts w:hint="eastAsia"/>
              </w:rPr>
              <w:t>级</w:t>
            </w:r>
          </w:p>
        </w:tc>
        <w:tc>
          <w:tcPr>
            <w:tcW w:w="4690" w:type="dxa"/>
            <w:shd w:val="clear" w:color="auto" w:fill="auto"/>
            <w:vAlign w:val="center"/>
          </w:tcPr>
          <w:p w:rsidR="004D1867" w:rsidRDefault="004D1867" w:rsidP="00FD2FDE">
            <w:pPr>
              <w:pStyle w:val="afffffffff2"/>
              <w:spacing w:line="288" w:lineRule="auto"/>
            </w:pPr>
            <w:r w:rsidRPr="004D1867">
              <w:rPr>
                <w:rFonts w:ascii="Times New Roman"/>
                <w:i/>
              </w:rPr>
              <w:t>L</w:t>
            </w:r>
            <w:r>
              <w:t>＞</w:t>
            </w:r>
            <w:r>
              <w:rPr>
                <w:rFonts w:hint="eastAsia"/>
              </w:rPr>
              <w:t>80</w:t>
            </w:r>
          </w:p>
        </w:tc>
      </w:tr>
    </w:tbl>
    <w:p w:rsidR="004D1867" w:rsidRDefault="004D1867" w:rsidP="00FD2FDE">
      <w:pPr>
        <w:pStyle w:val="affffe"/>
        <w:spacing w:line="288" w:lineRule="auto"/>
        <w:ind w:firstLine="420"/>
      </w:pPr>
    </w:p>
    <w:p w:rsidR="004D1867" w:rsidRPr="004D1867" w:rsidRDefault="00B0569C" w:rsidP="00FD2FDE">
      <w:pPr>
        <w:pStyle w:val="afff2"/>
        <w:spacing w:line="288" w:lineRule="auto"/>
      </w:pPr>
      <w:r w:rsidRPr="00B0569C">
        <w:rPr>
          <w:rFonts w:hint="eastAsia"/>
        </w:rPr>
        <w:t>根据不同的</w:t>
      </w:r>
      <w:r w:rsidR="00DC75B9">
        <w:rPr>
          <w:rFonts w:hint="eastAsia"/>
        </w:rPr>
        <w:t>使用</w:t>
      </w:r>
      <w:r w:rsidRPr="00B0569C">
        <w:rPr>
          <w:rFonts w:hint="eastAsia"/>
        </w:rPr>
        <w:t>场所，充电</w:t>
      </w:r>
      <w:r>
        <w:rPr>
          <w:rFonts w:hint="eastAsia"/>
        </w:rPr>
        <w:t>装备</w:t>
      </w:r>
      <w:r w:rsidRPr="00B0569C">
        <w:rPr>
          <w:rFonts w:hint="eastAsia"/>
        </w:rPr>
        <w:t>在使用时的噪声应符合相关法律法规的要求。</w:t>
      </w:r>
    </w:p>
    <w:p w:rsidR="002B22BD" w:rsidRDefault="004B72B4" w:rsidP="00FD2FDE">
      <w:pPr>
        <w:pStyle w:val="affd"/>
        <w:spacing w:before="120" w:after="120" w:line="288" w:lineRule="auto"/>
      </w:pPr>
      <w:r>
        <w:rPr>
          <w:rFonts w:hint="eastAsia"/>
        </w:rPr>
        <w:t>防护等级</w:t>
      </w:r>
    </w:p>
    <w:p w:rsidR="002B22BD" w:rsidRDefault="004B72B4" w:rsidP="00FD2FDE">
      <w:pPr>
        <w:pStyle w:val="affffe"/>
        <w:spacing w:line="288" w:lineRule="auto"/>
        <w:ind w:firstLine="420"/>
      </w:pPr>
      <w:r>
        <w:rPr>
          <w:rFonts w:hint="eastAsia"/>
        </w:rPr>
        <w:t>整机</w:t>
      </w:r>
      <w:bookmarkStart w:id="139" w:name="OLE_LINK10"/>
      <w:bookmarkStart w:id="140" w:name="OLE_LINK9"/>
      <w:r>
        <w:rPr>
          <w:rFonts w:hint="eastAsia"/>
        </w:rPr>
        <w:t>防护等级应不低于 GB/T 4208—2017 中 IP54 的规定</w:t>
      </w:r>
      <w:bookmarkEnd w:id="139"/>
      <w:bookmarkEnd w:id="140"/>
      <w:r>
        <w:rPr>
          <w:rFonts w:hint="eastAsia"/>
        </w:rPr>
        <w:t>，电池包防护等级应不低于 GB/T 4208—2017 中 IP67 的规定。</w:t>
      </w:r>
    </w:p>
    <w:p w:rsidR="002B22BD" w:rsidRDefault="004B72B4" w:rsidP="00FD2FDE">
      <w:pPr>
        <w:pStyle w:val="affd"/>
        <w:spacing w:before="120" w:after="120" w:line="288" w:lineRule="auto"/>
      </w:pPr>
      <w:r>
        <w:rPr>
          <w:rFonts w:hint="eastAsia"/>
        </w:rPr>
        <w:t>环境适应性</w:t>
      </w:r>
    </w:p>
    <w:p w:rsidR="002B22BD" w:rsidRDefault="004B72B4" w:rsidP="00FD2FDE">
      <w:pPr>
        <w:pStyle w:val="affe"/>
        <w:spacing w:before="120" w:after="120" w:line="288" w:lineRule="auto"/>
      </w:pPr>
      <w:r>
        <w:rPr>
          <w:rFonts w:hint="eastAsia"/>
        </w:rPr>
        <w:t>低温工作</w:t>
      </w:r>
    </w:p>
    <w:p w:rsidR="002B22BD" w:rsidRDefault="004B72B4" w:rsidP="00FD2FDE">
      <w:pPr>
        <w:pStyle w:val="affffe"/>
        <w:spacing w:line="288" w:lineRule="auto"/>
        <w:ind w:firstLine="420"/>
      </w:pPr>
      <w:r>
        <w:rPr>
          <w:rFonts w:hint="eastAsia"/>
        </w:rPr>
        <w:t>充电装备在 -25 ℃ 的温度下进行低温工作试验，试验时间持续 2 h，应能正常工作。</w:t>
      </w:r>
    </w:p>
    <w:p w:rsidR="002B22BD" w:rsidRDefault="004B72B4" w:rsidP="00FD2FDE">
      <w:pPr>
        <w:pStyle w:val="affe"/>
        <w:spacing w:before="120" w:after="120" w:line="288" w:lineRule="auto"/>
      </w:pPr>
      <w:r>
        <w:rPr>
          <w:rFonts w:hint="eastAsia"/>
        </w:rPr>
        <w:t>高温工作</w:t>
      </w:r>
    </w:p>
    <w:p w:rsidR="002B22BD" w:rsidRDefault="004B72B4" w:rsidP="00FD2FDE">
      <w:pPr>
        <w:pStyle w:val="affffe"/>
        <w:spacing w:line="288" w:lineRule="auto"/>
        <w:ind w:firstLine="420"/>
      </w:pPr>
      <w:r>
        <w:rPr>
          <w:rFonts w:hint="eastAsia"/>
        </w:rPr>
        <w:t>充电装备在 45 ℃ 温度下进行高温工作试验，试验时间持续 2 h，应能正常工作。</w:t>
      </w:r>
    </w:p>
    <w:p w:rsidR="002B22BD" w:rsidRDefault="004B72B4" w:rsidP="00FD2FDE">
      <w:pPr>
        <w:pStyle w:val="affe"/>
        <w:spacing w:before="120" w:after="120" w:line="288" w:lineRule="auto"/>
      </w:pPr>
      <w:r>
        <w:rPr>
          <w:rFonts w:hint="eastAsia"/>
        </w:rPr>
        <w:t>交变湿热</w:t>
      </w:r>
    </w:p>
    <w:p w:rsidR="002B22BD" w:rsidRDefault="004B72B4" w:rsidP="00FD2FDE">
      <w:pPr>
        <w:pStyle w:val="affffe"/>
        <w:spacing w:line="288" w:lineRule="auto"/>
        <w:ind w:firstLine="420"/>
      </w:pPr>
      <w:r>
        <w:rPr>
          <w:rFonts w:hint="eastAsia"/>
        </w:rPr>
        <w:t>充电装备进行交变湿热试验，试验温度为 40 ℃，循环次数为 2 次，试验结束后，恢复至正常大气条件，通电后充电装备应能正常工作。</w:t>
      </w:r>
    </w:p>
    <w:p w:rsidR="002B22BD" w:rsidRDefault="004B72B4" w:rsidP="00FD2FDE">
      <w:pPr>
        <w:pStyle w:val="affd"/>
        <w:spacing w:before="120" w:after="120" w:line="288" w:lineRule="auto"/>
      </w:pPr>
      <w:r>
        <w:t>安全要求</w:t>
      </w:r>
    </w:p>
    <w:p w:rsidR="002B22BD" w:rsidRDefault="004B72B4" w:rsidP="00FD2FDE">
      <w:pPr>
        <w:pStyle w:val="affffe"/>
        <w:spacing w:line="288" w:lineRule="auto"/>
        <w:ind w:firstLine="420"/>
      </w:pPr>
      <w:r>
        <w:rPr>
          <w:rFonts w:hint="eastAsia"/>
        </w:rPr>
        <w:t xml:space="preserve">应符合 </w:t>
      </w:r>
      <w:bookmarkStart w:id="141" w:name="OLE_LINK3"/>
      <w:bookmarkStart w:id="142" w:name="OLE_LINK4"/>
      <w:r>
        <w:rPr>
          <w:rFonts w:hint="eastAsia"/>
        </w:rPr>
        <w:t>GB 39752</w:t>
      </w:r>
      <w:bookmarkEnd w:id="141"/>
      <w:bookmarkEnd w:id="142"/>
      <w:r>
        <w:rPr>
          <w:rFonts w:hint="eastAsia"/>
        </w:rPr>
        <w:t xml:space="preserve"> 的相关规定。</w:t>
      </w:r>
    </w:p>
    <w:p w:rsidR="002B22BD" w:rsidRDefault="004B72B4" w:rsidP="00FD2FDE">
      <w:pPr>
        <w:pStyle w:val="affc"/>
        <w:spacing w:before="240" w:after="240" w:line="288" w:lineRule="auto"/>
      </w:pPr>
      <w:bookmarkStart w:id="143" w:name="_Toc172966382"/>
      <w:bookmarkStart w:id="144" w:name="_Toc163912036"/>
      <w:bookmarkStart w:id="145" w:name="_Toc160092239"/>
      <w:bookmarkStart w:id="146" w:name="_Toc172966256"/>
      <w:bookmarkStart w:id="147" w:name="_Toc176436391"/>
      <w:bookmarkStart w:id="148" w:name="_Toc172966014"/>
      <w:bookmarkStart w:id="149" w:name="_Toc159252386"/>
      <w:bookmarkStart w:id="150" w:name="_Toc175906447"/>
      <w:bookmarkStart w:id="151" w:name="_Toc217468504"/>
      <w:r>
        <w:lastRenderedPageBreak/>
        <w:t>试验方法</w:t>
      </w:r>
      <w:bookmarkEnd w:id="143"/>
      <w:bookmarkEnd w:id="144"/>
      <w:bookmarkEnd w:id="145"/>
      <w:bookmarkEnd w:id="146"/>
      <w:bookmarkEnd w:id="147"/>
      <w:bookmarkEnd w:id="148"/>
      <w:bookmarkEnd w:id="149"/>
      <w:bookmarkEnd w:id="150"/>
      <w:bookmarkEnd w:id="151"/>
    </w:p>
    <w:p w:rsidR="002B22BD" w:rsidRDefault="004B72B4" w:rsidP="00FD2FDE">
      <w:pPr>
        <w:pStyle w:val="affd"/>
        <w:spacing w:before="120" w:after="120" w:line="288" w:lineRule="auto"/>
      </w:pPr>
      <w:r>
        <w:rPr>
          <w:rFonts w:hint="eastAsia"/>
        </w:rPr>
        <w:t>外观</w:t>
      </w:r>
    </w:p>
    <w:p w:rsidR="002B22BD" w:rsidRDefault="004B72B4" w:rsidP="00FD2FDE">
      <w:pPr>
        <w:pStyle w:val="affffe"/>
        <w:spacing w:line="288" w:lineRule="auto"/>
        <w:ind w:firstLine="420"/>
      </w:pPr>
      <w:r>
        <w:rPr>
          <w:rFonts w:hint="eastAsia"/>
        </w:rPr>
        <w:t>在自然光线下目测检查。</w:t>
      </w:r>
    </w:p>
    <w:p w:rsidR="002B22BD" w:rsidRDefault="004B72B4" w:rsidP="00FD2FDE">
      <w:pPr>
        <w:pStyle w:val="affd"/>
        <w:spacing w:before="120" w:after="120" w:line="288" w:lineRule="auto"/>
      </w:pPr>
      <w:r>
        <w:rPr>
          <w:rFonts w:hint="eastAsia"/>
        </w:rPr>
        <w:t>结构</w:t>
      </w:r>
    </w:p>
    <w:p w:rsidR="002B22BD" w:rsidRDefault="004B72B4" w:rsidP="00FD2FDE">
      <w:pPr>
        <w:pStyle w:val="affffe"/>
        <w:spacing w:line="288" w:lineRule="auto"/>
        <w:ind w:firstLine="420"/>
      </w:pPr>
      <w:r>
        <w:rPr>
          <w:rFonts w:hint="eastAsia"/>
        </w:rPr>
        <w:t>目测和实际操作检验。</w:t>
      </w:r>
    </w:p>
    <w:p w:rsidR="002B22BD" w:rsidRDefault="004B72B4" w:rsidP="00FD2FDE">
      <w:pPr>
        <w:pStyle w:val="affd"/>
        <w:spacing w:before="120" w:after="120" w:line="288" w:lineRule="auto"/>
      </w:pPr>
      <w:r>
        <w:rPr>
          <w:rFonts w:hint="eastAsia"/>
        </w:rPr>
        <w:t>功能</w:t>
      </w:r>
    </w:p>
    <w:p w:rsidR="002B22BD" w:rsidRDefault="00A638F8" w:rsidP="00FD2FDE">
      <w:pPr>
        <w:pStyle w:val="affffe"/>
        <w:spacing w:line="288" w:lineRule="auto"/>
        <w:ind w:firstLine="420"/>
      </w:pPr>
      <w:r>
        <w:t>根据使用说明书</w:t>
      </w:r>
      <w:r w:rsidR="004B72B4">
        <w:t>实际操作检验。</w:t>
      </w:r>
    </w:p>
    <w:p w:rsidR="00A638F8" w:rsidRDefault="00A638F8" w:rsidP="00FD2FDE">
      <w:pPr>
        <w:pStyle w:val="affd"/>
        <w:spacing w:before="120" w:after="120" w:line="288" w:lineRule="auto"/>
      </w:pPr>
      <w:r>
        <w:rPr>
          <w:rFonts w:hint="eastAsia"/>
        </w:rPr>
        <w:t>运行</w:t>
      </w:r>
    </w:p>
    <w:p w:rsidR="00A638F8" w:rsidRPr="00A638F8" w:rsidRDefault="00A638F8" w:rsidP="00FD2FDE">
      <w:pPr>
        <w:pStyle w:val="affffe"/>
        <w:spacing w:line="288" w:lineRule="auto"/>
        <w:ind w:firstLine="420"/>
      </w:pPr>
      <w:r>
        <w:rPr>
          <w:rFonts w:hint="eastAsia"/>
        </w:rPr>
        <w:t>实际操作检验。</w:t>
      </w:r>
    </w:p>
    <w:p w:rsidR="00A638F8" w:rsidRDefault="00A638F8" w:rsidP="00FD2FDE">
      <w:pPr>
        <w:pStyle w:val="affd"/>
        <w:spacing w:before="120" w:after="120" w:line="288" w:lineRule="auto"/>
      </w:pPr>
      <w:r>
        <w:rPr>
          <w:rFonts w:hint="eastAsia"/>
        </w:rPr>
        <w:t>充电效率</w:t>
      </w:r>
    </w:p>
    <w:p w:rsidR="00A638F8" w:rsidRDefault="00BD5333" w:rsidP="00FD2FDE">
      <w:pPr>
        <w:pStyle w:val="affffe"/>
        <w:spacing w:line="288" w:lineRule="auto"/>
        <w:ind w:firstLine="420"/>
      </w:pPr>
      <w:r w:rsidRPr="00BD5333">
        <w:rPr>
          <w:rFonts w:hint="eastAsia"/>
        </w:rPr>
        <w:t>将充电</w:t>
      </w:r>
      <w:r>
        <w:rPr>
          <w:rFonts w:hint="eastAsia"/>
        </w:rPr>
        <w:t>装备</w:t>
      </w:r>
      <w:r w:rsidRPr="00BD5333">
        <w:rPr>
          <w:rFonts w:hint="eastAsia"/>
        </w:rPr>
        <w:t>连接试验系统，设置在恒压状态下运行，输入额定电压，</w:t>
      </w:r>
      <w:r w:rsidR="000C3673">
        <w:rPr>
          <w:rFonts w:hint="eastAsia"/>
        </w:rPr>
        <w:t>按公式（2）计算充电装备转化效率：</w:t>
      </w:r>
    </w:p>
    <w:p w:rsidR="000C3673" w:rsidRDefault="000C3673" w:rsidP="00FD2FDE">
      <w:pPr>
        <w:pStyle w:val="affffffa"/>
        <w:spacing w:line="288" w:lineRule="auto"/>
      </w:pPr>
      <w:r>
        <w:tab/>
      </w:r>
      <m:oMath>
        <m:r>
          <w:rPr>
            <w:rFonts w:ascii="Cambria Math" w:hAnsi="Cambria Math"/>
          </w:rPr>
          <m:t>η</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P</m:t>
                </m:r>
              </m:e>
              <m:sub>
                <m:r>
                  <w:rPr>
                    <w:rFonts w:ascii="Cambria Math" w:hAnsi="Cambria Math"/>
                  </w:rPr>
                  <m:t>0</m:t>
                </m:r>
              </m:sub>
            </m:sSub>
          </m:num>
          <m:den>
            <m:sSub>
              <m:sSubPr>
                <m:ctrlPr>
                  <w:rPr>
                    <w:rFonts w:ascii="Cambria Math" w:hAnsi="Cambria Math"/>
                    <w:i/>
                  </w:rPr>
                </m:ctrlPr>
              </m:sSubPr>
              <m:e>
                <m:r>
                  <w:rPr>
                    <w:rFonts w:ascii="Cambria Math" w:hAnsi="Cambria Math"/>
                  </w:rPr>
                  <m:t>P</m:t>
                </m:r>
              </m:e>
              <m:sub>
                <m:r>
                  <w:rPr>
                    <w:rFonts w:ascii="Cambria Math" w:hAnsi="Cambria Math"/>
                  </w:rPr>
                  <m:t>i</m:t>
                </m:r>
              </m:sub>
            </m:sSub>
          </m:den>
        </m:f>
        <m:r>
          <w:rPr>
            <w:rFonts w:ascii="Cambria Math" w:hAnsi="Cambria Math"/>
          </w:rPr>
          <m:t>×100%</m:t>
        </m:r>
      </m:oMath>
      <w:r w:rsidRPr="000C3673">
        <w:rPr>
          <w:rFonts w:ascii="微软雅黑" w:eastAsia="微软雅黑" w:hAnsi="微软雅黑"/>
        </w:rPr>
        <w:tab/>
      </w:r>
      <w:r>
        <w:t>(</w:t>
      </w:r>
      <w:r>
        <w:fldChar w:fldCharType="begin"/>
      </w:r>
      <w:r>
        <w:instrText xml:space="preserve"> AUTONUM </w:instrText>
      </w:r>
      <w:r>
        <w:fldChar w:fldCharType="end"/>
      </w:r>
      <w:r>
        <w:t>)</w:t>
      </w:r>
    </w:p>
    <w:p w:rsidR="000C3673" w:rsidRDefault="000C3673" w:rsidP="00FD2FDE">
      <w:pPr>
        <w:pStyle w:val="affffd"/>
        <w:spacing w:line="288" w:lineRule="auto"/>
        <w:ind w:firstLine="420"/>
      </w:pPr>
      <w:r>
        <w:rPr>
          <w:rFonts w:hint="eastAsia"/>
        </w:rPr>
        <w:t>式中：</w:t>
      </w:r>
    </w:p>
    <w:p w:rsidR="000C3673" w:rsidRDefault="00AC699C" w:rsidP="00FD2FDE">
      <w:pPr>
        <w:pStyle w:val="affffe"/>
        <w:spacing w:line="288" w:lineRule="auto"/>
        <w:ind w:firstLine="420"/>
      </w:pPr>
      <w:r w:rsidRPr="00AC699C">
        <w:rPr>
          <w:rFonts w:ascii="Times New Roman"/>
          <w:i/>
        </w:rPr>
        <w:t>η</w:t>
      </w:r>
      <w:r w:rsidRPr="00AC699C">
        <w:rPr>
          <w:rFonts w:ascii="Times New Roman"/>
        </w:rPr>
        <w:t>——</w:t>
      </w:r>
      <w:r>
        <w:rPr>
          <w:rFonts w:hint="eastAsia"/>
        </w:rPr>
        <w:t>充电装备转化效率，单位为百分号（%）；</w:t>
      </w:r>
    </w:p>
    <w:p w:rsidR="00AC699C" w:rsidRDefault="00AC699C" w:rsidP="00FD2FDE">
      <w:pPr>
        <w:pStyle w:val="affffe"/>
        <w:spacing w:line="288" w:lineRule="auto"/>
        <w:ind w:firstLine="420"/>
      </w:pPr>
      <w:r w:rsidRPr="00AC699C">
        <w:rPr>
          <w:rFonts w:ascii="Times New Roman"/>
          <w:i/>
        </w:rPr>
        <w:t>P</w:t>
      </w:r>
      <w:r w:rsidRPr="00AC699C">
        <w:rPr>
          <w:rFonts w:ascii="Times New Roman"/>
          <w:vertAlign w:val="subscript"/>
        </w:rPr>
        <w:t>0</w:t>
      </w:r>
      <w:r w:rsidRPr="00AC699C">
        <w:rPr>
          <w:rFonts w:ascii="Times New Roman"/>
        </w:rPr>
        <w:t>——</w:t>
      </w:r>
      <w:bookmarkStart w:id="152" w:name="OLE_LINK25"/>
      <w:bookmarkStart w:id="153" w:name="OLE_LINK26"/>
      <w:r>
        <w:rPr>
          <w:rFonts w:hint="eastAsia"/>
        </w:rPr>
        <w:t>充电装备输出端的有功功率，单位为瓦特（W）</w:t>
      </w:r>
      <w:bookmarkEnd w:id="152"/>
      <w:bookmarkEnd w:id="153"/>
      <w:r>
        <w:rPr>
          <w:rFonts w:hint="eastAsia"/>
        </w:rPr>
        <w:t>；</w:t>
      </w:r>
    </w:p>
    <w:p w:rsidR="00AC699C" w:rsidRPr="000C3673" w:rsidRDefault="00AC699C" w:rsidP="00FD2FDE">
      <w:pPr>
        <w:pStyle w:val="affffe"/>
        <w:spacing w:line="288" w:lineRule="auto"/>
        <w:ind w:firstLine="420"/>
      </w:pPr>
      <w:r w:rsidRPr="00AC699C">
        <w:rPr>
          <w:rFonts w:ascii="Times New Roman"/>
          <w:i/>
        </w:rPr>
        <w:t>P</w:t>
      </w:r>
      <w:r w:rsidRPr="00AC699C">
        <w:rPr>
          <w:rFonts w:ascii="Times New Roman"/>
          <w:vertAlign w:val="subscript"/>
        </w:rPr>
        <w:t>i</w:t>
      </w:r>
      <w:r w:rsidRPr="00AC699C">
        <w:rPr>
          <w:rFonts w:ascii="Times New Roman"/>
        </w:rPr>
        <w:t>——</w:t>
      </w:r>
      <w:r>
        <w:rPr>
          <w:rFonts w:hint="eastAsia"/>
        </w:rPr>
        <w:t>充电装备输入端的有功功率，单位为瓦特（W）。</w:t>
      </w:r>
    </w:p>
    <w:p w:rsidR="00A638F8" w:rsidRDefault="00A638F8" w:rsidP="00FD2FDE">
      <w:pPr>
        <w:pStyle w:val="affd"/>
        <w:spacing w:before="120" w:after="120" w:line="288" w:lineRule="auto"/>
      </w:pPr>
      <w:r>
        <w:rPr>
          <w:rFonts w:hint="eastAsia"/>
        </w:rPr>
        <w:t>移动性能</w:t>
      </w:r>
    </w:p>
    <w:p w:rsidR="00A638F8" w:rsidRDefault="00A638F8" w:rsidP="00FD2FDE">
      <w:pPr>
        <w:pStyle w:val="affe"/>
        <w:spacing w:before="120" w:after="120" w:line="288" w:lineRule="auto"/>
      </w:pPr>
      <w:r>
        <w:rPr>
          <w:rFonts w:hint="eastAsia"/>
        </w:rPr>
        <w:t>移动形式</w:t>
      </w:r>
    </w:p>
    <w:p w:rsidR="00A638F8" w:rsidRPr="00A638F8" w:rsidRDefault="00A638F8" w:rsidP="00FD2FDE">
      <w:pPr>
        <w:pStyle w:val="affffe"/>
        <w:spacing w:line="288" w:lineRule="auto"/>
        <w:ind w:firstLine="420"/>
      </w:pPr>
      <w:r>
        <w:rPr>
          <w:rFonts w:hint="eastAsia"/>
        </w:rPr>
        <w:t>实际操作检验是否能正常移动。</w:t>
      </w:r>
    </w:p>
    <w:p w:rsidR="00A638F8" w:rsidRDefault="00A638F8" w:rsidP="00FD2FDE">
      <w:pPr>
        <w:pStyle w:val="affe"/>
        <w:spacing w:before="120" w:after="120" w:line="288" w:lineRule="auto"/>
      </w:pPr>
      <w:r>
        <w:rPr>
          <w:rFonts w:hint="eastAsia"/>
        </w:rPr>
        <w:t>遥控有效控制距离</w:t>
      </w:r>
    </w:p>
    <w:p w:rsidR="00A638F8" w:rsidRPr="00A638F8" w:rsidRDefault="00A638F8" w:rsidP="00FD2FDE">
      <w:pPr>
        <w:pStyle w:val="affffe"/>
        <w:spacing w:line="288" w:lineRule="auto"/>
        <w:ind w:firstLine="420"/>
      </w:pPr>
      <w:r>
        <w:rPr>
          <w:rFonts w:hint="eastAsia"/>
        </w:rPr>
        <w:t>距充电装备 50 m 处，使用遥控器操控充电装备，观察是否能正常移动。</w:t>
      </w:r>
    </w:p>
    <w:p w:rsidR="00A638F8" w:rsidRDefault="00A638F8" w:rsidP="00FD2FDE">
      <w:pPr>
        <w:pStyle w:val="affe"/>
        <w:spacing w:before="120" w:after="120" w:line="288" w:lineRule="auto"/>
      </w:pPr>
      <w:r>
        <w:rPr>
          <w:rFonts w:hint="eastAsia"/>
        </w:rPr>
        <w:t>最快移动速度</w:t>
      </w:r>
    </w:p>
    <w:p w:rsidR="00A638F8" w:rsidRDefault="00821104" w:rsidP="00FD2FDE">
      <w:pPr>
        <w:pStyle w:val="affffe"/>
        <w:spacing w:line="288" w:lineRule="auto"/>
        <w:ind w:firstLine="420"/>
      </w:pPr>
      <w:r>
        <w:rPr>
          <w:rFonts w:hint="eastAsia"/>
        </w:rPr>
        <w:t>在</w:t>
      </w:r>
      <w:r w:rsidRPr="00821104">
        <w:rPr>
          <w:rFonts w:hint="eastAsia"/>
        </w:rPr>
        <w:t>平坦、干燥、硬实的混凝土或沥青</w:t>
      </w:r>
      <w:r>
        <w:rPr>
          <w:rFonts w:hint="eastAsia"/>
        </w:rPr>
        <w:t>地</w:t>
      </w:r>
      <w:r w:rsidRPr="00821104">
        <w:rPr>
          <w:rFonts w:hint="eastAsia"/>
        </w:rPr>
        <w:t>面</w:t>
      </w:r>
      <w:r>
        <w:rPr>
          <w:rFonts w:hint="eastAsia"/>
        </w:rPr>
        <w:t>上，设置起点并画线标记，将距离起点直线距离 3 km 处作为终点并画线标记，遥控充电装备以最快的速度从起点匀速行进至终点，用</w:t>
      </w:r>
      <w:r w:rsidR="00E90D8E">
        <w:rPr>
          <w:rFonts w:hint="eastAsia"/>
        </w:rPr>
        <w:t>计时器</w:t>
      </w:r>
      <w:r>
        <w:rPr>
          <w:rFonts w:hint="eastAsia"/>
        </w:rPr>
        <w:t>记录时间</w:t>
      </w:r>
      <w:r w:rsidR="00E90D8E">
        <w:rPr>
          <w:rFonts w:hint="eastAsia"/>
        </w:rPr>
        <w:t>。按公式（1）计算最快移动速度：</w:t>
      </w:r>
    </w:p>
    <w:p w:rsidR="00E90D8E" w:rsidRDefault="00E90D8E" w:rsidP="00FD2FDE">
      <w:pPr>
        <w:pStyle w:val="affffffa"/>
        <w:spacing w:line="288" w:lineRule="auto"/>
      </w:pPr>
      <w:r>
        <w:tab/>
      </w:r>
      <m:oMath>
        <m:r>
          <w:rPr>
            <w:rFonts w:ascii="Cambria Math" w:hAnsi="Cambria Math" w:hint="eastAsia"/>
          </w:rPr>
          <m:t>v</m:t>
        </m:r>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t</m:t>
            </m:r>
          </m:den>
        </m:f>
      </m:oMath>
      <w:r w:rsidRPr="00E90D8E">
        <w:rPr>
          <w:rFonts w:ascii="微软雅黑" w:eastAsia="微软雅黑" w:hAnsi="微软雅黑"/>
        </w:rPr>
        <w:tab/>
      </w:r>
      <w:r>
        <w:t>(</w:t>
      </w:r>
      <w:r>
        <w:fldChar w:fldCharType="begin"/>
      </w:r>
      <w:r>
        <w:instrText xml:space="preserve"> AUTONUM </w:instrText>
      </w:r>
      <w:r>
        <w:fldChar w:fldCharType="end"/>
      </w:r>
      <w:r>
        <w:t>)</w:t>
      </w:r>
    </w:p>
    <w:p w:rsidR="00E90D8E" w:rsidRDefault="00E90D8E" w:rsidP="00FD2FDE">
      <w:pPr>
        <w:pStyle w:val="affffd"/>
        <w:spacing w:line="288" w:lineRule="auto"/>
        <w:ind w:firstLine="420"/>
      </w:pPr>
      <w:r>
        <w:rPr>
          <w:rFonts w:hint="eastAsia"/>
        </w:rPr>
        <w:t>式中：</w:t>
      </w:r>
    </w:p>
    <w:p w:rsidR="00E90D8E" w:rsidRDefault="00E90D8E" w:rsidP="00FD2FDE">
      <w:pPr>
        <w:pStyle w:val="affffe"/>
        <w:spacing w:line="288" w:lineRule="auto"/>
        <w:ind w:firstLine="420"/>
      </w:pPr>
      <w:r w:rsidRPr="00E90D8E">
        <w:rPr>
          <w:rFonts w:ascii="Times New Roman"/>
          <w:i/>
        </w:rPr>
        <w:t>v</w:t>
      </w:r>
      <w:r w:rsidRPr="00E90D8E">
        <w:rPr>
          <w:rFonts w:ascii="Times New Roman"/>
        </w:rPr>
        <w:t>——</w:t>
      </w:r>
      <w:r>
        <w:rPr>
          <w:rFonts w:hint="eastAsia"/>
        </w:rPr>
        <w:t>最快移动速度，单位为千米每小时（km/h）；</w:t>
      </w:r>
    </w:p>
    <w:p w:rsidR="00E90D8E" w:rsidRPr="00E90D8E" w:rsidRDefault="00E90D8E" w:rsidP="00FD2FDE">
      <w:pPr>
        <w:pStyle w:val="affffe"/>
        <w:spacing w:line="288" w:lineRule="auto"/>
        <w:ind w:firstLine="420"/>
      </w:pPr>
      <w:r w:rsidRPr="00E90D8E">
        <w:rPr>
          <w:rFonts w:ascii="Times New Roman"/>
          <w:i/>
        </w:rPr>
        <w:t>t</w:t>
      </w:r>
      <w:r w:rsidRPr="00E90D8E">
        <w:rPr>
          <w:rFonts w:ascii="Times New Roman"/>
        </w:rPr>
        <w:t>——</w:t>
      </w:r>
      <w:r>
        <w:rPr>
          <w:rFonts w:hint="eastAsia"/>
        </w:rPr>
        <w:t>从起点移动至终点的时间，单位为小时（h）。</w:t>
      </w:r>
    </w:p>
    <w:p w:rsidR="00A638F8" w:rsidRDefault="00A638F8" w:rsidP="00FD2FDE">
      <w:pPr>
        <w:pStyle w:val="affe"/>
        <w:spacing w:before="120" w:after="120" w:line="288" w:lineRule="auto"/>
      </w:pPr>
      <w:r>
        <w:rPr>
          <w:rFonts w:hint="eastAsia"/>
        </w:rPr>
        <w:t>满载最大爬坡度</w:t>
      </w:r>
    </w:p>
    <w:p w:rsidR="00D76693" w:rsidRDefault="00D76693" w:rsidP="00FD2FDE">
      <w:pPr>
        <w:pStyle w:val="affffffff9"/>
        <w:spacing w:line="288" w:lineRule="auto"/>
      </w:pPr>
      <w:r>
        <w:rPr>
          <w:rFonts w:hint="eastAsia"/>
        </w:rPr>
        <w:lastRenderedPageBreak/>
        <w:t>将</w:t>
      </w:r>
      <w:r w:rsidR="004B496A">
        <w:rPr>
          <w:rFonts w:hint="eastAsia"/>
        </w:rPr>
        <w:t>充电装备</w:t>
      </w:r>
      <w:r>
        <w:rPr>
          <w:rFonts w:hint="eastAsia"/>
        </w:rPr>
        <w:t>停于坡前平直段，</w:t>
      </w:r>
      <w:r w:rsidR="004B496A">
        <w:rPr>
          <w:rFonts w:hint="eastAsia"/>
        </w:rPr>
        <w:t>起步后进入测量区，充电装备应</w:t>
      </w:r>
      <w:r>
        <w:rPr>
          <w:rFonts w:hint="eastAsia"/>
        </w:rPr>
        <w:t>不停</w:t>
      </w:r>
      <w:r w:rsidR="004B496A">
        <w:rPr>
          <w:rFonts w:hint="eastAsia"/>
        </w:rPr>
        <w:t>止</w:t>
      </w:r>
      <w:r>
        <w:rPr>
          <w:rFonts w:hint="eastAsia"/>
        </w:rPr>
        <w:t>、不溜坡</w:t>
      </w:r>
      <w:r w:rsidR="004B496A">
        <w:rPr>
          <w:rFonts w:hint="eastAsia"/>
        </w:rPr>
        <w:t>，且移动速度</w:t>
      </w:r>
      <w:r>
        <w:rPr>
          <w:rFonts w:hint="eastAsia"/>
        </w:rPr>
        <w:t>保持稳定或持续上升通过 10 m 测量区</w:t>
      </w:r>
      <w:r w:rsidR="006159E2">
        <w:rPr>
          <w:rFonts w:hint="eastAsia"/>
        </w:rPr>
        <w:t>。</w:t>
      </w:r>
    </w:p>
    <w:p w:rsidR="00D76693" w:rsidRDefault="00D76693" w:rsidP="00FD2FDE">
      <w:pPr>
        <w:pStyle w:val="affffffff9"/>
        <w:spacing w:line="288" w:lineRule="auto"/>
      </w:pPr>
      <w:r>
        <w:rPr>
          <w:rFonts w:hint="eastAsia"/>
        </w:rPr>
        <w:t>逐级增大坡度角，直至出现下列任</w:t>
      </w:r>
      <w:proofErr w:type="gramStart"/>
      <w:r>
        <w:rPr>
          <w:rFonts w:hint="eastAsia"/>
        </w:rPr>
        <w:t>一</w:t>
      </w:r>
      <w:proofErr w:type="gramEnd"/>
      <w:r>
        <w:rPr>
          <w:rFonts w:hint="eastAsia"/>
        </w:rPr>
        <w:t>现象即判为失败：</w:t>
      </w:r>
    </w:p>
    <w:p w:rsidR="006159E2" w:rsidRDefault="00D76693" w:rsidP="00FD2FDE">
      <w:pPr>
        <w:pStyle w:val="af2"/>
        <w:spacing w:line="288" w:lineRule="auto"/>
      </w:pPr>
      <w:r>
        <w:rPr>
          <w:rFonts w:hint="eastAsia"/>
        </w:rPr>
        <w:t>驱动轮打滑无法恢复；</w:t>
      </w:r>
    </w:p>
    <w:p w:rsidR="006159E2" w:rsidRDefault="004B496A" w:rsidP="00FD2FDE">
      <w:pPr>
        <w:pStyle w:val="af2"/>
        <w:spacing w:line="288" w:lineRule="auto"/>
      </w:pPr>
      <w:r>
        <w:rPr>
          <w:rFonts w:hint="eastAsia"/>
        </w:rPr>
        <w:t>移动</w:t>
      </w:r>
      <w:r w:rsidR="00D76693">
        <w:rPr>
          <w:rFonts w:hint="eastAsia"/>
        </w:rPr>
        <w:t>速</w:t>
      </w:r>
      <w:r>
        <w:rPr>
          <w:rFonts w:hint="eastAsia"/>
        </w:rPr>
        <w:t>度</w:t>
      </w:r>
      <w:r w:rsidR="00D76693">
        <w:rPr>
          <w:rFonts w:hint="eastAsia"/>
        </w:rPr>
        <w:t>明显下降且趋于停止；</w:t>
      </w:r>
    </w:p>
    <w:p w:rsidR="00D76693" w:rsidRDefault="006159E2" w:rsidP="00FD2FDE">
      <w:pPr>
        <w:pStyle w:val="af2"/>
        <w:spacing w:line="288" w:lineRule="auto"/>
      </w:pPr>
      <w:r>
        <w:rPr>
          <w:rFonts w:hint="eastAsia"/>
        </w:rPr>
        <w:t>驱动</w:t>
      </w:r>
      <w:r w:rsidR="00D76693">
        <w:rPr>
          <w:rFonts w:hint="eastAsia"/>
        </w:rPr>
        <w:t>电机过温、限功率；</w:t>
      </w:r>
    </w:p>
    <w:p w:rsidR="00A638F8" w:rsidRPr="00A638F8" w:rsidRDefault="006159E2" w:rsidP="00FD2FDE">
      <w:pPr>
        <w:pStyle w:val="affffffff9"/>
        <w:spacing w:line="288" w:lineRule="auto"/>
      </w:pPr>
      <w:r>
        <w:rPr>
          <w:rFonts w:hint="eastAsia"/>
        </w:rPr>
        <w:t>记录爬坡</w:t>
      </w:r>
      <w:r w:rsidR="00D76693">
        <w:rPr>
          <w:rFonts w:hint="eastAsia"/>
        </w:rPr>
        <w:t>成功的最大坡度角。</w:t>
      </w:r>
    </w:p>
    <w:p w:rsidR="00F87858" w:rsidRDefault="00F87858" w:rsidP="00FD2FDE">
      <w:pPr>
        <w:pStyle w:val="affd"/>
        <w:spacing w:before="120" w:after="120" w:line="288" w:lineRule="auto"/>
      </w:pPr>
      <w:r>
        <w:rPr>
          <w:rFonts w:hint="eastAsia"/>
        </w:rPr>
        <w:t>通信</w:t>
      </w:r>
    </w:p>
    <w:p w:rsidR="00F87858" w:rsidRPr="00F87858" w:rsidRDefault="0032554E" w:rsidP="00FD2FDE">
      <w:pPr>
        <w:pStyle w:val="affffe"/>
        <w:spacing w:line="288" w:lineRule="auto"/>
        <w:ind w:firstLine="420"/>
      </w:pPr>
      <w:r>
        <w:rPr>
          <w:rFonts w:hint="eastAsia"/>
        </w:rPr>
        <w:t xml:space="preserve">将充电装备连接试验系统，按 </w:t>
      </w:r>
      <w:bookmarkStart w:id="154" w:name="OLE_LINK35"/>
      <w:bookmarkStart w:id="155" w:name="OLE_LINK36"/>
      <w:r>
        <w:rPr>
          <w:rFonts w:hint="eastAsia"/>
        </w:rPr>
        <w:t>GB/T 34658</w:t>
      </w:r>
      <w:bookmarkEnd w:id="154"/>
      <w:bookmarkEnd w:id="155"/>
      <w:r>
        <w:rPr>
          <w:rFonts w:hint="eastAsia"/>
        </w:rPr>
        <w:t xml:space="preserve"> 规定的方法进行协议一致性试验。</w:t>
      </w:r>
    </w:p>
    <w:p w:rsidR="00F87858" w:rsidRDefault="00F87858" w:rsidP="00FD2FDE">
      <w:pPr>
        <w:pStyle w:val="affd"/>
        <w:spacing w:before="120" w:after="120" w:line="288" w:lineRule="auto"/>
      </w:pPr>
      <w:r>
        <w:rPr>
          <w:rFonts w:hint="eastAsia"/>
        </w:rPr>
        <w:t>噪声</w:t>
      </w:r>
    </w:p>
    <w:p w:rsidR="00F87858" w:rsidRPr="00F87858" w:rsidRDefault="00FB5DDE" w:rsidP="00FD2FDE">
      <w:pPr>
        <w:pStyle w:val="affffe"/>
        <w:spacing w:line="288" w:lineRule="auto"/>
        <w:ind w:firstLine="420"/>
      </w:pPr>
      <w:r>
        <w:rPr>
          <w:rFonts w:hint="eastAsia"/>
        </w:rPr>
        <w:t>将充电装备放置在半消音室内，外部连接试验系统，按充电接口参数设定负载后稳定运行。距充电装备前、后、左、</w:t>
      </w:r>
      <w:proofErr w:type="gramStart"/>
      <w:r>
        <w:rPr>
          <w:rFonts w:hint="eastAsia"/>
        </w:rPr>
        <w:t>右水平位置</w:t>
      </w:r>
      <w:proofErr w:type="gramEnd"/>
      <w:r>
        <w:rPr>
          <w:rFonts w:hint="eastAsia"/>
        </w:rPr>
        <w:t xml:space="preserve"> 1 m，离地面高度 1 m～1.5 m 处测量噪声。</w:t>
      </w:r>
    </w:p>
    <w:p w:rsidR="00EE3C50" w:rsidRDefault="00EE3C50" w:rsidP="00FD2FDE">
      <w:pPr>
        <w:pStyle w:val="affd"/>
        <w:spacing w:before="120" w:after="120" w:line="288" w:lineRule="auto"/>
      </w:pPr>
      <w:r>
        <w:rPr>
          <w:rFonts w:hint="eastAsia"/>
        </w:rPr>
        <w:t>防护等级</w:t>
      </w:r>
    </w:p>
    <w:p w:rsidR="00EE3C50" w:rsidRDefault="00EE3C50" w:rsidP="00FD2FDE">
      <w:pPr>
        <w:pStyle w:val="affffe"/>
        <w:spacing w:line="288" w:lineRule="auto"/>
        <w:ind w:firstLine="420"/>
      </w:pPr>
      <w:r>
        <w:rPr>
          <w:rFonts w:hint="eastAsia"/>
        </w:rPr>
        <w:t>按 GB/T 4208—2017 的规定进行。</w:t>
      </w:r>
    </w:p>
    <w:p w:rsidR="00EE3C50" w:rsidRDefault="00EE3C50" w:rsidP="00FD2FDE">
      <w:pPr>
        <w:pStyle w:val="affd"/>
        <w:spacing w:before="120" w:after="120" w:line="288" w:lineRule="auto"/>
      </w:pPr>
      <w:r>
        <w:rPr>
          <w:rFonts w:hint="eastAsia"/>
        </w:rPr>
        <w:t>环境适应性</w:t>
      </w:r>
    </w:p>
    <w:p w:rsidR="00EE3C50" w:rsidRDefault="00EE3C50" w:rsidP="00FD2FDE">
      <w:pPr>
        <w:pStyle w:val="affe"/>
        <w:spacing w:before="120" w:after="120" w:line="288" w:lineRule="auto"/>
      </w:pPr>
      <w:r>
        <w:rPr>
          <w:rFonts w:hint="eastAsia"/>
        </w:rPr>
        <w:t>低温工作</w:t>
      </w:r>
    </w:p>
    <w:p w:rsidR="00EE3C50" w:rsidRDefault="00AA60D6" w:rsidP="00FD2FDE">
      <w:pPr>
        <w:pStyle w:val="affffe"/>
        <w:spacing w:line="288" w:lineRule="auto"/>
        <w:ind w:firstLine="420"/>
      </w:pPr>
      <w:r>
        <w:rPr>
          <w:rFonts w:hint="eastAsia"/>
        </w:rPr>
        <w:t>按 GB/T 2423.1 的规定进行。</w:t>
      </w:r>
    </w:p>
    <w:p w:rsidR="00EE3C50" w:rsidRDefault="00EE3C50" w:rsidP="00FD2FDE">
      <w:pPr>
        <w:pStyle w:val="affe"/>
        <w:spacing w:before="120" w:after="120" w:line="288" w:lineRule="auto"/>
      </w:pPr>
      <w:r>
        <w:rPr>
          <w:rFonts w:hint="eastAsia"/>
        </w:rPr>
        <w:t>高温工作</w:t>
      </w:r>
    </w:p>
    <w:p w:rsidR="00EE3C50" w:rsidRDefault="00AA60D6" w:rsidP="00FD2FDE">
      <w:pPr>
        <w:pStyle w:val="affffe"/>
        <w:spacing w:line="288" w:lineRule="auto"/>
        <w:ind w:firstLine="420"/>
      </w:pPr>
      <w:r>
        <w:rPr>
          <w:rFonts w:hint="eastAsia"/>
        </w:rPr>
        <w:t>按 GB/T 2423.2 的规定进行。</w:t>
      </w:r>
    </w:p>
    <w:p w:rsidR="00EE3C50" w:rsidRDefault="00EE3C50" w:rsidP="00FD2FDE">
      <w:pPr>
        <w:pStyle w:val="affe"/>
        <w:spacing w:before="120" w:after="120" w:line="288" w:lineRule="auto"/>
      </w:pPr>
      <w:r>
        <w:rPr>
          <w:rFonts w:hint="eastAsia"/>
        </w:rPr>
        <w:t>交变湿热</w:t>
      </w:r>
    </w:p>
    <w:p w:rsidR="00EE3C50" w:rsidRPr="00EE3C50" w:rsidRDefault="00AA60D6" w:rsidP="00FD2FDE">
      <w:pPr>
        <w:pStyle w:val="affffe"/>
        <w:spacing w:line="288" w:lineRule="auto"/>
        <w:ind w:firstLine="420"/>
      </w:pPr>
      <w:r>
        <w:rPr>
          <w:rFonts w:hint="eastAsia"/>
        </w:rPr>
        <w:t>按 GB/T 2423.4 的规定进行。</w:t>
      </w:r>
    </w:p>
    <w:p w:rsidR="00AA60D6" w:rsidRDefault="00AA60D6" w:rsidP="00FD2FDE">
      <w:pPr>
        <w:pStyle w:val="affd"/>
        <w:spacing w:before="120" w:after="120" w:line="288" w:lineRule="auto"/>
      </w:pPr>
      <w:r>
        <w:rPr>
          <w:rFonts w:hint="eastAsia"/>
        </w:rPr>
        <w:t>安全要求</w:t>
      </w:r>
    </w:p>
    <w:p w:rsidR="002B22BD" w:rsidRDefault="00AA60D6" w:rsidP="00FD2FDE">
      <w:pPr>
        <w:pStyle w:val="affffe"/>
        <w:spacing w:line="288" w:lineRule="auto"/>
        <w:ind w:firstLine="420"/>
      </w:pPr>
      <w:r>
        <w:rPr>
          <w:rFonts w:hint="eastAsia"/>
        </w:rPr>
        <w:t>按 GB 39752 的相关规定进行。</w:t>
      </w:r>
    </w:p>
    <w:p w:rsidR="002B22BD" w:rsidRDefault="004B72B4" w:rsidP="00FD2FDE">
      <w:pPr>
        <w:pStyle w:val="affc"/>
        <w:spacing w:before="240" w:after="240" w:line="288" w:lineRule="auto"/>
      </w:pPr>
      <w:bookmarkStart w:id="156" w:name="_Toc172966015"/>
      <w:bookmarkStart w:id="157" w:name="_Toc163912037"/>
      <w:bookmarkStart w:id="158" w:name="_Toc175906448"/>
      <w:bookmarkStart w:id="159" w:name="_Toc172966257"/>
      <w:bookmarkStart w:id="160" w:name="_Toc172966383"/>
      <w:bookmarkStart w:id="161" w:name="_Toc176436392"/>
      <w:bookmarkStart w:id="162" w:name="_Toc217468505"/>
      <w:bookmarkStart w:id="163" w:name="_Toc160092240"/>
      <w:bookmarkStart w:id="164" w:name="_Toc159252387"/>
      <w:r>
        <w:rPr>
          <w:rFonts w:hint="eastAsia"/>
        </w:rPr>
        <w:t>检验规则</w:t>
      </w:r>
      <w:bookmarkEnd w:id="156"/>
      <w:bookmarkEnd w:id="157"/>
      <w:bookmarkEnd w:id="158"/>
      <w:bookmarkEnd w:id="159"/>
      <w:bookmarkEnd w:id="160"/>
      <w:bookmarkEnd w:id="161"/>
      <w:bookmarkEnd w:id="162"/>
    </w:p>
    <w:p w:rsidR="002B22BD" w:rsidRDefault="004B72B4" w:rsidP="00FD2FDE">
      <w:pPr>
        <w:pStyle w:val="affd"/>
        <w:spacing w:before="120" w:after="120" w:line="288" w:lineRule="auto"/>
      </w:pPr>
      <w:r>
        <w:t>检验分类</w:t>
      </w:r>
    </w:p>
    <w:p w:rsidR="002B22BD" w:rsidRDefault="004B72B4" w:rsidP="00FD2FDE">
      <w:pPr>
        <w:pStyle w:val="affffe"/>
        <w:spacing w:line="288" w:lineRule="auto"/>
        <w:ind w:firstLine="420"/>
      </w:pPr>
      <w:r>
        <w:rPr>
          <w:rFonts w:hint="eastAsia"/>
        </w:rPr>
        <w:t>分为出厂检验和型式检验。</w:t>
      </w:r>
    </w:p>
    <w:p w:rsidR="002B22BD" w:rsidRDefault="004B72B4" w:rsidP="00FD2FDE">
      <w:pPr>
        <w:pStyle w:val="affd"/>
        <w:spacing w:before="120" w:after="120" w:line="288" w:lineRule="auto"/>
      </w:pPr>
      <w:r>
        <w:t>出厂检验</w:t>
      </w:r>
    </w:p>
    <w:p w:rsidR="002B22BD" w:rsidRDefault="004B72B4" w:rsidP="00FD2FDE">
      <w:pPr>
        <w:pStyle w:val="affffffffa"/>
        <w:spacing w:line="288" w:lineRule="auto"/>
      </w:pPr>
      <w:r>
        <w:rPr>
          <w:rFonts w:hint="eastAsia"/>
        </w:rPr>
        <w:t>充电</w:t>
      </w:r>
      <w:r w:rsidR="00D826BD">
        <w:rPr>
          <w:rFonts w:hint="eastAsia"/>
        </w:rPr>
        <w:t>装备</w:t>
      </w:r>
      <w:r>
        <w:rPr>
          <w:rFonts w:hint="eastAsia"/>
        </w:rPr>
        <w:t>出厂前，应经检验合格后方可出厂。</w:t>
      </w:r>
    </w:p>
    <w:p w:rsidR="002B22BD" w:rsidRDefault="004B72B4" w:rsidP="00FD2FDE">
      <w:pPr>
        <w:pStyle w:val="affffffffa"/>
        <w:spacing w:line="288" w:lineRule="auto"/>
      </w:pPr>
      <w:r>
        <w:rPr>
          <w:rFonts w:hint="eastAsia"/>
        </w:rPr>
        <w:t xml:space="preserve">出厂检验项目应符合表 </w:t>
      </w:r>
      <w:r w:rsidR="00F04261">
        <w:rPr>
          <w:rFonts w:hint="eastAsia"/>
        </w:rPr>
        <w:t>3</w:t>
      </w:r>
      <w:r>
        <w:rPr>
          <w:rFonts w:hint="eastAsia"/>
        </w:rPr>
        <w:t xml:space="preserve"> 的规定。</w:t>
      </w:r>
    </w:p>
    <w:p w:rsidR="00A16D27" w:rsidRDefault="00A16D27" w:rsidP="00A16D27">
      <w:pPr>
        <w:pStyle w:val="affffffffa"/>
        <w:numPr>
          <w:ilvl w:val="0"/>
          <w:numId w:val="0"/>
        </w:numPr>
        <w:spacing w:line="288" w:lineRule="auto"/>
      </w:pPr>
    </w:p>
    <w:p w:rsidR="00A16D27" w:rsidRDefault="00A16D27" w:rsidP="00A16D27">
      <w:pPr>
        <w:pStyle w:val="affffffffa"/>
        <w:numPr>
          <w:ilvl w:val="0"/>
          <w:numId w:val="0"/>
        </w:numPr>
        <w:spacing w:line="288" w:lineRule="auto"/>
      </w:pPr>
    </w:p>
    <w:p w:rsidR="00A16D27" w:rsidRDefault="00A16D27" w:rsidP="00A16D27">
      <w:pPr>
        <w:pStyle w:val="affffffffa"/>
        <w:numPr>
          <w:ilvl w:val="0"/>
          <w:numId w:val="0"/>
        </w:numPr>
        <w:spacing w:line="288" w:lineRule="auto"/>
      </w:pPr>
    </w:p>
    <w:p w:rsidR="002B22BD" w:rsidRDefault="004B72B4" w:rsidP="00FD2FDE">
      <w:pPr>
        <w:pStyle w:val="aff2"/>
        <w:spacing w:before="120" w:after="120" w:line="288" w:lineRule="auto"/>
      </w:pPr>
      <w:r>
        <w:rPr>
          <w:rFonts w:hint="eastAsia"/>
        </w:rPr>
        <w:lastRenderedPageBreak/>
        <w:t>检验项目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53"/>
        <w:gridCol w:w="2126"/>
        <w:gridCol w:w="2127"/>
        <w:gridCol w:w="1701"/>
        <w:gridCol w:w="1567"/>
      </w:tblGrid>
      <w:tr w:rsidR="002B22BD" w:rsidTr="00317A75">
        <w:trPr>
          <w:tblHeader/>
          <w:jc w:val="center"/>
        </w:trPr>
        <w:tc>
          <w:tcPr>
            <w:tcW w:w="6106" w:type="dxa"/>
            <w:gridSpan w:val="3"/>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color w:val="000000" w:themeColor="text1"/>
              </w:rPr>
              <w:t>检验项目</w:t>
            </w:r>
          </w:p>
        </w:tc>
        <w:tc>
          <w:tcPr>
            <w:tcW w:w="1701"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color w:val="000000" w:themeColor="text1"/>
              </w:rPr>
              <w:t>出厂检验</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color w:val="000000" w:themeColor="text1"/>
              </w:rPr>
              <w:t>型式检验</w:t>
            </w:r>
          </w:p>
        </w:tc>
      </w:tr>
      <w:tr w:rsidR="002B22BD" w:rsidTr="00317A75">
        <w:trPr>
          <w:tblHeader/>
          <w:jc w:val="center"/>
        </w:trPr>
        <w:tc>
          <w:tcPr>
            <w:tcW w:w="6106" w:type="dxa"/>
            <w:gridSpan w:val="3"/>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color w:val="000000" w:themeColor="text1"/>
              </w:rPr>
              <w:t>外观</w:t>
            </w:r>
          </w:p>
        </w:tc>
        <w:tc>
          <w:tcPr>
            <w:tcW w:w="1701"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bookmarkStart w:id="165" w:name="OLE_LINK27"/>
            <w:bookmarkStart w:id="166" w:name="OLE_LINK28"/>
            <w:r>
              <w:rPr>
                <w:rFonts w:hint="eastAsia"/>
                <w:color w:val="000000" w:themeColor="text1"/>
              </w:rPr>
              <w:t>√</w:t>
            </w:r>
            <w:bookmarkEnd w:id="165"/>
            <w:bookmarkEnd w:id="166"/>
          </w:p>
        </w:tc>
      </w:tr>
      <w:tr w:rsidR="002B22BD" w:rsidTr="00317A75">
        <w:trPr>
          <w:tblHeader/>
          <w:jc w:val="center"/>
        </w:trPr>
        <w:tc>
          <w:tcPr>
            <w:tcW w:w="6106" w:type="dxa"/>
            <w:gridSpan w:val="3"/>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结构</w:t>
            </w:r>
          </w:p>
        </w:tc>
        <w:tc>
          <w:tcPr>
            <w:tcW w:w="1701"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F96C28" w:rsidTr="003036AA">
        <w:trPr>
          <w:tblHeader/>
          <w:jc w:val="center"/>
        </w:trPr>
        <w:tc>
          <w:tcPr>
            <w:tcW w:w="1853" w:type="dxa"/>
            <w:vMerge w:val="restart"/>
            <w:tcBorders>
              <w:top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功能</w:t>
            </w: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充电控制选择</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bookmarkStart w:id="167" w:name="OLE_LINK29"/>
            <w:bookmarkStart w:id="168" w:name="OLE_LINK30"/>
            <w:r>
              <w:rPr>
                <w:rFonts w:hint="eastAsia"/>
                <w:color w:val="000000" w:themeColor="text1"/>
              </w:rPr>
              <w:t>√</w:t>
            </w:r>
            <w:bookmarkEnd w:id="167"/>
            <w:bookmarkEnd w:id="168"/>
          </w:p>
        </w:tc>
      </w:tr>
      <w:tr w:rsidR="00F96C28" w:rsidTr="003036AA">
        <w:trPr>
          <w:tblHeader/>
          <w:jc w:val="center"/>
        </w:trPr>
        <w:tc>
          <w:tcPr>
            <w:tcW w:w="1853" w:type="dxa"/>
            <w:vMerge/>
            <w:shd w:val="clear" w:color="auto" w:fill="auto"/>
            <w:vAlign w:val="center"/>
          </w:tcPr>
          <w:p w:rsidR="00F96C28" w:rsidRDefault="00F96C28"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启停控制</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r>
      <w:tr w:rsidR="00F96C28" w:rsidTr="003036AA">
        <w:trPr>
          <w:tblHeader/>
          <w:jc w:val="center"/>
        </w:trPr>
        <w:tc>
          <w:tcPr>
            <w:tcW w:w="1853" w:type="dxa"/>
            <w:vMerge/>
            <w:shd w:val="clear" w:color="auto" w:fill="auto"/>
            <w:vAlign w:val="center"/>
          </w:tcPr>
          <w:p w:rsidR="00F96C28" w:rsidRDefault="00F96C28"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急停</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r>
      <w:tr w:rsidR="00F96C28" w:rsidTr="003036AA">
        <w:trPr>
          <w:tblHeader/>
          <w:jc w:val="center"/>
        </w:trPr>
        <w:tc>
          <w:tcPr>
            <w:tcW w:w="1853" w:type="dxa"/>
            <w:vMerge/>
            <w:shd w:val="clear" w:color="auto" w:fill="auto"/>
            <w:vAlign w:val="center"/>
          </w:tcPr>
          <w:p w:rsidR="00F96C28" w:rsidRDefault="00F96C28"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紧急停机</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bookmarkStart w:id="169" w:name="OLE_LINK31"/>
            <w:bookmarkStart w:id="170" w:name="OLE_LINK32"/>
            <w:r>
              <w:rPr>
                <w:rFonts w:hint="eastAsia"/>
                <w:color w:val="000000" w:themeColor="text1"/>
              </w:rPr>
              <w:t>—</w:t>
            </w:r>
            <w:bookmarkEnd w:id="169"/>
            <w:bookmarkEnd w:id="170"/>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r>
      <w:tr w:rsidR="00F96C28" w:rsidTr="003036AA">
        <w:trPr>
          <w:tblHeader/>
          <w:jc w:val="center"/>
        </w:trPr>
        <w:tc>
          <w:tcPr>
            <w:tcW w:w="1853" w:type="dxa"/>
            <w:vMerge/>
            <w:shd w:val="clear" w:color="auto" w:fill="auto"/>
            <w:vAlign w:val="center"/>
          </w:tcPr>
          <w:p w:rsidR="00F96C28" w:rsidRDefault="00F96C28"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故障停机</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r>
      <w:tr w:rsidR="00F96C28" w:rsidTr="003036AA">
        <w:trPr>
          <w:tblHeader/>
          <w:jc w:val="center"/>
        </w:trPr>
        <w:tc>
          <w:tcPr>
            <w:tcW w:w="1853" w:type="dxa"/>
            <w:vMerge/>
            <w:shd w:val="clear" w:color="auto" w:fill="auto"/>
            <w:vAlign w:val="center"/>
          </w:tcPr>
          <w:p w:rsidR="00F96C28" w:rsidRDefault="00F96C28"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人机交互</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r>
      <w:tr w:rsidR="00F96C28" w:rsidTr="003036AA">
        <w:trPr>
          <w:tblHeader/>
          <w:jc w:val="center"/>
        </w:trPr>
        <w:tc>
          <w:tcPr>
            <w:tcW w:w="1853" w:type="dxa"/>
            <w:vMerge/>
            <w:shd w:val="clear" w:color="auto" w:fill="auto"/>
            <w:vAlign w:val="center"/>
          </w:tcPr>
          <w:p w:rsidR="00F96C28" w:rsidRDefault="00F96C28"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计量</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r>
      <w:tr w:rsidR="00F96C28" w:rsidTr="003036AA">
        <w:trPr>
          <w:tblHeader/>
          <w:jc w:val="center"/>
        </w:trPr>
        <w:tc>
          <w:tcPr>
            <w:tcW w:w="1853" w:type="dxa"/>
            <w:vMerge/>
            <w:tcBorders>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color w:val="000000" w:themeColor="text1"/>
              </w:rPr>
              <w:t>消防报警和自动灭火</w:t>
            </w:r>
          </w:p>
        </w:tc>
        <w:tc>
          <w:tcPr>
            <w:tcW w:w="1701"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F96C28" w:rsidRDefault="00F96C28" w:rsidP="00FD2FDE">
            <w:pPr>
              <w:pStyle w:val="afffffffff2"/>
              <w:spacing w:line="288" w:lineRule="auto"/>
              <w:rPr>
                <w:color w:val="000000" w:themeColor="text1"/>
              </w:rPr>
            </w:pPr>
            <w:r>
              <w:rPr>
                <w:rFonts w:hint="eastAsia"/>
                <w:color w:val="000000" w:themeColor="text1"/>
              </w:rPr>
              <w:t>√</w:t>
            </w:r>
          </w:p>
        </w:tc>
      </w:tr>
      <w:tr w:rsidR="009314DE" w:rsidTr="00317A75">
        <w:trPr>
          <w:tblHeader/>
          <w:jc w:val="center"/>
        </w:trPr>
        <w:tc>
          <w:tcPr>
            <w:tcW w:w="6106" w:type="dxa"/>
            <w:gridSpan w:val="3"/>
            <w:tcBorders>
              <w:top w:val="single" w:sz="8" w:space="0" w:color="auto"/>
              <w:bottom w:val="single" w:sz="8" w:space="0" w:color="auto"/>
            </w:tcBorders>
            <w:shd w:val="clear" w:color="auto" w:fill="auto"/>
            <w:vAlign w:val="center"/>
          </w:tcPr>
          <w:p w:rsidR="009314DE" w:rsidRDefault="009314DE" w:rsidP="00FD2FDE">
            <w:pPr>
              <w:pStyle w:val="afffffffff2"/>
              <w:spacing w:line="288" w:lineRule="auto"/>
              <w:rPr>
                <w:color w:val="000000" w:themeColor="text1"/>
              </w:rPr>
            </w:pPr>
            <w:r>
              <w:rPr>
                <w:rFonts w:hint="eastAsia"/>
                <w:color w:val="000000" w:themeColor="text1"/>
              </w:rPr>
              <w:t>运行</w:t>
            </w:r>
          </w:p>
        </w:tc>
        <w:tc>
          <w:tcPr>
            <w:tcW w:w="1701" w:type="dxa"/>
            <w:tcBorders>
              <w:top w:val="single" w:sz="8" w:space="0" w:color="auto"/>
              <w:bottom w:val="single" w:sz="8" w:space="0" w:color="auto"/>
            </w:tcBorders>
            <w:shd w:val="clear" w:color="auto" w:fill="auto"/>
            <w:vAlign w:val="center"/>
          </w:tcPr>
          <w:p w:rsidR="009314DE"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9314DE" w:rsidRDefault="00433457" w:rsidP="00FD2FDE">
            <w:pPr>
              <w:pStyle w:val="afffffffff2"/>
              <w:spacing w:line="288" w:lineRule="auto"/>
              <w:rPr>
                <w:color w:val="000000" w:themeColor="text1"/>
              </w:rPr>
            </w:pPr>
            <w:r>
              <w:rPr>
                <w:rFonts w:hint="eastAsia"/>
                <w:color w:val="000000" w:themeColor="text1"/>
              </w:rPr>
              <w:t>√</w:t>
            </w:r>
          </w:p>
        </w:tc>
      </w:tr>
      <w:tr w:rsidR="005E59B3" w:rsidTr="00317A75">
        <w:trPr>
          <w:tblHeader/>
          <w:jc w:val="center"/>
        </w:trPr>
        <w:tc>
          <w:tcPr>
            <w:tcW w:w="6106" w:type="dxa"/>
            <w:gridSpan w:val="3"/>
            <w:tcBorders>
              <w:top w:val="single" w:sz="8" w:space="0" w:color="auto"/>
              <w:bottom w:val="single" w:sz="8" w:space="0" w:color="auto"/>
            </w:tcBorders>
            <w:shd w:val="clear" w:color="auto" w:fill="auto"/>
            <w:vAlign w:val="center"/>
          </w:tcPr>
          <w:p w:rsidR="005E59B3" w:rsidRDefault="005E59B3" w:rsidP="00FD2FDE">
            <w:pPr>
              <w:pStyle w:val="afffffffff2"/>
              <w:spacing w:line="288" w:lineRule="auto"/>
              <w:rPr>
                <w:color w:val="000000" w:themeColor="text1"/>
              </w:rPr>
            </w:pPr>
            <w:r>
              <w:rPr>
                <w:rFonts w:hint="eastAsia"/>
                <w:color w:val="000000" w:themeColor="text1"/>
              </w:rPr>
              <w:t>充电效率</w:t>
            </w:r>
          </w:p>
        </w:tc>
        <w:tc>
          <w:tcPr>
            <w:tcW w:w="1701" w:type="dxa"/>
            <w:tcBorders>
              <w:top w:val="single" w:sz="8" w:space="0" w:color="auto"/>
              <w:bottom w:val="single" w:sz="8" w:space="0" w:color="auto"/>
            </w:tcBorders>
            <w:shd w:val="clear" w:color="auto" w:fill="auto"/>
            <w:vAlign w:val="center"/>
          </w:tcPr>
          <w:p w:rsidR="005E59B3"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5E59B3" w:rsidRDefault="00433457"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1853" w:type="dxa"/>
            <w:vMerge w:val="restart"/>
            <w:tcBorders>
              <w:top w:val="single" w:sz="8" w:space="0" w:color="auto"/>
            </w:tcBorders>
            <w:shd w:val="clear" w:color="auto" w:fill="auto"/>
            <w:vAlign w:val="center"/>
          </w:tcPr>
          <w:p w:rsidR="002B22BD" w:rsidRDefault="009314DE" w:rsidP="00FD2FDE">
            <w:pPr>
              <w:pStyle w:val="afffffffff2"/>
              <w:spacing w:line="288" w:lineRule="auto"/>
              <w:rPr>
                <w:color w:val="000000" w:themeColor="text1"/>
              </w:rPr>
            </w:pPr>
            <w:r>
              <w:rPr>
                <w:rFonts w:hint="eastAsia"/>
                <w:color w:val="000000" w:themeColor="text1"/>
              </w:rPr>
              <w:t>移动性能</w:t>
            </w:r>
          </w:p>
        </w:tc>
        <w:tc>
          <w:tcPr>
            <w:tcW w:w="4253" w:type="dxa"/>
            <w:gridSpan w:val="2"/>
            <w:tcBorders>
              <w:top w:val="single" w:sz="8" w:space="0" w:color="auto"/>
              <w:bottom w:val="single" w:sz="8" w:space="0" w:color="auto"/>
            </w:tcBorders>
            <w:shd w:val="clear" w:color="auto" w:fill="auto"/>
            <w:vAlign w:val="center"/>
          </w:tcPr>
          <w:p w:rsidR="002B22BD" w:rsidRDefault="00D25813" w:rsidP="00FD2FDE">
            <w:pPr>
              <w:pStyle w:val="afffffffff2"/>
              <w:spacing w:line="288" w:lineRule="auto"/>
              <w:rPr>
                <w:color w:val="000000" w:themeColor="text1"/>
              </w:rPr>
            </w:pPr>
            <w:r>
              <w:rPr>
                <w:rFonts w:hint="eastAsia"/>
                <w:color w:val="000000" w:themeColor="text1"/>
              </w:rPr>
              <w:t>移动形式</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1853" w:type="dxa"/>
            <w:vMerge/>
            <w:tcBorders>
              <w:top w:val="single" w:sz="8" w:space="0" w:color="auto"/>
            </w:tcBorders>
            <w:shd w:val="clear" w:color="auto" w:fill="auto"/>
            <w:vAlign w:val="center"/>
          </w:tcPr>
          <w:p w:rsidR="002B22BD" w:rsidRDefault="002B22BD"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2B22BD" w:rsidRDefault="00D25813" w:rsidP="00FD2FDE">
            <w:pPr>
              <w:pStyle w:val="afffffffff2"/>
              <w:spacing w:line="288" w:lineRule="auto"/>
              <w:rPr>
                <w:color w:val="000000" w:themeColor="text1"/>
              </w:rPr>
            </w:pPr>
            <w:r>
              <w:rPr>
                <w:rFonts w:hint="eastAsia"/>
                <w:color w:val="000000" w:themeColor="text1"/>
              </w:rPr>
              <w:t>遥控有效控制距离</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1853" w:type="dxa"/>
            <w:vMerge/>
            <w:shd w:val="clear" w:color="auto" w:fill="auto"/>
            <w:vAlign w:val="center"/>
          </w:tcPr>
          <w:p w:rsidR="002B22BD" w:rsidRDefault="002B22BD"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2B22BD" w:rsidRDefault="00D25813" w:rsidP="00FD2FDE">
            <w:pPr>
              <w:pStyle w:val="afffffffff2"/>
              <w:spacing w:line="288" w:lineRule="auto"/>
              <w:rPr>
                <w:color w:val="000000" w:themeColor="text1"/>
              </w:rPr>
            </w:pPr>
            <w:r>
              <w:rPr>
                <w:rFonts w:hint="eastAsia"/>
                <w:color w:val="000000" w:themeColor="text1"/>
              </w:rPr>
              <w:t>最快移动速度</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1853" w:type="dxa"/>
            <w:vMerge/>
            <w:shd w:val="clear" w:color="auto" w:fill="auto"/>
            <w:vAlign w:val="center"/>
          </w:tcPr>
          <w:p w:rsidR="002B22BD" w:rsidRDefault="002B22BD"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2B22BD" w:rsidRDefault="00D25813" w:rsidP="00FD2FDE">
            <w:pPr>
              <w:pStyle w:val="afffffffff2"/>
              <w:spacing w:line="288" w:lineRule="auto"/>
              <w:rPr>
                <w:color w:val="000000" w:themeColor="text1"/>
              </w:rPr>
            </w:pPr>
            <w:r>
              <w:rPr>
                <w:rFonts w:hint="eastAsia"/>
                <w:color w:val="000000" w:themeColor="text1"/>
              </w:rPr>
              <w:t>满载最大爬坡度</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6106" w:type="dxa"/>
            <w:gridSpan w:val="3"/>
            <w:tcBorders>
              <w:top w:val="single" w:sz="8" w:space="0" w:color="auto"/>
              <w:bottom w:val="single" w:sz="8" w:space="0" w:color="auto"/>
            </w:tcBorders>
            <w:shd w:val="clear" w:color="auto" w:fill="auto"/>
            <w:vAlign w:val="center"/>
          </w:tcPr>
          <w:p w:rsidR="002B22BD" w:rsidRDefault="005E69BC" w:rsidP="00FD2FDE">
            <w:pPr>
              <w:pStyle w:val="afffffffff2"/>
              <w:spacing w:line="288" w:lineRule="auto"/>
              <w:rPr>
                <w:color w:val="000000" w:themeColor="text1"/>
              </w:rPr>
            </w:pPr>
            <w:r>
              <w:rPr>
                <w:rFonts w:hint="eastAsia"/>
                <w:color w:val="000000" w:themeColor="text1"/>
              </w:rPr>
              <w:t>通信</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5E69BC" w:rsidTr="00317A75">
        <w:trPr>
          <w:tblHeader/>
          <w:jc w:val="center"/>
        </w:trPr>
        <w:tc>
          <w:tcPr>
            <w:tcW w:w="6106" w:type="dxa"/>
            <w:gridSpan w:val="3"/>
            <w:tcBorders>
              <w:top w:val="single" w:sz="8" w:space="0" w:color="auto"/>
              <w:bottom w:val="single" w:sz="8" w:space="0" w:color="auto"/>
            </w:tcBorders>
            <w:shd w:val="clear" w:color="auto" w:fill="auto"/>
            <w:vAlign w:val="center"/>
          </w:tcPr>
          <w:p w:rsidR="005E69BC" w:rsidRDefault="005E69BC" w:rsidP="00FD2FDE">
            <w:pPr>
              <w:pStyle w:val="afffffffff2"/>
              <w:spacing w:line="288" w:lineRule="auto"/>
              <w:rPr>
                <w:color w:val="000000" w:themeColor="text1"/>
              </w:rPr>
            </w:pPr>
            <w:r>
              <w:rPr>
                <w:rFonts w:hint="eastAsia"/>
                <w:color w:val="000000" w:themeColor="text1"/>
              </w:rPr>
              <w:t>噪声</w:t>
            </w:r>
          </w:p>
        </w:tc>
        <w:tc>
          <w:tcPr>
            <w:tcW w:w="1701" w:type="dxa"/>
            <w:tcBorders>
              <w:top w:val="single" w:sz="8" w:space="0" w:color="auto"/>
              <w:bottom w:val="single" w:sz="8" w:space="0" w:color="auto"/>
            </w:tcBorders>
            <w:shd w:val="clear" w:color="auto" w:fill="auto"/>
            <w:vAlign w:val="center"/>
          </w:tcPr>
          <w:p w:rsidR="005E69BC"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5E69BC" w:rsidRDefault="00433457" w:rsidP="00FD2FDE">
            <w:pPr>
              <w:pStyle w:val="afffffffff2"/>
              <w:spacing w:line="288" w:lineRule="auto"/>
              <w:rPr>
                <w:color w:val="000000" w:themeColor="text1"/>
              </w:rPr>
            </w:pPr>
            <w:r>
              <w:rPr>
                <w:rFonts w:hint="eastAsia"/>
                <w:color w:val="000000" w:themeColor="text1"/>
              </w:rPr>
              <w:t>√</w:t>
            </w:r>
          </w:p>
        </w:tc>
      </w:tr>
      <w:tr w:rsidR="005E69BC" w:rsidTr="00317A75">
        <w:trPr>
          <w:tblHeader/>
          <w:jc w:val="center"/>
        </w:trPr>
        <w:tc>
          <w:tcPr>
            <w:tcW w:w="6106" w:type="dxa"/>
            <w:gridSpan w:val="3"/>
            <w:tcBorders>
              <w:top w:val="single" w:sz="8" w:space="0" w:color="auto"/>
              <w:bottom w:val="single" w:sz="8" w:space="0" w:color="auto"/>
            </w:tcBorders>
            <w:shd w:val="clear" w:color="auto" w:fill="auto"/>
            <w:vAlign w:val="center"/>
          </w:tcPr>
          <w:p w:rsidR="005E69BC" w:rsidRDefault="005E69BC" w:rsidP="00FD2FDE">
            <w:pPr>
              <w:pStyle w:val="afffffffff2"/>
              <w:spacing w:line="288" w:lineRule="auto"/>
              <w:rPr>
                <w:color w:val="000000" w:themeColor="text1"/>
              </w:rPr>
            </w:pPr>
            <w:r>
              <w:rPr>
                <w:rFonts w:hint="eastAsia"/>
                <w:color w:val="000000" w:themeColor="text1"/>
              </w:rPr>
              <w:t>防护等级</w:t>
            </w:r>
          </w:p>
        </w:tc>
        <w:tc>
          <w:tcPr>
            <w:tcW w:w="1701" w:type="dxa"/>
            <w:tcBorders>
              <w:top w:val="single" w:sz="8" w:space="0" w:color="auto"/>
              <w:bottom w:val="single" w:sz="8" w:space="0" w:color="auto"/>
            </w:tcBorders>
            <w:shd w:val="clear" w:color="auto" w:fill="auto"/>
            <w:vAlign w:val="center"/>
          </w:tcPr>
          <w:p w:rsidR="005E69BC" w:rsidRDefault="00F96C28" w:rsidP="00FD2FDE">
            <w:pPr>
              <w:pStyle w:val="afffffffff2"/>
              <w:spacing w:line="288" w:lineRule="auto"/>
              <w:rPr>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5E69BC" w:rsidRDefault="00433457"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1853" w:type="dxa"/>
            <w:vMerge w:val="restart"/>
            <w:tcBorders>
              <w:top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环境适应性</w:t>
            </w:r>
          </w:p>
        </w:tc>
        <w:tc>
          <w:tcPr>
            <w:tcW w:w="4253" w:type="dxa"/>
            <w:gridSpan w:val="2"/>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低温</w:t>
            </w:r>
            <w:r w:rsidR="005E69BC">
              <w:rPr>
                <w:rFonts w:hint="eastAsia"/>
                <w:color w:val="000000" w:themeColor="text1"/>
              </w:rPr>
              <w:t>工作</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1853" w:type="dxa"/>
            <w:vMerge/>
            <w:shd w:val="clear" w:color="auto" w:fill="auto"/>
            <w:vAlign w:val="center"/>
          </w:tcPr>
          <w:p w:rsidR="002B22BD" w:rsidRDefault="002B22BD"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高温</w:t>
            </w:r>
            <w:r w:rsidR="005E69BC">
              <w:rPr>
                <w:rFonts w:hint="eastAsia"/>
                <w:color w:val="000000" w:themeColor="text1"/>
              </w:rPr>
              <w:t>工作</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2B22BD" w:rsidTr="00317A75">
        <w:trPr>
          <w:tblHeader/>
          <w:jc w:val="center"/>
        </w:trPr>
        <w:tc>
          <w:tcPr>
            <w:tcW w:w="1853" w:type="dxa"/>
            <w:vMerge/>
            <w:shd w:val="clear" w:color="auto" w:fill="auto"/>
            <w:vAlign w:val="center"/>
          </w:tcPr>
          <w:p w:rsidR="002B22BD" w:rsidRDefault="002B22BD" w:rsidP="00FD2FDE">
            <w:pPr>
              <w:pStyle w:val="afffffffff2"/>
              <w:spacing w:line="288" w:lineRule="auto"/>
              <w:rPr>
                <w:color w:val="000000" w:themeColor="text1"/>
              </w:rPr>
            </w:pPr>
          </w:p>
        </w:tc>
        <w:tc>
          <w:tcPr>
            <w:tcW w:w="4253" w:type="dxa"/>
            <w:gridSpan w:val="2"/>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交变湿热</w:t>
            </w:r>
          </w:p>
        </w:tc>
        <w:tc>
          <w:tcPr>
            <w:tcW w:w="1701" w:type="dxa"/>
            <w:tcBorders>
              <w:top w:val="single" w:sz="8" w:space="0" w:color="auto"/>
              <w:bottom w:val="single" w:sz="8" w:space="0" w:color="auto"/>
            </w:tcBorders>
            <w:shd w:val="clear" w:color="auto" w:fill="auto"/>
            <w:vAlign w:val="center"/>
          </w:tcPr>
          <w:p w:rsidR="002B22BD"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2B22BD" w:rsidRDefault="004B72B4"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val="restart"/>
            <w:tcBorders>
              <w:top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安全要求</w:t>
            </w:r>
          </w:p>
        </w:tc>
        <w:tc>
          <w:tcPr>
            <w:tcW w:w="2126" w:type="dxa"/>
            <w:vMerge w:val="restart"/>
            <w:tcBorders>
              <w:top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color w:val="000000" w:themeColor="text1"/>
              </w:rPr>
              <w:t>电击防护</w:t>
            </w: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防触电</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防止意外电压</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接地</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剩余电流保护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电气隔离</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电气间隙和爬电距离</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sidRPr="00C61135">
              <w:rPr>
                <w:rFonts w:hint="eastAsia"/>
                <w:color w:val="000000" w:themeColor="text1"/>
              </w:rPr>
              <w:t>接触电流</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绝缘电阻</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tcBorders>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介电强度</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val="restart"/>
            <w:tcBorders>
              <w:top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能量与保护</w:t>
            </w: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输出过电压</w:t>
            </w:r>
            <w:r>
              <w:rPr>
                <w:rFonts w:hint="eastAsia"/>
                <w:color w:val="000000" w:themeColor="text1"/>
              </w:rPr>
              <w:t>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输出过电流</w:t>
            </w:r>
            <w:r>
              <w:rPr>
                <w:rFonts w:hint="eastAsia"/>
                <w:color w:val="000000" w:themeColor="text1"/>
              </w:rPr>
              <w:t>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短路保护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sidRPr="00C61135">
              <w:rPr>
                <w:rFonts w:hint="eastAsia"/>
                <w:color w:val="000000" w:themeColor="text1"/>
              </w:rPr>
              <w:t>过</w:t>
            </w:r>
            <w:proofErr w:type="gramStart"/>
            <w:r w:rsidRPr="00C61135">
              <w:rPr>
                <w:rFonts w:hint="eastAsia"/>
                <w:color w:val="000000" w:themeColor="text1"/>
              </w:rPr>
              <w:t>温保护</w:t>
            </w:r>
            <w:proofErr w:type="gramEnd"/>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负载突降</w:t>
            </w:r>
            <w:r>
              <w:rPr>
                <w:rFonts w:hint="eastAsia"/>
                <w:color w:val="000000" w:themeColor="text1"/>
              </w:rPr>
              <w:t>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防逆流功能</w:t>
            </w:r>
            <w:r>
              <w:rPr>
                <w:rFonts w:hint="eastAsia"/>
                <w:color w:val="000000" w:themeColor="text1"/>
              </w:rPr>
              <w:t>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粘连保护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门禁保护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sidRPr="00C61135">
              <w:rPr>
                <w:rFonts w:hint="eastAsia"/>
                <w:color w:val="000000" w:themeColor="text1"/>
              </w:rPr>
              <w:t>绝缘保护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tcBorders>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proofErr w:type="gramStart"/>
            <w:r w:rsidRPr="00C61135">
              <w:rPr>
                <w:rFonts w:hint="eastAsia"/>
                <w:color w:val="000000" w:themeColor="text1"/>
              </w:rPr>
              <w:t>多车辆</w:t>
            </w:r>
            <w:proofErr w:type="gramEnd"/>
            <w:r w:rsidRPr="00C61135">
              <w:rPr>
                <w:rFonts w:hint="eastAsia"/>
                <w:color w:val="000000" w:themeColor="text1"/>
              </w:rPr>
              <w:t>插头</w:t>
            </w:r>
            <w:r>
              <w:rPr>
                <w:rFonts w:hint="eastAsia"/>
                <w:color w:val="000000" w:themeColor="text1"/>
              </w:rPr>
              <w:t>保护</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val="restart"/>
            <w:tcBorders>
              <w:top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过热及着火</w:t>
            </w: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允许表面温度</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绝缘部件耐热</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绝缘部件耐燃</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tcBorders>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绝缘部件耐老化</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val="restart"/>
            <w:tcBorders>
              <w:top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机械防护</w:t>
            </w: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运动部件</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tcBorders>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机械强度</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shd w:val="clear" w:color="auto" w:fill="auto"/>
            <w:vAlign w:val="center"/>
          </w:tcPr>
          <w:p w:rsidR="007661A8" w:rsidRDefault="007661A8" w:rsidP="00FD2FDE">
            <w:pPr>
              <w:pStyle w:val="afffffffff2"/>
              <w:spacing w:line="288" w:lineRule="auto"/>
              <w:rPr>
                <w:color w:val="000000" w:themeColor="text1"/>
              </w:rPr>
            </w:pPr>
          </w:p>
        </w:tc>
        <w:tc>
          <w:tcPr>
            <w:tcW w:w="2126" w:type="dxa"/>
            <w:vMerge w:val="restart"/>
            <w:tcBorders>
              <w:top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电磁兼容</w:t>
            </w:r>
          </w:p>
        </w:tc>
        <w:tc>
          <w:tcPr>
            <w:tcW w:w="2127" w:type="dxa"/>
            <w:tcBorders>
              <w:top w:val="single" w:sz="8" w:space="0" w:color="auto"/>
              <w:bottom w:val="single" w:sz="8" w:space="0" w:color="auto"/>
            </w:tcBorders>
            <w:shd w:val="clear" w:color="auto" w:fill="auto"/>
            <w:vAlign w:val="center"/>
          </w:tcPr>
          <w:p w:rsidR="007661A8" w:rsidRPr="00C61135" w:rsidRDefault="007661A8" w:rsidP="00FD2FDE">
            <w:pPr>
              <w:pStyle w:val="afffffffff2"/>
              <w:spacing w:line="288" w:lineRule="auto"/>
              <w:rPr>
                <w:color w:val="000000" w:themeColor="text1"/>
              </w:rPr>
            </w:pPr>
            <w:r>
              <w:rPr>
                <w:rFonts w:hint="eastAsia"/>
                <w:color w:val="000000" w:themeColor="text1"/>
              </w:rPr>
              <w:t>抗扰度</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7661A8" w:rsidTr="003036AA">
        <w:trPr>
          <w:tblHeader/>
          <w:jc w:val="center"/>
        </w:trPr>
        <w:tc>
          <w:tcPr>
            <w:tcW w:w="1853" w:type="dxa"/>
            <w:vMerge/>
            <w:tcBorders>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p>
        </w:tc>
        <w:tc>
          <w:tcPr>
            <w:tcW w:w="2126" w:type="dxa"/>
            <w:vMerge/>
            <w:tcBorders>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p>
        </w:tc>
        <w:tc>
          <w:tcPr>
            <w:tcW w:w="2127" w:type="dxa"/>
            <w:tcBorders>
              <w:top w:val="single" w:sz="8" w:space="0" w:color="auto"/>
              <w:bottom w:val="single" w:sz="8" w:space="0" w:color="auto"/>
            </w:tcBorders>
            <w:shd w:val="clear" w:color="auto" w:fill="auto"/>
            <w:vAlign w:val="center"/>
          </w:tcPr>
          <w:p w:rsidR="007661A8" w:rsidRDefault="007661A8" w:rsidP="00FD2FDE">
            <w:pPr>
              <w:pStyle w:val="afffffffff2"/>
              <w:spacing w:line="288" w:lineRule="auto"/>
              <w:rPr>
                <w:color w:val="000000" w:themeColor="text1"/>
              </w:rPr>
            </w:pPr>
            <w:r>
              <w:rPr>
                <w:rFonts w:hint="eastAsia"/>
                <w:color w:val="000000" w:themeColor="text1"/>
              </w:rPr>
              <w:t>发射</w:t>
            </w:r>
          </w:p>
        </w:tc>
        <w:tc>
          <w:tcPr>
            <w:tcW w:w="1701" w:type="dxa"/>
            <w:tcBorders>
              <w:top w:val="single" w:sz="8" w:space="0" w:color="auto"/>
              <w:bottom w:val="single" w:sz="8" w:space="0" w:color="auto"/>
            </w:tcBorders>
            <w:shd w:val="clear" w:color="auto" w:fill="auto"/>
            <w:vAlign w:val="center"/>
          </w:tcPr>
          <w:p w:rsidR="007661A8" w:rsidRDefault="00F96C28" w:rsidP="00FD2FDE">
            <w:pPr>
              <w:pStyle w:val="afffffffff2"/>
              <w:spacing w:line="288" w:lineRule="auto"/>
              <w:rPr>
                <w:rFonts w:hAnsi="宋体"/>
                <w:color w:val="000000" w:themeColor="text1"/>
              </w:rPr>
            </w:pPr>
            <w:r>
              <w:rPr>
                <w:rFonts w:hint="eastAsia"/>
                <w:color w:val="000000" w:themeColor="text1"/>
              </w:rPr>
              <w:t>—</w:t>
            </w:r>
          </w:p>
        </w:tc>
        <w:tc>
          <w:tcPr>
            <w:tcW w:w="1567" w:type="dxa"/>
            <w:tcBorders>
              <w:top w:val="single" w:sz="8" w:space="0" w:color="auto"/>
              <w:bottom w:val="single" w:sz="8" w:space="0" w:color="auto"/>
            </w:tcBorders>
            <w:shd w:val="clear" w:color="auto" w:fill="auto"/>
            <w:vAlign w:val="center"/>
          </w:tcPr>
          <w:p w:rsidR="007661A8" w:rsidRDefault="00433457" w:rsidP="00FD2FDE">
            <w:pPr>
              <w:pStyle w:val="afffffffff2"/>
              <w:spacing w:line="288" w:lineRule="auto"/>
              <w:rPr>
                <w:color w:val="000000" w:themeColor="text1"/>
              </w:rPr>
            </w:pPr>
            <w:r>
              <w:rPr>
                <w:rFonts w:hint="eastAsia"/>
                <w:color w:val="000000" w:themeColor="text1"/>
              </w:rPr>
              <w:t>√</w:t>
            </w:r>
          </w:p>
        </w:tc>
      </w:tr>
      <w:tr w:rsidR="00317A75">
        <w:trPr>
          <w:jc w:val="center"/>
        </w:trPr>
        <w:tc>
          <w:tcPr>
            <w:tcW w:w="9374" w:type="dxa"/>
            <w:gridSpan w:val="5"/>
            <w:shd w:val="clear" w:color="auto" w:fill="auto"/>
            <w:vAlign w:val="center"/>
          </w:tcPr>
          <w:p w:rsidR="00317A75" w:rsidRDefault="00317A75" w:rsidP="00FD2FDE">
            <w:pPr>
              <w:pStyle w:val="afff2"/>
              <w:spacing w:line="288" w:lineRule="auto"/>
              <w:rPr>
                <w:color w:val="000000" w:themeColor="text1"/>
              </w:rPr>
            </w:pPr>
            <w:r>
              <w:rPr>
                <w:rFonts w:hint="eastAsia"/>
                <w:color w:val="000000" w:themeColor="text1"/>
              </w:rPr>
              <w:t>“√”为必检项，“—”为</w:t>
            </w:r>
            <w:proofErr w:type="gramStart"/>
            <w:r>
              <w:rPr>
                <w:rFonts w:hint="eastAsia"/>
                <w:color w:val="000000" w:themeColor="text1"/>
              </w:rPr>
              <w:t>非检项</w:t>
            </w:r>
            <w:proofErr w:type="gramEnd"/>
            <w:r>
              <w:rPr>
                <w:rFonts w:hint="eastAsia"/>
                <w:color w:val="000000" w:themeColor="text1"/>
              </w:rPr>
              <w:t>。</w:t>
            </w:r>
          </w:p>
        </w:tc>
      </w:tr>
    </w:tbl>
    <w:p w:rsidR="002B22BD" w:rsidRDefault="002B22BD" w:rsidP="00FD2FDE">
      <w:pPr>
        <w:pStyle w:val="affffe"/>
        <w:spacing w:line="288" w:lineRule="auto"/>
        <w:ind w:firstLine="420"/>
      </w:pPr>
    </w:p>
    <w:p w:rsidR="002B22BD" w:rsidRDefault="004B72B4" w:rsidP="00FD2FDE">
      <w:pPr>
        <w:pStyle w:val="affffffffa"/>
        <w:spacing w:line="288" w:lineRule="auto"/>
      </w:pPr>
      <w:r>
        <w:rPr>
          <w:rFonts w:hint="eastAsia"/>
        </w:rPr>
        <w:t>充电</w:t>
      </w:r>
      <w:r w:rsidR="00D826BD">
        <w:rPr>
          <w:rFonts w:hint="eastAsia"/>
        </w:rPr>
        <w:t>装备</w:t>
      </w:r>
      <w:r>
        <w:rPr>
          <w:rFonts w:hint="eastAsia"/>
        </w:rPr>
        <w:t>应逐台进行出厂检验，在出厂检验中，若出现某项目不符合要求或发生故障时，需查明原因，进行返修，对该项重新检验。在重新检验中，该项目再次出现不符合要求或发生故障时，则判为不合格品。</w:t>
      </w:r>
    </w:p>
    <w:p w:rsidR="002B22BD" w:rsidRDefault="004B72B4" w:rsidP="00FD2FDE">
      <w:pPr>
        <w:pStyle w:val="affd"/>
        <w:spacing w:before="120" w:after="120" w:line="288" w:lineRule="auto"/>
      </w:pPr>
      <w:r>
        <w:t>型式检验</w:t>
      </w:r>
    </w:p>
    <w:p w:rsidR="002B22BD" w:rsidRDefault="004B72B4" w:rsidP="00FD2FDE">
      <w:pPr>
        <w:pStyle w:val="affffffffa"/>
        <w:spacing w:line="288" w:lineRule="auto"/>
      </w:pPr>
      <w:r>
        <w:rPr>
          <w:rFonts w:hint="eastAsia"/>
        </w:rPr>
        <w:t>有下列情况之</w:t>
      </w:r>
      <w:proofErr w:type="gramStart"/>
      <w:r>
        <w:rPr>
          <w:rFonts w:hint="eastAsia"/>
        </w:rPr>
        <w:t>一时应</w:t>
      </w:r>
      <w:proofErr w:type="gramEnd"/>
      <w:r>
        <w:rPr>
          <w:rFonts w:hint="eastAsia"/>
        </w:rPr>
        <w:t>进行型式检验：</w:t>
      </w:r>
    </w:p>
    <w:p w:rsidR="002B22BD" w:rsidRDefault="004B72B4" w:rsidP="00FD2FDE">
      <w:pPr>
        <w:pStyle w:val="af5"/>
        <w:numPr>
          <w:ilvl w:val="0"/>
          <w:numId w:val="35"/>
        </w:numPr>
        <w:spacing w:line="288" w:lineRule="auto"/>
      </w:pPr>
      <w:r>
        <w:rPr>
          <w:rFonts w:hint="eastAsia"/>
        </w:rPr>
        <w:t>新产品试制定型鉴定；</w:t>
      </w:r>
    </w:p>
    <w:p w:rsidR="002B22BD" w:rsidRDefault="004B72B4" w:rsidP="00FD2FDE">
      <w:pPr>
        <w:pStyle w:val="af5"/>
        <w:spacing w:line="288" w:lineRule="auto"/>
      </w:pPr>
      <w:r>
        <w:rPr>
          <w:rFonts w:hint="eastAsia"/>
        </w:rPr>
        <w:t>产品转厂生产试制定型鉴定；</w:t>
      </w:r>
    </w:p>
    <w:p w:rsidR="002B22BD" w:rsidRDefault="004B72B4" w:rsidP="00FD2FDE">
      <w:pPr>
        <w:pStyle w:val="af5"/>
        <w:spacing w:line="288" w:lineRule="auto"/>
      </w:pPr>
      <w:r>
        <w:rPr>
          <w:rFonts w:hint="eastAsia"/>
        </w:rPr>
        <w:t>正式生产时，</w:t>
      </w:r>
      <w:r w:rsidR="00F04261">
        <w:rPr>
          <w:rFonts w:hint="eastAsia"/>
        </w:rPr>
        <w:t>设计变更、工艺或主要元器件改变、影响产品性能</w:t>
      </w:r>
      <w:r>
        <w:rPr>
          <w:rFonts w:hint="eastAsia"/>
        </w:rPr>
        <w:t>；</w:t>
      </w:r>
    </w:p>
    <w:p w:rsidR="002B22BD" w:rsidRDefault="004B72B4" w:rsidP="00FD2FDE">
      <w:pPr>
        <w:pStyle w:val="af5"/>
        <w:spacing w:line="288" w:lineRule="auto"/>
      </w:pPr>
      <w:r>
        <w:rPr>
          <w:rFonts w:hint="eastAsia"/>
        </w:rPr>
        <w:t>产品停产 1 年以上恢复生产；</w:t>
      </w:r>
    </w:p>
    <w:p w:rsidR="002B22BD" w:rsidRDefault="004B72B4" w:rsidP="00FD2FDE">
      <w:pPr>
        <w:pStyle w:val="af5"/>
        <w:spacing w:line="288" w:lineRule="auto"/>
      </w:pPr>
      <w:r>
        <w:rPr>
          <w:rFonts w:hint="eastAsia"/>
        </w:rPr>
        <w:t>出厂检验的结果与上次型式检验有较大差异。</w:t>
      </w:r>
    </w:p>
    <w:p w:rsidR="002B22BD" w:rsidRDefault="004B72B4" w:rsidP="00FD2FDE">
      <w:pPr>
        <w:pStyle w:val="affffffffa"/>
        <w:spacing w:line="288" w:lineRule="auto"/>
      </w:pPr>
      <w:r>
        <w:rPr>
          <w:rFonts w:hint="eastAsia"/>
        </w:rPr>
        <w:t>型式检验的样品从出厂检验合格的充电</w:t>
      </w:r>
      <w:r w:rsidR="00F04261">
        <w:rPr>
          <w:rFonts w:hint="eastAsia"/>
        </w:rPr>
        <w:t>装备</w:t>
      </w:r>
      <w:r>
        <w:rPr>
          <w:rFonts w:hint="eastAsia"/>
        </w:rPr>
        <w:t>中任选 2 台做样品，1 台进行检验，1 台作为备样。</w:t>
      </w:r>
    </w:p>
    <w:p w:rsidR="002B22BD" w:rsidRDefault="004B72B4" w:rsidP="00FD2FDE">
      <w:pPr>
        <w:pStyle w:val="affffffffa"/>
        <w:spacing w:line="288" w:lineRule="auto"/>
      </w:pPr>
      <w:r>
        <w:rPr>
          <w:rFonts w:hint="eastAsia"/>
        </w:rPr>
        <w:t xml:space="preserve">型式检验项目应符合表 </w:t>
      </w:r>
      <w:r w:rsidR="00F04261">
        <w:rPr>
          <w:rFonts w:hint="eastAsia"/>
        </w:rPr>
        <w:t>3</w:t>
      </w:r>
      <w:r>
        <w:rPr>
          <w:rFonts w:hint="eastAsia"/>
        </w:rPr>
        <w:t xml:space="preserve"> 的规定。</w:t>
      </w:r>
    </w:p>
    <w:p w:rsidR="002B22BD" w:rsidRDefault="004B72B4" w:rsidP="00FD2FDE">
      <w:pPr>
        <w:pStyle w:val="affffffffa"/>
        <w:spacing w:line="288" w:lineRule="auto"/>
      </w:pPr>
      <w:r>
        <w:rPr>
          <w:rFonts w:hint="eastAsia"/>
        </w:rPr>
        <w:t>在型式检验中，如有一项不合格或出现故障，应加倍抽样对不合格项目进行检验，若加倍抽样全部合格，则判定型式检验合格，若检验仍出现不合格项目，则判定为不合格品。</w:t>
      </w:r>
    </w:p>
    <w:p w:rsidR="002B22BD" w:rsidRDefault="004B72B4" w:rsidP="00FD2FDE">
      <w:pPr>
        <w:pStyle w:val="affc"/>
        <w:spacing w:before="240" w:after="240" w:line="288" w:lineRule="auto"/>
      </w:pPr>
      <w:bookmarkStart w:id="171" w:name="_Toc163912038"/>
      <w:bookmarkStart w:id="172" w:name="_Toc172966258"/>
      <w:bookmarkStart w:id="173" w:name="_Toc172966016"/>
      <w:bookmarkStart w:id="174" w:name="_Toc176436393"/>
      <w:bookmarkStart w:id="175" w:name="_Toc172966384"/>
      <w:bookmarkStart w:id="176" w:name="_Toc175906449"/>
      <w:bookmarkStart w:id="177" w:name="_Toc217468506"/>
      <w:r>
        <w:t>标识、标志、</w:t>
      </w:r>
      <w:bookmarkEnd w:id="163"/>
      <w:bookmarkEnd w:id="164"/>
      <w:bookmarkEnd w:id="171"/>
      <w:r>
        <w:t>包装、运输和贮存</w:t>
      </w:r>
      <w:bookmarkEnd w:id="172"/>
      <w:bookmarkEnd w:id="173"/>
      <w:bookmarkEnd w:id="174"/>
      <w:bookmarkEnd w:id="175"/>
      <w:bookmarkEnd w:id="176"/>
      <w:bookmarkEnd w:id="177"/>
    </w:p>
    <w:p w:rsidR="002B22BD" w:rsidRDefault="004B72B4" w:rsidP="00FD2FDE">
      <w:pPr>
        <w:pStyle w:val="affd"/>
        <w:spacing w:before="120" w:after="120" w:line="288" w:lineRule="auto"/>
      </w:pPr>
      <w:r>
        <w:rPr>
          <w:rFonts w:hint="eastAsia"/>
        </w:rPr>
        <w:t>标志</w:t>
      </w:r>
    </w:p>
    <w:p w:rsidR="002B22BD" w:rsidRDefault="004B72B4" w:rsidP="00FD2FDE">
      <w:pPr>
        <w:pStyle w:val="affffffffa"/>
        <w:spacing w:line="288" w:lineRule="auto"/>
      </w:pPr>
      <w:r>
        <w:rPr>
          <w:rFonts w:hint="eastAsia"/>
        </w:rPr>
        <w:t>充电装备产品标识的内容应符合 GB/T 18487.1—2023 中第 17 章的要求</w:t>
      </w:r>
      <w:r>
        <w:rPr>
          <w:rFonts w:hint="eastAsia"/>
          <w:szCs w:val="21"/>
        </w:rPr>
        <w:t>。</w:t>
      </w:r>
    </w:p>
    <w:p w:rsidR="002B22BD" w:rsidRDefault="004B72B4" w:rsidP="00FD2FDE">
      <w:pPr>
        <w:pStyle w:val="affffffffa"/>
        <w:spacing w:line="288" w:lineRule="auto"/>
      </w:pPr>
      <w:r>
        <w:rPr>
          <w:rFonts w:hint="eastAsia"/>
        </w:rPr>
        <w:t>包装箱外表面应按 GB/T 191 的规定做图示标志。</w:t>
      </w:r>
    </w:p>
    <w:p w:rsidR="002B22BD" w:rsidRDefault="004B72B4" w:rsidP="00FD2FDE">
      <w:pPr>
        <w:pStyle w:val="affffffffa"/>
        <w:spacing w:line="288" w:lineRule="auto"/>
      </w:pPr>
      <w:r>
        <w:rPr>
          <w:rFonts w:hint="eastAsia"/>
        </w:rPr>
        <w:t>运输包装收发货标志应符合 GB/T 6388 的规定。</w:t>
      </w:r>
    </w:p>
    <w:p w:rsidR="002B22BD" w:rsidRDefault="004B72B4" w:rsidP="00FD2FDE">
      <w:pPr>
        <w:pStyle w:val="affffffffa"/>
        <w:spacing w:line="288" w:lineRule="auto"/>
      </w:pPr>
      <w:r>
        <w:rPr>
          <w:rFonts w:hint="eastAsia"/>
        </w:rPr>
        <w:t>标志应清晰、牢固，不应因运输条件和自然条件而褪色、变色、脱落。</w:t>
      </w:r>
    </w:p>
    <w:p w:rsidR="002B22BD" w:rsidRDefault="004B72B4" w:rsidP="00FD2FDE">
      <w:pPr>
        <w:pStyle w:val="affd"/>
        <w:spacing w:before="120" w:after="120" w:line="288" w:lineRule="auto"/>
      </w:pPr>
      <w:r>
        <w:rPr>
          <w:rFonts w:hint="eastAsia"/>
        </w:rPr>
        <w:t>包装</w:t>
      </w:r>
    </w:p>
    <w:p w:rsidR="002B22BD" w:rsidRDefault="004B72B4" w:rsidP="00FD2FDE">
      <w:pPr>
        <w:pStyle w:val="affffffffa"/>
        <w:spacing w:line="288" w:lineRule="auto"/>
      </w:pPr>
      <w:r>
        <w:rPr>
          <w:rFonts w:hint="eastAsia"/>
        </w:rPr>
        <w:t>充电装备包装应符合 GB/T 13384 的规定。</w:t>
      </w:r>
    </w:p>
    <w:p w:rsidR="002B22BD" w:rsidRDefault="004B72B4" w:rsidP="00FD2FDE">
      <w:pPr>
        <w:pStyle w:val="affffffffa"/>
        <w:spacing w:line="288" w:lineRule="auto"/>
      </w:pPr>
      <w:r>
        <w:rPr>
          <w:rFonts w:hint="eastAsia"/>
        </w:rPr>
        <w:t>包装材料应符合 GB/T 5048 的规定。</w:t>
      </w:r>
    </w:p>
    <w:p w:rsidR="002B22BD" w:rsidRDefault="004B72B4" w:rsidP="00FD2FDE">
      <w:pPr>
        <w:pStyle w:val="affffffffa"/>
        <w:spacing w:line="288" w:lineRule="auto"/>
      </w:pPr>
      <w:r>
        <w:rPr>
          <w:rFonts w:hint="eastAsia"/>
        </w:rPr>
        <w:t>随机备件、附件和工具等应装箱并固定。</w:t>
      </w:r>
    </w:p>
    <w:p w:rsidR="002B22BD" w:rsidRDefault="004B72B4" w:rsidP="00FD2FDE">
      <w:pPr>
        <w:pStyle w:val="affffffffa"/>
        <w:spacing w:line="288" w:lineRule="auto"/>
      </w:pPr>
      <w:r>
        <w:rPr>
          <w:rFonts w:hint="eastAsia"/>
        </w:rPr>
        <w:t>包装箱内应有下列文件：</w:t>
      </w:r>
    </w:p>
    <w:p w:rsidR="002B22BD" w:rsidRDefault="004B72B4" w:rsidP="00FD2FDE">
      <w:pPr>
        <w:pStyle w:val="af5"/>
        <w:numPr>
          <w:ilvl w:val="0"/>
          <w:numId w:val="36"/>
        </w:numPr>
        <w:spacing w:line="288" w:lineRule="auto"/>
        <w:rPr>
          <w:color w:val="000000" w:themeColor="text1"/>
        </w:rPr>
      </w:pPr>
      <w:r>
        <w:rPr>
          <w:rFonts w:hint="eastAsia"/>
          <w:color w:val="000000" w:themeColor="text1"/>
        </w:rPr>
        <w:t>装箱清单；</w:t>
      </w:r>
    </w:p>
    <w:p w:rsidR="002B22BD" w:rsidRDefault="004B72B4" w:rsidP="00FD2FDE">
      <w:pPr>
        <w:pStyle w:val="af5"/>
        <w:numPr>
          <w:ilvl w:val="0"/>
          <w:numId w:val="36"/>
        </w:numPr>
        <w:spacing w:line="288" w:lineRule="auto"/>
        <w:rPr>
          <w:color w:val="000000" w:themeColor="text1"/>
        </w:rPr>
      </w:pPr>
      <w:r>
        <w:rPr>
          <w:rFonts w:hint="eastAsia"/>
          <w:color w:val="000000" w:themeColor="text1"/>
        </w:rPr>
        <w:lastRenderedPageBreak/>
        <w:t>合格证；</w:t>
      </w:r>
    </w:p>
    <w:p w:rsidR="002B22BD" w:rsidRDefault="004B72B4" w:rsidP="00FD2FDE">
      <w:pPr>
        <w:pStyle w:val="af5"/>
        <w:numPr>
          <w:ilvl w:val="0"/>
          <w:numId w:val="36"/>
        </w:numPr>
        <w:spacing w:line="288" w:lineRule="auto"/>
        <w:rPr>
          <w:color w:val="000000" w:themeColor="text1"/>
        </w:rPr>
      </w:pPr>
      <w:r>
        <w:rPr>
          <w:rFonts w:hint="eastAsia"/>
          <w:color w:val="000000" w:themeColor="text1"/>
        </w:rPr>
        <w:t>安装使用说明书；</w:t>
      </w:r>
    </w:p>
    <w:p w:rsidR="002B22BD" w:rsidRDefault="004B72B4" w:rsidP="00FD2FDE">
      <w:pPr>
        <w:pStyle w:val="af5"/>
        <w:spacing w:line="288" w:lineRule="auto"/>
        <w:rPr>
          <w:color w:val="000000" w:themeColor="text1"/>
        </w:rPr>
      </w:pPr>
      <w:r>
        <w:rPr>
          <w:rFonts w:hint="eastAsia"/>
          <w:color w:val="000000" w:themeColor="text1"/>
        </w:rPr>
        <w:t>随机备件、附件及其清单；</w:t>
      </w:r>
    </w:p>
    <w:p w:rsidR="002B22BD" w:rsidRDefault="004B72B4" w:rsidP="00FD2FDE">
      <w:pPr>
        <w:pStyle w:val="af5"/>
        <w:spacing w:line="288" w:lineRule="auto"/>
        <w:rPr>
          <w:color w:val="000000" w:themeColor="text1"/>
        </w:rPr>
      </w:pPr>
      <w:r>
        <w:rPr>
          <w:rFonts w:hint="eastAsia"/>
          <w:color w:val="000000" w:themeColor="text1"/>
        </w:rPr>
        <w:t>其他相关技术文件。</w:t>
      </w:r>
    </w:p>
    <w:p w:rsidR="002B22BD" w:rsidRDefault="004B72B4" w:rsidP="00FD2FDE">
      <w:pPr>
        <w:pStyle w:val="affd"/>
        <w:spacing w:before="120" w:after="120" w:line="288" w:lineRule="auto"/>
      </w:pPr>
      <w:r>
        <w:rPr>
          <w:rFonts w:hint="eastAsia"/>
        </w:rPr>
        <w:t>运输</w:t>
      </w:r>
    </w:p>
    <w:p w:rsidR="002B22BD" w:rsidRDefault="004B72B4" w:rsidP="00FD2FDE">
      <w:pPr>
        <w:pStyle w:val="affffffffa"/>
        <w:spacing w:line="288" w:lineRule="auto"/>
      </w:pPr>
      <w:r>
        <w:rPr>
          <w:rFonts w:hint="eastAsia"/>
        </w:rPr>
        <w:t>宜选择铁路运输、船运等较平稳的运输方式，选择汽运时，应选择路况较好的公路，防止过度颠簸。</w:t>
      </w:r>
    </w:p>
    <w:p w:rsidR="002B22BD" w:rsidRDefault="004B72B4" w:rsidP="00FD2FDE">
      <w:pPr>
        <w:pStyle w:val="affffffffa"/>
        <w:spacing w:line="288" w:lineRule="auto"/>
      </w:pPr>
      <w:r>
        <w:rPr>
          <w:rFonts w:hint="eastAsia"/>
        </w:rPr>
        <w:t>充电装备在运输过程中，不应有剧烈振动冲击、暴晒雨淋、倾倒放置等。</w:t>
      </w:r>
    </w:p>
    <w:p w:rsidR="002B22BD" w:rsidRDefault="004B72B4" w:rsidP="00FD2FDE">
      <w:pPr>
        <w:pStyle w:val="affffffffa"/>
        <w:spacing w:line="288" w:lineRule="auto"/>
      </w:pPr>
      <w:r>
        <w:t>运输宜避免下雨、下雪等恶劣天气，如无法避免应采取防护措施。</w:t>
      </w:r>
    </w:p>
    <w:p w:rsidR="002B22BD" w:rsidRDefault="004B72B4" w:rsidP="00FD2FDE">
      <w:pPr>
        <w:pStyle w:val="affd"/>
        <w:spacing w:before="120" w:after="120" w:line="288" w:lineRule="auto"/>
      </w:pPr>
      <w:r>
        <w:t>贮存</w:t>
      </w:r>
    </w:p>
    <w:p w:rsidR="002B22BD" w:rsidRDefault="004B72B4" w:rsidP="00FD2FDE">
      <w:pPr>
        <w:pStyle w:val="affffffffa"/>
        <w:spacing w:line="288" w:lineRule="auto"/>
      </w:pPr>
      <w:r>
        <w:rPr>
          <w:rFonts w:hint="eastAsia"/>
        </w:rPr>
        <w:t>包装好的充电装备应贮存在</w:t>
      </w:r>
      <w:r w:rsidR="00237AA9">
        <w:rPr>
          <w:rFonts w:hint="eastAsia"/>
        </w:rPr>
        <w:t>清洁、</w:t>
      </w:r>
      <w:r>
        <w:rPr>
          <w:rFonts w:hint="eastAsia"/>
        </w:rPr>
        <w:t>干净</w:t>
      </w:r>
      <w:r w:rsidR="00237AA9">
        <w:rPr>
          <w:rFonts w:hint="eastAsia"/>
        </w:rPr>
        <w:t>的</w:t>
      </w:r>
      <w:r>
        <w:rPr>
          <w:rFonts w:hint="eastAsia"/>
        </w:rPr>
        <w:t>室内，不应有腐蚀性、易燃易爆物品及腐蚀性化学物品</w:t>
      </w:r>
      <w:bookmarkEnd w:id="36"/>
      <w:bookmarkEnd w:id="108"/>
      <w:bookmarkEnd w:id="109"/>
      <w:r>
        <w:rPr>
          <w:rFonts w:hint="eastAsia"/>
        </w:rPr>
        <w:t>。</w:t>
      </w:r>
    </w:p>
    <w:p w:rsidR="002B22BD" w:rsidRDefault="004B72B4" w:rsidP="00FD2FDE">
      <w:pPr>
        <w:pStyle w:val="affffffffa"/>
        <w:spacing w:line="288" w:lineRule="auto"/>
      </w:pPr>
      <w:r>
        <w:rPr>
          <w:rFonts w:hint="eastAsia"/>
        </w:rPr>
        <w:t xml:space="preserve">运输与贮存时间总计应不超过 6 </w:t>
      </w:r>
      <w:proofErr w:type="gramStart"/>
      <w:r>
        <w:rPr>
          <w:rFonts w:hint="eastAsia"/>
        </w:rPr>
        <w:t>个</w:t>
      </w:r>
      <w:proofErr w:type="gramEnd"/>
      <w:r>
        <w:rPr>
          <w:rFonts w:hint="eastAsia"/>
        </w:rPr>
        <w:t>月，超过6个月应重新标定充电装备性能。</w:t>
      </w:r>
    </w:p>
    <w:p w:rsidR="002B22BD" w:rsidRDefault="004B72B4">
      <w:pPr>
        <w:pStyle w:val="affffe"/>
        <w:ind w:firstLineChars="0" w:firstLine="0"/>
        <w:jc w:val="center"/>
      </w:pPr>
      <w:bookmarkStart w:id="178" w:name="BookMark8"/>
      <w:r>
        <w:rPr>
          <w:noProof/>
        </w:rPr>
        <w:drawing>
          <wp:inline distT="0" distB="0" distL="0" distR="0" wp14:anchorId="28C20DF2" wp14:editId="379DCB4A">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5"/>
                    <a:stretch>
                      <a:fillRect/>
                    </a:stretch>
                  </pic:blipFill>
                  <pic:spPr>
                    <a:xfrm>
                      <a:off x="0" y="0"/>
                      <a:ext cx="1485900" cy="317500"/>
                    </a:xfrm>
                    <a:prstGeom prst="rect">
                      <a:avLst/>
                    </a:prstGeom>
                  </pic:spPr>
                </pic:pic>
              </a:graphicData>
            </a:graphic>
          </wp:inline>
        </w:drawing>
      </w:r>
      <w:bookmarkEnd w:id="178"/>
    </w:p>
    <w:sectPr w:rsidR="002B22BD" w:rsidSect="00ED40EA">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F9" w:rsidRDefault="007416F9">
      <w:pPr>
        <w:spacing w:line="240" w:lineRule="auto"/>
      </w:pPr>
      <w:r>
        <w:separator/>
      </w:r>
    </w:p>
  </w:endnote>
  <w:endnote w:type="continuationSeparator" w:id="0">
    <w:p w:rsidR="007416F9" w:rsidRDefault="00741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Pr="00ED40EA" w:rsidRDefault="003036AA" w:rsidP="00ED40EA">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rsidP="00ED40EA">
    <w:pPr>
      <w:pStyle w:val="affffb"/>
    </w:pPr>
    <w:r>
      <w:fldChar w:fldCharType="begin"/>
    </w:r>
    <w:r>
      <w:instrText>PAGE   \* MERGEFORMAT</w:instrText>
    </w:r>
    <w:r>
      <w:fldChar w:fldCharType="separate"/>
    </w:r>
    <w:r w:rsidR="000C0590" w:rsidRPr="000C0590">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Pr="00ED40EA" w:rsidRDefault="003036AA" w:rsidP="00ED40EA">
    <w:pPr>
      <w:pStyle w:val="affffa"/>
    </w:pPr>
    <w:r>
      <w:fldChar w:fldCharType="begin"/>
    </w:r>
    <w:r>
      <w:instrText xml:space="preserve"> PAGE   \* MERGEFORMAT \* MERGEFORMAT </w:instrText>
    </w:r>
    <w:r>
      <w:fldChar w:fldCharType="separate"/>
    </w:r>
    <w:r w:rsidR="000C0590">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rsidP="00ED40EA">
    <w:pPr>
      <w:pStyle w:val="affffb"/>
    </w:pPr>
    <w:r>
      <w:fldChar w:fldCharType="begin"/>
    </w:r>
    <w:r>
      <w:instrText>PAGE   \* MERGEFORMAT</w:instrText>
    </w:r>
    <w:r>
      <w:fldChar w:fldCharType="separate"/>
    </w:r>
    <w:r w:rsidRPr="00ED40EA">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Pr="00ED40EA" w:rsidRDefault="003036AA" w:rsidP="00ED40EA">
    <w:pPr>
      <w:pStyle w:val="affffa"/>
    </w:pPr>
    <w:r>
      <w:fldChar w:fldCharType="begin"/>
    </w:r>
    <w:r>
      <w:instrText xml:space="preserve"> PAGE   \* MERGEFORMAT \* MERGEFORMAT </w:instrText>
    </w:r>
    <w:r>
      <w:fldChar w:fldCharType="separate"/>
    </w:r>
    <w:r w:rsidR="000C0590">
      <w:rPr>
        <w:noProof/>
      </w:rPr>
      <w:t>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rsidP="00ED40EA">
    <w:pPr>
      <w:pStyle w:val="affffb"/>
    </w:pPr>
    <w:r>
      <w:fldChar w:fldCharType="begin"/>
    </w:r>
    <w:r>
      <w:instrText>PAGE   \* MERGEFORMAT</w:instrText>
    </w:r>
    <w:r>
      <w:fldChar w:fldCharType="separate"/>
    </w:r>
    <w:r w:rsidR="000C0590" w:rsidRPr="000C0590">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F9" w:rsidRDefault="007416F9">
      <w:pPr>
        <w:spacing w:line="240" w:lineRule="auto"/>
      </w:pPr>
      <w:r>
        <w:separator/>
      </w:r>
    </w:p>
  </w:footnote>
  <w:footnote w:type="continuationSeparator" w:id="0">
    <w:p w:rsidR="007416F9" w:rsidRDefault="007416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Pr="00ED40EA" w:rsidRDefault="003036AA" w:rsidP="00ED40EA">
    <w:pPr>
      <w:pStyle w:val="afffff4"/>
    </w:pPr>
    <w:r>
      <w:fldChar w:fldCharType="begin"/>
    </w:r>
    <w:r>
      <w:instrText xml:space="preserve"> STYLEREF  标准文件_文件编号 \* MERGEFORMAT </w:instrText>
    </w:r>
    <w:r>
      <w:fldChar w:fldCharType="separate"/>
    </w:r>
    <w:r w:rsidR="000C0590">
      <w:rPr>
        <w:noProof/>
      </w:rPr>
      <w:t>T/CASMES XXXX</w:t>
    </w:r>
    <w:r w:rsidR="000C0590">
      <w:rPr>
        <w:noProof/>
      </w:rPr>
      <w:t>—</w:t>
    </w:r>
    <w:r w:rsidR="000C0590">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rsidP="00ED40EA">
    <w:pPr>
      <w:pStyle w:val="afffff3"/>
    </w:pPr>
    <w:r>
      <w:fldChar w:fldCharType="begin"/>
    </w:r>
    <w:r>
      <w:instrText xml:space="preserve"> STYLEREF  标准文件_文件编号  \* MERGEFORMAT </w:instrText>
    </w:r>
    <w:r>
      <w:fldChar w:fldCharType="separate"/>
    </w:r>
    <w:r w:rsidR="000C0590">
      <w:rPr>
        <w:noProof/>
      </w:rPr>
      <w:t>T/CASMES XXXX</w:t>
    </w:r>
    <w:r w:rsidR="000C0590">
      <w:rPr>
        <w:noProof/>
      </w:rPr>
      <w:t>—</w:t>
    </w:r>
    <w:r w:rsidR="000C0590">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Pr="00ED40EA" w:rsidRDefault="003036AA" w:rsidP="00ED40EA">
    <w:pPr>
      <w:pStyle w:val="afffff4"/>
    </w:pPr>
    <w:r>
      <w:fldChar w:fldCharType="begin"/>
    </w:r>
    <w:r>
      <w:instrText xml:space="preserve"> STYLEREF  标准文件_文件编号 \* MERGEFORMAT </w:instrText>
    </w:r>
    <w:r>
      <w:fldChar w:fldCharType="separate"/>
    </w:r>
    <w:r w:rsidR="000C0590">
      <w:rPr>
        <w:noProof/>
      </w:rPr>
      <w:t>T/CASMES XXXX</w:t>
    </w:r>
    <w:r w:rsidR="000C0590">
      <w:rPr>
        <w:noProof/>
      </w:rPr>
      <w:t>—</w:t>
    </w:r>
    <w:r w:rsidR="000C0590">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rsidP="00ED40EA">
    <w:pPr>
      <w:pStyle w:val="afffff3"/>
    </w:pPr>
    <w:r>
      <w:fldChar w:fldCharType="begin"/>
    </w:r>
    <w:r>
      <w:instrText xml:space="preserve"> STYLEREF  标准文件_文件编号  \* MERGEFORMAT </w:instrText>
    </w:r>
    <w:r>
      <w:fldChar w:fldCharType="separate"/>
    </w:r>
    <w:r w:rsidR="000C0590">
      <w:rPr>
        <w:noProof/>
      </w:rPr>
      <w:t>T/CASMES XXXX</w:t>
    </w:r>
    <w:r w:rsidR="000C0590">
      <w:rPr>
        <w:noProof/>
      </w:rPr>
      <w:t>—</w:t>
    </w:r>
    <w:r w:rsidR="000C0590">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Pr="00ED40EA" w:rsidRDefault="003036AA" w:rsidP="00ED40EA">
    <w:pPr>
      <w:pStyle w:val="afffff4"/>
    </w:pPr>
    <w:r>
      <w:fldChar w:fldCharType="begin"/>
    </w:r>
    <w:r>
      <w:instrText xml:space="preserve"> STYLEREF  标准文件_文件编号 \* MERGEFORMAT </w:instrText>
    </w:r>
    <w:r>
      <w:fldChar w:fldCharType="separate"/>
    </w:r>
    <w:r w:rsidR="000C0590">
      <w:rPr>
        <w:noProof/>
      </w:rPr>
      <w:t>T/CASMES XXXX</w:t>
    </w:r>
    <w:r w:rsidR="000C0590">
      <w:rPr>
        <w:noProof/>
      </w:rPr>
      <w:t>—</w:t>
    </w:r>
    <w:r w:rsidR="000C0590">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AA" w:rsidRDefault="003036AA" w:rsidP="00ED40EA">
    <w:pPr>
      <w:pStyle w:val="afffff3"/>
    </w:pPr>
    <w:r>
      <w:fldChar w:fldCharType="begin"/>
    </w:r>
    <w:r>
      <w:instrText xml:space="preserve"> STYLEREF  标准文件_文件编号  \* MERGEFORMAT </w:instrText>
    </w:r>
    <w:r>
      <w:fldChar w:fldCharType="separate"/>
    </w:r>
    <w:r w:rsidR="000C0590">
      <w:rPr>
        <w:noProof/>
      </w:rPr>
      <w:t>T/CASMES XXXX</w:t>
    </w:r>
    <w:r w:rsidR="000C0590">
      <w:rPr>
        <w:noProof/>
      </w:rPr>
      <w:t>—</w:t>
    </w:r>
    <w:r w:rsidR="000C059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7635"/>
    <w:rsid w:val="00007B3A"/>
    <w:rsid w:val="000107E0"/>
    <w:rsid w:val="00011FDE"/>
    <w:rsid w:val="00012FFD"/>
    <w:rsid w:val="00014162"/>
    <w:rsid w:val="000142B8"/>
    <w:rsid w:val="00014340"/>
    <w:rsid w:val="000167E4"/>
    <w:rsid w:val="00016A9C"/>
    <w:rsid w:val="00017FE7"/>
    <w:rsid w:val="0002179D"/>
    <w:rsid w:val="00021DE1"/>
    <w:rsid w:val="00022184"/>
    <w:rsid w:val="00022762"/>
    <w:rsid w:val="00023371"/>
    <w:rsid w:val="000238E0"/>
    <w:rsid w:val="000249DB"/>
    <w:rsid w:val="0002595E"/>
    <w:rsid w:val="00025EB2"/>
    <w:rsid w:val="00026992"/>
    <w:rsid w:val="000303C3"/>
    <w:rsid w:val="000331D3"/>
    <w:rsid w:val="000346A5"/>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4D87"/>
    <w:rsid w:val="000556ED"/>
    <w:rsid w:val="00055824"/>
    <w:rsid w:val="00055FE2"/>
    <w:rsid w:val="0005616F"/>
    <w:rsid w:val="00060C2E"/>
    <w:rsid w:val="00061033"/>
    <w:rsid w:val="000619E9"/>
    <w:rsid w:val="00061A5C"/>
    <w:rsid w:val="000622D4"/>
    <w:rsid w:val="0006357D"/>
    <w:rsid w:val="000651BE"/>
    <w:rsid w:val="000652F6"/>
    <w:rsid w:val="00067F1E"/>
    <w:rsid w:val="00070891"/>
    <w:rsid w:val="00071CC0"/>
    <w:rsid w:val="00071CFC"/>
    <w:rsid w:val="0007226A"/>
    <w:rsid w:val="00073C8C"/>
    <w:rsid w:val="00077B64"/>
    <w:rsid w:val="00080A1C"/>
    <w:rsid w:val="0008211A"/>
    <w:rsid w:val="00082317"/>
    <w:rsid w:val="0008275C"/>
    <w:rsid w:val="00083D2C"/>
    <w:rsid w:val="00086AA1"/>
    <w:rsid w:val="00087A77"/>
    <w:rsid w:val="00090CA6"/>
    <w:rsid w:val="00092194"/>
    <w:rsid w:val="00092266"/>
    <w:rsid w:val="00092B8A"/>
    <w:rsid w:val="00092FB0"/>
    <w:rsid w:val="00093191"/>
    <w:rsid w:val="000934C5"/>
    <w:rsid w:val="00093D25"/>
    <w:rsid w:val="00093DAB"/>
    <w:rsid w:val="0009428E"/>
    <w:rsid w:val="00094D73"/>
    <w:rsid w:val="00096AD3"/>
    <w:rsid w:val="00096D63"/>
    <w:rsid w:val="000A0B60"/>
    <w:rsid w:val="000A0EB8"/>
    <w:rsid w:val="000A188B"/>
    <w:rsid w:val="000A19FC"/>
    <w:rsid w:val="000A20A1"/>
    <w:rsid w:val="000A2639"/>
    <w:rsid w:val="000A296B"/>
    <w:rsid w:val="000A6E23"/>
    <w:rsid w:val="000A727E"/>
    <w:rsid w:val="000A7311"/>
    <w:rsid w:val="000A778A"/>
    <w:rsid w:val="000B060F"/>
    <w:rsid w:val="000B09E8"/>
    <w:rsid w:val="000B1592"/>
    <w:rsid w:val="000B1FF2"/>
    <w:rsid w:val="000B3B2C"/>
    <w:rsid w:val="000B3CDA"/>
    <w:rsid w:val="000B45CF"/>
    <w:rsid w:val="000B53B5"/>
    <w:rsid w:val="000B6392"/>
    <w:rsid w:val="000B6A0B"/>
    <w:rsid w:val="000B6E9D"/>
    <w:rsid w:val="000C0590"/>
    <w:rsid w:val="000C0F6C"/>
    <w:rsid w:val="000C11DB"/>
    <w:rsid w:val="000C1492"/>
    <w:rsid w:val="000C2FBD"/>
    <w:rsid w:val="000C3673"/>
    <w:rsid w:val="000C4B41"/>
    <w:rsid w:val="000C57D6"/>
    <w:rsid w:val="000C6362"/>
    <w:rsid w:val="000C7666"/>
    <w:rsid w:val="000D0A9C"/>
    <w:rsid w:val="000D0D24"/>
    <w:rsid w:val="000D1795"/>
    <w:rsid w:val="000D3037"/>
    <w:rsid w:val="000D329A"/>
    <w:rsid w:val="000D4B9C"/>
    <w:rsid w:val="000D4EB6"/>
    <w:rsid w:val="000D5333"/>
    <w:rsid w:val="000D725E"/>
    <w:rsid w:val="000D753B"/>
    <w:rsid w:val="000E13F8"/>
    <w:rsid w:val="000E2C5F"/>
    <w:rsid w:val="000E4C9E"/>
    <w:rsid w:val="000E50BD"/>
    <w:rsid w:val="000E6FD7"/>
    <w:rsid w:val="000E7880"/>
    <w:rsid w:val="000F016D"/>
    <w:rsid w:val="000F06E1"/>
    <w:rsid w:val="000F0E3C"/>
    <w:rsid w:val="000F19D5"/>
    <w:rsid w:val="000F1B0B"/>
    <w:rsid w:val="000F1EB5"/>
    <w:rsid w:val="000F4050"/>
    <w:rsid w:val="000F47BE"/>
    <w:rsid w:val="000F4AEA"/>
    <w:rsid w:val="000F5570"/>
    <w:rsid w:val="000F6760"/>
    <w:rsid w:val="000F67E9"/>
    <w:rsid w:val="00100897"/>
    <w:rsid w:val="00104926"/>
    <w:rsid w:val="00104FFC"/>
    <w:rsid w:val="0010549C"/>
    <w:rsid w:val="0010562F"/>
    <w:rsid w:val="00106564"/>
    <w:rsid w:val="00106D6A"/>
    <w:rsid w:val="00110B0F"/>
    <w:rsid w:val="00111E06"/>
    <w:rsid w:val="00113B1E"/>
    <w:rsid w:val="00113DBC"/>
    <w:rsid w:val="00115B63"/>
    <w:rsid w:val="0011711C"/>
    <w:rsid w:val="001201C3"/>
    <w:rsid w:val="00124E4F"/>
    <w:rsid w:val="001260B7"/>
    <w:rsid w:val="001265CB"/>
    <w:rsid w:val="001321C6"/>
    <w:rsid w:val="001325C4"/>
    <w:rsid w:val="00132C88"/>
    <w:rsid w:val="00133010"/>
    <w:rsid w:val="001338EE"/>
    <w:rsid w:val="00133AAE"/>
    <w:rsid w:val="001344D2"/>
    <w:rsid w:val="00135323"/>
    <w:rsid w:val="001356C4"/>
    <w:rsid w:val="00135B40"/>
    <w:rsid w:val="00137565"/>
    <w:rsid w:val="00137975"/>
    <w:rsid w:val="001408F1"/>
    <w:rsid w:val="00141114"/>
    <w:rsid w:val="00142969"/>
    <w:rsid w:val="00142C7C"/>
    <w:rsid w:val="001446C2"/>
    <w:rsid w:val="00145173"/>
    <w:rsid w:val="001457E7"/>
    <w:rsid w:val="00145D9D"/>
    <w:rsid w:val="00146388"/>
    <w:rsid w:val="00150918"/>
    <w:rsid w:val="001529E5"/>
    <w:rsid w:val="00152FB3"/>
    <w:rsid w:val="00153C7E"/>
    <w:rsid w:val="00155ED5"/>
    <w:rsid w:val="00156B25"/>
    <w:rsid w:val="00156B54"/>
    <w:rsid w:val="00156E1A"/>
    <w:rsid w:val="001577AD"/>
    <w:rsid w:val="00157894"/>
    <w:rsid w:val="00157B55"/>
    <w:rsid w:val="001604AB"/>
    <w:rsid w:val="001605B2"/>
    <w:rsid w:val="001642FA"/>
    <w:rsid w:val="001649EB"/>
    <w:rsid w:val="00164BAF"/>
    <w:rsid w:val="00164CF4"/>
    <w:rsid w:val="00164FA8"/>
    <w:rsid w:val="00165065"/>
    <w:rsid w:val="00165434"/>
    <w:rsid w:val="0016580B"/>
    <w:rsid w:val="00165F49"/>
    <w:rsid w:val="00166588"/>
    <w:rsid w:val="001668A0"/>
    <w:rsid w:val="00166B88"/>
    <w:rsid w:val="00166DAE"/>
    <w:rsid w:val="0016770A"/>
    <w:rsid w:val="00170804"/>
    <w:rsid w:val="001708E9"/>
    <w:rsid w:val="00172256"/>
    <w:rsid w:val="0017340B"/>
    <w:rsid w:val="00173FB1"/>
    <w:rsid w:val="00176706"/>
    <w:rsid w:val="00176DFD"/>
    <w:rsid w:val="001771B0"/>
    <w:rsid w:val="00177322"/>
    <w:rsid w:val="001852C9"/>
    <w:rsid w:val="00186B87"/>
    <w:rsid w:val="00187A0B"/>
    <w:rsid w:val="00190087"/>
    <w:rsid w:val="001913C4"/>
    <w:rsid w:val="0019348F"/>
    <w:rsid w:val="0019384B"/>
    <w:rsid w:val="00193A07"/>
    <w:rsid w:val="00194854"/>
    <w:rsid w:val="00194C95"/>
    <w:rsid w:val="00194EDB"/>
    <w:rsid w:val="00195C34"/>
    <w:rsid w:val="00196EF5"/>
    <w:rsid w:val="00197C5D"/>
    <w:rsid w:val="001A1A53"/>
    <w:rsid w:val="001A234A"/>
    <w:rsid w:val="001A241A"/>
    <w:rsid w:val="001A4993"/>
    <w:rsid w:val="001A4CF3"/>
    <w:rsid w:val="001A6696"/>
    <w:rsid w:val="001A6AA9"/>
    <w:rsid w:val="001B002B"/>
    <w:rsid w:val="001B06E8"/>
    <w:rsid w:val="001B2B87"/>
    <w:rsid w:val="001B4D89"/>
    <w:rsid w:val="001B5521"/>
    <w:rsid w:val="001B71D0"/>
    <w:rsid w:val="001B71EE"/>
    <w:rsid w:val="001C04A8"/>
    <w:rsid w:val="001C05A4"/>
    <w:rsid w:val="001C237D"/>
    <w:rsid w:val="001C2C03"/>
    <w:rsid w:val="001C42F7"/>
    <w:rsid w:val="001C4790"/>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535"/>
    <w:rsid w:val="001E5D97"/>
    <w:rsid w:val="001E73AB"/>
    <w:rsid w:val="001E7864"/>
    <w:rsid w:val="001F092D"/>
    <w:rsid w:val="001F143A"/>
    <w:rsid w:val="001F1605"/>
    <w:rsid w:val="001F2033"/>
    <w:rsid w:val="001F20E9"/>
    <w:rsid w:val="001F22A1"/>
    <w:rsid w:val="001F2508"/>
    <w:rsid w:val="001F3F36"/>
    <w:rsid w:val="001F4816"/>
    <w:rsid w:val="001F69B4"/>
    <w:rsid w:val="001F77C7"/>
    <w:rsid w:val="00200183"/>
    <w:rsid w:val="00200333"/>
    <w:rsid w:val="00200852"/>
    <w:rsid w:val="0020107D"/>
    <w:rsid w:val="00202868"/>
    <w:rsid w:val="00202AA4"/>
    <w:rsid w:val="00202FC4"/>
    <w:rsid w:val="002031F7"/>
    <w:rsid w:val="002040E6"/>
    <w:rsid w:val="0020468F"/>
    <w:rsid w:val="0020527B"/>
    <w:rsid w:val="00205F2C"/>
    <w:rsid w:val="00207F8F"/>
    <w:rsid w:val="00210B15"/>
    <w:rsid w:val="00213BFB"/>
    <w:rsid w:val="002142EA"/>
    <w:rsid w:val="00215ADD"/>
    <w:rsid w:val="002204BB"/>
    <w:rsid w:val="00221216"/>
    <w:rsid w:val="00221B79"/>
    <w:rsid w:val="00221C6B"/>
    <w:rsid w:val="002253A1"/>
    <w:rsid w:val="00225CF8"/>
    <w:rsid w:val="0022794E"/>
    <w:rsid w:val="0023048F"/>
    <w:rsid w:val="002329BB"/>
    <w:rsid w:val="00233D64"/>
    <w:rsid w:val="0023482A"/>
    <w:rsid w:val="002359CB"/>
    <w:rsid w:val="00237AA9"/>
    <w:rsid w:val="00240A61"/>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48A"/>
    <w:rsid w:val="00262696"/>
    <w:rsid w:val="00263D25"/>
    <w:rsid w:val="002643C3"/>
    <w:rsid w:val="00264A0C"/>
    <w:rsid w:val="00266115"/>
    <w:rsid w:val="00266EEB"/>
    <w:rsid w:val="00267EF4"/>
    <w:rsid w:val="00270CB8"/>
    <w:rsid w:val="00272B08"/>
    <w:rsid w:val="00276295"/>
    <w:rsid w:val="002812B6"/>
    <w:rsid w:val="00281BB8"/>
    <w:rsid w:val="00281E9E"/>
    <w:rsid w:val="00282405"/>
    <w:rsid w:val="00282962"/>
    <w:rsid w:val="00285170"/>
    <w:rsid w:val="00285361"/>
    <w:rsid w:val="00292B7C"/>
    <w:rsid w:val="00292D60"/>
    <w:rsid w:val="00293B30"/>
    <w:rsid w:val="00294AE8"/>
    <w:rsid w:val="00294D34"/>
    <w:rsid w:val="00294E3B"/>
    <w:rsid w:val="002951B5"/>
    <w:rsid w:val="00296193"/>
    <w:rsid w:val="00296311"/>
    <w:rsid w:val="00296C66"/>
    <w:rsid w:val="00296EBE"/>
    <w:rsid w:val="002974E3"/>
    <w:rsid w:val="002A084B"/>
    <w:rsid w:val="002A1260"/>
    <w:rsid w:val="002A1589"/>
    <w:rsid w:val="002A1608"/>
    <w:rsid w:val="002A25DC"/>
    <w:rsid w:val="002A3AAB"/>
    <w:rsid w:val="002A4CEA"/>
    <w:rsid w:val="002A5843"/>
    <w:rsid w:val="002A5977"/>
    <w:rsid w:val="002A5A13"/>
    <w:rsid w:val="002A6FE5"/>
    <w:rsid w:val="002A757F"/>
    <w:rsid w:val="002A7F44"/>
    <w:rsid w:val="002B02FF"/>
    <w:rsid w:val="002B06A2"/>
    <w:rsid w:val="002B0C40"/>
    <w:rsid w:val="002B15F0"/>
    <w:rsid w:val="002B1966"/>
    <w:rsid w:val="002B20F9"/>
    <w:rsid w:val="002B22BD"/>
    <w:rsid w:val="002B4508"/>
    <w:rsid w:val="002B5779"/>
    <w:rsid w:val="002B5BDB"/>
    <w:rsid w:val="002B6F97"/>
    <w:rsid w:val="002B7332"/>
    <w:rsid w:val="002B7F51"/>
    <w:rsid w:val="002C09E7"/>
    <w:rsid w:val="002C1E06"/>
    <w:rsid w:val="002C3F07"/>
    <w:rsid w:val="002C5278"/>
    <w:rsid w:val="002C6D03"/>
    <w:rsid w:val="002C7765"/>
    <w:rsid w:val="002C7EBB"/>
    <w:rsid w:val="002D06C1"/>
    <w:rsid w:val="002D12E7"/>
    <w:rsid w:val="002D2A08"/>
    <w:rsid w:val="002D33BA"/>
    <w:rsid w:val="002D42B5"/>
    <w:rsid w:val="002D4F1A"/>
    <w:rsid w:val="002D6EC6"/>
    <w:rsid w:val="002D79AC"/>
    <w:rsid w:val="002E039D"/>
    <w:rsid w:val="002E0FB1"/>
    <w:rsid w:val="002E4589"/>
    <w:rsid w:val="002E4D5A"/>
    <w:rsid w:val="002E6326"/>
    <w:rsid w:val="002F30E0"/>
    <w:rsid w:val="002F35E4"/>
    <w:rsid w:val="002F3730"/>
    <w:rsid w:val="002F38E1"/>
    <w:rsid w:val="002F44EA"/>
    <w:rsid w:val="002F7999"/>
    <w:rsid w:val="002F7AF6"/>
    <w:rsid w:val="002F7CA9"/>
    <w:rsid w:val="00300E63"/>
    <w:rsid w:val="003016AE"/>
    <w:rsid w:val="00301C18"/>
    <w:rsid w:val="003022CC"/>
    <w:rsid w:val="00302F5F"/>
    <w:rsid w:val="003036AA"/>
    <w:rsid w:val="0030441D"/>
    <w:rsid w:val="00305293"/>
    <w:rsid w:val="00306063"/>
    <w:rsid w:val="0031259F"/>
    <w:rsid w:val="003125C3"/>
    <w:rsid w:val="00313B85"/>
    <w:rsid w:val="00313C50"/>
    <w:rsid w:val="0031445D"/>
    <w:rsid w:val="00317275"/>
    <w:rsid w:val="003176C1"/>
    <w:rsid w:val="00317988"/>
    <w:rsid w:val="00317A75"/>
    <w:rsid w:val="003221B4"/>
    <w:rsid w:val="0032258D"/>
    <w:rsid w:val="00322E62"/>
    <w:rsid w:val="00323913"/>
    <w:rsid w:val="00324D13"/>
    <w:rsid w:val="00324EDD"/>
    <w:rsid w:val="0032531E"/>
    <w:rsid w:val="0032554E"/>
    <w:rsid w:val="003259A8"/>
    <w:rsid w:val="00326522"/>
    <w:rsid w:val="00332EE5"/>
    <w:rsid w:val="003331E4"/>
    <w:rsid w:val="00336C64"/>
    <w:rsid w:val="00336F96"/>
    <w:rsid w:val="00337162"/>
    <w:rsid w:val="003418E5"/>
    <w:rsid w:val="0034194F"/>
    <w:rsid w:val="0034345E"/>
    <w:rsid w:val="003444C8"/>
    <w:rsid w:val="00344605"/>
    <w:rsid w:val="00346EAD"/>
    <w:rsid w:val="003474AA"/>
    <w:rsid w:val="00350D1D"/>
    <w:rsid w:val="003511D8"/>
    <w:rsid w:val="00352037"/>
    <w:rsid w:val="003527F7"/>
    <w:rsid w:val="00352C83"/>
    <w:rsid w:val="00352F1A"/>
    <w:rsid w:val="003531B2"/>
    <w:rsid w:val="003578EA"/>
    <w:rsid w:val="00357BDA"/>
    <w:rsid w:val="0036107C"/>
    <w:rsid w:val="0036135B"/>
    <w:rsid w:val="003615D2"/>
    <w:rsid w:val="0036429C"/>
    <w:rsid w:val="00364338"/>
    <w:rsid w:val="00364542"/>
    <w:rsid w:val="00364A53"/>
    <w:rsid w:val="00364CFC"/>
    <w:rsid w:val="003654CB"/>
    <w:rsid w:val="00365AA9"/>
    <w:rsid w:val="00365F86"/>
    <w:rsid w:val="00365F87"/>
    <w:rsid w:val="00366E89"/>
    <w:rsid w:val="003705F4"/>
    <w:rsid w:val="00370B46"/>
    <w:rsid w:val="00370D58"/>
    <w:rsid w:val="00371316"/>
    <w:rsid w:val="00373179"/>
    <w:rsid w:val="00373252"/>
    <w:rsid w:val="003734E8"/>
    <w:rsid w:val="00376713"/>
    <w:rsid w:val="00380F86"/>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70C7"/>
    <w:rsid w:val="00397401"/>
    <w:rsid w:val="003974EB"/>
    <w:rsid w:val="003979FE"/>
    <w:rsid w:val="00397CC5"/>
    <w:rsid w:val="003A1582"/>
    <w:rsid w:val="003A3D9C"/>
    <w:rsid w:val="003A3DD6"/>
    <w:rsid w:val="003A3E68"/>
    <w:rsid w:val="003A4077"/>
    <w:rsid w:val="003A46D4"/>
    <w:rsid w:val="003A4AA7"/>
    <w:rsid w:val="003A61D4"/>
    <w:rsid w:val="003B09AD"/>
    <w:rsid w:val="003B0EFA"/>
    <w:rsid w:val="003B1F18"/>
    <w:rsid w:val="003B5BF0"/>
    <w:rsid w:val="003B5C69"/>
    <w:rsid w:val="003B60BF"/>
    <w:rsid w:val="003B64D4"/>
    <w:rsid w:val="003B6BE3"/>
    <w:rsid w:val="003B7A41"/>
    <w:rsid w:val="003C010C"/>
    <w:rsid w:val="003C0A67"/>
    <w:rsid w:val="003C0A6C"/>
    <w:rsid w:val="003C0B21"/>
    <w:rsid w:val="003C14F8"/>
    <w:rsid w:val="003C217A"/>
    <w:rsid w:val="003C2F7F"/>
    <w:rsid w:val="003C5A43"/>
    <w:rsid w:val="003C5EE3"/>
    <w:rsid w:val="003D0519"/>
    <w:rsid w:val="003D0FF6"/>
    <w:rsid w:val="003D262C"/>
    <w:rsid w:val="003D5204"/>
    <w:rsid w:val="003D5BD4"/>
    <w:rsid w:val="003D65A1"/>
    <w:rsid w:val="003D6D61"/>
    <w:rsid w:val="003D75A0"/>
    <w:rsid w:val="003E0133"/>
    <w:rsid w:val="003E091D"/>
    <w:rsid w:val="003E0D5A"/>
    <w:rsid w:val="003E1C53"/>
    <w:rsid w:val="003E1C8F"/>
    <w:rsid w:val="003E2A58"/>
    <w:rsid w:val="003E2A69"/>
    <w:rsid w:val="003E2D49"/>
    <w:rsid w:val="003E2E5E"/>
    <w:rsid w:val="003E2FD4"/>
    <w:rsid w:val="003E49F6"/>
    <w:rsid w:val="003E637D"/>
    <w:rsid w:val="003E660F"/>
    <w:rsid w:val="003F0841"/>
    <w:rsid w:val="003F10DA"/>
    <w:rsid w:val="003F23D3"/>
    <w:rsid w:val="003F33FC"/>
    <w:rsid w:val="003F379E"/>
    <w:rsid w:val="003F3F08"/>
    <w:rsid w:val="003F49F1"/>
    <w:rsid w:val="003F51EC"/>
    <w:rsid w:val="003F6272"/>
    <w:rsid w:val="003F6AEC"/>
    <w:rsid w:val="00400E72"/>
    <w:rsid w:val="00401400"/>
    <w:rsid w:val="00404869"/>
    <w:rsid w:val="00405884"/>
    <w:rsid w:val="00407D39"/>
    <w:rsid w:val="00411E4D"/>
    <w:rsid w:val="0041295C"/>
    <w:rsid w:val="00413A48"/>
    <w:rsid w:val="00413BFA"/>
    <w:rsid w:val="0041477A"/>
    <w:rsid w:val="00415006"/>
    <w:rsid w:val="004162E2"/>
    <w:rsid w:val="004167A3"/>
    <w:rsid w:val="00417E6F"/>
    <w:rsid w:val="00420D65"/>
    <w:rsid w:val="004268EA"/>
    <w:rsid w:val="004322AE"/>
    <w:rsid w:val="00432DAA"/>
    <w:rsid w:val="00433457"/>
    <w:rsid w:val="00433F50"/>
    <w:rsid w:val="00434305"/>
    <w:rsid w:val="00435DF7"/>
    <w:rsid w:val="0044083F"/>
    <w:rsid w:val="00440C94"/>
    <w:rsid w:val="00440E70"/>
    <w:rsid w:val="004410D6"/>
    <w:rsid w:val="00441AE7"/>
    <w:rsid w:val="00445574"/>
    <w:rsid w:val="004467FB"/>
    <w:rsid w:val="004470DE"/>
    <w:rsid w:val="00452D6B"/>
    <w:rsid w:val="00454484"/>
    <w:rsid w:val="0045517B"/>
    <w:rsid w:val="00460B43"/>
    <w:rsid w:val="00461346"/>
    <w:rsid w:val="00461B1F"/>
    <w:rsid w:val="004625C8"/>
    <w:rsid w:val="00463B77"/>
    <w:rsid w:val="00463C7B"/>
    <w:rsid w:val="004644A6"/>
    <w:rsid w:val="004659BD"/>
    <w:rsid w:val="00470730"/>
    <w:rsid w:val="00470775"/>
    <w:rsid w:val="00471438"/>
    <w:rsid w:val="004746B1"/>
    <w:rsid w:val="0047583F"/>
    <w:rsid w:val="00475DE8"/>
    <w:rsid w:val="004764D7"/>
    <w:rsid w:val="00477069"/>
    <w:rsid w:val="00477FF9"/>
    <w:rsid w:val="00481C44"/>
    <w:rsid w:val="00484936"/>
    <w:rsid w:val="00485C89"/>
    <w:rsid w:val="00486629"/>
    <w:rsid w:val="00486B41"/>
    <w:rsid w:val="00486BE3"/>
    <w:rsid w:val="004905E4"/>
    <w:rsid w:val="00490A89"/>
    <w:rsid w:val="00490AB4"/>
    <w:rsid w:val="00490CA0"/>
    <w:rsid w:val="00492F02"/>
    <w:rsid w:val="004939AE"/>
    <w:rsid w:val="004948E5"/>
    <w:rsid w:val="00497549"/>
    <w:rsid w:val="004A0022"/>
    <w:rsid w:val="004A12DF"/>
    <w:rsid w:val="004A1BA8"/>
    <w:rsid w:val="004A4B57"/>
    <w:rsid w:val="004A63FA"/>
    <w:rsid w:val="004A65FD"/>
    <w:rsid w:val="004A6A3D"/>
    <w:rsid w:val="004B00C1"/>
    <w:rsid w:val="004B0272"/>
    <w:rsid w:val="004B0800"/>
    <w:rsid w:val="004B2701"/>
    <w:rsid w:val="004B2D42"/>
    <w:rsid w:val="004B2E1B"/>
    <w:rsid w:val="004B3AA8"/>
    <w:rsid w:val="004B3E93"/>
    <w:rsid w:val="004B496A"/>
    <w:rsid w:val="004B713C"/>
    <w:rsid w:val="004B72B4"/>
    <w:rsid w:val="004C038A"/>
    <w:rsid w:val="004C1FBC"/>
    <w:rsid w:val="004C25A2"/>
    <w:rsid w:val="004C3D81"/>
    <w:rsid w:val="004C3F1D"/>
    <w:rsid w:val="004C458D"/>
    <w:rsid w:val="004C7556"/>
    <w:rsid w:val="004C7E8B"/>
    <w:rsid w:val="004C7E9D"/>
    <w:rsid w:val="004C7F67"/>
    <w:rsid w:val="004D0167"/>
    <w:rsid w:val="004D076D"/>
    <w:rsid w:val="004D0EF1"/>
    <w:rsid w:val="004D1867"/>
    <w:rsid w:val="004D2253"/>
    <w:rsid w:val="004D2AC0"/>
    <w:rsid w:val="004D322E"/>
    <w:rsid w:val="004D4406"/>
    <w:rsid w:val="004D44DE"/>
    <w:rsid w:val="004D55CD"/>
    <w:rsid w:val="004D6F6D"/>
    <w:rsid w:val="004D7C42"/>
    <w:rsid w:val="004E0465"/>
    <w:rsid w:val="004E127B"/>
    <w:rsid w:val="004E19B7"/>
    <w:rsid w:val="004E1C0A"/>
    <w:rsid w:val="004E30C5"/>
    <w:rsid w:val="004E353B"/>
    <w:rsid w:val="004E4AA5"/>
    <w:rsid w:val="004E4AEE"/>
    <w:rsid w:val="004E59E3"/>
    <w:rsid w:val="004E67C0"/>
    <w:rsid w:val="004F2E3B"/>
    <w:rsid w:val="004F391A"/>
    <w:rsid w:val="004F3CFB"/>
    <w:rsid w:val="004F4CAC"/>
    <w:rsid w:val="004F60FF"/>
    <w:rsid w:val="004F6456"/>
    <w:rsid w:val="004F696E"/>
    <w:rsid w:val="004F6C71"/>
    <w:rsid w:val="00501139"/>
    <w:rsid w:val="00501C76"/>
    <w:rsid w:val="0050363E"/>
    <w:rsid w:val="005039BC"/>
    <w:rsid w:val="00503CE2"/>
    <w:rsid w:val="005043BB"/>
    <w:rsid w:val="00504918"/>
    <w:rsid w:val="00504A3D"/>
    <w:rsid w:val="00505455"/>
    <w:rsid w:val="00505767"/>
    <w:rsid w:val="005073F0"/>
    <w:rsid w:val="005108F4"/>
    <w:rsid w:val="00510A7B"/>
    <w:rsid w:val="005115FD"/>
    <w:rsid w:val="00512F6E"/>
    <w:rsid w:val="00513038"/>
    <w:rsid w:val="00514174"/>
    <w:rsid w:val="00516088"/>
    <w:rsid w:val="005161B6"/>
    <w:rsid w:val="00516B0B"/>
    <w:rsid w:val="0052041F"/>
    <w:rsid w:val="00520CDF"/>
    <w:rsid w:val="005220EC"/>
    <w:rsid w:val="00523F95"/>
    <w:rsid w:val="00524307"/>
    <w:rsid w:val="00524D65"/>
    <w:rsid w:val="00525B16"/>
    <w:rsid w:val="00527AA4"/>
    <w:rsid w:val="00532A99"/>
    <w:rsid w:val="005336D6"/>
    <w:rsid w:val="00533D04"/>
    <w:rsid w:val="00534804"/>
    <w:rsid w:val="00534BDF"/>
    <w:rsid w:val="005354EA"/>
    <w:rsid w:val="005355B8"/>
    <w:rsid w:val="0053585F"/>
    <w:rsid w:val="00535EC4"/>
    <w:rsid w:val="00535ED9"/>
    <w:rsid w:val="0053692B"/>
    <w:rsid w:val="00536A6B"/>
    <w:rsid w:val="0054082E"/>
    <w:rsid w:val="0054096B"/>
    <w:rsid w:val="00540CD6"/>
    <w:rsid w:val="00541853"/>
    <w:rsid w:val="00542085"/>
    <w:rsid w:val="005433B5"/>
    <w:rsid w:val="00543BDA"/>
    <w:rsid w:val="00543C90"/>
    <w:rsid w:val="005441CC"/>
    <w:rsid w:val="0054781C"/>
    <w:rsid w:val="005479DA"/>
    <w:rsid w:val="00547BCC"/>
    <w:rsid w:val="0055013B"/>
    <w:rsid w:val="00550828"/>
    <w:rsid w:val="00551F6F"/>
    <w:rsid w:val="0055293C"/>
    <w:rsid w:val="00555044"/>
    <w:rsid w:val="005566A7"/>
    <w:rsid w:val="00561475"/>
    <w:rsid w:val="005615C2"/>
    <w:rsid w:val="00562308"/>
    <w:rsid w:val="005630D7"/>
    <w:rsid w:val="005638DF"/>
    <w:rsid w:val="0056487B"/>
    <w:rsid w:val="00564BDA"/>
    <w:rsid w:val="00564FB9"/>
    <w:rsid w:val="00565D02"/>
    <w:rsid w:val="0056615A"/>
    <w:rsid w:val="00566565"/>
    <w:rsid w:val="005678B2"/>
    <w:rsid w:val="005679E4"/>
    <w:rsid w:val="00567C7A"/>
    <w:rsid w:val="00570DA4"/>
    <w:rsid w:val="005728EC"/>
    <w:rsid w:val="00572E73"/>
    <w:rsid w:val="00573D9E"/>
    <w:rsid w:val="00574305"/>
    <w:rsid w:val="00576C50"/>
    <w:rsid w:val="005801E3"/>
    <w:rsid w:val="00581802"/>
    <w:rsid w:val="005836A8"/>
    <w:rsid w:val="00584058"/>
    <w:rsid w:val="0058409C"/>
    <w:rsid w:val="00584262"/>
    <w:rsid w:val="005846F6"/>
    <w:rsid w:val="00584E39"/>
    <w:rsid w:val="00585681"/>
    <w:rsid w:val="00586630"/>
    <w:rsid w:val="005878D4"/>
    <w:rsid w:val="00587ADD"/>
    <w:rsid w:val="0059014B"/>
    <w:rsid w:val="00593A49"/>
    <w:rsid w:val="00594157"/>
    <w:rsid w:val="00596160"/>
    <w:rsid w:val="005966E2"/>
    <w:rsid w:val="00597007"/>
    <w:rsid w:val="005A004E"/>
    <w:rsid w:val="005A0966"/>
    <w:rsid w:val="005A11B7"/>
    <w:rsid w:val="005A1418"/>
    <w:rsid w:val="005A1785"/>
    <w:rsid w:val="005A260B"/>
    <w:rsid w:val="005A3A35"/>
    <w:rsid w:val="005A4484"/>
    <w:rsid w:val="005A4A1B"/>
    <w:rsid w:val="005A5814"/>
    <w:rsid w:val="005A7830"/>
    <w:rsid w:val="005A7FCE"/>
    <w:rsid w:val="005B045E"/>
    <w:rsid w:val="005B0F3F"/>
    <w:rsid w:val="005B191C"/>
    <w:rsid w:val="005B4718"/>
    <w:rsid w:val="005B4903"/>
    <w:rsid w:val="005B5046"/>
    <w:rsid w:val="005B51CE"/>
    <w:rsid w:val="005B5885"/>
    <w:rsid w:val="005B5CD7"/>
    <w:rsid w:val="005B6CF6"/>
    <w:rsid w:val="005B7422"/>
    <w:rsid w:val="005C29B8"/>
    <w:rsid w:val="005C3383"/>
    <w:rsid w:val="005C5F21"/>
    <w:rsid w:val="005C7156"/>
    <w:rsid w:val="005D0C75"/>
    <w:rsid w:val="005D1AAF"/>
    <w:rsid w:val="005D3E41"/>
    <w:rsid w:val="005D4171"/>
    <w:rsid w:val="005D4D7F"/>
    <w:rsid w:val="005D502F"/>
    <w:rsid w:val="005D6A95"/>
    <w:rsid w:val="005D6B2C"/>
    <w:rsid w:val="005D6D9C"/>
    <w:rsid w:val="005E2335"/>
    <w:rsid w:val="005E3372"/>
    <w:rsid w:val="005E34CA"/>
    <w:rsid w:val="005E3C18"/>
    <w:rsid w:val="005E4250"/>
    <w:rsid w:val="005E4D6E"/>
    <w:rsid w:val="005E59B3"/>
    <w:rsid w:val="005E6812"/>
    <w:rsid w:val="005E69BC"/>
    <w:rsid w:val="005E7881"/>
    <w:rsid w:val="005E78E0"/>
    <w:rsid w:val="005F0BC0"/>
    <w:rsid w:val="005F0D9C"/>
    <w:rsid w:val="005F284E"/>
    <w:rsid w:val="005F33D4"/>
    <w:rsid w:val="0060040E"/>
    <w:rsid w:val="00601042"/>
    <w:rsid w:val="006015CE"/>
    <w:rsid w:val="00602B53"/>
    <w:rsid w:val="00604784"/>
    <w:rsid w:val="006048F1"/>
    <w:rsid w:val="00606419"/>
    <w:rsid w:val="00607B2A"/>
    <w:rsid w:val="00607CE9"/>
    <w:rsid w:val="00607D29"/>
    <w:rsid w:val="00611A19"/>
    <w:rsid w:val="00612952"/>
    <w:rsid w:val="00612BA5"/>
    <w:rsid w:val="00614CC1"/>
    <w:rsid w:val="006159E2"/>
    <w:rsid w:val="00615A9D"/>
    <w:rsid w:val="00617387"/>
    <w:rsid w:val="006205D6"/>
    <w:rsid w:val="00621F20"/>
    <w:rsid w:val="006252D8"/>
    <w:rsid w:val="006257F8"/>
    <w:rsid w:val="006259BC"/>
    <w:rsid w:val="0062636B"/>
    <w:rsid w:val="0062669D"/>
    <w:rsid w:val="0063076B"/>
    <w:rsid w:val="00632182"/>
    <w:rsid w:val="00632AE0"/>
    <w:rsid w:val="00633B60"/>
    <w:rsid w:val="00633C17"/>
    <w:rsid w:val="00634D9E"/>
    <w:rsid w:val="00635E03"/>
    <w:rsid w:val="00636158"/>
    <w:rsid w:val="00636E3E"/>
    <w:rsid w:val="006379F7"/>
    <w:rsid w:val="00637E4D"/>
    <w:rsid w:val="00640620"/>
    <w:rsid w:val="00641A1F"/>
    <w:rsid w:val="00645904"/>
    <w:rsid w:val="00647161"/>
    <w:rsid w:val="00647270"/>
    <w:rsid w:val="0064763C"/>
    <w:rsid w:val="00651ACB"/>
    <w:rsid w:val="00651C47"/>
    <w:rsid w:val="00652AB2"/>
    <w:rsid w:val="00653FED"/>
    <w:rsid w:val="0065417D"/>
    <w:rsid w:val="00654881"/>
    <w:rsid w:val="00654EC0"/>
    <w:rsid w:val="0065525B"/>
    <w:rsid w:val="0065536F"/>
    <w:rsid w:val="0065556E"/>
    <w:rsid w:val="00655C93"/>
    <w:rsid w:val="00655D4F"/>
    <w:rsid w:val="00656D29"/>
    <w:rsid w:val="00661913"/>
    <w:rsid w:val="006624A2"/>
    <w:rsid w:val="00662FF4"/>
    <w:rsid w:val="006640E5"/>
    <w:rsid w:val="006646F1"/>
    <w:rsid w:val="00664929"/>
    <w:rsid w:val="00664F62"/>
    <w:rsid w:val="006655E1"/>
    <w:rsid w:val="00671316"/>
    <w:rsid w:val="006713F9"/>
    <w:rsid w:val="00672060"/>
    <w:rsid w:val="00672BFD"/>
    <w:rsid w:val="00672ED9"/>
    <w:rsid w:val="00674A18"/>
    <w:rsid w:val="006770F4"/>
    <w:rsid w:val="006776E1"/>
    <w:rsid w:val="00677A84"/>
    <w:rsid w:val="0068026D"/>
    <w:rsid w:val="00680A27"/>
    <w:rsid w:val="006816A4"/>
    <w:rsid w:val="006819B8"/>
    <w:rsid w:val="006840A6"/>
    <w:rsid w:val="00684319"/>
    <w:rsid w:val="00684B53"/>
    <w:rsid w:val="006850CD"/>
    <w:rsid w:val="00685AAB"/>
    <w:rsid w:val="0069402C"/>
    <w:rsid w:val="00695040"/>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BA1"/>
    <w:rsid w:val="006B1F31"/>
    <w:rsid w:val="006B2672"/>
    <w:rsid w:val="006B4507"/>
    <w:rsid w:val="006B4CA2"/>
    <w:rsid w:val="006B4CE4"/>
    <w:rsid w:val="006B54BF"/>
    <w:rsid w:val="006B5E3D"/>
    <w:rsid w:val="006B5F44"/>
    <w:rsid w:val="006B5F90"/>
    <w:rsid w:val="006B62E4"/>
    <w:rsid w:val="006B709F"/>
    <w:rsid w:val="006B7EBD"/>
    <w:rsid w:val="006C1BBA"/>
    <w:rsid w:val="006C2079"/>
    <w:rsid w:val="006C5A62"/>
    <w:rsid w:val="006C5D68"/>
    <w:rsid w:val="006C6976"/>
    <w:rsid w:val="006C6DD0"/>
    <w:rsid w:val="006C7360"/>
    <w:rsid w:val="006D04EA"/>
    <w:rsid w:val="006D16C4"/>
    <w:rsid w:val="006D3E96"/>
    <w:rsid w:val="006D4515"/>
    <w:rsid w:val="006D4BB1"/>
    <w:rsid w:val="006D54D3"/>
    <w:rsid w:val="006D58CA"/>
    <w:rsid w:val="006D6593"/>
    <w:rsid w:val="006E0E46"/>
    <w:rsid w:val="006E2ED0"/>
    <w:rsid w:val="006E32C5"/>
    <w:rsid w:val="006F03A8"/>
    <w:rsid w:val="006F208F"/>
    <w:rsid w:val="006F2ACA"/>
    <w:rsid w:val="006F2ADC"/>
    <w:rsid w:val="006F2BFE"/>
    <w:rsid w:val="006F31E9"/>
    <w:rsid w:val="006F3623"/>
    <w:rsid w:val="006F5E6D"/>
    <w:rsid w:val="006F6284"/>
    <w:rsid w:val="007002C5"/>
    <w:rsid w:val="00702C13"/>
    <w:rsid w:val="007034BF"/>
    <w:rsid w:val="00704387"/>
    <w:rsid w:val="007043D0"/>
    <w:rsid w:val="00707669"/>
    <w:rsid w:val="00711847"/>
    <w:rsid w:val="00711C4E"/>
    <w:rsid w:val="00711CBA"/>
    <w:rsid w:val="00711F3D"/>
    <w:rsid w:val="00711FB5"/>
    <w:rsid w:val="00712A01"/>
    <w:rsid w:val="00714F58"/>
    <w:rsid w:val="00716D7D"/>
    <w:rsid w:val="007208EA"/>
    <w:rsid w:val="00721C45"/>
    <w:rsid w:val="00722FBF"/>
    <w:rsid w:val="00722FC2"/>
    <w:rsid w:val="00724E1B"/>
    <w:rsid w:val="00725830"/>
    <w:rsid w:val="00725949"/>
    <w:rsid w:val="007269D9"/>
    <w:rsid w:val="00727A70"/>
    <w:rsid w:val="00727FA2"/>
    <w:rsid w:val="00731054"/>
    <w:rsid w:val="007322D9"/>
    <w:rsid w:val="00732BC0"/>
    <w:rsid w:val="00733EFA"/>
    <w:rsid w:val="007369CF"/>
    <w:rsid w:val="0073720F"/>
    <w:rsid w:val="00737796"/>
    <w:rsid w:val="0074050F"/>
    <w:rsid w:val="0074165C"/>
    <w:rsid w:val="007416F9"/>
    <w:rsid w:val="00742C35"/>
    <w:rsid w:val="007432CA"/>
    <w:rsid w:val="007439EB"/>
    <w:rsid w:val="00743CB4"/>
    <w:rsid w:val="00743F0A"/>
    <w:rsid w:val="007444E8"/>
    <w:rsid w:val="0074548E"/>
    <w:rsid w:val="00745773"/>
    <w:rsid w:val="00746800"/>
    <w:rsid w:val="0074683C"/>
    <w:rsid w:val="007501A8"/>
    <w:rsid w:val="00750D61"/>
    <w:rsid w:val="00750EE1"/>
    <w:rsid w:val="00752B4D"/>
    <w:rsid w:val="00755402"/>
    <w:rsid w:val="00755F90"/>
    <w:rsid w:val="00756B26"/>
    <w:rsid w:val="00756EDF"/>
    <w:rsid w:val="007600E3"/>
    <w:rsid w:val="007646FF"/>
    <w:rsid w:val="00765C43"/>
    <w:rsid w:val="00765EFB"/>
    <w:rsid w:val="007661A8"/>
    <w:rsid w:val="007671CA"/>
    <w:rsid w:val="0076722B"/>
    <w:rsid w:val="007675EB"/>
    <w:rsid w:val="00767C61"/>
    <w:rsid w:val="0077008A"/>
    <w:rsid w:val="00772DBF"/>
    <w:rsid w:val="00772ECC"/>
    <w:rsid w:val="00773C1F"/>
    <w:rsid w:val="007747E3"/>
    <w:rsid w:val="00774DA4"/>
    <w:rsid w:val="00775520"/>
    <w:rsid w:val="0077634C"/>
    <w:rsid w:val="00776599"/>
    <w:rsid w:val="00777920"/>
    <w:rsid w:val="0078114B"/>
    <w:rsid w:val="00781DD2"/>
    <w:rsid w:val="007836CE"/>
    <w:rsid w:val="0078385D"/>
    <w:rsid w:val="00783ECF"/>
    <w:rsid w:val="0078413A"/>
    <w:rsid w:val="007873E2"/>
    <w:rsid w:val="00787D56"/>
    <w:rsid w:val="00791E96"/>
    <w:rsid w:val="0079325C"/>
    <w:rsid w:val="00794FA7"/>
    <w:rsid w:val="007959E8"/>
    <w:rsid w:val="00795E9C"/>
    <w:rsid w:val="007A0418"/>
    <w:rsid w:val="007A0521"/>
    <w:rsid w:val="007A1F43"/>
    <w:rsid w:val="007A2E12"/>
    <w:rsid w:val="007A321F"/>
    <w:rsid w:val="007A3475"/>
    <w:rsid w:val="007A41C8"/>
    <w:rsid w:val="007A54CE"/>
    <w:rsid w:val="007A6FD9"/>
    <w:rsid w:val="007A6FFB"/>
    <w:rsid w:val="007A7FFA"/>
    <w:rsid w:val="007B0145"/>
    <w:rsid w:val="007B04EB"/>
    <w:rsid w:val="007B0D4F"/>
    <w:rsid w:val="007B397C"/>
    <w:rsid w:val="007B5A3D"/>
    <w:rsid w:val="007B5B95"/>
    <w:rsid w:val="007B6032"/>
    <w:rsid w:val="007B68EA"/>
    <w:rsid w:val="007B6ADE"/>
    <w:rsid w:val="007B6BCD"/>
    <w:rsid w:val="007B7453"/>
    <w:rsid w:val="007C1456"/>
    <w:rsid w:val="007C2001"/>
    <w:rsid w:val="007C2010"/>
    <w:rsid w:val="007C2D89"/>
    <w:rsid w:val="007C440F"/>
    <w:rsid w:val="007C4593"/>
    <w:rsid w:val="007C5309"/>
    <w:rsid w:val="007C6069"/>
    <w:rsid w:val="007D06C4"/>
    <w:rsid w:val="007D0C5D"/>
    <w:rsid w:val="007D1352"/>
    <w:rsid w:val="007D1F4C"/>
    <w:rsid w:val="007D2508"/>
    <w:rsid w:val="007D346A"/>
    <w:rsid w:val="007D6518"/>
    <w:rsid w:val="007D76BD"/>
    <w:rsid w:val="007E0BF1"/>
    <w:rsid w:val="007E4471"/>
    <w:rsid w:val="007E5444"/>
    <w:rsid w:val="007E562A"/>
    <w:rsid w:val="007E76E2"/>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1072"/>
    <w:rsid w:val="00811369"/>
    <w:rsid w:val="00815419"/>
    <w:rsid w:val="008163C8"/>
    <w:rsid w:val="008164A1"/>
    <w:rsid w:val="00817325"/>
    <w:rsid w:val="008209E6"/>
    <w:rsid w:val="00820AD4"/>
    <w:rsid w:val="00821104"/>
    <w:rsid w:val="008215A9"/>
    <w:rsid w:val="00823303"/>
    <w:rsid w:val="008233B2"/>
    <w:rsid w:val="008237F8"/>
    <w:rsid w:val="008239F9"/>
    <w:rsid w:val="00823A9F"/>
    <w:rsid w:val="00823C85"/>
    <w:rsid w:val="0082405B"/>
    <w:rsid w:val="00825138"/>
    <w:rsid w:val="008262FC"/>
    <w:rsid w:val="008269DD"/>
    <w:rsid w:val="00830621"/>
    <w:rsid w:val="00830CD7"/>
    <w:rsid w:val="0083199F"/>
    <w:rsid w:val="00831CB2"/>
    <w:rsid w:val="0083348C"/>
    <w:rsid w:val="0083544F"/>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1235"/>
    <w:rsid w:val="00861B04"/>
    <w:rsid w:val="008620FC"/>
    <w:rsid w:val="008627A5"/>
    <w:rsid w:val="00863E05"/>
    <w:rsid w:val="00865ACA"/>
    <w:rsid w:val="00865D28"/>
    <w:rsid w:val="00865F85"/>
    <w:rsid w:val="00867C10"/>
    <w:rsid w:val="008703A5"/>
    <w:rsid w:val="0087040B"/>
    <w:rsid w:val="00870439"/>
    <w:rsid w:val="00870DA1"/>
    <w:rsid w:val="00871EAF"/>
    <w:rsid w:val="00873D3A"/>
    <w:rsid w:val="00874310"/>
    <w:rsid w:val="008760F0"/>
    <w:rsid w:val="008772AA"/>
    <w:rsid w:val="00881FF9"/>
    <w:rsid w:val="00883ABA"/>
    <w:rsid w:val="00883BEB"/>
    <w:rsid w:val="00883F93"/>
    <w:rsid w:val="00884DB3"/>
    <w:rsid w:val="00885A9D"/>
    <w:rsid w:val="008864F6"/>
    <w:rsid w:val="008866C4"/>
    <w:rsid w:val="0088774B"/>
    <w:rsid w:val="0089049D"/>
    <w:rsid w:val="008928C9"/>
    <w:rsid w:val="008930CB"/>
    <w:rsid w:val="008938DC"/>
    <w:rsid w:val="00893B66"/>
    <w:rsid w:val="00893FD1"/>
    <w:rsid w:val="00894836"/>
    <w:rsid w:val="00895172"/>
    <w:rsid w:val="00895680"/>
    <w:rsid w:val="00896DFF"/>
    <w:rsid w:val="0089762C"/>
    <w:rsid w:val="008A1624"/>
    <w:rsid w:val="008A173B"/>
    <w:rsid w:val="008A1893"/>
    <w:rsid w:val="008A2E6A"/>
    <w:rsid w:val="008A39CA"/>
    <w:rsid w:val="008A3FE8"/>
    <w:rsid w:val="008A57E6"/>
    <w:rsid w:val="008A5B97"/>
    <w:rsid w:val="008A6F81"/>
    <w:rsid w:val="008A769A"/>
    <w:rsid w:val="008B0C9C"/>
    <w:rsid w:val="008B166D"/>
    <w:rsid w:val="008B17F4"/>
    <w:rsid w:val="008B217D"/>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453D"/>
    <w:rsid w:val="008D53AD"/>
    <w:rsid w:val="008D562B"/>
    <w:rsid w:val="008D5733"/>
    <w:rsid w:val="008D5D3E"/>
    <w:rsid w:val="008D622B"/>
    <w:rsid w:val="008D666C"/>
    <w:rsid w:val="008D7B54"/>
    <w:rsid w:val="008E0C9D"/>
    <w:rsid w:val="008E1648"/>
    <w:rsid w:val="008E1B3E"/>
    <w:rsid w:val="008E2319"/>
    <w:rsid w:val="008E31E0"/>
    <w:rsid w:val="008E4BB6"/>
    <w:rsid w:val="008E5518"/>
    <w:rsid w:val="008E6A84"/>
    <w:rsid w:val="008F043A"/>
    <w:rsid w:val="008F0CDC"/>
    <w:rsid w:val="008F17A3"/>
    <w:rsid w:val="008F1DDF"/>
    <w:rsid w:val="008F1ED3"/>
    <w:rsid w:val="008F44DC"/>
    <w:rsid w:val="008F4510"/>
    <w:rsid w:val="008F4C29"/>
    <w:rsid w:val="008F5CBF"/>
    <w:rsid w:val="008F70BD"/>
    <w:rsid w:val="008F788F"/>
    <w:rsid w:val="008F7EA2"/>
    <w:rsid w:val="00902722"/>
    <w:rsid w:val="009027BC"/>
    <w:rsid w:val="00905780"/>
    <w:rsid w:val="009058CB"/>
    <w:rsid w:val="00905ECB"/>
    <w:rsid w:val="009062E6"/>
    <w:rsid w:val="0090638C"/>
    <w:rsid w:val="00906427"/>
    <w:rsid w:val="00907C27"/>
    <w:rsid w:val="00911BE5"/>
    <w:rsid w:val="00913CA9"/>
    <w:rsid w:val="009145AE"/>
    <w:rsid w:val="009146CE"/>
    <w:rsid w:val="00914CA7"/>
    <w:rsid w:val="00915C3E"/>
    <w:rsid w:val="009161A8"/>
    <w:rsid w:val="009212CB"/>
    <w:rsid w:val="009223DF"/>
    <w:rsid w:val="00923618"/>
    <w:rsid w:val="009245AE"/>
    <w:rsid w:val="009245F5"/>
    <w:rsid w:val="009249EC"/>
    <w:rsid w:val="00924D2C"/>
    <w:rsid w:val="00924FB6"/>
    <w:rsid w:val="0092525A"/>
    <w:rsid w:val="00925F49"/>
    <w:rsid w:val="009273B3"/>
    <w:rsid w:val="009305B5"/>
    <w:rsid w:val="00931404"/>
    <w:rsid w:val="009314DE"/>
    <w:rsid w:val="009322F8"/>
    <w:rsid w:val="0093264B"/>
    <w:rsid w:val="00935BBC"/>
    <w:rsid w:val="009378DD"/>
    <w:rsid w:val="009429D5"/>
    <w:rsid w:val="00942BF1"/>
    <w:rsid w:val="0094331D"/>
    <w:rsid w:val="00944D29"/>
    <w:rsid w:val="00945180"/>
    <w:rsid w:val="00945428"/>
    <w:rsid w:val="0094607B"/>
    <w:rsid w:val="0095108C"/>
    <w:rsid w:val="00953604"/>
    <w:rsid w:val="009546BA"/>
    <w:rsid w:val="0095496B"/>
    <w:rsid w:val="00960F1E"/>
    <w:rsid w:val="009610DC"/>
    <w:rsid w:val="00961490"/>
    <w:rsid w:val="0096381A"/>
    <w:rsid w:val="00965E04"/>
    <w:rsid w:val="009674AD"/>
    <w:rsid w:val="009701CD"/>
    <w:rsid w:val="00970CDC"/>
    <w:rsid w:val="0097178B"/>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8B"/>
    <w:rsid w:val="00997BF1"/>
    <w:rsid w:val="009A089C"/>
    <w:rsid w:val="009A118E"/>
    <w:rsid w:val="009A21CD"/>
    <w:rsid w:val="009A278C"/>
    <w:rsid w:val="009A2BC2"/>
    <w:rsid w:val="009A31AE"/>
    <w:rsid w:val="009A42C1"/>
    <w:rsid w:val="009A5429"/>
    <w:rsid w:val="009A72AD"/>
    <w:rsid w:val="009A78E1"/>
    <w:rsid w:val="009B08B3"/>
    <w:rsid w:val="009B09E0"/>
    <w:rsid w:val="009B0A24"/>
    <w:rsid w:val="009B0BAA"/>
    <w:rsid w:val="009B0BC5"/>
    <w:rsid w:val="009B1247"/>
    <w:rsid w:val="009B469C"/>
    <w:rsid w:val="009B4A5E"/>
    <w:rsid w:val="009B587E"/>
    <w:rsid w:val="009B6029"/>
    <w:rsid w:val="009B6971"/>
    <w:rsid w:val="009C1B2D"/>
    <w:rsid w:val="009C27F1"/>
    <w:rsid w:val="009C3152"/>
    <w:rsid w:val="009C3257"/>
    <w:rsid w:val="009C4CFA"/>
    <w:rsid w:val="009C5070"/>
    <w:rsid w:val="009C638C"/>
    <w:rsid w:val="009D112C"/>
    <w:rsid w:val="009D1385"/>
    <w:rsid w:val="009D2128"/>
    <w:rsid w:val="009D47FA"/>
    <w:rsid w:val="009D4C5B"/>
    <w:rsid w:val="009D50D2"/>
    <w:rsid w:val="009D6BCA"/>
    <w:rsid w:val="009D6ED1"/>
    <w:rsid w:val="009E08CD"/>
    <w:rsid w:val="009E0E67"/>
    <w:rsid w:val="009E0F62"/>
    <w:rsid w:val="009E4A58"/>
    <w:rsid w:val="009E5A2D"/>
    <w:rsid w:val="009E5AB2"/>
    <w:rsid w:val="009E6219"/>
    <w:rsid w:val="009F03B3"/>
    <w:rsid w:val="009F33F4"/>
    <w:rsid w:val="009F5F58"/>
    <w:rsid w:val="009F70BD"/>
    <w:rsid w:val="009F7D1D"/>
    <w:rsid w:val="00A0096C"/>
    <w:rsid w:val="00A01757"/>
    <w:rsid w:val="00A028C0"/>
    <w:rsid w:val="00A02BAE"/>
    <w:rsid w:val="00A06271"/>
    <w:rsid w:val="00A06A6B"/>
    <w:rsid w:val="00A06EFB"/>
    <w:rsid w:val="00A07574"/>
    <w:rsid w:val="00A07AFD"/>
    <w:rsid w:val="00A07E47"/>
    <w:rsid w:val="00A07FA6"/>
    <w:rsid w:val="00A10088"/>
    <w:rsid w:val="00A1164A"/>
    <w:rsid w:val="00A11CAB"/>
    <w:rsid w:val="00A129D0"/>
    <w:rsid w:val="00A12C33"/>
    <w:rsid w:val="00A12D86"/>
    <w:rsid w:val="00A138BA"/>
    <w:rsid w:val="00A14C8E"/>
    <w:rsid w:val="00A153D9"/>
    <w:rsid w:val="00A15F09"/>
    <w:rsid w:val="00A169B6"/>
    <w:rsid w:val="00A16D27"/>
    <w:rsid w:val="00A20DF0"/>
    <w:rsid w:val="00A2271D"/>
    <w:rsid w:val="00A237D5"/>
    <w:rsid w:val="00A25037"/>
    <w:rsid w:val="00A26A0D"/>
    <w:rsid w:val="00A2706C"/>
    <w:rsid w:val="00A30EFC"/>
    <w:rsid w:val="00A31984"/>
    <w:rsid w:val="00A32238"/>
    <w:rsid w:val="00A32C9C"/>
    <w:rsid w:val="00A32D73"/>
    <w:rsid w:val="00A3367B"/>
    <w:rsid w:val="00A3402A"/>
    <w:rsid w:val="00A3597D"/>
    <w:rsid w:val="00A36DD1"/>
    <w:rsid w:val="00A4006C"/>
    <w:rsid w:val="00A40091"/>
    <w:rsid w:val="00A4030F"/>
    <w:rsid w:val="00A41C79"/>
    <w:rsid w:val="00A41CB5"/>
    <w:rsid w:val="00A42CDF"/>
    <w:rsid w:val="00A4452E"/>
    <w:rsid w:val="00A4472C"/>
    <w:rsid w:val="00A44E69"/>
    <w:rsid w:val="00A458E3"/>
    <w:rsid w:val="00A4661E"/>
    <w:rsid w:val="00A52A97"/>
    <w:rsid w:val="00A55BD6"/>
    <w:rsid w:val="00A55D50"/>
    <w:rsid w:val="00A5646C"/>
    <w:rsid w:val="00A56AD3"/>
    <w:rsid w:val="00A57142"/>
    <w:rsid w:val="00A602EB"/>
    <w:rsid w:val="00A6242A"/>
    <w:rsid w:val="00A638F8"/>
    <w:rsid w:val="00A648CD"/>
    <w:rsid w:val="00A64FC8"/>
    <w:rsid w:val="00A6537A"/>
    <w:rsid w:val="00A6631D"/>
    <w:rsid w:val="00A66B3E"/>
    <w:rsid w:val="00A67866"/>
    <w:rsid w:val="00A70B07"/>
    <w:rsid w:val="00A723F8"/>
    <w:rsid w:val="00A74026"/>
    <w:rsid w:val="00A77345"/>
    <w:rsid w:val="00A77CCB"/>
    <w:rsid w:val="00A81FF8"/>
    <w:rsid w:val="00A8292E"/>
    <w:rsid w:val="00A83D8D"/>
    <w:rsid w:val="00A8446B"/>
    <w:rsid w:val="00A8473F"/>
    <w:rsid w:val="00A85693"/>
    <w:rsid w:val="00A862D6"/>
    <w:rsid w:val="00A8715E"/>
    <w:rsid w:val="00A871AA"/>
    <w:rsid w:val="00A91425"/>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3BBA"/>
    <w:rsid w:val="00AA4286"/>
    <w:rsid w:val="00AA456B"/>
    <w:rsid w:val="00AA57F5"/>
    <w:rsid w:val="00AA60D6"/>
    <w:rsid w:val="00AA6360"/>
    <w:rsid w:val="00AA672E"/>
    <w:rsid w:val="00AA6EC9"/>
    <w:rsid w:val="00AA7E44"/>
    <w:rsid w:val="00AB6309"/>
    <w:rsid w:val="00AB6C5F"/>
    <w:rsid w:val="00AB6EFF"/>
    <w:rsid w:val="00AB7129"/>
    <w:rsid w:val="00AC27A6"/>
    <w:rsid w:val="00AC30F7"/>
    <w:rsid w:val="00AC3A5A"/>
    <w:rsid w:val="00AC49CC"/>
    <w:rsid w:val="00AC4D95"/>
    <w:rsid w:val="00AC5DF4"/>
    <w:rsid w:val="00AC5F51"/>
    <w:rsid w:val="00AC6871"/>
    <w:rsid w:val="00AC699C"/>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7E5"/>
    <w:rsid w:val="00AE5483"/>
    <w:rsid w:val="00AE5EB4"/>
    <w:rsid w:val="00AE67B8"/>
    <w:rsid w:val="00AE6876"/>
    <w:rsid w:val="00AE689F"/>
    <w:rsid w:val="00AE7B62"/>
    <w:rsid w:val="00AF05C9"/>
    <w:rsid w:val="00AF0C18"/>
    <w:rsid w:val="00AF0E0E"/>
    <w:rsid w:val="00AF157F"/>
    <w:rsid w:val="00AF3DE5"/>
    <w:rsid w:val="00AF47C5"/>
    <w:rsid w:val="00AF5398"/>
    <w:rsid w:val="00AF57F2"/>
    <w:rsid w:val="00AF7EBD"/>
    <w:rsid w:val="00B00817"/>
    <w:rsid w:val="00B038E0"/>
    <w:rsid w:val="00B03C56"/>
    <w:rsid w:val="00B03F83"/>
    <w:rsid w:val="00B049AF"/>
    <w:rsid w:val="00B0569C"/>
    <w:rsid w:val="00B061C9"/>
    <w:rsid w:val="00B06DD9"/>
    <w:rsid w:val="00B07242"/>
    <w:rsid w:val="00B076FF"/>
    <w:rsid w:val="00B10534"/>
    <w:rsid w:val="00B113DB"/>
    <w:rsid w:val="00B11D8A"/>
    <w:rsid w:val="00B12981"/>
    <w:rsid w:val="00B14429"/>
    <w:rsid w:val="00B147DD"/>
    <w:rsid w:val="00B156FD"/>
    <w:rsid w:val="00B16513"/>
    <w:rsid w:val="00B1692E"/>
    <w:rsid w:val="00B16C34"/>
    <w:rsid w:val="00B21290"/>
    <w:rsid w:val="00B217F6"/>
    <w:rsid w:val="00B21F61"/>
    <w:rsid w:val="00B261F1"/>
    <w:rsid w:val="00B265BC"/>
    <w:rsid w:val="00B31071"/>
    <w:rsid w:val="00B3113B"/>
    <w:rsid w:val="00B311FA"/>
    <w:rsid w:val="00B31FB1"/>
    <w:rsid w:val="00B33952"/>
    <w:rsid w:val="00B33C5E"/>
    <w:rsid w:val="00B342F4"/>
    <w:rsid w:val="00B34369"/>
    <w:rsid w:val="00B34C3E"/>
    <w:rsid w:val="00B34DC2"/>
    <w:rsid w:val="00B378E5"/>
    <w:rsid w:val="00B41B82"/>
    <w:rsid w:val="00B4346D"/>
    <w:rsid w:val="00B440F4"/>
    <w:rsid w:val="00B447A5"/>
    <w:rsid w:val="00B4543B"/>
    <w:rsid w:val="00B4654C"/>
    <w:rsid w:val="00B46D1E"/>
    <w:rsid w:val="00B47293"/>
    <w:rsid w:val="00B50E50"/>
    <w:rsid w:val="00B52120"/>
    <w:rsid w:val="00B54ABC"/>
    <w:rsid w:val="00B56FBE"/>
    <w:rsid w:val="00B60ACF"/>
    <w:rsid w:val="00B615E4"/>
    <w:rsid w:val="00B62B58"/>
    <w:rsid w:val="00B649DF"/>
    <w:rsid w:val="00B65149"/>
    <w:rsid w:val="00B656D0"/>
    <w:rsid w:val="00B66567"/>
    <w:rsid w:val="00B66F52"/>
    <w:rsid w:val="00B66FE5"/>
    <w:rsid w:val="00B67BC6"/>
    <w:rsid w:val="00B70483"/>
    <w:rsid w:val="00B72880"/>
    <w:rsid w:val="00B7409A"/>
    <w:rsid w:val="00B7421D"/>
    <w:rsid w:val="00B749B7"/>
    <w:rsid w:val="00B74CB4"/>
    <w:rsid w:val="00B758BF"/>
    <w:rsid w:val="00B75D0F"/>
    <w:rsid w:val="00B77075"/>
    <w:rsid w:val="00B7787E"/>
    <w:rsid w:val="00B77EC8"/>
    <w:rsid w:val="00B827A6"/>
    <w:rsid w:val="00B831CE"/>
    <w:rsid w:val="00B86624"/>
    <w:rsid w:val="00B86677"/>
    <w:rsid w:val="00B86FED"/>
    <w:rsid w:val="00B87131"/>
    <w:rsid w:val="00B87734"/>
    <w:rsid w:val="00B939B1"/>
    <w:rsid w:val="00B96D40"/>
    <w:rsid w:val="00B97386"/>
    <w:rsid w:val="00BA263B"/>
    <w:rsid w:val="00BA429A"/>
    <w:rsid w:val="00BA42B2"/>
    <w:rsid w:val="00BA58D4"/>
    <w:rsid w:val="00BA5B9E"/>
    <w:rsid w:val="00BA7C9A"/>
    <w:rsid w:val="00BB0889"/>
    <w:rsid w:val="00BB29D6"/>
    <w:rsid w:val="00BB5F8F"/>
    <w:rsid w:val="00BB657A"/>
    <w:rsid w:val="00BC14D9"/>
    <w:rsid w:val="00BC1621"/>
    <w:rsid w:val="00BC1A4E"/>
    <w:rsid w:val="00BC2662"/>
    <w:rsid w:val="00BC455C"/>
    <w:rsid w:val="00BC5DC7"/>
    <w:rsid w:val="00BC6B8B"/>
    <w:rsid w:val="00BC6E9F"/>
    <w:rsid w:val="00BC73D8"/>
    <w:rsid w:val="00BC7A0B"/>
    <w:rsid w:val="00BD037A"/>
    <w:rsid w:val="00BD1B56"/>
    <w:rsid w:val="00BD4CA6"/>
    <w:rsid w:val="00BD52D7"/>
    <w:rsid w:val="00BD5333"/>
    <w:rsid w:val="00BD5AD2"/>
    <w:rsid w:val="00BD5B4B"/>
    <w:rsid w:val="00BD74B7"/>
    <w:rsid w:val="00BD7A92"/>
    <w:rsid w:val="00BD7AAB"/>
    <w:rsid w:val="00BE1E54"/>
    <w:rsid w:val="00BE22F3"/>
    <w:rsid w:val="00BE2A8F"/>
    <w:rsid w:val="00BE4FCA"/>
    <w:rsid w:val="00BE5B52"/>
    <w:rsid w:val="00BE7816"/>
    <w:rsid w:val="00BE7B8D"/>
    <w:rsid w:val="00BE7C0F"/>
    <w:rsid w:val="00BF0993"/>
    <w:rsid w:val="00BF10A9"/>
    <w:rsid w:val="00BF1703"/>
    <w:rsid w:val="00BF1F8A"/>
    <w:rsid w:val="00BF231C"/>
    <w:rsid w:val="00BF3303"/>
    <w:rsid w:val="00BF51E5"/>
    <w:rsid w:val="00BF5771"/>
    <w:rsid w:val="00BF5CA1"/>
    <w:rsid w:val="00BF5F57"/>
    <w:rsid w:val="00BF74A6"/>
    <w:rsid w:val="00BF7EE9"/>
    <w:rsid w:val="00C0045D"/>
    <w:rsid w:val="00C00CCE"/>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06A1"/>
    <w:rsid w:val="00C20CAD"/>
    <w:rsid w:val="00C21540"/>
    <w:rsid w:val="00C21906"/>
    <w:rsid w:val="00C21BFA"/>
    <w:rsid w:val="00C22F98"/>
    <w:rsid w:val="00C2408D"/>
    <w:rsid w:val="00C24C8D"/>
    <w:rsid w:val="00C25FE2"/>
    <w:rsid w:val="00C26B53"/>
    <w:rsid w:val="00C276A5"/>
    <w:rsid w:val="00C279B2"/>
    <w:rsid w:val="00C27E12"/>
    <w:rsid w:val="00C3207A"/>
    <w:rsid w:val="00C33E50"/>
    <w:rsid w:val="00C34C20"/>
    <w:rsid w:val="00C35A3E"/>
    <w:rsid w:val="00C37184"/>
    <w:rsid w:val="00C42130"/>
    <w:rsid w:val="00C421F2"/>
    <w:rsid w:val="00C423A4"/>
    <w:rsid w:val="00C423E3"/>
    <w:rsid w:val="00C44BF5"/>
    <w:rsid w:val="00C47CE0"/>
    <w:rsid w:val="00C50379"/>
    <w:rsid w:val="00C50AA1"/>
    <w:rsid w:val="00C521D6"/>
    <w:rsid w:val="00C53D82"/>
    <w:rsid w:val="00C54E4E"/>
    <w:rsid w:val="00C55232"/>
    <w:rsid w:val="00C553A4"/>
    <w:rsid w:val="00C55A06"/>
    <w:rsid w:val="00C55D03"/>
    <w:rsid w:val="00C57740"/>
    <w:rsid w:val="00C601BC"/>
    <w:rsid w:val="00C61118"/>
    <w:rsid w:val="00C61135"/>
    <w:rsid w:val="00C6329F"/>
    <w:rsid w:val="00C63340"/>
    <w:rsid w:val="00C63C44"/>
    <w:rsid w:val="00C643F9"/>
    <w:rsid w:val="00C64E95"/>
    <w:rsid w:val="00C71372"/>
    <w:rsid w:val="00C71739"/>
    <w:rsid w:val="00C72410"/>
    <w:rsid w:val="00C7275C"/>
    <w:rsid w:val="00C7287F"/>
    <w:rsid w:val="00C73FB9"/>
    <w:rsid w:val="00C80CB8"/>
    <w:rsid w:val="00C819F8"/>
    <w:rsid w:val="00C8248C"/>
    <w:rsid w:val="00C84E33"/>
    <w:rsid w:val="00C86D6F"/>
    <w:rsid w:val="00C87796"/>
    <w:rsid w:val="00C905FC"/>
    <w:rsid w:val="00C91255"/>
    <w:rsid w:val="00C91AC2"/>
    <w:rsid w:val="00C92D03"/>
    <w:rsid w:val="00C9319C"/>
    <w:rsid w:val="00C9435D"/>
    <w:rsid w:val="00C9459D"/>
    <w:rsid w:val="00C94706"/>
    <w:rsid w:val="00C94DF2"/>
    <w:rsid w:val="00C96741"/>
    <w:rsid w:val="00C971C2"/>
    <w:rsid w:val="00C97CA8"/>
    <w:rsid w:val="00CA0EC2"/>
    <w:rsid w:val="00CA2D1B"/>
    <w:rsid w:val="00CA3066"/>
    <w:rsid w:val="00CA30A7"/>
    <w:rsid w:val="00CA35E9"/>
    <w:rsid w:val="00CA375D"/>
    <w:rsid w:val="00CA40FE"/>
    <w:rsid w:val="00CA42FC"/>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0D1"/>
    <w:rsid w:val="00CC4AC8"/>
    <w:rsid w:val="00CC5233"/>
    <w:rsid w:val="00CC5DE6"/>
    <w:rsid w:val="00CC6E4E"/>
    <w:rsid w:val="00CC6FE8"/>
    <w:rsid w:val="00CC7202"/>
    <w:rsid w:val="00CC79E8"/>
    <w:rsid w:val="00CD1744"/>
    <w:rsid w:val="00CD2771"/>
    <w:rsid w:val="00CD2808"/>
    <w:rsid w:val="00CD28BF"/>
    <w:rsid w:val="00CD3378"/>
    <w:rsid w:val="00CD3585"/>
    <w:rsid w:val="00CD4092"/>
    <w:rsid w:val="00CD4A20"/>
    <w:rsid w:val="00CD50A1"/>
    <w:rsid w:val="00CD519E"/>
    <w:rsid w:val="00CD5642"/>
    <w:rsid w:val="00CD5EA9"/>
    <w:rsid w:val="00CD7BDB"/>
    <w:rsid w:val="00CE0A1F"/>
    <w:rsid w:val="00CE0C4F"/>
    <w:rsid w:val="00CE19C3"/>
    <w:rsid w:val="00CE30EA"/>
    <w:rsid w:val="00CE3BCE"/>
    <w:rsid w:val="00CE58C5"/>
    <w:rsid w:val="00CE6F60"/>
    <w:rsid w:val="00CF048A"/>
    <w:rsid w:val="00CF0E72"/>
    <w:rsid w:val="00CF155A"/>
    <w:rsid w:val="00CF2947"/>
    <w:rsid w:val="00CF686F"/>
    <w:rsid w:val="00CF6E60"/>
    <w:rsid w:val="00CF7BCA"/>
    <w:rsid w:val="00D008FD"/>
    <w:rsid w:val="00D0181D"/>
    <w:rsid w:val="00D0321C"/>
    <w:rsid w:val="00D035EC"/>
    <w:rsid w:val="00D058F0"/>
    <w:rsid w:val="00D06AB1"/>
    <w:rsid w:val="00D06FC1"/>
    <w:rsid w:val="00D072ED"/>
    <w:rsid w:val="00D07A16"/>
    <w:rsid w:val="00D1067E"/>
    <w:rsid w:val="00D10F50"/>
    <w:rsid w:val="00D11272"/>
    <w:rsid w:val="00D126F5"/>
    <w:rsid w:val="00D1489E"/>
    <w:rsid w:val="00D15748"/>
    <w:rsid w:val="00D15843"/>
    <w:rsid w:val="00D20737"/>
    <w:rsid w:val="00D21A6F"/>
    <w:rsid w:val="00D21E81"/>
    <w:rsid w:val="00D223DE"/>
    <w:rsid w:val="00D23351"/>
    <w:rsid w:val="00D244A8"/>
    <w:rsid w:val="00D2455D"/>
    <w:rsid w:val="00D25813"/>
    <w:rsid w:val="00D25E37"/>
    <w:rsid w:val="00D25F8D"/>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1BF3"/>
    <w:rsid w:val="00D5369A"/>
    <w:rsid w:val="00D53B6A"/>
    <w:rsid w:val="00D53C27"/>
    <w:rsid w:val="00D54A5A"/>
    <w:rsid w:val="00D55583"/>
    <w:rsid w:val="00D5744D"/>
    <w:rsid w:val="00D6546A"/>
    <w:rsid w:val="00D66846"/>
    <w:rsid w:val="00D675FB"/>
    <w:rsid w:val="00D70623"/>
    <w:rsid w:val="00D70E75"/>
    <w:rsid w:val="00D71A93"/>
    <w:rsid w:val="00D71F25"/>
    <w:rsid w:val="00D72A9C"/>
    <w:rsid w:val="00D73E91"/>
    <w:rsid w:val="00D746D8"/>
    <w:rsid w:val="00D76693"/>
    <w:rsid w:val="00D77031"/>
    <w:rsid w:val="00D826BD"/>
    <w:rsid w:val="00D84941"/>
    <w:rsid w:val="00D84FA1"/>
    <w:rsid w:val="00D851F0"/>
    <w:rsid w:val="00D86DB7"/>
    <w:rsid w:val="00D87AB3"/>
    <w:rsid w:val="00D87BF5"/>
    <w:rsid w:val="00D90721"/>
    <w:rsid w:val="00D926D0"/>
    <w:rsid w:val="00D93030"/>
    <w:rsid w:val="00D950E1"/>
    <w:rsid w:val="00D952A6"/>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66CA"/>
    <w:rsid w:val="00DB6BCA"/>
    <w:rsid w:val="00DB6F54"/>
    <w:rsid w:val="00DB73F7"/>
    <w:rsid w:val="00DC0321"/>
    <w:rsid w:val="00DC3067"/>
    <w:rsid w:val="00DC34AB"/>
    <w:rsid w:val="00DC370B"/>
    <w:rsid w:val="00DC5B90"/>
    <w:rsid w:val="00DC6978"/>
    <w:rsid w:val="00DC6D5C"/>
    <w:rsid w:val="00DC75B9"/>
    <w:rsid w:val="00DD00FF"/>
    <w:rsid w:val="00DD0619"/>
    <w:rsid w:val="00DD07FB"/>
    <w:rsid w:val="00DD25C6"/>
    <w:rsid w:val="00DD32A6"/>
    <w:rsid w:val="00DD44B8"/>
    <w:rsid w:val="00DD4FE5"/>
    <w:rsid w:val="00DD54B0"/>
    <w:rsid w:val="00DD55D1"/>
    <w:rsid w:val="00DD57EE"/>
    <w:rsid w:val="00DD6BCC"/>
    <w:rsid w:val="00DE0A4B"/>
    <w:rsid w:val="00DE2410"/>
    <w:rsid w:val="00DE2939"/>
    <w:rsid w:val="00DE320A"/>
    <w:rsid w:val="00DE6E81"/>
    <w:rsid w:val="00DE703F"/>
    <w:rsid w:val="00DE72B0"/>
    <w:rsid w:val="00DE74FD"/>
    <w:rsid w:val="00DE7595"/>
    <w:rsid w:val="00DF039D"/>
    <w:rsid w:val="00DF046C"/>
    <w:rsid w:val="00DF1961"/>
    <w:rsid w:val="00DF39F2"/>
    <w:rsid w:val="00DF3F7D"/>
    <w:rsid w:val="00DF417A"/>
    <w:rsid w:val="00DF44DE"/>
    <w:rsid w:val="00DF5BA9"/>
    <w:rsid w:val="00DF6B6B"/>
    <w:rsid w:val="00DF778F"/>
    <w:rsid w:val="00E01138"/>
    <w:rsid w:val="00E02DFB"/>
    <w:rsid w:val="00E030F9"/>
    <w:rsid w:val="00E0311A"/>
    <w:rsid w:val="00E03138"/>
    <w:rsid w:val="00E05A47"/>
    <w:rsid w:val="00E06404"/>
    <w:rsid w:val="00E11A85"/>
    <w:rsid w:val="00E123E6"/>
    <w:rsid w:val="00E12495"/>
    <w:rsid w:val="00E15CCD"/>
    <w:rsid w:val="00E202EF"/>
    <w:rsid w:val="00E20AEE"/>
    <w:rsid w:val="00E210B5"/>
    <w:rsid w:val="00E215DC"/>
    <w:rsid w:val="00E22838"/>
    <w:rsid w:val="00E253C9"/>
    <w:rsid w:val="00E2552F"/>
    <w:rsid w:val="00E26649"/>
    <w:rsid w:val="00E2674E"/>
    <w:rsid w:val="00E2705F"/>
    <w:rsid w:val="00E27BB2"/>
    <w:rsid w:val="00E300B7"/>
    <w:rsid w:val="00E3076B"/>
    <w:rsid w:val="00E3137A"/>
    <w:rsid w:val="00E32CCF"/>
    <w:rsid w:val="00E3368D"/>
    <w:rsid w:val="00E34A98"/>
    <w:rsid w:val="00E35D1E"/>
    <w:rsid w:val="00E364F9"/>
    <w:rsid w:val="00E365FA"/>
    <w:rsid w:val="00E36652"/>
    <w:rsid w:val="00E36789"/>
    <w:rsid w:val="00E40E67"/>
    <w:rsid w:val="00E40F26"/>
    <w:rsid w:val="00E41626"/>
    <w:rsid w:val="00E422A8"/>
    <w:rsid w:val="00E4301B"/>
    <w:rsid w:val="00E4380D"/>
    <w:rsid w:val="00E44A83"/>
    <w:rsid w:val="00E502C1"/>
    <w:rsid w:val="00E502DD"/>
    <w:rsid w:val="00E50D3A"/>
    <w:rsid w:val="00E51387"/>
    <w:rsid w:val="00E51E68"/>
    <w:rsid w:val="00E52EFD"/>
    <w:rsid w:val="00E5408A"/>
    <w:rsid w:val="00E56800"/>
    <w:rsid w:val="00E60B55"/>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5D1B"/>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0D8E"/>
    <w:rsid w:val="00E91C8B"/>
    <w:rsid w:val="00E92C48"/>
    <w:rsid w:val="00E9311F"/>
    <w:rsid w:val="00E934D1"/>
    <w:rsid w:val="00E94AF0"/>
    <w:rsid w:val="00E95D13"/>
    <w:rsid w:val="00E95DD3"/>
    <w:rsid w:val="00E969D5"/>
    <w:rsid w:val="00EA1E86"/>
    <w:rsid w:val="00EA29FB"/>
    <w:rsid w:val="00EA58D1"/>
    <w:rsid w:val="00EA61BC"/>
    <w:rsid w:val="00EA681A"/>
    <w:rsid w:val="00EA735B"/>
    <w:rsid w:val="00EB1E69"/>
    <w:rsid w:val="00EB2086"/>
    <w:rsid w:val="00EB31ED"/>
    <w:rsid w:val="00EB5EDF"/>
    <w:rsid w:val="00EB60FE"/>
    <w:rsid w:val="00EB6F50"/>
    <w:rsid w:val="00EB71D8"/>
    <w:rsid w:val="00EB74DB"/>
    <w:rsid w:val="00EB7E63"/>
    <w:rsid w:val="00EC4CD8"/>
    <w:rsid w:val="00EC5359"/>
    <w:rsid w:val="00EC562A"/>
    <w:rsid w:val="00EC6D37"/>
    <w:rsid w:val="00EC79E2"/>
    <w:rsid w:val="00EC7E6A"/>
    <w:rsid w:val="00ED067A"/>
    <w:rsid w:val="00ED2A1C"/>
    <w:rsid w:val="00ED2B50"/>
    <w:rsid w:val="00ED2C0D"/>
    <w:rsid w:val="00ED40EA"/>
    <w:rsid w:val="00ED54B1"/>
    <w:rsid w:val="00ED7DE8"/>
    <w:rsid w:val="00EE0350"/>
    <w:rsid w:val="00EE0719"/>
    <w:rsid w:val="00EE07E5"/>
    <w:rsid w:val="00EE0D7B"/>
    <w:rsid w:val="00EE0E80"/>
    <w:rsid w:val="00EE3C50"/>
    <w:rsid w:val="00EE60DF"/>
    <w:rsid w:val="00EE613F"/>
    <w:rsid w:val="00EE6F67"/>
    <w:rsid w:val="00EE7295"/>
    <w:rsid w:val="00EE7869"/>
    <w:rsid w:val="00EF054A"/>
    <w:rsid w:val="00EF1B7A"/>
    <w:rsid w:val="00EF3235"/>
    <w:rsid w:val="00EF3B6F"/>
    <w:rsid w:val="00EF48D9"/>
    <w:rsid w:val="00EF4A64"/>
    <w:rsid w:val="00EF5FA4"/>
    <w:rsid w:val="00EF7E72"/>
    <w:rsid w:val="00F00145"/>
    <w:rsid w:val="00F01434"/>
    <w:rsid w:val="00F04261"/>
    <w:rsid w:val="00F06C5B"/>
    <w:rsid w:val="00F06D37"/>
    <w:rsid w:val="00F07B9D"/>
    <w:rsid w:val="00F106B3"/>
    <w:rsid w:val="00F1071F"/>
    <w:rsid w:val="00F10F44"/>
    <w:rsid w:val="00F11586"/>
    <w:rsid w:val="00F1183B"/>
    <w:rsid w:val="00F11C9F"/>
    <w:rsid w:val="00F12263"/>
    <w:rsid w:val="00F12805"/>
    <w:rsid w:val="00F12AF0"/>
    <w:rsid w:val="00F1409D"/>
    <w:rsid w:val="00F14214"/>
    <w:rsid w:val="00F157A9"/>
    <w:rsid w:val="00F16F00"/>
    <w:rsid w:val="00F2216A"/>
    <w:rsid w:val="00F24DBD"/>
    <w:rsid w:val="00F25B71"/>
    <w:rsid w:val="00F25BB6"/>
    <w:rsid w:val="00F269F2"/>
    <w:rsid w:val="00F26B7E"/>
    <w:rsid w:val="00F27A3B"/>
    <w:rsid w:val="00F33817"/>
    <w:rsid w:val="00F33D26"/>
    <w:rsid w:val="00F34301"/>
    <w:rsid w:val="00F34874"/>
    <w:rsid w:val="00F40227"/>
    <w:rsid w:val="00F40A73"/>
    <w:rsid w:val="00F420D5"/>
    <w:rsid w:val="00F42207"/>
    <w:rsid w:val="00F4292E"/>
    <w:rsid w:val="00F44168"/>
    <w:rsid w:val="00F451EA"/>
    <w:rsid w:val="00F452EB"/>
    <w:rsid w:val="00F45447"/>
    <w:rsid w:val="00F456C6"/>
    <w:rsid w:val="00F4577B"/>
    <w:rsid w:val="00F4609C"/>
    <w:rsid w:val="00F46496"/>
    <w:rsid w:val="00F46769"/>
    <w:rsid w:val="00F46785"/>
    <w:rsid w:val="00F469AD"/>
    <w:rsid w:val="00F474D0"/>
    <w:rsid w:val="00F50179"/>
    <w:rsid w:val="00F501DE"/>
    <w:rsid w:val="00F515EE"/>
    <w:rsid w:val="00F51DB3"/>
    <w:rsid w:val="00F52DF5"/>
    <w:rsid w:val="00F553C3"/>
    <w:rsid w:val="00F56511"/>
    <w:rsid w:val="00F6024F"/>
    <w:rsid w:val="00F61411"/>
    <w:rsid w:val="00F6194E"/>
    <w:rsid w:val="00F623AC"/>
    <w:rsid w:val="00F6412A"/>
    <w:rsid w:val="00F65893"/>
    <w:rsid w:val="00F66A4A"/>
    <w:rsid w:val="00F67E16"/>
    <w:rsid w:val="00F71E22"/>
    <w:rsid w:val="00F72142"/>
    <w:rsid w:val="00F72845"/>
    <w:rsid w:val="00F72AE7"/>
    <w:rsid w:val="00F76644"/>
    <w:rsid w:val="00F81C11"/>
    <w:rsid w:val="00F833BA"/>
    <w:rsid w:val="00F84FD0"/>
    <w:rsid w:val="00F859A8"/>
    <w:rsid w:val="00F86488"/>
    <w:rsid w:val="00F86D87"/>
    <w:rsid w:val="00F87858"/>
    <w:rsid w:val="00F9108B"/>
    <w:rsid w:val="00F91349"/>
    <w:rsid w:val="00F9175C"/>
    <w:rsid w:val="00F93A8A"/>
    <w:rsid w:val="00F94585"/>
    <w:rsid w:val="00F95248"/>
    <w:rsid w:val="00F955D8"/>
    <w:rsid w:val="00F956A9"/>
    <w:rsid w:val="00F963ED"/>
    <w:rsid w:val="00F966CF"/>
    <w:rsid w:val="00F96C28"/>
    <w:rsid w:val="00F96CAE"/>
    <w:rsid w:val="00F97C99"/>
    <w:rsid w:val="00FA2386"/>
    <w:rsid w:val="00FA257F"/>
    <w:rsid w:val="00FA5537"/>
    <w:rsid w:val="00FA662D"/>
    <w:rsid w:val="00FA73B1"/>
    <w:rsid w:val="00FB0CB9"/>
    <w:rsid w:val="00FB231D"/>
    <w:rsid w:val="00FB45F1"/>
    <w:rsid w:val="00FB4A72"/>
    <w:rsid w:val="00FB54E8"/>
    <w:rsid w:val="00FB5DDE"/>
    <w:rsid w:val="00FB7054"/>
    <w:rsid w:val="00FC0FFB"/>
    <w:rsid w:val="00FC17B7"/>
    <w:rsid w:val="00FC1970"/>
    <w:rsid w:val="00FC2864"/>
    <w:rsid w:val="00FC2CB7"/>
    <w:rsid w:val="00FC4090"/>
    <w:rsid w:val="00FC55B4"/>
    <w:rsid w:val="00FC69C9"/>
    <w:rsid w:val="00FD00E6"/>
    <w:rsid w:val="00FD09A1"/>
    <w:rsid w:val="00FD2A7C"/>
    <w:rsid w:val="00FD2FDE"/>
    <w:rsid w:val="00FD4CCC"/>
    <w:rsid w:val="00FD59EB"/>
    <w:rsid w:val="00FD6F54"/>
    <w:rsid w:val="00FD7299"/>
    <w:rsid w:val="00FE0962"/>
    <w:rsid w:val="00FE1FBE"/>
    <w:rsid w:val="00FE3901"/>
    <w:rsid w:val="00FE39D3"/>
    <w:rsid w:val="00FE4BCE"/>
    <w:rsid w:val="00FE54AE"/>
    <w:rsid w:val="00FE576A"/>
    <w:rsid w:val="00FE79D6"/>
    <w:rsid w:val="00FE7E79"/>
    <w:rsid w:val="00FF1977"/>
    <w:rsid w:val="00FF3E7D"/>
    <w:rsid w:val="00FF48A1"/>
    <w:rsid w:val="00FF48ED"/>
    <w:rsid w:val="00FF49BE"/>
    <w:rsid w:val="00FF5B99"/>
    <w:rsid w:val="00FF6390"/>
    <w:rsid w:val="00FF730C"/>
    <w:rsid w:val="00FF73F4"/>
    <w:rsid w:val="00FF7CE4"/>
    <w:rsid w:val="00FF7E39"/>
    <w:rsid w:val="309A2B85"/>
    <w:rsid w:val="4F151029"/>
    <w:rsid w:val="5ECE3A95"/>
    <w:rsid w:val="702C48A1"/>
    <w:rsid w:val="746F2B7D"/>
    <w:rsid w:val="75A86FF9"/>
    <w:rsid w:val="7A3D358A"/>
    <w:rsid w:val="7E5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styleId="afffffffffff3">
    <w:name w:val="List Paragraph"/>
    <w:basedOn w:val="afff5"/>
    <w:uiPriority w:val="34"/>
    <w:qFormat/>
    <w:pPr>
      <w:ind w:firstLineChars="200" w:firstLine="420"/>
    </w:pPr>
  </w:style>
  <w:style w:type="character" w:customStyle="1" w:styleId="fontstyle01">
    <w:name w:val="fontstyle01"/>
    <w:basedOn w:val="afff6"/>
    <w:autoRedefine/>
    <w:qFormat/>
    <w:rPr>
      <w:rFonts w:ascii="宋体" w:eastAsia="宋体" w:hAnsi="宋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styleId="afffffffffff3">
    <w:name w:val="List Paragraph"/>
    <w:basedOn w:val="afff5"/>
    <w:uiPriority w:val="34"/>
    <w:qFormat/>
    <w:pPr>
      <w:ind w:firstLineChars="200" w:firstLine="420"/>
    </w:pPr>
  </w:style>
  <w:style w:type="character" w:customStyle="1" w:styleId="fontstyle01">
    <w:name w:val="fontstyle01"/>
    <w:basedOn w:val="afff6"/>
    <w:autoRedefine/>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6B5A17" w:rsidRDefault="00E811E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6B5A17" w:rsidRDefault="00E811E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6B5A17" w:rsidRDefault="00E811E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53D27"/>
    <w:rsid w:val="0008410C"/>
    <w:rsid w:val="000871AF"/>
    <w:rsid w:val="000E12D3"/>
    <w:rsid w:val="00162E18"/>
    <w:rsid w:val="00211EAE"/>
    <w:rsid w:val="00325B37"/>
    <w:rsid w:val="00371EF8"/>
    <w:rsid w:val="00390538"/>
    <w:rsid w:val="003950ED"/>
    <w:rsid w:val="003A2D17"/>
    <w:rsid w:val="003A7168"/>
    <w:rsid w:val="00451470"/>
    <w:rsid w:val="0050314B"/>
    <w:rsid w:val="00536258"/>
    <w:rsid w:val="0057103A"/>
    <w:rsid w:val="005C2F04"/>
    <w:rsid w:val="005D0743"/>
    <w:rsid w:val="006150F4"/>
    <w:rsid w:val="00630818"/>
    <w:rsid w:val="00674F9C"/>
    <w:rsid w:val="006B5A17"/>
    <w:rsid w:val="006B7E22"/>
    <w:rsid w:val="0070329B"/>
    <w:rsid w:val="00711B8A"/>
    <w:rsid w:val="00713BFC"/>
    <w:rsid w:val="0071731E"/>
    <w:rsid w:val="00794590"/>
    <w:rsid w:val="007E20FA"/>
    <w:rsid w:val="0080705F"/>
    <w:rsid w:val="0083275B"/>
    <w:rsid w:val="00900BD8"/>
    <w:rsid w:val="0090335E"/>
    <w:rsid w:val="00957597"/>
    <w:rsid w:val="009A0CF5"/>
    <w:rsid w:val="009C5075"/>
    <w:rsid w:val="009E4515"/>
    <w:rsid w:val="00A25875"/>
    <w:rsid w:val="00A5563D"/>
    <w:rsid w:val="00A6754E"/>
    <w:rsid w:val="00A83292"/>
    <w:rsid w:val="00AF151F"/>
    <w:rsid w:val="00B54193"/>
    <w:rsid w:val="00B67B70"/>
    <w:rsid w:val="00BA7177"/>
    <w:rsid w:val="00BB2F23"/>
    <w:rsid w:val="00BB7713"/>
    <w:rsid w:val="00BD4678"/>
    <w:rsid w:val="00BE49BF"/>
    <w:rsid w:val="00BE5310"/>
    <w:rsid w:val="00C37C0C"/>
    <w:rsid w:val="00C77DF9"/>
    <w:rsid w:val="00CE7E46"/>
    <w:rsid w:val="00D011A0"/>
    <w:rsid w:val="00D21C22"/>
    <w:rsid w:val="00D25BE1"/>
    <w:rsid w:val="00D639F1"/>
    <w:rsid w:val="00D6584F"/>
    <w:rsid w:val="00D829DA"/>
    <w:rsid w:val="00E811ED"/>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B5A17"/>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B5A17"/>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797C2-D2B2-4BE5-816D-14AEBC38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180</TotalTime>
  <Pages>1</Pages>
  <Words>966</Words>
  <Characters>5509</Characters>
  <Application>Microsoft Office Word</Application>
  <DocSecurity>0</DocSecurity>
  <Lines>45</Lines>
  <Paragraphs>12</Paragraphs>
  <ScaleCrop>false</ScaleCrop>
  <Company>PCMI</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1414</cp:revision>
  <cp:lastPrinted>2025-12-24T03:52:00Z</cp:lastPrinted>
  <dcterms:created xsi:type="dcterms:W3CDTF">2023-06-10T03:18:00Z</dcterms:created>
  <dcterms:modified xsi:type="dcterms:W3CDTF">2025-12-24T03:52:00Z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2052-12.1.0.24034</vt:lpwstr>
  </property>
  <property fmtid="{D5CDD505-2E9C-101B-9397-08002B2CF9AE}" pid="16" name="ICV">
    <vt:lpwstr>A82FFD3146F24D58A72B252FF17AEA9F_12</vt:lpwstr>
  </property>
  <property fmtid="{D5CDD505-2E9C-101B-9397-08002B2CF9AE}" pid="17" name="KSOTemplateDocerSaveRecord">
    <vt:lpwstr>eyJoZGlkIjoiODNjZTQ0MmYyOGQzZjI1N2E2MjRkOTZlM2YwN2I1OWUiLCJ1c2VySWQiOiIyNDM0ODMxNjIifQ==</vt:lpwstr>
  </property>
</Properties>
</file>