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71CF4">
        <w:tc>
          <w:tcPr>
            <w:tcW w:w="509" w:type="dxa"/>
          </w:tcPr>
          <w:p w:rsidR="00271CF4" w:rsidRDefault="001878A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71CF4" w:rsidRDefault="001878A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67.040</w:t>
            </w:r>
            <w:r>
              <w:rPr>
                <w:rFonts w:ascii="黑体" w:eastAsia="黑体" w:hAnsi="黑体"/>
                <w:sz w:val="21"/>
                <w:szCs w:val="21"/>
              </w:rPr>
              <w:fldChar w:fldCharType="end"/>
            </w:r>
            <w:bookmarkEnd w:id="0"/>
          </w:p>
        </w:tc>
      </w:tr>
      <w:tr w:rsidR="00271CF4">
        <w:tc>
          <w:tcPr>
            <w:tcW w:w="509" w:type="dxa"/>
          </w:tcPr>
          <w:p w:rsidR="00271CF4" w:rsidRDefault="001878A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271CF4" w:rsidRDefault="001878A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00</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271CF4">
        <w:tc>
          <w:tcPr>
            <w:tcW w:w="6407" w:type="dxa"/>
          </w:tcPr>
          <w:p w:rsidR="00271CF4" w:rsidRDefault="00271CF4" w:rsidP="007F407D">
            <w:pPr>
              <w:pStyle w:val="affff8"/>
              <w:framePr w:w="0" w:hRule="auto" w:wrap="auto" w:hAnchor="text" w:xAlign="left" w:yAlign="inline" w:anchorLock="0"/>
              <w:rPr>
                <w:rFonts w:ascii="宋体" w:hAnsi="宋体"/>
                <w:sz w:val="28"/>
                <w:szCs w:val="28"/>
              </w:rPr>
            </w:pPr>
            <w:bookmarkStart w:id="2" w:name="_Hlk26473981"/>
          </w:p>
        </w:tc>
      </w:tr>
    </w:tbl>
    <w:p w:rsidR="00271CF4" w:rsidRPr="007F407D" w:rsidRDefault="007F407D" w:rsidP="007F407D">
      <w:pPr>
        <w:pStyle w:val="affff9"/>
        <w:framePr w:w="9639" w:h="1153" w:hRule="exact" w:hSpace="181" w:vSpace="181" w:wrap="around" w:hAnchor="page" w:x="1305" w:y="1729"/>
        <w:rPr>
          <w:rFonts w:ascii="黑体" w:eastAsia="黑体" w:hAnsi="黑体"/>
          <w:b w:val="0"/>
          <w:bCs w:val="0"/>
          <w:w w:val="100"/>
          <w:sz w:val="84"/>
          <w:szCs w:val="84"/>
        </w:rPr>
      </w:pPr>
      <w:r w:rsidRPr="007F407D">
        <w:rPr>
          <w:rFonts w:ascii="黑体" w:eastAsia="黑体" w:hAnsi="黑体" w:hint="eastAsia"/>
          <w:b w:val="0"/>
          <w:bCs w:val="0"/>
          <w:w w:val="100"/>
          <w:sz w:val="84"/>
          <w:szCs w:val="84"/>
        </w:rPr>
        <w:t>团体</w:t>
      </w:r>
      <w:r w:rsidR="001878A3" w:rsidRPr="007F407D">
        <w:rPr>
          <w:rFonts w:ascii="黑体" w:eastAsia="黑体" w:hAnsi="黑体" w:hint="eastAsia"/>
          <w:b w:val="0"/>
          <w:bCs w:val="0"/>
          <w:w w:val="100"/>
          <w:sz w:val="84"/>
          <w:szCs w:val="84"/>
        </w:rPr>
        <w:t>标准</w:t>
      </w:r>
    </w:p>
    <w:bookmarkEnd w:id="2"/>
    <w:p w:rsidR="00271CF4" w:rsidRDefault="007F407D">
      <w:pPr>
        <w:pStyle w:val="afffffffffb"/>
        <w:framePr w:wrap="auto"/>
        <w:rPr>
          <w:lang w:val="fr-FR"/>
        </w:rPr>
      </w:pPr>
      <w:r>
        <w:rPr>
          <w:rFonts w:hint="eastAsia"/>
          <w:lang w:val="fr-FR"/>
        </w:rPr>
        <w:t xml:space="preserve">T/LZLSF </w:t>
      </w:r>
      <w:r w:rsidR="001878A3">
        <w:fldChar w:fldCharType="begin">
          <w:ffData>
            <w:name w:val="NSTD_CODE_F"/>
            <w:enabled/>
            <w:calcOnExit w:val="0"/>
            <w:textInput>
              <w:default w:val="XXXX"/>
            </w:textInput>
          </w:ffData>
        </w:fldChar>
      </w:r>
      <w:bookmarkStart w:id="3" w:name="NSTD_CODE_F"/>
      <w:r w:rsidR="001878A3">
        <w:rPr>
          <w:lang w:val="fr-FR"/>
        </w:rPr>
        <w:instrText xml:space="preserve"> FORMTEXT </w:instrText>
      </w:r>
      <w:r w:rsidR="001878A3">
        <w:fldChar w:fldCharType="separate"/>
      </w:r>
      <w:r w:rsidR="001878A3">
        <w:rPr>
          <w:lang w:val="fr-FR"/>
        </w:rPr>
        <w:t>XXXX</w:t>
      </w:r>
      <w:r w:rsidR="001878A3">
        <w:fldChar w:fldCharType="end"/>
      </w:r>
      <w:bookmarkEnd w:id="3"/>
      <w:r w:rsidR="001878A3">
        <w:rPr>
          <w:rFonts w:hAnsi="黑体"/>
          <w:lang w:val="fr-FR"/>
        </w:rPr>
        <w:t>—</w:t>
      </w:r>
      <w:r w:rsidR="001878A3">
        <w:fldChar w:fldCharType="begin">
          <w:ffData>
            <w:name w:val="NSTD_CODE_B"/>
            <w:enabled/>
            <w:calcOnExit w:val="0"/>
            <w:textInput>
              <w:default w:val="XXXX"/>
            </w:textInput>
          </w:ffData>
        </w:fldChar>
      </w:r>
      <w:bookmarkStart w:id="4" w:name="NSTD_CODE_B"/>
      <w:r w:rsidR="001878A3">
        <w:rPr>
          <w:lang w:val="fr-FR"/>
        </w:rPr>
        <w:instrText xml:space="preserve"> FORMTEXT </w:instrText>
      </w:r>
      <w:r w:rsidR="001878A3">
        <w:fldChar w:fldCharType="separate"/>
      </w:r>
      <w:r w:rsidR="001878A3">
        <w:rPr>
          <w:rFonts w:hint="eastAsia"/>
        </w:rPr>
        <w:t>202</w:t>
      </w:r>
      <w:r>
        <w:rPr>
          <w:rFonts w:hint="eastAsia"/>
        </w:rPr>
        <w:t>6</w:t>
      </w:r>
      <w:r w:rsidR="001878A3">
        <w:fldChar w:fldCharType="end"/>
      </w:r>
      <w:bookmarkEnd w:id="4"/>
    </w:p>
    <w:p w:rsidR="00271CF4" w:rsidRDefault="001878A3">
      <w:pPr>
        <w:pStyle w:val="afffffffffc"/>
        <w:framePr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rsidR="00271CF4" w:rsidRDefault="001878A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271CF4" w:rsidRDefault="00271CF4">
      <w:pPr>
        <w:pStyle w:val="affff9"/>
        <w:framePr w:w="9639" w:h="6976" w:hRule="exact" w:hSpace="0" w:vSpace="0" w:wrap="around" w:hAnchor="page" w:y="6408"/>
        <w:jc w:val="center"/>
        <w:rPr>
          <w:rFonts w:ascii="黑体" w:eastAsia="黑体" w:hAnsi="黑体"/>
          <w:b w:val="0"/>
          <w:bCs w:val="0"/>
          <w:w w:val="100"/>
        </w:rPr>
      </w:pPr>
    </w:p>
    <w:p w:rsidR="00271CF4" w:rsidRDefault="001878A3">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774DC7">
        <w:t>预包装螺蛳粉经营风险分级评定规范</w:t>
      </w:r>
      <w:r>
        <w:fldChar w:fldCharType="end"/>
      </w:r>
      <w:bookmarkEnd w:id="6"/>
    </w:p>
    <w:p w:rsidR="00271CF4" w:rsidRDefault="00271CF4">
      <w:pPr>
        <w:framePr w:w="9639" w:h="6974" w:hRule="exact" w:wrap="around" w:vAnchor="page" w:hAnchor="page" w:x="1419" w:y="6408" w:anchorLock="1"/>
        <w:ind w:left="-1418"/>
      </w:pPr>
    </w:p>
    <w:p w:rsidR="00271CF4" w:rsidRDefault="001878A3">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w:t>
      </w:r>
      <w:r>
        <w:rPr>
          <w:rFonts w:eastAsia="黑体"/>
          <w:szCs w:val="28"/>
        </w:rPr>
        <w:t>pecification</w:t>
      </w:r>
      <w:r>
        <w:rPr>
          <w:rFonts w:eastAsia="黑体" w:hint="eastAsia"/>
          <w:szCs w:val="28"/>
        </w:rPr>
        <w:t xml:space="preserve"> for</w:t>
      </w:r>
      <w:r>
        <w:rPr>
          <w:rFonts w:eastAsia="黑体"/>
          <w:szCs w:val="28"/>
        </w:rPr>
        <w:t xml:space="preserve"> </w:t>
      </w:r>
      <w:r>
        <w:rPr>
          <w:rFonts w:eastAsia="黑体" w:hint="eastAsia"/>
          <w:szCs w:val="28"/>
        </w:rPr>
        <w:t>m</w:t>
      </w:r>
      <w:r>
        <w:rPr>
          <w:rFonts w:eastAsia="黑体"/>
          <w:szCs w:val="28"/>
        </w:rPr>
        <w:t xml:space="preserve">anaging risk grading evaluation </w:t>
      </w:r>
      <w:r>
        <w:rPr>
          <w:rFonts w:eastAsia="黑体" w:hint="eastAsia"/>
          <w:szCs w:val="28"/>
        </w:rPr>
        <w:t xml:space="preserve">of </w:t>
      </w:r>
      <w:r>
        <w:rPr>
          <w:rFonts w:eastAsia="黑体"/>
          <w:szCs w:val="28"/>
        </w:rPr>
        <w:t>prepackaged Luosifen</w:t>
      </w:r>
      <w:r>
        <w:rPr>
          <w:rFonts w:eastAsia="黑体"/>
          <w:szCs w:val="28"/>
        </w:rPr>
        <w:fldChar w:fldCharType="end"/>
      </w:r>
      <w:bookmarkEnd w:id="7"/>
    </w:p>
    <w:p w:rsidR="00271CF4" w:rsidRDefault="00271CF4">
      <w:pPr>
        <w:framePr w:w="9639" w:h="6974" w:hRule="exact" w:wrap="around" w:vAnchor="page" w:hAnchor="page" w:x="1419" w:y="6408" w:anchorLock="1"/>
        <w:spacing w:line="760" w:lineRule="exact"/>
        <w:ind w:left="-1418"/>
      </w:pPr>
    </w:p>
    <w:p w:rsidR="00271CF4" w:rsidRDefault="00271CF4">
      <w:pPr>
        <w:pStyle w:val="afffffff1"/>
        <w:framePr w:w="9639" w:h="6974" w:hRule="exact" w:wrap="around" w:vAnchor="page" w:hAnchor="page" w:x="1419" w:y="6408" w:anchorLock="1"/>
        <w:textAlignment w:val="bottom"/>
        <w:rPr>
          <w:rFonts w:eastAsia="黑体"/>
          <w:szCs w:val="28"/>
        </w:rPr>
      </w:pPr>
    </w:p>
    <w:p w:rsidR="007F407D" w:rsidRDefault="007F407D" w:rsidP="007F407D">
      <w:pPr>
        <w:pStyle w:val="afffffff1"/>
        <w:framePr w:w="9639" w:h="6974" w:hRule="exact" w:wrap="around" w:vAnchor="page" w:hAnchor="page" w:x="1419" w:y="6408" w:anchorLock="1"/>
        <w:spacing w:before="440" w:after="160"/>
        <w:textAlignment w:val="bottom"/>
        <w:rPr>
          <w:sz w:val="24"/>
          <w:szCs w:val="28"/>
        </w:rPr>
      </w:pPr>
      <w:bookmarkStart w:id="8" w:name="下拉1"/>
      <w:bookmarkStart w:id="9" w:name="OLE_LINK10"/>
      <w:bookmarkStart w:id="10" w:name="OLE_LINK11"/>
      <w:bookmarkStart w:id="11" w:name="OLE_LINK8"/>
      <w:r>
        <w:rPr>
          <w:sz w:val="24"/>
          <w:szCs w:val="28"/>
        </w:rPr>
        <w:t>（征求意见稿</w:t>
      </w:r>
      <w:bookmarkEnd w:id="8"/>
      <w:r>
        <w:rPr>
          <w:sz w:val="24"/>
          <w:szCs w:val="28"/>
        </w:rPr>
        <w:t>）</w:t>
      </w:r>
      <w:bookmarkEnd w:id="9"/>
      <w:bookmarkEnd w:id="10"/>
    </w:p>
    <w:bookmarkEnd w:id="11"/>
    <w:p w:rsidR="00271CF4" w:rsidRDefault="00271CF4">
      <w:pPr>
        <w:pStyle w:val="afffffff1"/>
        <w:framePr w:w="9639" w:h="6974" w:hRule="exact" w:wrap="around" w:vAnchor="page" w:hAnchor="page" w:x="1419" w:y="6408" w:anchorLock="1"/>
        <w:spacing w:before="440" w:after="160"/>
        <w:textAlignment w:val="bottom"/>
        <w:rPr>
          <w:sz w:val="24"/>
          <w:szCs w:val="28"/>
        </w:rPr>
      </w:pPr>
    </w:p>
    <w:p w:rsidR="00271CF4" w:rsidRDefault="00271CF4">
      <w:pPr>
        <w:pStyle w:val="afffffff1"/>
        <w:framePr w:w="9639" w:h="6974" w:hRule="exact" w:wrap="around" w:vAnchor="page" w:hAnchor="page" w:x="1419" w:y="6408" w:anchorLock="1"/>
        <w:spacing w:before="180" w:line="240" w:lineRule="atLeast"/>
        <w:textAlignment w:val="bottom"/>
        <w:rPr>
          <w:sz w:val="21"/>
          <w:szCs w:val="28"/>
        </w:rPr>
      </w:pPr>
    </w:p>
    <w:p w:rsidR="00271CF4" w:rsidRDefault="00271CF4">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271CF4" w:rsidRDefault="001878A3">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w:t>
      </w:r>
      <w:r w:rsidR="007F407D">
        <w:rPr>
          <w:rFonts w:ascii="黑体" w:hint="eastAsia"/>
        </w:rPr>
        <w:t>6</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271CF4" w:rsidRDefault="001878A3">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2022</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271CF4" w:rsidRDefault="001878A3">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柳州市</w:t>
      </w:r>
      <w:r w:rsidR="007F407D">
        <w:rPr>
          <w:rFonts w:hAnsi="黑体" w:hint="eastAsia"/>
          <w:w w:val="100"/>
          <w:sz w:val="28"/>
        </w:rPr>
        <w:t>螺蛳</w:t>
      </w:r>
      <w:proofErr w:type="gramStart"/>
      <w:r w:rsidR="007F407D">
        <w:rPr>
          <w:rFonts w:hAnsi="黑体" w:hint="eastAsia"/>
          <w:w w:val="100"/>
          <w:sz w:val="28"/>
        </w:rPr>
        <w:t>粉协会</w:t>
      </w:r>
      <w:proofErr w:type="gramEnd"/>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271CF4" w:rsidRDefault="001878A3">
      <w:pPr>
        <w:rPr>
          <w:rFonts w:ascii="宋体" w:hAnsi="宋体"/>
          <w:sz w:val="28"/>
          <w:szCs w:val="28"/>
        </w:rPr>
        <w:sectPr w:rsidR="00271CF4" w:rsidSect="005976D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981FB8D" wp14:editId="2A9BFCF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71CF4" w:rsidRDefault="001878A3">
      <w:pPr>
        <w:pStyle w:val="a6"/>
        <w:spacing w:after="468"/>
      </w:pPr>
      <w:bookmarkStart w:id="19" w:name="_Toc96427069"/>
      <w:bookmarkStart w:id="20" w:name="_Toc96439868"/>
      <w:bookmarkStart w:id="21" w:name="_Toc96427093"/>
      <w:bookmarkStart w:id="22" w:name="_Toc97301596"/>
      <w:bookmarkStart w:id="23" w:name="_Toc101796036"/>
      <w:bookmarkStart w:id="24" w:name="BookMark2"/>
      <w:r>
        <w:rPr>
          <w:spacing w:val="320"/>
        </w:rPr>
        <w:lastRenderedPageBreak/>
        <w:t>前</w:t>
      </w:r>
      <w:r>
        <w:t>言</w:t>
      </w:r>
      <w:bookmarkEnd w:id="19"/>
      <w:bookmarkEnd w:id="20"/>
      <w:bookmarkEnd w:id="21"/>
      <w:bookmarkEnd w:id="22"/>
      <w:bookmarkEnd w:id="23"/>
    </w:p>
    <w:p w:rsidR="00271CF4" w:rsidRDefault="001878A3">
      <w:pPr>
        <w:pStyle w:val="affffe"/>
        <w:ind w:firstLine="420"/>
      </w:pPr>
      <w:r>
        <w:rPr>
          <w:rFonts w:hint="eastAsia"/>
        </w:rPr>
        <w:t>本文件按照GB/T 1.1—2020《标准化工作导则  第1部分：标准化文件的结构和起草规则》的规定起草。</w:t>
      </w:r>
    </w:p>
    <w:p w:rsidR="00271CF4" w:rsidRPr="000566C8" w:rsidRDefault="001878A3">
      <w:pPr>
        <w:pStyle w:val="affffe"/>
        <w:ind w:firstLine="420"/>
      </w:pPr>
      <w:r w:rsidRPr="000566C8">
        <w:rPr>
          <w:rFonts w:hint="eastAsia"/>
        </w:rPr>
        <w:t>本文件由柳州市市场监督管理局提出。</w:t>
      </w:r>
    </w:p>
    <w:p w:rsidR="004D34AF" w:rsidRPr="000566C8" w:rsidRDefault="004D34AF" w:rsidP="004D34AF">
      <w:pPr>
        <w:pStyle w:val="affffe"/>
        <w:ind w:firstLine="420"/>
      </w:pPr>
      <w:r w:rsidRPr="000566C8">
        <w:rPr>
          <w:rFonts w:hint="eastAsia"/>
        </w:rPr>
        <w:t>本文件由柳州市螺蛳</w:t>
      </w:r>
      <w:proofErr w:type="gramStart"/>
      <w:r w:rsidRPr="000566C8">
        <w:rPr>
          <w:rFonts w:hint="eastAsia"/>
        </w:rPr>
        <w:t>粉协会</w:t>
      </w:r>
      <w:proofErr w:type="gramEnd"/>
      <w:r w:rsidRPr="000566C8">
        <w:rPr>
          <w:rFonts w:hint="eastAsia"/>
        </w:rPr>
        <w:t>归口。</w:t>
      </w:r>
    </w:p>
    <w:p w:rsidR="00271CF4" w:rsidRPr="000566C8" w:rsidRDefault="001878A3">
      <w:pPr>
        <w:pStyle w:val="affffe"/>
        <w:ind w:firstLine="420"/>
      </w:pPr>
      <w:r w:rsidRPr="000566C8">
        <w:rPr>
          <w:rFonts w:hint="eastAsia"/>
        </w:rPr>
        <w:t>本文件起草单位：柳州市知识产权</w:t>
      </w:r>
      <w:r w:rsidR="007F407D" w:rsidRPr="000566C8">
        <w:rPr>
          <w:rFonts w:hint="eastAsia"/>
        </w:rPr>
        <w:t>保护</w:t>
      </w:r>
      <w:r w:rsidRPr="000566C8">
        <w:rPr>
          <w:rFonts w:hint="eastAsia"/>
        </w:rPr>
        <w:t>中心</w:t>
      </w:r>
      <w:r w:rsidR="004929F5" w:rsidRPr="000566C8">
        <w:rPr>
          <w:rFonts w:hint="eastAsia"/>
        </w:rPr>
        <w:t>、柳州市螺蛳粉协会</w:t>
      </w:r>
      <w:r w:rsidRPr="000566C8">
        <w:rPr>
          <w:rFonts w:hint="eastAsia"/>
        </w:rPr>
        <w:t>。</w:t>
      </w:r>
    </w:p>
    <w:p w:rsidR="00271CF4" w:rsidRPr="000566C8" w:rsidRDefault="001878A3">
      <w:pPr>
        <w:pStyle w:val="affffe"/>
        <w:ind w:firstLine="420"/>
        <w:sectPr w:rsidR="00271CF4" w:rsidRPr="000566C8" w:rsidSect="004929F5">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r w:rsidRPr="000566C8">
        <w:rPr>
          <w:rFonts w:hint="eastAsia"/>
        </w:rPr>
        <w:t>本文件主要起草人：徐超莲、颜学祥、何彬斌、李夤、李何剑、黄源斐、邓俊宝、龚敏、赵新颖</w:t>
      </w:r>
      <w:r w:rsidR="00EE5D5B">
        <w:rPr>
          <w:rFonts w:hint="eastAsia"/>
        </w:rPr>
        <w:t>。</w:t>
      </w:r>
      <w:bookmarkStart w:id="25" w:name="_GoBack"/>
      <w:bookmarkEnd w:id="25"/>
    </w:p>
    <w:p w:rsidR="00271CF4" w:rsidRDefault="00271CF4">
      <w:pPr>
        <w:spacing w:line="20" w:lineRule="exact"/>
        <w:jc w:val="center"/>
        <w:rPr>
          <w:rFonts w:ascii="黑体" w:eastAsia="黑体" w:hAnsi="黑体"/>
          <w:sz w:val="32"/>
          <w:szCs w:val="32"/>
        </w:rPr>
      </w:pPr>
      <w:bookmarkStart w:id="26" w:name="BookMark4"/>
      <w:bookmarkEnd w:id="24"/>
    </w:p>
    <w:p w:rsidR="00271CF4" w:rsidRDefault="00271CF4">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A991B51308464150BD0E241F185E6678"/>
        </w:placeholder>
      </w:sdtPr>
      <w:sdtEndPr/>
      <w:sdtContent>
        <w:p w:rsidR="00271CF4" w:rsidRDefault="001878A3" w:rsidP="00774DC7">
          <w:pPr>
            <w:pStyle w:val="afffffffff1"/>
            <w:spacing w:beforeLines="1" w:before="3" w:afterLines="220" w:after="686"/>
          </w:pPr>
          <w:r>
            <w:rPr>
              <w:rFonts w:hint="eastAsia"/>
            </w:rPr>
            <w:t>预包装螺蛳</w:t>
          </w:r>
          <w:proofErr w:type="gramStart"/>
          <w:r>
            <w:rPr>
              <w:rFonts w:hint="eastAsia"/>
            </w:rPr>
            <w:t>粉经营</w:t>
          </w:r>
          <w:proofErr w:type="gramEnd"/>
          <w:r>
            <w:rPr>
              <w:rFonts w:hint="eastAsia"/>
            </w:rPr>
            <w:t>风险分级评定规范</w:t>
          </w:r>
        </w:p>
      </w:sdtContent>
    </w:sdt>
    <w:p w:rsidR="00271CF4" w:rsidRDefault="001878A3">
      <w:pPr>
        <w:pStyle w:val="affc"/>
        <w:spacing w:before="312" w:after="312"/>
      </w:pPr>
      <w:bookmarkStart w:id="28" w:name="_Toc24884218"/>
      <w:bookmarkStart w:id="29" w:name="_Toc96427094"/>
      <w:bookmarkStart w:id="30" w:name="_Toc97301597"/>
      <w:bookmarkStart w:id="31" w:name="_Toc26718930"/>
      <w:bookmarkStart w:id="32" w:name="_Toc26648465"/>
      <w:bookmarkStart w:id="33" w:name="_Toc26986530"/>
      <w:bookmarkStart w:id="34" w:name="_Toc26986771"/>
      <w:bookmarkStart w:id="35" w:name="_Toc24884211"/>
      <w:bookmarkStart w:id="36" w:name="_Toc17233333"/>
      <w:bookmarkStart w:id="37" w:name="_Toc17233325"/>
      <w:bookmarkStart w:id="38" w:name="_Toc96427070"/>
      <w:bookmarkStart w:id="39" w:name="_Toc96439869"/>
      <w:bookmarkStart w:id="40" w:name="_Toc101796037"/>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rsidR="00271CF4" w:rsidRDefault="001878A3">
      <w:pPr>
        <w:pStyle w:val="affffe"/>
        <w:ind w:firstLine="420"/>
      </w:pPr>
      <w:bookmarkStart w:id="41" w:name="_Toc17233334"/>
      <w:bookmarkStart w:id="42" w:name="_Toc24884219"/>
      <w:bookmarkStart w:id="43" w:name="_Toc17233326"/>
      <w:bookmarkStart w:id="44" w:name="_Toc24884212"/>
      <w:bookmarkStart w:id="45" w:name="_Toc26648466"/>
      <w:r>
        <w:rPr>
          <w:rFonts w:hint="eastAsia"/>
        </w:rPr>
        <w:t>本文件规定了预包装螺蛳</w:t>
      </w:r>
      <w:proofErr w:type="gramStart"/>
      <w:r>
        <w:rPr>
          <w:rFonts w:hint="eastAsia"/>
        </w:rPr>
        <w:t>粉经营</w:t>
      </w:r>
      <w:proofErr w:type="gramEnd"/>
      <w:r>
        <w:rPr>
          <w:rFonts w:hint="eastAsia"/>
        </w:rPr>
        <w:t>风险分级评定的术语和定义、基本原则，以及风险因素分析、风险等级划分、风险等级评定</w:t>
      </w:r>
      <w:r w:rsidR="00C70549">
        <w:rPr>
          <w:rFonts w:hint="eastAsia"/>
        </w:rPr>
        <w:t>、风险等级动态管理的内容</w:t>
      </w:r>
      <w:r>
        <w:rPr>
          <w:rFonts w:hint="eastAsia"/>
        </w:rPr>
        <w:t>。</w:t>
      </w:r>
    </w:p>
    <w:p w:rsidR="00271CF4" w:rsidRPr="00DF7288" w:rsidRDefault="001878A3">
      <w:pPr>
        <w:pStyle w:val="affffe"/>
        <w:ind w:firstLine="420"/>
        <w:rPr>
          <w:color w:val="FF0000"/>
        </w:rPr>
      </w:pPr>
      <w:bookmarkStart w:id="46" w:name="OLE_LINK1"/>
      <w:bookmarkStart w:id="47" w:name="OLE_LINK2"/>
      <w:r w:rsidRPr="00DF7288">
        <w:rPr>
          <w:rFonts w:hint="eastAsia"/>
          <w:color w:val="FF0000"/>
        </w:rPr>
        <w:t>本文件</w:t>
      </w:r>
      <w:bookmarkStart w:id="48" w:name="OLE_LINK20"/>
      <w:bookmarkStart w:id="49" w:name="OLE_LINK21"/>
      <w:r w:rsidRPr="00DF7288">
        <w:rPr>
          <w:rFonts w:hint="eastAsia"/>
          <w:color w:val="FF0000"/>
        </w:rPr>
        <w:t>适用于预包装螺蛳</w:t>
      </w:r>
      <w:proofErr w:type="gramStart"/>
      <w:r w:rsidRPr="00DF7288">
        <w:rPr>
          <w:rFonts w:hint="eastAsia"/>
          <w:color w:val="FF0000"/>
        </w:rPr>
        <w:t>粉经营</w:t>
      </w:r>
      <w:proofErr w:type="gramEnd"/>
      <w:r w:rsidRPr="00DF7288">
        <w:rPr>
          <w:rFonts w:hint="eastAsia"/>
          <w:color w:val="FF0000"/>
        </w:rPr>
        <w:t>主体</w:t>
      </w:r>
      <w:r w:rsidR="008E4A06">
        <w:rPr>
          <w:rFonts w:hint="eastAsia"/>
          <w:color w:val="FF0000"/>
        </w:rPr>
        <w:t>（包括生产者、销售者）</w:t>
      </w:r>
      <w:r w:rsidR="00DF7288" w:rsidRPr="00DF7288">
        <w:rPr>
          <w:rFonts w:hint="eastAsia"/>
          <w:color w:val="FF0000"/>
        </w:rPr>
        <w:t>在</w:t>
      </w:r>
      <w:r w:rsidRPr="00DF7288">
        <w:rPr>
          <w:rFonts w:hint="eastAsia"/>
          <w:color w:val="FF0000"/>
        </w:rPr>
        <w:t>经营环节开展</w:t>
      </w:r>
      <w:r w:rsidR="004929F5" w:rsidRPr="004929F5">
        <w:rPr>
          <w:rFonts w:hint="eastAsia"/>
          <w:color w:val="FF0000"/>
        </w:rPr>
        <w:t>经营风</w:t>
      </w:r>
      <w:r w:rsidR="004929F5">
        <w:rPr>
          <w:rFonts w:hint="eastAsia"/>
          <w:color w:val="FF0000"/>
        </w:rPr>
        <w:t>险的自评、互评或委托评价，也可供行业协会开展行业自律评价时参考</w:t>
      </w:r>
      <w:r w:rsidRPr="00DF7288">
        <w:rPr>
          <w:rFonts w:hint="eastAsia"/>
          <w:color w:val="FF0000"/>
        </w:rPr>
        <w:t>。</w:t>
      </w:r>
      <w:bookmarkEnd w:id="48"/>
      <w:bookmarkEnd w:id="49"/>
    </w:p>
    <w:p w:rsidR="00271CF4" w:rsidRDefault="001878A3">
      <w:pPr>
        <w:pStyle w:val="affc"/>
        <w:spacing w:before="312" w:after="312"/>
      </w:pPr>
      <w:bookmarkStart w:id="50" w:name="_Toc26986772"/>
      <w:bookmarkStart w:id="51" w:name="_Toc97301598"/>
      <w:bookmarkStart w:id="52" w:name="_Toc96427071"/>
      <w:bookmarkStart w:id="53" w:name="_Toc96439870"/>
      <w:bookmarkStart w:id="54" w:name="_Toc96427095"/>
      <w:bookmarkStart w:id="55" w:name="_Toc26986531"/>
      <w:bookmarkStart w:id="56" w:name="_Toc26718931"/>
      <w:bookmarkStart w:id="57" w:name="_Toc101796038"/>
      <w:bookmarkEnd w:id="46"/>
      <w:bookmarkEnd w:id="47"/>
      <w:r>
        <w:rPr>
          <w:rFonts w:hint="eastAsia"/>
        </w:rPr>
        <w:t>规范性引用文件</w:t>
      </w:r>
      <w:bookmarkEnd w:id="41"/>
      <w:bookmarkEnd w:id="42"/>
      <w:bookmarkEnd w:id="43"/>
      <w:bookmarkEnd w:id="44"/>
      <w:bookmarkEnd w:id="45"/>
      <w:bookmarkEnd w:id="50"/>
      <w:bookmarkEnd w:id="51"/>
      <w:bookmarkEnd w:id="52"/>
      <w:bookmarkEnd w:id="53"/>
      <w:bookmarkEnd w:id="54"/>
      <w:bookmarkEnd w:id="55"/>
      <w:bookmarkEnd w:id="56"/>
      <w:bookmarkEnd w:id="57"/>
    </w:p>
    <w:sdt>
      <w:sdtPr>
        <w:rPr>
          <w:rFonts w:hint="eastAsia"/>
        </w:rPr>
        <w:id w:val="715848253"/>
        <w:placeholder>
          <w:docPart w:val="DC7ED220997A4F8092AC0AEBDD0445D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271CF4" w:rsidRDefault="001878A3">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71CF4" w:rsidRDefault="001878A3">
      <w:pPr>
        <w:pStyle w:val="affffe"/>
        <w:ind w:firstLine="420"/>
      </w:pPr>
      <w:r>
        <w:t>GB/T 23694</w:t>
      </w:r>
      <w:r>
        <w:rPr>
          <w:rFonts w:hint="eastAsia"/>
        </w:rPr>
        <w:t xml:space="preserve">  风险管理  术语</w:t>
      </w:r>
    </w:p>
    <w:p w:rsidR="00271CF4" w:rsidRDefault="001878A3">
      <w:pPr>
        <w:pStyle w:val="affffe"/>
        <w:ind w:firstLine="420"/>
      </w:pPr>
      <w:r>
        <w:rPr>
          <w:rFonts w:hint="eastAsia"/>
        </w:rPr>
        <w:t>GB/T 23811  食品安全风险分析工作原则</w:t>
      </w:r>
    </w:p>
    <w:p w:rsidR="00271CF4" w:rsidRDefault="001878A3">
      <w:pPr>
        <w:pStyle w:val="affc"/>
        <w:spacing w:before="312" w:after="312"/>
      </w:pPr>
      <w:bookmarkStart w:id="58" w:name="_Toc96439871"/>
      <w:bookmarkStart w:id="59" w:name="_Toc96427072"/>
      <w:bookmarkStart w:id="60" w:name="_Toc97301599"/>
      <w:bookmarkStart w:id="61" w:name="_Toc96427096"/>
      <w:bookmarkStart w:id="62" w:name="_Toc101796039"/>
      <w:r>
        <w:rPr>
          <w:rFonts w:hint="eastAsia"/>
          <w:szCs w:val="21"/>
        </w:rPr>
        <w:t>术语和定义</w:t>
      </w:r>
      <w:bookmarkEnd w:id="58"/>
      <w:bookmarkEnd w:id="59"/>
      <w:bookmarkEnd w:id="60"/>
      <w:bookmarkEnd w:id="61"/>
      <w:bookmarkEnd w:id="62"/>
    </w:p>
    <w:bookmarkStart w:id="63" w:name="_Toc26986532" w:displacedByCustomXml="next"/>
    <w:bookmarkEnd w:id="63" w:displacedByCustomXml="next"/>
    <w:sdt>
      <w:sdtPr>
        <w:rPr>
          <w:rFonts w:hint="eastAsia"/>
        </w:rPr>
        <w:id w:val="-1909835108"/>
        <w:placeholder>
          <w:docPart w:val="B13452C0530D4F179E2330249296256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71CF4" w:rsidRDefault="001878A3">
          <w:pPr>
            <w:pStyle w:val="affffe"/>
            <w:ind w:firstLine="420"/>
          </w:pPr>
          <w:r>
            <w:rPr>
              <w:rFonts w:hint="eastAsia"/>
            </w:rPr>
            <w:t>GB/T 23694、</w:t>
          </w:r>
          <w:r>
            <w:t>GB/T 23811</w:t>
          </w:r>
          <w:r>
            <w:rPr>
              <w:rFonts w:hint="eastAsia"/>
            </w:rPr>
            <w:t>界定的术语和定义适用于本文件。</w:t>
          </w:r>
        </w:p>
      </w:sdtContent>
    </w:sdt>
    <w:p w:rsidR="00271CF4" w:rsidRPr="000A486E" w:rsidRDefault="001878A3">
      <w:pPr>
        <w:pStyle w:val="affffffffffd"/>
        <w:ind w:left="420" w:hangingChars="200" w:hanging="420"/>
        <w:rPr>
          <w:rFonts w:ascii="黑体" w:eastAsia="黑体" w:hAnsi="黑体"/>
        </w:rPr>
      </w:pPr>
      <w:r w:rsidRPr="000A486E">
        <w:rPr>
          <w:rFonts w:ascii="黑体" w:eastAsia="黑体" w:hAnsi="黑体"/>
        </w:rPr>
        <w:br/>
        <w:t>预包装螺蛳粉</w:t>
      </w:r>
      <w:r w:rsidRPr="000A486E">
        <w:rPr>
          <w:rFonts w:ascii="黑体" w:eastAsia="黑体" w:hAnsi="黑体" w:hint="eastAsia"/>
        </w:rPr>
        <w:t xml:space="preserve">  </w:t>
      </w:r>
      <w:r w:rsidRPr="000A486E">
        <w:rPr>
          <w:rFonts w:ascii="黑体" w:eastAsia="黑体" w:hAnsi="黑体"/>
        </w:rPr>
        <w:t xml:space="preserve">prepackaged </w:t>
      </w:r>
      <w:proofErr w:type="spellStart"/>
      <w:r w:rsidRPr="000A486E">
        <w:rPr>
          <w:rFonts w:ascii="黑体" w:eastAsia="黑体" w:hAnsi="黑体" w:hint="eastAsia"/>
        </w:rPr>
        <w:t>Luosifen</w:t>
      </w:r>
      <w:proofErr w:type="spellEnd"/>
    </w:p>
    <w:p w:rsidR="00271CF4" w:rsidRPr="000A486E" w:rsidRDefault="001878A3">
      <w:pPr>
        <w:pStyle w:val="affffe"/>
        <w:ind w:firstLine="420"/>
      </w:pPr>
      <w:r w:rsidRPr="000A486E">
        <w:rPr>
          <w:rFonts w:hint="eastAsia"/>
        </w:rPr>
        <w:t>以独立包装的干制米粉和螺蛳肉汤料为主要原料，加入辣椒油、酸笋、腐竹、花生等配料包制成的，经煮制或冲泡方可食用的螺蛳粉。</w:t>
      </w:r>
    </w:p>
    <w:p w:rsidR="00271CF4" w:rsidRPr="000A486E" w:rsidRDefault="001878A3">
      <w:pPr>
        <w:pStyle w:val="affffffffffd"/>
        <w:ind w:left="420" w:hangingChars="200" w:hanging="420"/>
        <w:rPr>
          <w:rFonts w:ascii="黑体" w:eastAsia="黑体" w:hAnsi="黑体"/>
        </w:rPr>
      </w:pPr>
      <w:r w:rsidRPr="000A486E">
        <w:rPr>
          <w:rFonts w:ascii="黑体" w:eastAsia="黑体" w:hAnsi="黑体"/>
        </w:rPr>
        <w:br/>
        <w:t>经营环节</w:t>
      </w:r>
      <w:r w:rsidRPr="000A486E">
        <w:rPr>
          <w:rFonts w:ascii="黑体" w:eastAsia="黑体" w:hAnsi="黑体" w:hint="eastAsia"/>
        </w:rPr>
        <w:t xml:space="preserve">  </w:t>
      </w:r>
      <w:r w:rsidRPr="000A486E">
        <w:rPr>
          <w:rFonts w:ascii="黑体" w:eastAsia="黑体" w:hAnsi="黑体"/>
        </w:rPr>
        <w:t>operation process</w:t>
      </w:r>
    </w:p>
    <w:p w:rsidR="00271CF4" w:rsidRPr="000A486E" w:rsidRDefault="001878A3">
      <w:pPr>
        <w:pStyle w:val="affffe"/>
        <w:ind w:firstLine="420"/>
      </w:pPr>
      <w:r w:rsidRPr="000A486E">
        <w:rPr>
          <w:rFonts w:hint="eastAsia"/>
        </w:rPr>
        <w:t>经营主体对预包装螺蛳粉进行采购、仓储、销售和提供售后服务的过程。</w:t>
      </w:r>
    </w:p>
    <w:p w:rsidR="00271CF4" w:rsidRPr="000A486E" w:rsidRDefault="001878A3">
      <w:pPr>
        <w:pStyle w:val="afff2"/>
      </w:pPr>
      <w:r w:rsidRPr="000A486E">
        <w:rPr>
          <w:rFonts w:hint="eastAsia"/>
        </w:rPr>
        <w:t>销售包含零售、批发、网络销售。</w:t>
      </w:r>
    </w:p>
    <w:p w:rsidR="00271CF4" w:rsidRPr="000A486E" w:rsidRDefault="001878A3">
      <w:pPr>
        <w:pStyle w:val="affffffffffd"/>
        <w:ind w:left="420" w:hangingChars="200" w:hanging="420"/>
        <w:rPr>
          <w:rFonts w:ascii="黑体" w:eastAsia="黑体" w:hAnsi="黑体"/>
        </w:rPr>
      </w:pPr>
      <w:r w:rsidRPr="000A486E">
        <w:rPr>
          <w:rFonts w:ascii="黑体" w:eastAsia="黑体" w:hAnsi="黑体"/>
        </w:rPr>
        <w:br/>
        <w:t>风险等级</w:t>
      </w:r>
      <w:r w:rsidRPr="000A486E">
        <w:rPr>
          <w:rFonts w:ascii="黑体" w:eastAsia="黑体" w:hAnsi="黑体" w:hint="eastAsia"/>
        </w:rPr>
        <w:t xml:space="preserve">  risk level</w:t>
      </w:r>
    </w:p>
    <w:p w:rsidR="00271CF4" w:rsidRPr="000A486E" w:rsidRDefault="001878A3">
      <w:pPr>
        <w:pStyle w:val="affffe"/>
        <w:ind w:firstLine="420"/>
      </w:pPr>
      <w:r w:rsidRPr="000A486E">
        <w:t>通过分析</w:t>
      </w:r>
      <w:r w:rsidRPr="000A486E">
        <w:rPr>
          <w:rFonts w:hint="eastAsia"/>
        </w:rPr>
        <w:t>风险</w:t>
      </w:r>
      <w:r w:rsidRPr="000A486E">
        <w:t>因素</w:t>
      </w:r>
      <w:r w:rsidRPr="000A486E">
        <w:rPr>
          <w:rFonts w:hint="eastAsia"/>
        </w:rPr>
        <w:t>，</w:t>
      </w:r>
      <w:r w:rsidRPr="000A486E">
        <w:t>对风险因素进行量化</w:t>
      </w:r>
      <w:r w:rsidRPr="000A486E">
        <w:rPr>
          <w:rFonts w:hint="eastAsia"/>
        </w:rPr>
        <w:t>评定，获得的风险程度的等级。</w:t>
      </w:r>
    </w:p>
    <w:p w:rsidR="00271CF4" w:rsidRPr="000A486E" w:rsidRDefault="001878A3">
      <w:pPr>
        <w:pStyle w:val="affc"/>
        <w:spacing w:before="312" w:after="312"/>
      </w:pPr>
      <w:bookmarkStart w:id="64" w:name="_Toc96427073"/>
      <w:bookmarkStart w:id="65" w:name="_Toc97301600"/>
      <w:bookmarkStart w:id="66" w:name="_Toc96427097"/>
      <w:bookmarkStart w:id="67" w:name="_Toc96439872"/>
      <w:bookmarkStart w:id="68" w:name="_Toc101796040"/>
      <w:r w:rsidRPr="000A486E">
        <w:rPr>
          <w:rFonts w:hint="eastAsia"/>
        </w:rPr>
        <w:t>基本原则</w:t>
      </w:r>
      <w:bookmarkEnd w:id="64"/>
      <w:bookmarkEnd w:id="65"/>
      <w:bookmarkEnd w:id="66"/>
      <w:bookmarkEnd w:id="67"/>
      <w:bookmarkEnd w:id="68"/>
    </w:p>
    <w:p w:rsidR="00271CF4" w:rsidRPr="000A486E" w:rsidRDefault="001878A3">
      <w:pPr>
        <w:pStyle w:val="affffe"/>
        <w:ind w:firstLine="420"/>
      </w:pPr>
      <w:r w:rsidRPr="000A486E">
        <w:rPr>
          <w:rFonts w:hint="eastAsia"/>
        </w:rPr>
        <w:t>预包装螺蛳</w:t>
      </w:r>
      <w:proofErr w:type="gramStart"/>
      <w:r w:rsidRPr="000A486E">
        <w:rPr>
          <w:rFonts w:hint="eastAsia"/>
        </w:rPr>
        <w:t>粉经营</w:t>
      </w:r>
      <w:proofErr w:type="gramEnd"/>
      <w:r w:rsidRPr="000A486E">
        <w:rPr>
          <w:rFonts w:hint="eastAsia"/>
        </w:rPr>
        <w:t>风险分级评定应遵循风险分析、量化评价、客观公正、实事求是的原则。</w:t>
      </w:r>
    </w:p>
    <w:p w:rsidR="00271CF4" w:rsidRPr="000A486E" w:rsidRDefault="001878A3">
      <w:pPr>
        <w:pStyle w:val="affc"/>
        <w:spacing w:before="312" w:after="312"/>
      </w:pPr>
      <w:bookmarkStart w:id="69" w:name="_Toc96427098"/>
      <w:bookmarkStart w:id="70" w:name="_Toc96427074"/>
      <w:bookmarkStart w:id="71" w:name="_Toc96439873"/>
      <w:bookmarkStart w:id="72" w:name="_Toc97301601"/>
      <w:bookmarkStart w:id="73" w:name="_Toc101796041"/>
      <w:r w:rsidRPr="000A486E">
        <w:rPr>
          <w:rFonts w:hint="eastAsia"/>
        </w:rPr>
        <w:t>风险因素分析</w:t>
      </w:r>
      <w:bookmarkEnd w:id="69"/>
      <w:bookmarkEnd w:id="70"/>
      <w:bookmarkEnd w:id="71"/>
      <w:bookmarkEnd w:id="72"/>
      <w:bookmarkEnd w:id="73"/>
    </w:p>
    <w:p w:rsidR="00271CF4" w:rsidRPr="000A486E" w:rsidRDefault="001878A3">
      <w:pPr>
        <w:pStyle w:val="affffffff7"/>
      </w:pPr>
      <w:r w:rsidRPr="000A486E">
        <w:rPr>
          <w:rFonts w:hint="eastAsia"/>
        </w:rPr>
        <w:t>风险因素分析范围应覆盖预包装螺蛳</w:t>
      </w:r>
      <w:proofErr w:type="gramStart"/>
      <w:r w:rsidRPr="000A486E">
        <w:rPr>
          <w:rFonts w:hint="eastAsia"/>
        </w:rPr>
        <w:t>粉经营</w:t>
      </w:r>
      <w:proofErr w:type="gramEnd"/>
      <w:r w:rsidRPr="000A486E">
        <w:rPr>
          <w:rFonts w:hint="eastAsia"/>
        </w:rPr>
        <w:t>环节全过程，从静态风险因素、动态风险因素以及经营区域位置综合分析。</w:t>
      </w:r>
    </w:p>
    <w:p w:rsidR="00271CF4" w:rsidRPr="000A486E" w:rsidRDefault="001878A3">
      <w:pPr>
        <w:pStyle w:val="affffffff7"/>
      </w:pPr>
      <w:r w:rsidRPr="000A486E">
        <w:rPr>
          <w:rFonts w:hint="eastAsia"/>
        </w:rPr>
        <w:lastRenderedPageBreak/>
        <w:t>静态风险因素应包括：</w:t>
      </w:r>
    </w:p>
    <w:p w:rsidR="00271CF4" w:rsidRPr="000A486E" w:rsidRDefault="001878A3">
      <w:pPr>
        <w:pStyle w:val="af5"/>
      </w:pPr>
      <w:r w:rsidRPr="000A486E">
        <w:rPr>
          <w:rFonts w:hint="eastAsia"/>
        </w:rPr>
        <w:t>经营场所面积；</w:t>
      </w:r>
    </w:p>
    <w:p w:rsidR="00271CF4" w:rsidRPr="000A486E" w:rsidRDefault="001878A3">
      <w:pPr>
        <w:pStyle w:val="af5"/>
      </w:pPr>
      <w:r w:rsidRPr="000A486E">
        <w:rPr>
          <w:rFonts w:hint="eastAsia"/>
        </w:rPr>
        <w:t>销售方式；</w:t>
      </w:r>
    </w:p>
    <w:p w:rsidR="00271CF4" w:rsidRPr="000A486E" w:rsidRDefault="001878A3">
      <w:pPr>
        <w:pStyle w:val="af5"/>
      </w:pPr>
      <w:r w:rsidRPr="000A486E">
        <w:rPr>
          <w:rFonts w:hint="eastAsia"/>
        </w:rPr>
        <w:t>产品类型；</w:t>
      </w:r>
    </w:p>
    <w:p w:rsidR="00271CF4" w:rsidRPr="000A486E" w:rsidRDefault="001878A3">
      <w:pPr>
        <w:pStyle w:val="af5"/>
      </w:pPr>
      <w:r w:rsidRPr="000A486E">
        <w:rPr>
          <w:rFonts w:hint="eastAsia"/>
        </w:rPr>
        <w:t>产品来源厂家数量；</w:t>
      </w:r>
    </w:p>
    <w:p w:rsidR="00271CF4" w:rsidRPr="000A486E" w:rsidRDefault="001878A3">
      <w:pPr>
        <w:pStyle w:val="af5"/>
      </w:pPr>
      <w:r w:rsidRPr="000A486E">
        <w:rPr>
          <w:rFonts w:hint="eastAsia"/>
        </w:rPr>
        <w:t>产品获得认证数量。</w:t>
      </w:r>
    </w:p>
    <w:p w:rsidR="00271CF4" w:rsidRPr="000A486E" w:rsidRDefault="001878A3">
      <w:pPr>
        <w:pStyle w:val="affffffff7"/>
      </w:pPr>
      <w:r w:rsidRPr="000A486E">
        <w:rPr>
          <w:rFonts w:hint="eastAsia"/>
        </w:rPr>
        <w:t>动态风险因素应包括：</w:t>
      </w:r>
    </w:p>
    <w:p w:rsidR="00271CF4" w:rsidRPr="000A486E" w:rsidRDefault="001878A3">
      <w:pPr>
        <w:pStyle w:val="af5"/>
        <w:numPr>
          <w:ilvl w:val="0"/>
          <w:numId w:val="32"/>
        </w:numPr>
      </w:pPr>
      <w:r w:rsidRPr="000A486E">
        <w:rPr>
          <w:rFonts w:hint="eastAsia"/>
        </w:rPr>
        <w:t>经营资质；</w:t>
      </w:r>
    </w:p>
    <w:p w:rsidR="00271CF4" w:rsidRPr="000A486E" w:rsidRDefault="001878A3">
      <w:pPr>
        <w:pStyle w:val="af5"/>
        <w:numPr>
          <w:ilvl w:val="0"/>
          <w:numId w:val="32"/>
        </w:numPr>
      </w:pPr>
      <w:r w:rsidRPr="000A486E">
        <w:rPr>
          <w:rFonts w:hint="eastAsia"/>
        </w:rPr>
        <w:t>经营条件；</w:t>
      </w:r>
    </w:p>
    <w:p w:rsidR="00271CF4" w:rsidRPr="000A486E" w:rsidRDefault="001878A3">
      <w:pPr>
        <w:pStyle w:val="af5"/>
        <w:numPr>
          <w:ilvl w:val="0"/>
          <w:numId w:val="32"/>
        </w:numPr>
      </w:pPr>
      <w:r w:rsidRPr="000A486E">
        <w:rPr>
          <w:rFonts w:hint="eastAsia"/>
        </w:rPr>
        <w:t>自查情况；</w:t>
      </w:r>
    </w:p>
    <w:p w:rsidR="00271CF4" w:rsidRPr="000A486E" w:rsidRDefault="001878A3">
      <w:pPr>
        <w:pStyle w:val="af5"/>
        <w:numPr>
          <w:ilvl w:val="0"/>
          <w:numId w:val="32"/>
        </w:numPr>
      </w:pPr>
      <w:r w:rsidRPr="000A486E">
        <w:rPr>
          <w:rFonts w:hint="eastAsia"/>
        </w:rPr>
        <w:t>食品安全管理制度；</w:t>
      </w:r>
    </w:p>
    <w:p w:rsidR="00271CF4" w:rsidRPr="000A486E" w:rsidRDefault="001878A3">
      <w:pPr>
        <w:pStyle w:val="af5"/>
        <w:numPr>
          <w:ilvl w:val="0"/>
          <w:numId w:val="32"/>
        </w:numPr>
      </w:pPr>
      <w:r w:rsidRPr="000A486E">
        <w:rPr>
          <w:rFonts w:hint="eastAsia"/>
        </w:rPr>
        <w:t>人员管理；</w:t>
      </w:r>
    </w:p>
    <w:p w:rsidR="00271CF4" w:rsidRPr="000A486E" w:rsidRDefault="001878A3">
      <w:pPr>
        <w:pStyle w:val="af5"/>
        <w:numPr>
          <w:ilvl w:val="0"/>
          <w:numId w:val="32"/>
        </w:numPr>
      </w:pPr>
      <w:r w:rsidRPr="000A486E">
        <w:rPr>
          <w:rFonts w:hint="eastAsia"/>
        </w:rPr>
        <w:t>经营过程控制；</w:t>
      </w:r>
    </w:p>
    <w:p w:rsidR="00271CF4" w:rsidRPr="000A486E" w:rsidRDefault="001878A3">
      <w:pPr>
        <w:pStyle w:val="af5"/>
        <w:numPr>
          <w:ilvl w:val="0"/>
          <w:numId w:val="32"/>
        </w:numPr>
      </w:pPr>
      <w:r w:rsidRPr="000A486E">
        <w:rPr>
          <w:rFonts w:hint="eastAsia"/>
        </w:rPr>
        <w:t>外观质量状况。</w:t>
      </w:r>
    </w:p>
    <w:p w:rsidR="00271CF4" w:rsidRPr="000A486E" w:rsidRDefault="001878A3">
      <w:pPr>
        <w:pStyle w:val="affffffff7"/>
      </w:pPr>
      <w:r w:rsidRPr="000A486E">
        <w:t>结合预包装螺蛳粉静态</w:t>
      </w:r>
      <w:r w:rsidRPr="000A486E">
        <w:rPr>
          <w:rFonts w:hint="eastAsia"/>
        </w:rPr>
        <w:t>、</w:t>
      </w:r>
      <w:r w:rsidRPr="000A486E">
        <w:t>动态风险因素特点</w:t>
      </w:r>
      <w:r w:rsidRPr="000A486E">
        <w:rPr>
          <w:rFonts w:hint="eastAsia"/>
        </w:rPr>
        <w:t>，分别细化出16项和35项评分指标，见附录A和附录B。</w:t>
      </w:r>
    </w:p>
    <w:p w:rsidR="00271CF4" w:rsidRPr="000A486E" w:rsidRDefault="001878A3">
      <w:pPr>
        <w:pStyle w:val="affc"/>
        <w:spacing w:before="312" w:after="312"/>
      </w:pPr>
      <w:bookmarkStart w:id="74" w:name="_Toc96427099"/>
      <w:bookmarkStart w:id="75" w:name="_Toc97301602"/>
      <w:bookmarkStart w:id="76" w:name="_Toc96439874"/>
      <w:bookmarkStart w:id="77" w:name="_Toc96427075"/>
      <w:bookmarkStart w:id="78" w:name="_Toc101796042"/>
      <w:r w:rsidRPr="000A486E">
        <w:t>风险等级</w:t>
      </w:r>
      <w:r w:rsidRPr="000A486E">
        <w:rPr>
          <w:rFonts w:hint="eastAsia"/>
        </w:rPr>
        <w:t>划分</w:t>
      </w:r>
      <w:bookmarkEnd w:id="74"/>
      <w:bookmarkEnd w:id="75"/>
      <w:bookmarkEnd w:id="76"/>
      <w:bookmarkEnd w:id="77"/>
      <w:bookmarkEnd w:id="78"/>
    </w:p>
    <w:p w:rsidR="00271CF4" w:rsidRPr="000A486E" w:rsidRDefault="001878A3">
      <w:pPr>
        <w:pStyle w:val="affffffff7"/>
      </w:pPr>
      <w:r w:rsidRPr="000A486E">
        <w:rPr>
          <w:rFonts w:hint="eastAsia"/>
        </w:rPr>
        <w:t>经营风险等级从低到高划分为A级风险、B级风险、C级风险、D</w:t>
      </w:r>
      <w:proofErr w:type="gramStart"/>
      <w:r w:rsidRPr="000A486E">
        <w:rPr>
          <w:rFonts w:hint="eastAsia"/>
        </w:rPr>
        <w:t>级风险</w:t>
      </w:r>
      <w:proofErr w:type="gramEnd"/>
      <w:r w:rsidRPr="000A486E">
        <w:rPr>
          <w:rFonts w:hint="eastAsia"/>
        </w:rPr>
        <w:t>四个等级。</w:t>
      </w:r>
    </w:p>
    <w:p w:rsidR="00271CF4" w:rsidRPr="000A486E" w:rsidRDefault="001878A3">
      <w:pPr>
        <w:pStyle w:val="affffffff7"/>
      </w:pPr>
      <w:r w:rsidRPr="000A486E">
        <w:rPr>
          <w:rFonts w:hint="eastAsia"/>
        </w:rPr>
        <w:t>经营风险等级用评分分值表示，总分为100分，风险等级得分分值越高，风险等级越高。风险等级与分值按表1划分。</w:t>
      </w:r>
    </w:p>
    <w:p w:rsidR="00271CF4" w:rsidRPr="000A486E" w:rsidRDefault="001878A3">
      <w:pPr>
        <w:pStyle w:val="aff2"/>
        <w:spacing w:before="156" w:after="156"/>
      </w:pPr>
      <w:r w:rsidRPr="000A486E">
        <w:t>风险等级划分</w:t>
      </w:r>
      <w:r w:rsidRPr="000A486E">
        <w:rPr>
          <w:rFonts w:hint="eastAsia"/>
        </w:rPr>
        <w:t>对照表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5"/>
        <w:gridCol w:w="3124"/>
        <w:gridCol w:w="3125"/>
      </w:tblGrid>
      <w:tr w:rsidR="000A486E" w:rsidRPr="000A486E">
        <w:trPr>
          <w:tblHeader/>
          <w:jc w:val="center"/>
        </w:trPr>
        <w:tc>
          <w:tcPr>
            <w:tcW w:w="3124"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t>风险等级</w:t>
            </w:r>
          </w:p>
        </w:tc>
        <w:tc>
          <w:tcPr>
            <w:tcW w:w="3125"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t>风险程度</w:t>
            </w:r>
          </w:p>
        </w:tc>
        <w:tc>
          <w:tcPr>
            <w:tcW w:w="3125"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t>评分分值</w:t>
            </w:r>
          </w:p>
        </w:tc>
      </w:tr>
      <w:tr w:rsidR="000A486E" w:rsidRPr="000A486E">
        <w:trPr>
          <w:jc w:val="center"/>
        </w:trPr>
        <w:tc>
          <w:tcPr>
            <w:tcW w:w="3190" w:type="dxa"/>
            <w:tcBorders>
              <w:top w:val="single" w:sz="8" w:space="0" w:color="auto"/>
            </w:tcBorders>
            <w:shd w:val="clear" w:color="auto" w:fill="auto"/>
            <w:vAlign w:val="center"/>
          </w:tcPr>
          <w:p w:rsidR="00271CF4" w:rsidRPr="000A486E" w:rsidRDefault="001878A3">
            <w:pPr>
              <w:pStyle w:val="afffffffff2"/>
            </w:pPr>
            <w:r w:rsidRPr="000A486E">
              <w:rPr>
                <w:rFonts w:hint="eastAsia"/>
              </w:rPr>
              <w:t>A</w:t>
            </w:r>
          </w:p>
        </w:tc>
        <w:tc>
          <w:tcPr>
            <w:tcW w:w="3190" w:type="dxa"/>
            <w:tcBorders>
              <w:top w:val="single" w:sz="8" w:space="0" w:color="auto"/>
            </w:tcBorders>
            <w:shd w:val="clear" w:color="auto" w:fill="auto"/>
            <w:vAlign w:val="center"/>
          </w:tcPr>
          <w:p w:rsidR="00271CF4" w:rsidRPr="000A486E" w:rsidRDefault="001878A3">
            <w:pPr>
              <w:pStyle w:val="afffffffff2"/>
            </w:pPr>
            <w:r w:rsidRPr="000A486E">
              <w:t>低风险</w:t>
            </w:r>
          </w:p>
        </w:tc>
        <w:tc>
          <w:tcPr>
            <w:tcW w:w="3190" w:type="dxa"/>
            <w:tcBorders>
              <w:top w:val="single" w:sz="8" w:space="0" w:color="auto"/>
            </w:tcBorders>
            <w:shd w:val="clear" w:color="auto" w:fill="auto"/>
            <w:vAlign w:val="center"/>
          </w:tcPr>
          <w:p w:rsidR="00271CF4" w:rsidRPr="000A486E" w:rsidRDefault="001878A3">
            <w:pPr>
              <w:pStyle w:val="afffffffff2"/>
            </w:pPr>
            <w:r w:rsidRPr="000A486E">
              <w:rPr>
                <w:rFonts w:hint="eastAsia"/>
              </w:rPr>
              <w:t>0＜分值≤30</w:t>
            </w:r>
          </w:p>
        </w:tc>
      </w:tr>
      <w:tr w:rsidR="000A486E" w:rsidRPr="000A486E">
        <w:trPr>
          <w:jc w:val="center"/>
        </w:trPr>
        <w:tc>
          <w:tcPr>
            <w:tcW w:w="3190" w:type="dxa"/>
            <w:shd w:val="clear" w:color="auto" w:fill="auto"/>
            <w:vAlign w:val="center"/>
          </w:tcPr>
          <w:p w:rsidR="00271CF4" w:rsidRPr="000A486E" w:rsidRDefault="001878A3">
            <w:pPr>
              <w:pStyle w:val="afffffffff2"/>
            </w:pPr>
            <w:r w:rsidRPr="000A486E">
              <w:rPr>
                <w:rFonts w:hint="eastAsia"/>
              </w:rPr>
              <w:t>B</w:t>
            </w:r>
          </w:p>
        </w:tc>
        <w:tc>
          <w:tcPr>
            <w:tcW w:w="3190" w:type="dxa"/>
            <w:shd w:val="clear" w:color="auto" w:fill="auto"/>
            <w:vAlign w:val="center"/>
          </w:tcPr>
          <w:p w:rsidR="00271CF4" w:rsidRPr="000A486E" w:rsidRDefault="001878A3">
            <w:pPr>
              <w:pStyle w:val="afffffffff2"/>
            </w:pPr>
            <w:r w:rsidRPr="000A486E">
              <w:t>较低风险</w:t>
            </w:r>
          </w:p>
        </w:tc>
        <w:tc>
          <w:tcPr>
            <w:tcW w:w="3190" w:type="dxa"/>
            <w:shd w:val="clear" w:color="auto" w:fill="auto"/>
            <w:vAlign w:val="center"/>
          </w:tcPr>
          <w:p w:rsidR="00271CF4" w:rsidRPr="000A486E" w:rsidRDefault="001878A3">
            <w:pPr>
              <w:pStyle w:val="afffffffff2"/>
            </w:pPr>
            <w:r w:rsidRPr="000A486E">
              <w:rPr>
                <w:rFonts w:hint="eastAsia"/>
              </w:rPr>
              <w:t>31＜分值≤45</w:t>
            </w:r>
          </w:p>
        </w:tc>
      </w:tr>
      <w:tr w:rsidR="000A486E" w:rsidRPr="000A486E">
        <w:trPr>
          <w:jc w:val="center"/>
        </w:trPr>
        <w:tc>
          <w:tcPr>
            <w:tcW w:w="3190" w:type="dxa"/>
            <w:shd w:val="clear" w:color="auto" w:fill="auto"/>
            <w:vAlign w:val="center"/>
          </w:tcPr>
          <w:p w:rsidR="00271CF4" w:rsidRPr="000A486E" w:rsidRDefault="001878A3">
            <w:pPr>
              <w:pStyle w:val="afffffffff2"/>
            </w:pPr>
            <w:r w:rsidRPr="000A486E">
              <w:rPr>
                <w:rFonts w:hint="eastAsia"/>
              </w:rPr>
              <w:t>C</w:t>
            </w:r>
          </w:p>
        </w:tc>
        <w:tc>
          <w:tcPr>
            <w:tcW w:w="3190" w:type="dxa"/>
            <w:shd w:val="clear" w:color="auto" w:fill="auto"/>
            <w:vAlign w:val="center"/>
          </w:tcPr>
          <w:p w:rsidR="00271CF4" w:rsidRPr="000A486E" w:rsidRDefault="001878A3">
            <w:pPr>
              <w:pStyle w:val="afffffffff2"/>
            </w:pPr>
            <w:r w:rsidRPr="000A486E">
              <w:t>中风险</w:t>
            </w:r>
          </w:p>
        </w:tc>
        <w:tc>
          <w:tcPr>
            <w:tcW w:w="3190" w:type="dxa"/>
            <w:shd w:val="clear" w:color="auto" w:fill="auto"/>
            <w:vAlign w:val="center"/>
          </w:tcPr>
          <w:p w:rsidR="00271CF4" w:rsidRPr="000A486E" w:rsidRDefault="001878A3">
            <w:pPr>
              <w:pStyle w:val="afffffffff2"/>
            </w:pPr>
            <w:r w:rsidRPr="000A486E">
              <w:rPr>
                <w:rFonts w:hint="eastAsia"/>
              </w:rPr>
              <w:t>46＜分值≤60</w:t>
            </w:r>
          </w:p>
        </w:tc>
      </w:tr>
      <w:tr w:rsidR="000A486E" w:rsidRPr="000A486E">
        <w:trPr>
          <w:jc w:val="center"/>
        </w:trPr>
        <w:tc>
          <w:tcPr>
            <w:tcW w:w="3190" w:type="dxa"/>
            <w:tcBorders>
              <w:bottom w:val="single" w:sz="8" w:space="0" w:color="auto"/>
            </w:tcBorders>
            <w:shd w:val="clear" w:color="auto" w:fill="auto"/>
            <w:vAlign w:val="center"/>
          </w:tcPr>
          <w:p w:rsidR="00271CF4" w:rsidRPr="000A486E" w:rsidRDefault="001878A3">
            <w:pPr>
              <w:pStyle w:val="afffffffff2"/>
            </w:pPr>
            <w:r w:rsidRPr="000A486E">
              <w:rPr>
                <w:rFonts w:hint="eastAsia"/>
              </w:rPr>
              <w:t>D</w:t>
            </w:r>
          </w:p>
        </w:tc>
        <w:tc>
          <w:tcPr>
            <w:tcW w:w="3190" w:type="dxa"/>
            <w:tcBorders>
              <w:bottom w:val="single" w:sz="8" w:space="0" w:color="auto"/>
            </w:tcBorders>
            <w:shd w:val="clear" w:color="auto" w:fill="auto"/>
            <w:vAlign w:val="center"/>
          </w:tcPr>
          <w:p w:rsidR="00271CF4" w:rsidRPr="000A486E" w:rsidRDefault="001878A3">
            <w:pPr>
              <w:pStyle w:val="afffffffff2"/>
            </w:pPr>
            <w:r w:rsidRPr="000A486E">
              <w:t>高风险</w:t>
            </w:r>
          </w:p>
        </w:tc>
        <w:tc>
          <w:tcPr>
            <w:tcW w:w="3190" w:type="dxa"/>
            <w:tcBorders>
              <w:bottom w:val="single" w:sz="8" w:space="0" w:color="auto"/>
            </w:tcBorders>
            <w:shd w:val="clear" w:color="auto" w:fill="auto"/>
            <w:vAlign w:val="center"/>
          </w:tcPr>
          <w:p w:rsidR="00271CF4" w:rsidRPr="000A486E" w:rsidRDefault="001878A3">
            <w:pPr>
              <w:pStyle w:val="afffffffff2"/>
            </w:pPr>
            <w:r w:rsidRPr="000A486E">
              <w:rPr>
                <w:rFonts w:hint="eastAsia"/>
              </w:rPr>
              <w:t>61＜分值≤100</w:t>
            </w:r>
          </w:p>
        </w:tc>
      </w:tr>
      <w:tr w:rsidR="000A486E" w:rsidRPr="000A486E">
        <w:trPr>
          <w:jc w:val="center"/>
        </w:trPr>
        <w:tc>
          <w:tcPr>
            <w:tcW w:w="9374" w:type="dxa"/>
            <w:gridSpan w:val="3"/>
            <w:tcBorders>
              <w:top w:val="single" w:sz="8" w:space="0" w:color="auto"/>
              <w:bottom w:val="single" w:sz="8" w:space="0" w:color="auto"/>
            </w:tcBorders>
            <w:shd w:val="clear" w:color="auto" w:fill="auto"/>
            <w:vAlign w:val="center"/>
          </w:tcPr>
          <w:p w:rsidR="00271CF4" w:rsidRPr="000A486E" w:rsidRDefault="001878A3">
            <w:pPr>
              <w:pStyle w:val="afff2"/>
            </w:pPr>
            <w:r w:rsidRPr="000A486E">
              <w:rPr>
                <w:rFonts w:hint="eastAsia"/>
              </w:rPr>
              <w:t>学校及周边（校门外一百米范围内）预包装螺蛳</w:t>
            </w:r>
            <w:proofErr w:type="gramStart"/>
            <w:r w:rsidRPr="000A486E">
              <w:rPr>
                <w:rFonts w:hint="eastAsia"/>
              </w:rPr>
              <w:t>粉经营</w:t>
            </w:r>
            <w:proofErr w:type="gramEnd"/>
            <w:r w:rsidRPr="000A486E">
              <w:rPr>
                <w:rFonts w:hint="eastAsia"/>
              </w:rPr>
              <w:t>风险均列为D级风险。</w:t>
            </w:r>
          </w:p>
        </w:tc>
      </w:tr>
    </w:tbl>
    <w:p w:rsidR="00271CF4" w:rsidRPr="000A486E" w:rsidRDefault="001878A3">
      <w:pPr>
        <w:pStyle w:val="affc"/>
        <w:spacing w:before="312" w:after="312"/>
      </w:pPr>
      <w:bookmarkStart w:id="79" w:name="_Toc96427100"/>
      <w:bookmarkStart w:id="80" w:name="_Toc96439875"/>
      <w:bookmarkStart w:id="81" w:name="_Toc97301603"/>
      <w:bookmarkStart w:id="82" w:name="_Toc96427076"/>
      <w:bookmarkStart w:id="83" w:name="_Toc101796043"/>
      <w:r w:rsidRPr="000A486E">
        <w:t>风险等级评定</w:t>
      </w:r>
      <w:bookmarkEnd w:id="79"/>
      <w:bookmarkEnd w:id="80"/>
      <w:bookmarkEnd w:id="81"/>
      <w:bookmarkEnd w:id="82"/>
      <w:bookmarkEnd w:id="83"/>
    </w:p>
    <w:p w:rsidR="00271CF4" w:rsidRPr="000A486E" w:rsidRDefault="001878A3">
      <w:pPr>
        <w:pStyle w:val="affd"/>
        <w:spacing w:before="156" w:after="156"/>
      </w:pPr>
      <w:bookmarkStart w:id="84" w:name="_Toc96427101"/>
      <w:bookmarkStart w:id="85" w:name="_Toc97301604"/>
      <w:bookmarkStart w:id="86" w:name="_Toc96427077"/>
      <w:bookmarkStart w:id="87" w:name="_Toc96439876"/>
      <w:bookmarkStart w:id="88" w:name="_Toc101796044"/>
      <w:r w:rsidRPr="000A486E">
        <w:t>评定方法</w:t>
      </w:r>
      <w:bookmarkEnd w:id="84"/>
      <w:bookmarkEnd w:id="85"/>
      <w:bookmarkEnd w:id="86"/>
      <w:bookmarkEnd w:id="87"/>
      <w:bookmarkEnd w:id="88"/>
    </w:p>
    <w:p w:rsidR="00271CF4" w:rsidRPr="000A486E" w:rsidRDefault="001878A3">
      <w:pPr>
        <w:pStyle w:val="affffe"/>
        <w:ind w:firstLine="420"/>
      </w:pPr>
      <w:r w:rsidRPr="000A486E">
        <w:rPr>
          <w:rFonts w:hint="eastAsia"/>
        </w:rPr>
        <w:t>采用评分方式，对预包装螺蛳</w:t>
      </w:r>
      <w:proofErr w:type="gramStart"/>
      <w:r w:rsidRPr="000A486E">
        <w:rPr>
          <w:rFonts w:hint="eastAsia"/>
        </w:rPr>
        <w:t>粉经营</w:t>
      </w:r>
      <w:proofErr w:type="gramEnd"/>
      <w:r w:rsidRPr="000A486E">
        <w:rPr>
          <w:rFonts w:hint="eastAsia"/>
        </w:rPr>
        <w:t>环节的静态、动态风险因素的评分指标进行评分，相加得到风险等级得分，进行风险等级初评，再结合是否存在风险等级调整的情况综合评定，确定风险等级。</w:t>
      </w:r>
    </w:p>
    <w:p w:rsidR="00271CF4" w:rsidRPr="000A486E" w:rsidRDefault="001878A3">
      <w:pPr>
        <w:pStyle w:val="affd"/>
        <w:spacing w:before="156" w:after="156"/>
      </w:pPr>
      <w:bookmarkStart w:id="89" w:name="_Toc96427102"/>
      <w:bookmarkStart w:id="90" w:name="_Toc96427078"/>
      <w:bookmarkStart w:id="91" w:name="_Toc97301605"/>
      <w:bookmarkStart w:id="92" w:name="_Toc96439877"/>
      <w:bookmarkStart w:id="93" w:name="_Toc101796045"/>
      <w:r w:rsidRPr="000A486E">
        <w:rPr>
          <w:rFonts w:hint="eastAsia"/>
        </w:rPr>
        <w:t>评定人员</w:t>
      </w:r>
      <w:bookmarkEnd w:id="89"/>
      <w:bookmarkEnd w:id="90"/>
      <w:bookmarkEnd w:id="91"/>
      <w:bookmarkEnd w:id="92"/>
      <w:bookmarkEnd w:id="93"/>
    </w:p>
    <w:p w:rsidR="007E255B" w:rsidRPr="007E255B" w:rsidRDefault="007E255B" w:rsidP="007E255B">
      <w:pPr>
        <w:pStyle w:val="affffffffa"/>
        <w:rPr>
          <w:color w:val="FF0000"/>
        </w:rPr>
      </w:pPr>
      <w:r w:rsidRPr="007E255B">
        <w:rPr>
          <w:rFonts w:hint="eastAsia"/>
          <w:color w:val="FF0000"/>
        </w:rPr>
        <w:t>风险等级评定可由经营主体自行组织，或由行业协会组织，亦可委托具备相应能力的第三</w:t>
      </w:r>
      <w:proofErr w:type="gramStart"/>
      <w:r w:rsidRPr="007E255B">
        <w:rPr>
          <w:rFonts w:hint="eastAsia"/>
          <w:color w:val="FF0000"/>
        </w:rPr>
        <w:t>方专业</w:t>
      </w:r>
      <w:proofErr w:type="gramEnd"/>
      <w:r w:rsidRPr="007E255B">
        <w:rPr>
          <w:rFonts w:hint="eastAsia"/>
          <w:color w:val="FF0000"/>
        </w:rPr>
        <w:t>机构实施。</w:t>
      </w:r>
    </w:p>
    <w:p w:rsidR="00271CF4" w:rsidRPr="007E255B" w:rsidRDefault="007E255B" w:rsidP="007E255B">
      <w:pPr>
        <w:pStyle w:val="affffffffa"/>
        <w:rPr>
          <w:color w:val="FF0000"/>
        </w:rPr>
      </w:pPr>
      <w:r w:rsidRPr="007E255B">
        <w:rPr>
          <w:rFonts w:hint="eastAsia"/>
          <w:color w:val="FF0000"/>
        </w:rPr>
        <w:t>评定人员为经过市场风险经营、食品安全法等相关内容培训合格，具有食品科学相关工作经历。</w:t>
      </w:r>
    </w:p>
    <w:p w:rsidR="00271CF4" w:rsidRPr="007E255B" w:rsidRDefault="001878A3" w:rsidP="007E255B">
      <w:pPr>
        <w:pStyle w:val="affffffffa"/>
        <w:rPr>
          <w:color w:val="FF0000"/>
        </w:rPr>
      </w:pPr>
      <w:r w:rsidRPr="007E255B">
        <w:rPr>
          <w:rFonts w:hint="eastAsia"/>
          <w:color w:val="FF0000"/>
        </w:rPr>
        <w:lastRenderedPageBreak/>
        <w:t>参与评定的工作人员应客观公正、实事求是，如实做出评价，并将经营环节存在的主要风险及防范要求告知经营者或相关负责人</w:t>
      </w:r>
      <w:r w:rsidR="007E255B" w:rsidRPr="007E255B">
        <w:rPr>
          <w:rFonts w:hint="eastAsia"/>
          <w:color w:val="FF0000"/>
        </w:rPr>
        <w:t>。</w:t>
      </w:r>
    </w:p>
    <w:p w:rsidR="00271CF4" w:rsidRPr="000A486E" w:rsidRDefault="001878A3">
      <w:pPr>
        <w:pStyle w:val="affd"/>
        <w:spacing w:before="156" w:after="156"/>
      </w:pPr>
      <w:bookmarkStart w:id="94" w:name="_Toc96427079"/>
      <w:bookmarkStart w:id="95" w:name="_Toc97301606"/>
      <w:bookmarkStart w:id="96" w:name="_Toc96427103"/>
      <w:bookmarkStart w:id="97" w:name="_Toc96439878"/>
      <w:bookmarkStart w:id="98" w:name="_Toc101796046"/>
      <w:r w:rsidRPr="000A486E">
        <w:t>评定程序</w:t>
      </w:r>
      <w:bookmarkEnd w:id="94"/>
      <w:bookmarkEnd w:id="95"/>
      <w:bookmarkEnd w:id="96"/>
      <w:bookmarkEnd w:id="97"/>
      <w:bookmarkEnd w:id="98"/>
    </w:p>
    <w:p w:rsidR="00271CF4" w:rsidRPr="000A486E" w:rsidRDefault="001878A3">
      <w:pPr>
        <w:pStyle w:val="affe"/>
        <w:spacing w:before="156" w:after="156"/>
      </w:pPr>
      <w:bookmarkStart w:id="99" w:name="_Toc96427080"/>
      <w:r w:rsidRPr="000A486E">
        <w:rPr>
          <w:rFonts w:hint="eastAsia"/>
        </w:rPr>
        <w:t>静态风险因素量化分值评定</w:t>
      </w:r>
      <w:bookmarkEnd w:id="99"/>
    </w:p>
    <w:p w:rsidR="00271CF4" w:rsidRPr="000A486E" w:rsidRDefault="001878A3">
      <w:pPr>
        <w:pStyle w:val="affffffff9"/>
      </w:pPr>
      <w:r w:rsidRPr="000A486E">
        <w:rPr>
          <w:rFonts w:hint="eastAsia"/>
        </w:rPr>
        <w:t>静态风险因素量化分值为30分，评价指标及分值详见</w:t>
      </w:r>
      <w:r w:rsidR="00F67B50" w:rsidRPr="000A486E">
        <w:rPr>
          <w:rFonts w:hint="eastAsia"/>
        </w:rPr>
        <w:t>附录</w:t>
      </w:r>
      <w:r w:rsidRPr="000A486E">
        <w:rPr>
          <w:rFonts w:hint="eastAsia"/>
        </w:rPr>
        <w:t>A。</w:t>
      </w:r>
    </w:p>
    <w:p w:rsidR="00271CF4" w:rsidRPr="000A486E" w:rsidRDefault="001878A3">
      <w:pPr>
        <w:pStyle w:val="affffffff9"/>
      </w:pPr>
      <w:r w:rsidRPr="000A486E">
        <w:rPr>
          <w:rFonts w:hint="eastAsia"/>
        </w:rPr>
        <w:t>评定时，应</w:t>
      </w:r>
      <w:r w:rsidR="00774DC7" w:rsidRPr="000A486E">
        <w:rPr>
          <w:rFonts w:hint="eastAsia"/>
        </w:rPr>
        <w:t>根据</w:t>
      </w:r>
      <w:r w:rsidRPr="000A486E">
        <w:rPr>
          <w:rFonts w:hint="eastAsia"/>
        </w:rPr>
        <w:t>食品经营注册登记</w:t>
      </w:r>
      <w:r w:rsidR="00774DC7" w:rsidRPr="000A486E">
        <w:rPr>
          <w:rFonts w:hint="eastAsia"/>
        </w:rPr>
        <w:t>信息</w:t>
      </w:r>
      <w:r w:rsidRPr="000A486E">
        <w:rPr>
          <w:rFonts w:hint="eastAsia"/>
        </w:rPr>
        <w:t>或组织评定人员进入现场，按照</w:t>
      </w:r>
      <w:r w:rsidR="00F67B50" w:rsidRPr="000A486E">
        <w:rPr>
          <w:rFonts w:hint="eastAsia"/>
        </w:rPr>
        <w:t>附录</w:t>
      </w:r>
      <w:r w:rsidRPr="000A486E">
        <w:rPr>
          <w:rFonts w:hint="eastAsia"/>
        </w:rPr>
        <w:t>A所列的项目，逐项计分，累加确定经营静态风险因素量化分值。</w:t>
      </w:r>
    </w:p>
    <w:p w:rsidR="00271CF4" w:rsidRPr="000A486E" w:rsidRDefault="001878A3">
      <w:pPr>
        <w:pStyle w:val="affffffff9"/>
      </w:pPr>
      <w:r w:rsidRPr="000A486E">
        <w:rPr>
          <w:rFonts w:hint="eastAsia"/>
        </w:rPr>
        <w:t>食品经营注册登记和备案信息内容不全的，应要求经营者补充提交相关材料。</w:t>
      </w:r>
    </w:p>
    <w:p w:rsidR="00271CF4" w:rsidRPr="000A486E" w:rsidRDefault="001878A3">
      <w:pPr>
        <w:pStyle w:val="affe"/>
        <w:spacing w:before="156" w:after="156"/>
      </w:pPr>
      <w:bookmarkStart w:id="100" w:name="_Toc96427081"/>
      <w:r w:rsidRPr="000A486E">
        <w:rPr>
          <w:rFonts w:hint="eastAsia"/>
        </w:rPr>
        <w:t>动态风险因素量化分值评定</w:t>
      </w:r>
      <w:bookmarkEnd w:id="100"/>
    </w:p>
    <w:p w:rsidR="00271CF4" w:rsidRPr="000A486E" w:rsidRDefault="001878A3">
      <w:pPr>
        <w:pStyle w:val="affffffff9"/>
      </w:pPr>
      <w:r w:rsidRPr="000A486E">
        <w:rPr>
          <w:rFonts w:hint="eastAsia"/>
        </w:rPr>
        <w:t>动态风险因素量化分值为70分，评价指标及分值详见</w:t>
      </w:r>
      <w:r w:rsidR="00F67B50" w:rsidRPr="000A486E">
        <w:rPr>
          <w:rFonts w:hint="eastAsia"/>
        </w:rPr>
        <w:t>附录</w:t>
      </w:r>
      <w:r w:rsidRPr="000A486E">
        <w:rPr>
          <w:rFonts w:hint="eastAsia"/>
        </w:rPr>
        <w:t>B。</w:t>
      </w:r>
    </w:p>
    <w:p w:rsidR="00271CF4" w:rsidRPr="000A486E" w:rsidRDefault="001878A3">
      <w:pPr>
        <w:pStyle w:val="affffffff9"/>
      </w:pPr>
      <w:r w:rsidRPr="000A486E">
        <w:rPr>
          <w:rFonts w:hint="eastAsia"/>
        </w:rPr>
        <w:t>评定时，可结合以往日常监督检查结果或组织评定人员进入现场，按照附录B所列的项目，逐项计分，累加确定经营动态风险因素量化分值。</w:t>
      </w:r>
    </w:p>
    <w:p w:rsidR="007E255B" w:rsidRPr="007E255B" w:rsidRDefault="001878A3" w:rsidP="007E255B">
      <w:pPr>
        <w:pStyle w:val="affffffff9"/>
      </w:pPr>
      <w:r w:rsidRPr="000A486E">
        <w:rPr>
          <w:rFonts w:hint="eastAsia"/>
        </w:rPr>
        <w:t>利用日常监督检查结果进行动态风险因素量化分值评定，应结合上一次日常监督检查全项目检查结果，按照附录B所列的项目，逐项计分，累计确定。</w:t>
      </w:r>
      <w:bookmarkStart w:id="101" w:name="_Toc96427082"/>
    </w:p>
    <w:p w:rsidR="00271CF4" w:rsidRPr="000A486E" w:rsidRDefault="001878A3">
      <w:pPr>
        <w:pStyle w:val="affe"/>
        <w:spacing w:before="156" w:after="156"/>
      </w:pPr>
      <w:r w:rsidRPr="000A486E">
        <w:t>风险等级</w:t>
      </w:r>
      <w:bookmarkEnd w:id="101"/>
      <w:r w:rsidRPr="000A486E">
        <w:rPr>
          <w:rFonts w:hint="eastAsia"/>
        </w:rPr>
        <w:t>确定</w:t>
      </w:r>
    </w:p>
    <w:p w:rsidR="00271CF4" w:rsidRPr="007E255B" w:rsidRDefault="001878A3">
      <w:pPr>
        <w:pStyle w:val="affffffff9"/>
        <w:rPr>
          <w:color w:val="FF0000"/>
        </w:rPr>
      </w:pPr>
      <w:r w:rsidRPr="007E255B">
        <w:rPr>
          <w:rFonts w:hint="eastAsia"/>
          <w:color w:val="FF0000"/>
        </w:rPr>
        <w:t>将静态风险因素量化分值与动态风险因素量化分值相加得到风险等级得分，按照表1进行</w:t>
      </w:r>
      <w:r w:rsidR="007E255B" w:rsidRPr="007E255B">
        <w:rPr>
          <w:rFonts w:hint="eastAsia"/>
          <w:color w:val="FF0000"/>
        </w:rPr>
        <w:t>自评</w:t>
      </w:r>
      <w:r w:rsidRPr="007E255B">
        <w:rPr>
          <w:rFonts w:hint="eastAsia"/>
          <w:color w:val="FF0000"/>
        </w:rPr>
        <w:t>，确定经营风险等级。</w:t>
      </w:r>
    </w:p>
    <w:p w:rsidR="00271CF4" w:rsidRPr="000A486E" w:rsidRDefault="001878A3">
      <w:pPr>
        <w:pStyle w:val="affffffff9"/>
      </w:pPr>
      <w:r w:rsidRPr="000A486E">
        <w:rPr>
          <w:rFonts w:hint="eastAsia"/>
        </w:rPr>
        <w:t>新开办的预包装螺蛳</w:t>
      </w:r>
      <w:proofErr w:type="gramStart"/>
      <w:r w:rsidRPr="000A486E">
        <w:rPr>
          <w:rFonts w:hint="eastAsia"/>
        </w:rPr>
        <w:t>粉经营</w:t>
      </w:r>
      <w:proofErr w:type="gramEnd"/>
      <w:r w:rsidRPr="000A486E">
        <w:rPr>
          <w:rFonts w:hint="eastAsia"/>
        </w:rPr>
        <w:t>主体的经营风险等级评定，应在注册登记之日起30个工作日内组织评定人员进入现场评定静态和动态风险因素量化分值，按照表1确定经营风险等级。</w:t>
      </w:r>
    </w:p>
    <w:p w:rsidR="00271CF4" w:rsidRPr="000A486E" w:rsidRDefault="001878A3">
      <w:pPr>
        <w:pStyle w:val="affd"/>
        <w:spacing w:before="156" w:after="156"/>
      </w:pPr>
      <w:bookmarkStart w:id="102" w:name="_Toc96427104"/>
      <w:bookmarkStart w:id="103" w:name="_Toc97301607"/>
      <w:bookmarkStart w:id="104" w:name="_Toc96439879"/>
      <w:bookmarkStart w:id="105" w:name="_Toc96427083"/>
      <w:bookmarkStart w:id="106" w:name="_Toc101796047"/>
      <w:r w:rsidRPr="000A486E">
        <w:t>评定频次</w:t>
      </w:r>
      <w:bookmarkEnd w:id="102"/>
      <w:bookmarkEnd w:id="103"/>
      <w:bookmarkEnd w:id="104"/>
      <w:bookmarkEnd w:id="105"/>
      <w:bookmarkEnd w:id="106"/>
    </w:p>
    <w:p w:rsidR="00271CF4" w:rsidRPr="000A486E" w:rsidRDefault="001878A3">
      <w:pPr>
        <w:pStyle w:val="affffe"/>
        <w:ind w:firstLine="420"/>
      </w:pPr>
      <w:r w:rsidRPr="000A486E">
        <w:t>正常经营情况下</w:t>
      </w:r>
      <w:r w:rsidRPr="000A486E">
        <w:rPr>
          <w:rFonts w:hint="eastAsia"/>
        </w:rPr>
        <w:t>，</w:t>
      </w:r>
      <w:r w:rsidRPr="000A486E">
        <w:t>评定周期宜为</w:t>
      </w:r>
      <w:r w:rsidRPr="000A486E">
        <w:rPr>
          <w:rFonts w:hint="eastAsia"/>
        </w:rPr>
        <w:t>1年。</w:t>
      </w:r>
    </w:p>
    <w:p w:rsidR="00CC6592" w:rsidRPr="00CC6592" w:rsidRDefault="00CC6592" w:rsidP="00CC6592">
      <w:pPr>
        <w:pStyle w:val="affc"/>
        <w:spacing w:before="312" w:after="312"/>
        <w:rPr>
          <w:color w:val="FF0000"/>
        </w:rPr>
      </w:pPr>
      <w:r w:rsidRPr="00CC6592">
        <w:rPr>
          <w:rFonts w:hint="eastAsia"/>
          <w:color w:val="FF0000"/>
        </w:rPr>
        <w:t>风险等级动态管理</w:t>
      </w:r>
    </w:p>
    <w:p w:rsidR="00CC6592" w:rsidRPr="00CC6592" w:rsidRDefault="00CC6592" w:rsidP="00CC6592">
      <w:pPr>
        <w:pStyle w:val="affffe"/>
        <w:ind w:firstLine="420"/>
        <w:rPr>
          <w:color w:val="FF0000"/>
        </w:rPr>
      </w:pPr>
      <w:r w:rsidRPr="00CC6592">
        <w:rPr>
          <w:rFonts w:hint="eastAsia"/>
          <w:color w:val="FF0000"/>
        </w:rPr>
        <w:t>经营主体</w:t>
      </w:r>
      <w:proofErr w:type="gramStart"/>
      <w:r w:rsidRPr="00CC6592">
        <w:rPr>
          <w:rFonts w:hint="eastAsia"/>
          <w:color w:val="FF0000"/>
        </w:rPr>
        <w:t>宜</w:t>
      </w:r>
      <w:bookmarkStart w:id="107" w:name="OLE_LINK22"/>
      <w:bookmarkStart w:id="108" w:name="OLE_LINK23"/>
      <w:r w:rsidRPr="00CC6592">
        <w:rPr>
          <w:rFonts w:hint="eastAsia"/>
          <w:color w:val="FF0000"/>
        </w:rPr>
        <w:t>建立</w:t>
      </w:r>
      <w:proofErr w:type="gramEnd"/>
      <w:r w:rsidRPr="00CC6592">
        <w:rPr>
          <w:rFonts w:hint="eastAsia"/>
          <w:color w:val="FF0000"/>
        </w:rPr>
        <w:t>风险等级定期复核与更新机制</w:t>
      </w:r>
      <w:bookmarkEnd w:id="107"/>
      <w:bookmarkEnd w:id="108"/>
      <w:r w:rsidRPr="00CC6592">
        <w:rPr>
          <w:rFonts w:hint="eastAsia"/>
          <w:color w:val="FF0000"/>
        </w:rPr>
        <w:t>。当发生以下情况时，建议对风险等级进行重新评定或调整：</w:t>
      </w:r>
    </w:p>
    <w:p w:rsidR="00CC6592" w:rsidRPr="00CC6592" w:rsidRDefault="00CC6592" w:rsidP="00CC6592">
      <w:pPr>
        <w:pStyle w:val="af5"/>
        <w:numPr>
          <w:ilvl w:val="0"/>
          <w:numId w:val="36"/>
        </w:numPr>
        <w:rPr>
          <w:color w:val="FF0000"/>
        </w:rPr>
      </w:pPr>
      <w:r w:rsidRPr="00CC6592">
        <w:rPr>
          <w:rFonts w:hint="eastAsia"/>
          <w:color w:val="FF0000"/>
        </w:rPr>
        <w:t>经营规模、方式或产品结构发生重大变化时；</w:t>
      </w:r>
    </w:p>
    <w:p w:rsidR="00CC6592" w:rsidRPr="00CC6592" w:rsidRDefault="00CC6592" w:rsidP="00CC6592">
      <w:pPr>
        <w:pStyle w:val="af5"/>
        <w:rPr>
          <w:color w:val="FF0000"/>
        </w:rPr>
      </w:pPr>
      <w:r w:rsidRPr="00CC6592">
        <w:rPr>
          <w:rFonts w:hint="eastAsia"/>
          <w:color w:val="FF0000"/>
        </w:rPr>
        <w:t>发生重大食品安全隐患或顾客投诉并经核实时；</w:t>
      </w:r>
    </w:p>
    <w:p w:rsidR="00CC6592" w:rsidRPr="00CC6592" w:rsidRDefault="00CC6592" w:rsidP="00CC6592">
      <w:pPr>
        <w:pStyle w:val="af5"/>
        <w:rPr>
          <w:color w:val="FF0000"/>
        </w:rPr>
      </w:pPr>
      <w:r w:rsidRPr="00CC6592">
        <w:rPr>
          <w:rFonts w:hint="eastAsia"/>
          <w:color w:val="FF0000"/>
        </w:rPr>
        <w:t>内部审核或第三方评估发现管理体系存在严重不符合项时；</w:t>
      </w:r>
    </w:p>
    <w:p w:rsidR="00CC6592" w:rsidRPr="00CC6592" w:rsidRDefault="00CC6592" w:rsidP="00CC6592">
      <w:pPr>
        <w:pStyle w:val="af5"/>
        <w:rPr>
          <w:color w:val="FF0000"/>
        </w:rPr>
        <w:sectPr w:rsidR="00CC6592" w:rsidRPr="00CC6592" w:rsidSect="005976DD">
          <w:headerReference w:type="even" r:id="rId20"/>
          <w:headerReference w:type="default" r:id="rId21"/>
          <w:footerReference w:type="even" r:id="rId22"/>
          <w:footerReference w:type="default" r:id="rId23"/>
          <w:pgSz w:w="11906" w:h="16838"/>
          <w:pgMar w:top="2410" w:right="1134" w:bottom="1134" w:left="1134" w:header="1418" w:footer="1134" w:gutter="284"/>
          <w:pgNumType w:start="1"/>
          <w:cols w:space="425"/>
          <w:formProt w:val="0"/>
          <w:docGrid w:type="lines" w:linePitch="312"/>
        </w:sectPr>
      </w:pPr>
      <w:r w:rsidRPr="00CC6592">
        <w:rPr>
          <w:rFonts w:hint="eastAsia"/>
          <w:color w:val="FF0000"/>
        </w:rPr>
        <w:t>连续多年（如3年）未发生食品安全问题且管理持续改善，可考虑作为内部激励的参考。</w:t>
      </w:r>
    </w:p>
    <w:p w:rsidR="00271CF4" w:rsidRPr="000A486E" w:rsidRDefault="00271CF4">
      <w:pPr>
        <w:pStyle w:val="af8"/>
        <w:rPr>
          <w:vanish w:val="0"/>
        </w:rPr>
      </w:pPr>
      <w:bookmarkStart w:id="109" w:name="BookMark5"/>
      <w:bookmarkEnd w:id="26"/>
    </w:p>
    <w:p w:rsidR="00271CF4" w:rsidRPr="000A486E" w:rsidRDefault="00271CF4">
      <w:pPr>
        <w:pStyle w:val="afe"/>
        <w:rPr>
          <w:vanish w:val="0"/>
        </w:rPr>
      </w:pPr>
    </w:p>
    <w:p w:rsidR="00271CF4" w:rsidRPr="000A486E" w:rsidRDefault="001878A3">
      <w:pPr>
        <w:pStyle w:val="aff3"/>
        <w:spacing w:before="78" w:after="156"/>
      </w:pPr>
      <w:r w:rsidRPr="000A486E">
        <w:br/>
      </w:r>
      <w:bookmarkStart w:id="110" w:name="_Toc96439880"/>
      <w:bookmarkStart w:id="111" w:name="_Toc97301608"/>
      <w:bookmarkStart w:id="112" w:name="_Toc101796048"/>
      <w:r w:rsidRPr="000A486E">
        <w:rPr>
          <w:rFonts w:hint="eastAsia"/>
        </w:rPr>
        <w:t>（规范性）</w:t>
      </w:r>
      <w:r w:rsidRPr="000A486E">
        <w:br/>
      </w:r>
      <w:r w:rsidRPr="000A486E">
        <w:rPr>
          <w:rFonts w:hint="eastAsia"/>
        </w:rPr>
        <w:t>经营环节静态风险因素量化分值评定</w:t>
      </w:r>
      <w:bookmarkEnd w:id="110"/>
      <w:bookmarkEnd w:id="111"/>
      <w:bookmarkEnd w:id="112"/>
    </w:p>
    <w:p w:rsidR="00271CF4" w:rsidRPr="000A486E" w:rsidRDefault="001878A3">
      <w:pPr>
        <w:pStyle w:val="affffe"/>
        <w:ind w:firstLine="420"/>
      </w:pPr>
      <w:r w:rsidRPr="000A486E">
        <w:rPr>
          <w:rFonts w:hint="eastAsia"/>
        </w:rPr>
        <w:t>经营环节静态风险因素量化分值按照表A.1评定。</w:t>
      </w:r>
    </w:p>
    <w:p w:rsidR="00271CF4" w:rsidRPr="000A486E" w:rsidRDefault="001878A3">
      <w:pPr>
        <w:pStyle w:val="aff"/>
        <w:spacing w:before="156" w:after="156"/>
      </w:pPr>
      <w:r w:rsidRPr="000A486E">
        <w:t>经营环节静态风险因素量化分值表</w:t>
      </w:r>
    </w:p>
    <w:tbl>
      <w:tblPr>
        <w:tblStyle w:val="affff1"/>
        <w:tblW w:w="937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2410"/>
        <w:gridCol w:w="3402"/>
        <w:gridCol w:w="1417"/>
        <w:gridCol w:w="1284"/>
      </w:tblGrid>
      <w:tr w:rsidR="000A486E" w:rsidRPr="000A486E">
        <w:trPr>
          <w:tblHeader/>
          <w:jc w:val="center"/>
        </w:trPr>
        <w:tc>
          <w:tcPr>
            <w:tcW w:w="861"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t>序号</w:t>
            </w:r>
          </w:p>
        </w:tc>
        <w:tc>
          <w:tcPr>
            <w:tcW w:w="2410"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rPr>
                <w:rFonts w:hint="eastAsia"/>
              </w:rPr>
              <w:t>风险</w:t>
            </w:r>
            <w:r w:rsidRPr="000A486E">
              <w:t>因素</w:t>
            </w:r>
          </w:p>
        </w:tc>
        <w:tc>
          <w:tcPr>
            <w:tcW w:w="3402"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rPr>
                <w:rFonts w:hint="eastAsia"/>
              </w:rPr>
              <w:t>评价</w:t>
            </w:r>
            <w:r w:rsidRPr="000A486E">
              <w:t>指标</w:t>
            </w:r>
            <w:r w:rsidRPr="000A486E">
              <w:rPr>
                <w:rFonts w:hint="eastAsia"/>
              </w:rPr>
              <w:t>（16项）</w:t>
            </w:r>
          </w:p>
        </w:tc>
        <w:tc>
          <w:tcPr>
            <w:tcW w:w="1417"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t>分值</w:t>
            </w:r>
          </w:p>
        </w:tc>
        <w:tc>
          <w:tcPr>
            <w:tcW w:w="1284" w:type="dxa"/>
            <w:tcBorders>
              <w:top w:val="single" w:sz="8" w:space="0" w:color="auto"/>
              <w:bottom w:val="single" w:sz="8" w:space="0" w:color="auto"/>
            </w:tcBorders>
            <w:shd w:val="clear" w:color="auto" w:fill="auto"/>
            <w:vAlign w:val="center"/>
          </w:tcPr>
          <w:p w:rsidR="00271CF4" w:rsidRPr="000A486E" w:rsidRDefault="001878A3">
            <w:pPr>
              <w:pStyle w:val="afffffffff2"/>
            </w:pPr>
            <w:r w:rsidRPr="000A486E">
              <w:t>评分</w:t>
            </w:r>
          </w:p>
        </w:tc>
      </w:tr>
      <w:tr w:rsidR="000A486E" w:rsidRPr="000A486E">
        <w:trPr>
          <w:jc w:val="center"/>
        </w:trPr>
        <w:tc>
          <w:tcPr>
            <w:tcW w:w="861" w:type="dxa"/>
            <w:vMerge w:val="restart"/>
            <w:tcBorders>
              <w:top w:val="single" w:sz="8" w:space="0" w:color="auto"/>
            </w:tcBorders>
            <w:shd w:val="clear" w:color="auto" w:fill="auto"/>
            <w:vAlign w:val="center"/>
          </w:tcPr>
          <w:p w:rsidR="00271CF4" w:rsidRPr="000A486E" w:rsidRDefault="001878A3">
            <w:pPr>
              <w:pStyle w:val="afffffffff2"/>
            </w:pPr>
            <w:r w:rsidRPr="000A486E">
              <w:rPr>
                <w:rFonts w:hint="eastAsia"/>
              </w:rPr>
              <w:t>1</w:t>
            </w:r>
          </w:p>
        </w:tc>
        <w:tc>
          <w:tcPr>
            <w:tcW w:w="2410" w:type="dxa"/>
            <w:vMerge w:val="restart"/>
            <w:tcBorders>
              <w:top w:val="single" w:sz="8" w:space="0" w:color="auto"/>
            </w:tcBorders>
            <w:shd w:val="clear" w:color="auto" w:fill="auto"/>
            <w:vAlign w:val="center"/>
          </w:tcPr>
          <w:p w:rsidR="00271CF4" w:rsidRPr="000A486E" w:rsidRDefault="001878A3">
            <w:pPr>
              <w:pStyle w:val="afffffffff2"/>
            </w:pPr>
            <w:r w:rsidRPr="000A486E">
              <w:t>经营场所面积</w:t>
            </w:r>
            <w:r w:rsidRPr="000A486E">
              <w:rPr>
                <w:rFonts w:hint="eastAsia"/>
              </w:rPr>
              <w:t>（㎡）</w:t>
            </w:r>
          </w:p>
          <w:p w:rsidR="00271CF4" w:rsidRPr="000A486E" w:rsidRDefault="001878A3">
            <w:pPr>
              <w:pStyle w:val="afffffffff2"/>
            </w:pPr>
            <w:r w:rsidRPr="000A486E">
              <w:rPr>
                <w:rFonts w:hint="eastAsia"/>
              </w:rPr>
              <w:t>（最高6分）</w:t>
            </w:r>
          </w:p>
        </w:tc>
        <w:tc>
          <w:tcPr>
            <w:tcW w:w="3402" w:type="dxa"/>
            <w:tcBorders>
              <w:top w:val="single" w:sz="8" w:space="0" w:color="auto"/>
            </w:tcBorders>
            <w:shd w:val="clear" w:color="auto" w:fill="auto"/>
            <w:vAlign w:val="center"/>
          </w:tcPr>
          <w:p w:rsidR="00271CF4" w:rsidRPr="000A486E" w:rsidRDefault="001878A3">
            <w:pPr>
              <w:pStyle w:val="afffffffff2"/>
            </w:pPr>
            <w:r w:rsidRPr="000A486E">
              <w:rPr>
                <w:rFonts w:hint="eastAsia"/>
              </w:rPr>
              <w:t>20以下</w:t>
            </w:r>
          </w:p>
        </w:tc>
        <w:tc>
          <w:tcPr>
            <w:tcW w:w="1417" w:type="dxa"/>
            <w:tcBorders>
              <w:top w:val="single" w:sz="8" w:space="0" w:color="auto"/>
            </w:tcBorders>
            <w:shd w:val="clear" w:color="auto" w:fill="auto"/>
            <w:vAlign w:val="center"/>
          </w:tcPr>
          <w:p w:rsidR="00271CF4" w:rsidRPr="000A486E" w:rsidRDefault="001878A3">
            <w:pPr>
              <w:pStyle w:val="afffffffff2"/>
            </w:pPr>
            <w:r w:rsidRPr="000A486E">
              <w:rPr>
                <w:rFonts w:hint="eastAsia"/>
              </w:rPr>
              <w:t>0.5</w:t>
            </w:r>
          </w:p>
        </w:tc>
        <w:tc>
          <w:tcPr>
            <w:tcW w:w="1284" w:type="dxa"/>
            <w:vMerge w:val="restart"/>
            <w:tcBorders>
              <w:top w:val="single" w:sz="8" w:space="0" w:color="auto"/>
            </w:tcBorders>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21～200</w:t>
            </w:r>
          </w:p>
        </w:tc>
        <w:tc>
          <w:tcPr>
            <w:tcW w:w="1417" w:type="dxa"/>
            <w:shd w:val="clear" w:color="auto" w:fill="auto"/>
            <w:vAlign w:val="center"/>
          </w:tcPr>
          <w:p w:rsidR="00271CF4" w:rsidRPr="000A486E" w:rsidRDefault="001878A3">
            <w:pPr>
              <w:pStyle w:val="afffffffff2"/>
            </w:pPr>
            <w:r w:rsidRPr="000A486E">
              <w:rPr>
                <w:rFonts w:hint="eastAsia"/>
              </w:rPr>
              <w:t>1</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201～500</w:t>
            </w:r>
          </w:p>
        </w:tc>
        <w:tc>
          <w:tcPr>
            <w:tcW w:w="1417" w:type="dxa"/>
            <w:shd w:val="clear" w:color="auto" w:fill="auto"/>
            <w:vAlign w:val="center"/>
          </w:tcPr>
          <w:p w:rsidR="00271CF4" w:rsidRPr="000A486E" w:rsidRDefault="001878A3">
            <w:pPr>
              <w:pStyle w:val="afffffffff2"/>
            </w:pPr>
            <w:r w:rsidRPr="000A486E">
              <w:rPr>
                <w:rFonts w:hint="eastAsia"/>
              </w:rPr>
              <w:t>2</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501～1</w:t>
            </w:r>
            <w:r w:rsidRPr="000A486E">
              <w:rPr>
                <w:vertAlign w:val="superscript"/>
              </w:rPr>
              <w:t xml:space="preserve"> </w:t>
            </w:r>
            <w:r w:rsidRPr="000A486E">
              <w:rPr>
                <w:rFonts w:hint="eastAsia"/>
              </w:rPr>
              <w:t>000</w:t>
            </w:r>
          </w:p>
        </w:tc>
        <w:tc>
          <w:tcPr>
            <w:tcW w:w="1417" w:type="dxa"/>
            <w:shd w:val="clear" w:color="auto" w:fill="auto"/>
            <w:vAlign w:val="center"/>
          </w:tcPr>
          <w:p w:rsidR="00271CF4" w:rsidRPr="000A486E" w:rsidRDefault="001878A3">
            <w:pPr>
              <w:pStyle w:val="afffffffff2"/>
            </w:pPr>
            <w:r w:rsidRPr="000A486E">
              <w:rPr>
                <w:rFonts w:hint="eastAsia"/>
              </w:rPr>
              <w:t>4</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1</w:t>
            </w:r>
            <w:r w:rsidRPr="000A486E">
              <w:rPr>
                <w:vertAlign w:val="superscript"/>
              </w:rPr>
              <w:t xml:space="preserve"> </w:t>
            </w:r>
            <w:r w:rsidRPr="000A486E">
              <w:rPr>
                <w:rFonts w:hint="eastAsia"/>
              </w:rPr>
              <w:t>00</w:t>
            </w:r>
            <w:r w:rsidR="00C64BF7" w:rsidRPr="000A486E">
              <w:rPr>
                <w:rFonts w:hint="eastAsia"/>
              </w:rPr>
              <w:t>0</w:t>
            </w:r>
            <w:r w:rsidRPr="000A486E">
              <w:rPr>
                <w:rFonts w:hint="eastAsia"/>
              </w:rPr>
              <w:t>以上</w:t>
            </w:r>
          </w:p>
        </w:tc>
        <w:tc>
          <w:tcPr>
            <w:tcW w:w="1417" w:type="dxa"/>
            <w:shd w:val="clear" w:color="auto" w:fill="auto"/>
            <w:vAlign w:val="center"/>
          </w:tcPr>
          <w:p w:rsidR="00271CF4" w:rsidRPr="000A486E" w:rsidRDefault="001878A3">
            <w:pPr>
              <w:pStyle w:val="afffffffff2"/>
            </w:pPr>
            <w:r w:rsidRPr="000A486E">
              <w:rPr>
                <w:rFonts w:hint="eastAsia"/>
              </w:rPr>
              <w:t>6</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val="restart"/>
            <w:shd w:val="clear" w:color="auto" w:fill="auto"/>
            <w:vAlign w:val="center"/>
          </w:tcPr>
          <w:p w:rsidR="00271CF4" w:rsidRPr="000A486E" w:rsidRDefault="001878A3">
            <w:pPr>
              <w:pStyle w:val="afffffffff2"/>
            </w:pPr>
            <w:r w:rsidRPr="000A486E">
              <w:rPr>
                <w:rFonts w:hint="eastAsia"/>
              </w:rPr>
              <w:t>2</w:t>
            </w:r>
          </w:p>
        </w:tc>
        <w:tc>
          <w:tcPr>
            <w:tcW w:w="2410" w:type="dxa"/>
            <w:vMerge w:val="restart"/>
            <w:shd w:val="clear" w:color="auto" w:fill="auto"/>
            <w:vAlign w:val="center"/>
          </w:tcPr>
          <w:p w:rsidR="00271CF4" w:rsidRPr="000A486E" w:rsidRDefault="001878A3">
            <w:pPr>
              <w:pStyle w:val="afffffffff2"/>
            </w:pPr>
            <w:r w:rsidRPr="000A486E">
              <w:rPr>
                <w:rFonts w:hint="eastAsia"/>
              </w:rPr>
              <w:t>销售方式</w:t>
            </w:r>
          </w:p>
          <w:p w:rsidR="00271CF4" w:rsidRPr="000A486E" w:rsidRDefault="001878A3">
            <w:pPr>
              <w:pStyle w:val="afffffffff2"/>
            </w:pPr>
            <w:r w:rsidRPr="000A486E">
              <w:rPr>
                <w:rFonts w:hint="eastAsia"/>
              </w:rPr>
              <w:t>（最高8分）</w:t>
            </w:r>
          </w:p>
        </w:tc>
        <w:tc>
          <w:tcPr>
            <w:tcW w:w="3402" w:type="dxa"/>
            <w:shd w:val="clear" w:color="auto" w:fill="auto"/>
            <w:vAlign w:val="center"/>
          </w:tcPr>
          <w:p w:rsidR="00271CF4" w:rsidRPr="000A486E" w:rsidRDefault="001878A3">
            <w:pPr>
              <w:pStyle w:val="afffffffff2"/>
            </w:pPr>
            <w:r w:rsidRPr="000A486E">
              <w:t>零售</w:t>
            </w:r>
          </w:p>
        </w:tc>
        <w:tc>
          <w:tcPr>
            <w:tcW w:w="1417" w:type="dxa"/>
            <w:shd w:val="clear" w:color="auto" w:fill="auto"/>
            <w:vAlign w:val="center"/>
          </w:tcPr>
          <w:p w:rsidR="00271CF4" w:rsidRPr="000A486E" w:rsidRDefault="001878A3">
            <w:pPr>
              <w:pStyle w:val="afffffffff2"/>
            </w:pPr>
            <w:r w:rsidRPr="000A486E">
              <w:rPr>
                <w:rFonts w:hint="eastAsia"/>
              </w:rPr>
              <w:t>2</w:t>
            </w:r>
          </w:p>
        </w:tc>
        <w:tc>
          <w:tcPr>
            <w:tcW w:w="1284" w:type="dxa"/>
            <w:vMerge w:val="restart"/>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t>批发</w:t>
            </w:r>
          </w:p>
        </w:tc>
        <w:tc>
          <w:tcPr>
            <w:tcW w:w="1417" w:type="dxa"/>
            <w:shd w:val="clear" w:color="auto" w:fill="auto"/>
            <w:vAlign w:val="center"/>
          </w:tcPr>
          <w:p w:rsidR="00271CF4" w:rsidRPr="000A486E" w:rsidRDefault="001878A3">
            <w:pPr>
              <w:pStyle w:val="afffffffff2"/>
            </w:pPr>
            <w:r w:rsidRPr="000A486E">
              <w:rPr>
                <w:rFonts w:hint="eastAsia"/>
              </w:rPr>
              <w:t>4</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t>零售兼批发</w:t>
            </w:r>
          </w:p>
        </w:tc>
        <w:tc>
          <w:tcPr>
            <w:tcW w:w="1417" w:type="dxa"/>
            <w:shd w:val="clear" w:color="auto" w:fill="auto"/>
            <w:vAlign w:val="center"/>
          </w:tcPr>
          <w:p w:rsidR="00271CF4" w:rsidRPr="000A486E" w:rsidRDefault="001878A3">
            <w:pPr>
              <w:pStyle w:val="afffffffff2"/>
            </w:pPr>
            <w:r w:rsidRPr="000A486E">
              <w:rPr>
                <w:rFonts w:hint="eastAsia"/>
              </w:rPr>
              <w:t>6</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t>网络销售</w:t>
            </w:r>
          </w:p>
        </w:tc>
        <w:tc>
          <w:tcPr>
            <w:tcW w:w="1417" w:type="dxa"/>
            <w:shd w:val="clear" w:color="auto" w:fill="auto"/>
            <w:vAlign w:val="center"/>
          </w:tcPr>
          <w:p w:rsidR="00271CF4" w:rsidRPr="000A486E" w:rsidRDefault="001878A3">
            <w:pPr>
              <w:pStyle w:val="afffffffff2"/>
            </w:pPr>
            <w:r w:rsidRPr="000A486E">
              <w:rPr>
                <w:rFonts w:hint="eastAsia"/>
              </w:rPr>
              <w:t>8</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val="restart"/>
            <w:shd w:val="clear" w:color="auto" w:fill="auto"/>
            <w:vAlign w:val="center"/>
          </w:tcPr>
          <w:p w:rsidR="00271CF4" w:rsidRPr="000A486E" w:rsidRDefault="001878A3">
            <w:pPr>
              <w:pStyle w:val="afffffffff2"/>
            </w:pPr>
            <w:r w:rsidRPr="000A486E">
              <w:rPr>
                <w:rFonts w:hint="eastAsia"/>
              </w:rPr>
              <w:t>3</w:t>
            </w:r>
          </w:p>
        </w:tc>
        <w:tc>
          <w:tcPr>
            <w:tcW w:w="2410" w:type="dxa"/>
            <w:vMerge w:val="restart"/>
            <w:shd w:val="clear" w:color="auto" w:fill="auto"/>
            <w:vAlign w:val="center"/>
          </w:tcPr>
          <w:p w:rsidR="00271CF4" w:rsidRPr="000A486E" w:rsidRDefault="001878A3">
            <w:pPr>
              <w:pStyle w:val="afffffffff2"/>
            </w:pPr>
            <w:r w:rsidRPr="000A486E">
              <w:rPr>
                <w:rFonts w:hint="eastAsia"/>
              </w:rPr>
              <w:t>产品类型</w:t>
            </w:r>
          </w:p>
          <w:p w:rsidR="00271CF4" w:rsidRPr="000A486E" w:rsidRDefault="001878A3">
            <w:pPr>
              <w:pStyle w:val="afffffffff2"/>
            </w:pPr>
            <w:r w:rsidRPr="000A486E">
              <w:rPr>
                <w:rFonts w:hint="eastAsia"/>
              </w:rPr>
              <w:t>（最高6分）</w:t>
            </w:r>
          </w:p>
        </w:tc>
        <w:tc>
          <w:tcPr>
            <w:tcW w:w="3402" w:type="dxa"/>
            <w:shd w:val="clear" w:color="auto" w:fill="auto"/>
            <w:vAlign w:val="center"/>
          </w:tcPr>
          <w:p w:rsidR="00271CF4" w:rsidRPr="000A486E" w:rsidRDefault="001878A3">
            <w:pPr>
              <w:pStyle w:val="afffffffff2"/>
            </w:pPr>
            <w:r w:rsidRPr="000A486E">
              <w:rPr>
                <w:rFonts w:hint="eastAsia"/>
              </w:rPr>
              <w:t>水煮型</w:t>
            </w:r>
          </w:p>
        </w:tc>
        <w:tc>
          <w:tcPr>
            <w:tcW w:w="1417" w:type="dxa"/>
            <w:shd w:val="clear" w:color="auto" w:fill="auto"/>
            <w:vAlign w:val="center"/>
          </w:tcPr>
          <w:p w:rsidR="00271CF4" w:rsidRPr="000A486E" w:rsidRDefault="001878A3">
            <w:pPr>
              <w:pStyle w:val="afffffffff2"/>
            </w:pPr>
            <w:r w:rsidRPr="000A486E">
              <w:rPr>
                <w:rFonts w:hint="eastAsia"/>
              </w:rPr>
              <w:t>3</w:t>
            </w:r>
          </w:p>
        </w:tc>
        <w:tc>
          <w:tcPr>
            <w:tcW w:w="1284" w:type="dxa"/>
            <w:vMerge w:val="restart"/>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冲泡型</w:t>
            </w:r>
          </w:p>
        </w:tc>
        <w:tc>
          <w:tcPr>
            <w:tcW w:w="1417" w:type="dxa"/>
            <w:shd w:val="clear" w:color="auto" w:fill="auto"/>
            <w:vAlign w:val="center"/>
          </w:tcPr>
          <w:p w:rsidR="00271CF4" w:rsidRPr="000A486E" w:rsidRDefault="001878A3">
            <w:pPr>
              <w:pStyle w:val="afffffffff2"/>
            </w:pPr>
            <w:r w:rsidRPr="000A486E">
              <w:rPr>
                <w:rFonts w:hint="eastAsia"/>
              </w:rPr>
              <w:t>6</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val="restart"/>
            <w:shd w:val="clear" w:color="auto" w:fill="auto"/>
            <w:vAlign w:val="center"/>
          </w:tcPr>
          <w:p w:rsidR="00271CF4" w:rsidRPr="000A486E" w:rsidRDefault="001878A3">
            <w:pPr>
              <w:pStyle w:val="afffffffff2"/>
            </w:pPr>
            <w:r w:rsidRPr="000A486E">
              <w:rPr>
                <w:rFonts w:hint="eastAsia"/>
              </w:rPr>
              <w:t>4</w:t>
            </w:r>
          </w:p>
        </w:tc>
        <w:tc>
          <w:tcPr>
            <w:tcW w:w="2410" w:type="dxa"/>
            <w:vMerge w:val="restart"/>
            <w:shd w:val="clear" w:color="auto" w:fill="auto"/>
            <w:vAlign w:val="center"/>
          </w:tcPr>
          <w:p w:rsidR="00271CF4" w:rsidRPr="000A486E" w:rsidRDefault="001878A3">
            <w:pPr>
              <w:pStyle w:val="afffffffff2"/>
            </w:pPr>
            <w:r w:rsidRPr="000A486E">
              <w:t>产品来源</w:t>
            </w:r>
            <w:bookmarkStart w:id="113" w:name="脚注"/>
            <w:bookmarkEnd w:id="113"/>
            <w:r w:rsidRPr="000A486E">
              <w:rPr>
                <w:rFonts w:hint="eastAsia"/>
              </w:rPr>
              <w:t>厂家数量（家）</w:t>
            </w:r>
          </w:p>
          <w:p w:rsidR="00271CF4" w:rsidRPr="000A486E" w:rsidRDefault="001878A3">
            <w:pPr>
              <w:pStyle w:val="afffffffff2"/>
            </w:pPr>
            <w:r w:rsidRPr="000A486E">
              <w:rPr>
                <w:rFonts w:hint="eastAsia"/>
              </w:rPr>
              <w:t>（最高4分）</w:t>
            </w:r>
          </w:p>
        </w:tc>
        <w:tc>
          <w:tcPr>
            <w:tcW w:w="3402" w:type="dxa"/>
            <w:shd w:val="clear" w:color="auto" w:fill="auto"/>
            <w:vAlign w:val="center"/>
          </w:tcPr>
          <w:p w:rsidR="00271CF4" w:rsidRPr="000A486E" w:rsidRDefault="001878A3">
            <w:pPr>
              <w:pStyle w:val="afffffffff2"/>
            </w:pPr>
            <w:r w:rsidRPr="000A486E">
              <w:rPr>
                <w:rFonts w:hint="eastAsia"/>
              </w:rPr>
              <w:t>≤5</w:t>
            </w:r>
          </w:p>
        </w:tc>
        <w:tc>
          <w:tcPr>
            <w:tcW w:w="1417" w:type="dxa"/>
            <w:shd w:val="clear" w:color="auto" w:fill="auto"/>
            <w:vAlign w:val="center"/>
          </w:tcPr>
          <w:p w:rsidR="00271CF4" w:rsidRPr="000A486E" w:rsidRDefault="001878A3">
            <w:pPr>
              <w:pStyle w:val="afffffffff2"/>
            </w:pPr>
            <w:r w:rsidRPr="000A486E">
              <w:rPr>
                <w:rFonts w:hint="eastAsia"/>
              </w:rPr>
              <w:t>2</w:t>
            </w:r>
          </w:p>
        </w:tc>
        <w:tc>
          <w:tcPr>
            <w:tcW w:w="1284" w:type="dxa"/>
            <w:vMerge w:val="restart"/>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＞5</w:t>
            </w:r>
          </w:p>
        </w:tc>
        <w:tc>
          <w:tcPr>
            <w:tcW w:w="1417" w:type="dxa"/>
            <w:shd w:val="clear" w:color="auto" w:fill="auto"/>
            <w:vAlign w:val="center"/>
          </w:tcPr>
          <w:p w:rsidR="00271CF4" w:rsidRPr="000A486E" w:rsidRDefault="001878A3">
            <w:pPr>
              <w:pStyle w:val="afffffffff2"/>
            </w:pPr>
            <w:r w:rsidRPr="000A486E">
              <w:rPr>
                <w:rFonts w:hint="eastAsia"/>
              </w:rPr>
              <w:t>4</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val="restart"/>
            <w:shd w:val="clear" w:color="auto" w:fill="auto"/>
            <w:vAlign w:val="center"/>
          </w:tcPr>
          <w:p w:rsidR="00271CF4" w:rsidRPr="000A486E" w:rsidRDefault="001878A3">
            <w:pPr>
              <w:pStyle w:val="afffffffff2"/>
            </w:pPr>
            <w:r w:rsidRPr="000A486E">
              <w:rPr>
                <w:rFonts w:hint="eastAsia"/>
              </w:rPr>
              <w:t>5</w:t>
            </w:r>
          </w:p>
        </w:tc>
        <w:tc>
          <w:tcPr>
            <w:tcW w:w="2410" w:type="dxa"/>
            <w:vMerge w:val="restart"/>
            <w:shd w:val="clear" w:color="auto" w:fill="auto"/>
            <w:vAlign w:val="center"/>
          </w:tcPr>
          <w:p w:rsidR="00271CF4" w:rsidRPr="000A486E" w:rsidRDefault="001878A3">
            <w:pPr>
              <w:pStyle w:val="afffffffff2"/>
            </w:pPr>
            <w:r w:rsidRPr="000A486E">
              <w:t>产品获得认证数量</w:t>
            </w:r>
            <w:r w:rsidRPr="000A486E">
              <w:rPr>
                <w:rFonts w:hint="eastAsia"/>
              </w:rPr>
              <w:t>（</w:t>
            </w:r>
            <w:proofErr w:type="gramStart"/>
            <w:r w:rsidRPr="000A486E">
              <w:rPr>
                <w:rFonts w:hint="eastAsia"/>
              </w:rPr>
              <w:t>个</w:t>
            </w:r>
            <w:proofErr w:type="gramEnd"/>
            <w:r w:rsidRPr="000A486E">
              <w:rPr>
                <w:rFonts w:hint="eastAsia"/>
              </w:rPr>
              <w:t>）</w:t>
            </w:r>
          </w:p>
          <w:p w:rsidR="00271CF4" w:rsidRPr="000A486E" w:rsidRDefault="001878A3">
            <w:pPr>
              <w:pStyle w:val="afffffffff2"/>
            </w:pPr>
            <w:r w:rsidRPr="000A486E">
              <w:rPr>
                <w:rFonts w:hint="eastAsia"/>
              </w:rPr>
              <w:t>（最高6分）</w:t>
            </w:r>
          </w:p>
        </w:tc>
        <w:tc>
          <w:tcPr>
            <w:tcW w:w="3402" w:type="dxa"/>
            <w:shd w:val="clear" w:color="auto" w:fill="auto"/>
            <w:vAlign w:val="center"/>
          </w:tcPr>
          <w:p w:rsidR="00271CF4" w:rsidRPr="000A486E" w:rsidRDefault="001878A3">
            <w:pPr>
              <w:pStyle w:val="afffffffff2"/>
            </w:pPr>
            <w:r w:rsidRPr="000A486E">
              <w:rPr>
                <w:rFonts w:hint="eastAsia"/>
              </w:rPr>
              <w:t>≥5</w:t>
            </w:r>
          </w:p>
        </w:tc>
        <w:tc>
          <w:tcPr>
            <w:tcW w:w="1417" w:type="dxa"/>
            <w:shd w:val="clear" w:color="auto" w:fill="auto"/>
            <w:vAlign w:val="center"/>
          </w:tcPr>
          <w:p w:rsidR="00271CF4" w:rsidRPr="000A486E" w:rsidRDefault="001878A3">
            <w:pPr>
              <w:pStyle w:val="afffffffff2"/>
            </w:pPr>
            <w:r w:rsidRPr="000A486E">
              <w:rPr>
                <w:rFonts w:hint="eastAsia"/>
              </w:rPr>
              <w:t>2</w:t>
            </w:r>
          </w:p>
        </w:tc>
        <w:tc>
          <w:tcPr>
            <w:tcW w:w="1284" w:type="dxa"/>
            <w:vMerge w:val="restart"/>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3～4</w:t>
            </w:r>
          </w:p>
        </w:tc>
        <w:tc>
          <w:tcPr>
            <w:tcW w:w="1417" w:type="dxa"/>
            <w:shd w:val="clear" w:color="auto" w:fill="auto"/>
            <w:vAlign w:val="center"/>
          </w:tcPr>
          <w:p w:rsidR="00271CF4" w:rsidRPr="000A486E" w:rsidRDefault="001878A3">
            <w:pPr>
              <w:pStyle w:val="afffffffff2"/>
            </w:pPr>
            <w:r w:rsidRPr="000A486E">
              <w:rPr>
                <w:rFonts w:hint="eastAsia"/>
              </w:rPr>
              <w:t>4</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61" w:type="dxa"/>
            <w:vMerge/>
            <w:shd w:val="clear" w:color="auto" w:fill="auto"/>
            <w:vAlign w:val="center"/>
          </w:tcPr>
          <w:p w:rsidR="00271CF4" w:rsidRPr="000A486E" w:rsidRDefault="00271CF4">
            <w:pPr>
              <w:pStyle w:val="afffffffff2"/>
            </w:pPr>
          </w:p>
        </w:tc>
        <w:tc>
          <w:tcPr>
            <w:tcW w:w="2410" w:type="dxa"/>
            <w:vMerge/>
            <w:shd w:val="clear" w:color="auto" w:fill="auto"/>
            <w:vAlign w:val="center"/>
          </w:tcPr>
          <w:p w:rsidR="00271CF4" w:rsidRPr="000A486E" w:rsidRDefault="00271CF4">
            <w:pPr>
              <w:pStyle w:val="afffffffff2"/>
            </w:pPr>
          </w:p>
        </w:tc>
        <w:tc>
          <w:tcPr>
            <w:tcW w:w="3402" w:type="dxa"/>
            <w:shd w:val="clear" w:color="auto" w:fill="auto"/>
            <w:vAlign w:val="center"/>
          </w:tcPr>
          <w:p w:rsidR="00271CF4" w:rsidRPr="000A486E" w:rsidRDefault="001878A3">
            <w:pPr>
              <w:pStyle w:val="afffffffff2"/>
            </w:pPr>
            <w:r w:rsidRPr="000A486E">
              <w:rPr>
                <w:rFonts w:hint="eastAsia"/>
              </w:rPr>
              <w:t>＜3</w:t>
            </w:r>
          </w:p>
        </w:tc>
        <w:tc>
          <w:tcPr>
            <w:tcW w:w="1417" w:type="dxa"/>
            <w:shd w:val="clear" w:color="auto" w:fill="auto"/>
            <w:vAlign w:val="center"/>
          </w:tcPr>
          <w:p w:rsidR="00271CF4" w:rsidRPr="000A486E" w:rsidRDefault="001878A3">
            <w:pPr>
              <w:pStyle w:val="afffffffff2"/>
            </w:pPr>
            <w:r w:rsidRPr="000A486E">
              <w:rPr>
                <w:rFonts w:hint="eastAsia"/>
              </w:rPr>
              <w:t>6</w:t>
            </w:r>
          </w:p>
        </w:tc>
        <w:tc>
          <w:tcPr>
            <w:tcW w:w="1284" w:type="dxa"/>
            <w:vMerge/>
            <w:shd w:val="clear" w:color="auto" w:fill="auto"/>
            <w:vAlign w:val="center"/>
          </w:tcPr>
          <w:p w:rsidR="00271CF4" w:rsidRPr="000A486E" w:rsidRDefault="00271CF4">
            <w:pPr>
              <w:pStyle w:val="afffffffff2"/>
            </w:pPr>
          </w:p>
        </w:tc>
      </w:tr>
      <w:tr w:rsidR="000A486E" w:rsidRPr="000A486E">
        <w:trPr>
          <w:jc w:val="center"/>
        </w:trPr>
        <w:tc>
          <w:tcPr>
            <w:tcW w:w="8090" w:type="dxa"/>
            <w:gridSpan w:val="4"/>
            <w:tcBorders>
              <w:bottom w:val="single" w:sz="8" w:space="0" w:color="auto"/>
            </w:tcBorders>
            <w:shd w:val="clear" w:color="auto" w:fill="auto"/>
            <w:vAlign w:val="center"/>
          </w:tcPr>
          <w:p w:rsidR="00271CF4" w:rsidRPr="000A486E" w:rsidRDefault="001878A3">
            <w:pPr>
              <w:pStyle w:val="afffffffff2"/>
            </w:pPr>
            <w:r w:rsidRPr="000A486E">
              <w:t>合计</w:t>
            </w:r>
          </w:p>
        </w:tc>
        <w:tc>
          <w:tcPr>
            <w:tcW w:w="1284" w:type="dxa"/>
            <w:tcBorders>
              <w:bottom w:val="single" w:sz="8" w:space="0" w:color="auto"/>
            </w:tcBorders>
            <w:shd w:val="clear" w:color="auto" w:fill="auto"/>
            <w:vAlign w:val="center"/>
          </w:tcPr>
          <w:p w:rsidR="00271CF4" w:rsidRPr="000A486E" w:rsidRDefault="00271CF4">
            <w:pPr>
              <w:pStyle w:val="afffffffff2"/>
            </w:pPr>
          </w:p>
        </w:tc>
      </w:tr>
      <w:tr w:rsidR="000A486E" w:rsidRPr="000A486E">
        <w:trPr>
          <w:jc w:val="center"/>
        </w:trPr>
        <w:tc>
          <w:tcPr>
            <w:tcW w:w="9374" w:type="dxa"/>
            <w:gridSpan w:val="5"/>
            <w:tcBorders>
              <w:top w:val="single" w:sz="8" w:space="0" w:color="auto"/>
              <w:bottom w:val="single" w:sz="8" w:space="0" w:color="auto"/>
            </w:tcBorders>
            <w:shd w:val="clear" w:color="auto" w:fill="auto"/>
            <w:vAlign w:val="center"/>
          </w:tcPr>
          <w:p w:rsidR="00271CF4" w:rsidRPr="000A486E" w:rsidRDefault="001878A3">
            <w:pPr>
              <w:pStyle w:val="a5"/>
            </w:pPr>
            <w:r w:rsidRPr="000A486E">
              <w:rPr>
                <w:rFonts w:hint="eastAsia"/>
              </w:rPr>
              <w:t>经营场所面积为同一经营地址内预包装螺蛳粉销售区域、贮存区域场所的面积总和。</w:t>
            </w:r>
          </w:p>
          <w:p w:rsidR="00271CF4" w:rsidRPr="000A486E" w:rsidRDefault="001878A3">
            <w:pPr>
              <w:pStyle w:val="a5"/>
            </w:pPr>
            <w:r w:rsidRPr="000A486E">
              <w:t>表中</w:t>
            </w:r>
            <w:r w:rsidRPr="000A486E">
              <w:rPr>
                <w:rFonts w:hint="eastAsia"/>
              </w:rPr>
              <w:t>风险</w:t>
            </w:r>
            <w:r w:rsidRPr="000A486E">
              <w:t>因素对应的评分指标为选择得分</w:t>
            </w:r>
            <w:r w:rsidRPr="000A486E">
              <w:rPr>
                <w:rFonts w:hint="eastAsia"/>
              </w:rPr>
              <w:t>，同一风险因素存在多个评价指标的，取分值最高的进行计算。</w:t>
            </w:r>
          </w:p>
        </w:tc>
      </w:tr>
    </w:tbl>
    <w:p w:rsidR="00271CF4" w:rsidRPr="000A486E" w:rsidRDefault="00271CF4">
      <w:pPr>
        <w:pStyle w:val="affffe"/>
        <w:ind w:firstLine="420"/>
      </w:pPr>
    </w:p>
    <w:p w:rsidR="00271CF4" w:rsidRPr="000A486E" w:rsidRDefault="00271CF4">
      <w:pPr>
        <w:pStyle w:val="affffe"/>
        <w:ind w:firstLine="420"/>
      </w:pPr>
    </w:p>
    <w:p w:rsidR="00271CF4" w:rsidRPr="000A486E" w:rsidRDefault="00271CF4">
      <w:pPr>
        <w:pStyle w:val="affffe"/>
        <w:ind w:firstLine="420"/>
        <w:sectPr w:rsidR="00271CF4" w:rsidRPr="000A486E" w:rsidSect="005976DD">
          <w:headerReference w:type="even" r:id="rId24"/>
          <w:headerReference w:type="default" r:id="rId25"/>
          <w:footerReference w:type="even" r:id="rId26"/>
          <w:footerReference w:type="default" r:id="rId27"/>
          <w:pgSz w:w="11906" w:h="16838"/>
          <w:pgMar w:top="2410" w:right="1134" w:bottom="1134" w:left="1134" w:header="1418" w:footer="1134" w:gutter="284"/>
          <w:cols w:space="425"/>
          <w:formProt w:val="0"/>
          <w:docGrid w:type="lines" w:linePitch="312"/>
        </w:sectPr>
      </w:pPr>
    </w:p>
    <w:p w:rsidR="00271CF4" w:rsidRDefault="00271CF4">
      <w:pPr>
        <w:pStyle w:val="af8"/>
        <w:rPr>
          <w:vanish w:val="0"/>
        </w:rPr>
      </w:pPr>
    </w:p>
    <w:p w:rsidR="00271CF4" w:rsidRDefault="00271CF4">
      <w:pPr>
        <w:pStyle w:val="afe"/>
        <w:rPr>
          <w:vanish w:val="0"/>
        </w:rPr>
      </w:pPr>
    </w:p>
    <w:p w:rsidR="00271CF4" w:rsidRDefault="001878A3">
      <w:pPr>
        <w:pStyle w:val="aff3"/>
        <w:spacing w:before="78" w:after="156"/>
      </w:pPr>
      <w:r>
        <w:br/>
      </w:r>
      <w:bookmarkStart w:id="114" w:name="_Toc96439881"/>
      <w:bookmarkStart w:id="115" w:name="_Toc97301609"/>
      <w:bookmarkStart w:id="116" w:name="_Toc101796049"/>
      <w:r>
        <w:rPr>
          <w:rFonts w:hint="eastAsia"/>
        </w:rPr>
        <w:t>（规范性）</w:t>
      </w:r>
      <w:r>
        <w:br/>
      </w:r>
      <w:r>
        <w:rPr>
          <w:rFonts w:hint="eastAsia"/>
        </w:rPr>
        <w:t>经营环节动态风险因素量化分值评定</w:t>
      </w:r>
      <w:bookmarkEnd w:id="114"/>
      <w:bookmarkEnd w:id="115"/>
      <w:bookmarkEnd w:id="116"/>
    </w:p>
    <w:p w:rsidR="00271CF4" w:rsidRDefault="001878A3">
      <w:pPr>
        <w:pStyle w:val="affffe"/>
        <w:ind w:firstLine="420"/>
      </w:pPr>
      <w:r>
        <w:rPr>
          <w:rFonts w:hint="eastAsia"/>
        </w:rPr>
        <w:t>经营环节动态风险因素量化分值按照表B.1评定。</w:t>
      </w:r>
    </w:p>
    <w:p w:rsidR="00271CF4" w:rsidRDefault="001878A3">
      <w:pPr>
        <w:pStyle w:val="aff"/>
        <w:spacing w:before="156" w:after="156"/>
      </w:pPr>
      <w:r>
        <w:rPr>
          <w:rFonts w:hint="eastAsia"/>
        </w:rPr>
        <w:t>经营环节动态风险因素量化分值表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1"/>
        <w:gridCol w:w="941"/>
        <w:gridCol w:w="6926"/>
        <w:gridCol w:w="543"/>
        <w:gridCol w:w="543"/>
      </w:tblGrid>
      <w:tr w:rsidR="00271CF4">
        <w:trPr>
          <w:tblHeader/>
          <w:jc w:val="center"/>
        </w:trPr>
        <w:tc>
          <w:tcPr>
            <w:tcW w:w="421" w:type="dxa"/>
            <w:tcBorders>
              <w:top w:val="single" w:sz="8" w:space="0" w:color="auto"/>
              <w:bottom w:val="single" w:sz="8" w:space="0" w:color="auto"/>
            </w:tcBorders>
            <w:shd w:val="clear" w:color="auto" w:fill="auto"/>
            <w:vAlign w:val="center"/>
          </w:tcPr>
          <w:p w:rsidR="00271CF4" w:rsidRDefault="001878A3">
            <w:pPr>
              <w:pStyle w:val="afffffffff2"/>
            </w:pPr>
            <w:r>
              <w:t>序号</w:t>
            </w:r>
          </w:p>
        </w:tc>
        <w:tc>
          <w:tcPr>
            <w:tcW w:w="941" w:type="dxa"/>
            <w:tcBorders>
              <w:top w:val="single" w:sz="8" w:space="0" w:color="auto"/>
              <w:bottom w:val="single" w:sz="8" w:space="0" w:color="auto"/>
            </w:tcBorders>
            <w:shd w:val="clear" w:color="auto" w:fill="auto"/>
            <w:vAlign w:val="center"/>
          </w:tcPr>
          <w:p w:rsidR="00271CF4" w:rsidRDefault="001878A3">
            <w:pPr>
              <w:pStyle w:val="afffffffff2"/>
            </w:pPr>
            <w:r>
              <w:rPr>
                <w:rFonts w:hint="eastAsia"/>
              </w:rPr>
              <w:t>风险</w:t>
            </w:r>
            <w:r>
              <w:t>因素</w:t>
            </w:r>
          </w:p>
        </w:tc>
        <w:tc>
          <w:tcPr>
            <w:tcW w:w="6926" w:type="dxa"/>
            <w:tcBorders>
              <w:top w:val="single" w:sz="8" w:space="0" w:color="auto"/>
              <w:bottom w:val="single" w:sz="8" w:space="0" w:color="auto"/>
            </w:tcBorders>
            <w:shd w:val="clear" w:color="auto" w:fill="auto"/>
            <w:vAlign w:val="center"/>
          </w:tcPr>
          <w:p w:rsidR="00271CF4" w:rsidRDefault="001878A3">
            <w:pPr>
              <w:pStyle w:val="afffffffff2"/>
            </w:pPr>
            <w:r>
              <w:t>评</w:t>
            </w:r>
            <w:r>
              <w:rPr>
                <w:rFonts w:hint="eastAsia"/>
              </w:rPr>
              <w:t>价</w:t>
            </w:r>
            <w:r>
              <w:t>指标</w:t>
            </w:r>
            <w:r>
              <w:rPr>
                <w:rFonts w:hint="eastAsia"/>
              </w:rPr>
              <w:t>（35项）</w:t>
            </w:r>
          </w:p>
        </w:tc>
        <w:tc>
          <w:tcPr>
            <w:tcW w:w="543" w:type="dxa"/>
            <w:tcBorders>
              <w:top w:val="single" w:sz="8" w:space="0" w:color="auto"/>
              <w:bottom w:val="single" w:sz="8" w:space="0" w:color="auto"/>
            </w:tcBorders>
            <w:shd w:val="clear" w:color="auto" w:fill="auto"/>
            <w:vAlign w:val="center"/>
          </w:tcPr>
          <w:p w:rsidR="00271CF4" w:rsidRDefault="001878A3">
            <w:pPr>
              <w:pStyle w:val="afffffffff2"/>
            </w:pPr>
            <w:r>
              <w:t>分值</w:t>
            </w:r>
          </w:p>
        </w:tc>
        <w:tc>
          <w:tcPr>
            <w:tcW w:w="543" w:type="dxa"/>
            <w:tcBorders>
              <w:top w:val="single" w:sz="8" w:space="0" w:color="auto"/>
              <w:bottom w:val="single" w:sz="8" w:space="0" w:color="auto"/>
            </w:tcBorders>
            <w:shd w:val="clear" w:color="auto" w:fill="auto"/>
            <w:vAlign w:val="center"/>
          </w:tcPr>
          <w:p w:rsidR="00271CF4" w:rsidRDefault="001878A3">
            <w:pPr>
              <w:pStyle w:val="afffffffff2"/>
            </w:pPr>
            <w:r>
              <w:t>评分</w:t>
            </w:r>
          </w:p>
        </w:tc>
      </w:tr>
      <w:tr w:rsidR="00271CF4">
        <w:trPr>
          <w:jc w:val="center"/>
        </w:trPr>
        <w:tc>
          <w:tcPr>
            <w:tcW w:w="421" w:type="dxa"/>
            <w:vMerge w:val="restart"/>
            <w:tcBorders>
              <w:top w:val="single" w:sz="8" w:space="0" w:color="auto"/>
            </w:tcBorders>
            <w:shd w:val="clear" w:color="auto" w:fill="auto"/>
            <w:vAlign w:val="center"/>
          </w:tcPr>
          <w:p w:rsidR="00271CF4" w:rsidRDefault="001878A3">
            <w:pPr>
              <w:pStyle w:val="afffffffff2"/>
            </w:pPr>
            <w:r>
              <w:rPr>
                <w:rFonts w:hint="eastAsia"/>
              </w:rPr>
              <w:t>1</w:t>
            </w:r>
          </w:p>
        </w:tc>
        <w:tc>
          <w:tcPr>
            <w:tcW w:w="941" w:type="dxa"/>
            <w:vMerge w:val="restart"/>
            <w:tcBorders>
              <w:top w:val="single" w:sz="8" w:space="0" w:color="auto"/>
            </w:tcBorders>
            <w:shd w:val="clear" w:color="auto" w:fill="auto"/>
            <w:vAlign w:val="center"/>
          </w:tcPr>
          <w:p w:rsidR="00271CF4" w:rsidRDefault="001878A3">
            <w:pPr>
              <w:pStyle w:val="afffffffff2"/>
            </w:pPr>
            <w:r>
              <w:rPr>
                <w:rFonts w:hint="eastAsia"/>
              </w:rPr>
              <w:t>经营资质</w:t>
            </w:r>
          </w:p>
          <w:p w:rsidR="00271CF4" w:rsidRDefault="001878A3">
            <w:pPr>
              <w:pStyle w:val="afffffffff2"/>
            </w:pPr>
            <w:r>
              <w:rPr>
                <w:rFonts w:hint="eastAsia"/>
              </w:rPr>
              <w:t>（4分）</w:t>
            </w:r>
          </w:p>
        </w:tc>
        <w:tc>
          <w:tcPr>
            <w:tcW w:w="6926" w:type="dxa"/>
            <w:tcBorders>
              <w:top w:val="single" w:sz="8" w:space="0" w:color="auto"/>
            </w:tcBorders>
            <w:shd w:val="clear" w:color="auto" w:fill="auto"/>
            <w:vAlign w:val="center"/>
          </w:tcPr>
          <w:p w:rsidR="00271CF4" w:rsidRDefault="001878A3">
            <w:pPr>
              <w:pStyle w:val="afffffffff2"/>
              <w:ind w:firstLineChars="100" w:firstLine="180"/>
              <w:jc w:val="left"/>
            </w:pPr>
            <w:r>
              <w:rPr>
                <w:rFonts w:hint="eastAsia"/>
              </w:rPr>
              <w:t>存在超范围经营情形</w:t>
            </w:r>
          </w:p>
        </w:tc>
        <w:tc>
          <w:tcPr>
            <w:tcW w:w="543" w:type="dxa"/>
            <w:tcBorders>
              <w:top w:val="single" w:sz="8" w:space="0" w:color="auto"/>
            </w:tcBorders>
            <w:shd w:val="clear" w:color="auto" w:fill="auto"/>
            <w:vAlign w:val="center"/>
          </w:tcPr>
          <w:p w:rsidR="00271CF4" w:rsidRDefault="001878A3">
            <w:pPr>
              <w:pStyle w:val="afffffffff2"/>
            </w:pPr>
            <w:r>
              <w:rPr>
                <w:rFonts w:hint="eastAsia"/>
              </w:rPr>
              <w:t>2</w:t>
            </w:r>
          </w:p>
        </w:tc>
        <w:tc>
          <w:tcPr>
            <w:tcW w:w="543" w:type="dxa"/>
            <w:tcBorders>
              <w:top w:val="single" w:sz="8" w:space="0" w:color="auto"/>
            </w:tcBorders>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营业执照未悬挂或摆放在经营场所的醒目位置</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未在网络销售平台上公示营业执照</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val="restart"/>
            <w:shd w:val="clear" w:color="auto" w:fill="auto"/>
            <w:vAlign w:val="center"/>
          </w:tcPr>
          <w:p w:rsidR="00271CF4" w:rsidRDefault="001878A3">
            <w:pPr>
              <w:pStyle w:val="afffffffff2"/>
            </w:pPr>
            <w:r>
              <w:rPr>
                <w:rFonts w:hint="eastAsia"/>
              </w:rPr>
              <w:t>2</w:t>
            </w:r>
          </w:p>
        </w:tc>
        <w:tc>
          <w:tcPr>
            <w:tcW w:w="941" w:type="dxa"/>
            <w:vMerge w:val="restart"/>
            <w:shd w:val="clear" w:color="auto" w:fill="auto"/>
            <w:vAlign w:val="center"/>
          </w:tcPr>
          <w:p w:rsidR="00271CF4" w:rsidRDefault="001878A3">
            <w:pPr>
              <w:pStyle w:val="afffffffff2"/>
            </w:pPr>
            <w:r>
              <w:t>经营条件</w:t>
            </w:r>
          </w:p>
          <w:p w:rsidR="00271CF4" w:rsidRDefault="001878A3">
            <w:pPr>
              <w:pStyle w:val="afffffffff2"/>
            </w:pPr>
            <w:r>
              <w:rPr>
                <w:rFonts w:hint="eastAsia"/>
              </w:rPr>
              <w:t>（11分）</w:t>
            </w:r>
          </w:p>
        </w:tc>
        <w:tc>
          <w:tcPr>
            <w:tcW w:w="6926" w:type="dxa"/>
            <w:shd w:val="clear" w:color="auto" w:fill="auto"/>
            <w:vAlign w:val="center"/>
          </w:tcPr>
          <w:p w:rsidR="00271CF4" w:rsidRDefault="001878A3">
            <w:pPr>
              <w:pStyle w:val="afffffffff2"/>
              <w:ind w:firstLineChars="100" w:firstLine="180"/>
              <w:jc w:val="left"/>
            </w:pPr>
            <w:r>
              <w:rPr>
                <w:rFonts w:hint="eastAsia"/>
              </w:rPr>
              <w:t>销售场所环境脏乱</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t>销售场所布局不合理</w:t>
            </w:r>
            <w:r>
              <w:rPr>
                <w:rFonts w:hint="eastAsia"/>
              </w:rPr>
              <w:t>，</w:t>
            </w:r>
            <w:r>
              <w:t>食品和非食品销售区域未分开设置</w:t>
            </w:r>
            <w:r>
              <w:rPr>
                <w:rFonts w:hint="eastAsia"/>
              </w:rPr>
              <w:t>，没</w:t>
            </w:r>
            <w:r>
              <w:t>有固定的存放位置和标识</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销售场所和贮存场所与生活区未分（隔）开</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在销售场所外设置或租赁贮存场所未及时报告</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经营和贮存场所设在易污染区域，距离裸露粪坑、无法排水的污水池等污染源25米以内</w:t>
            </w:r>
          </w:p>
        </w:tc>
        <w:tc>
          <w:tcPr>
            <w:tcW w:w="543" w:type="dxa"/>
            <w:shd w:val="clear" w:color="auto" w:fill="auto"/>
            <w:vAlign w:val="center"/>
          </w:tcPr>
          <w:p w:rsidR="00271CF4" w:rsidRDefault="001878A3">
            <w:pPr>
              <w:pStyle w:val="afffffffff2"/>
            </w:pPr>
            <w:r>
              <w:rPr>
                <w:rFonts w:hint="eastAsia"/>
              </w:rPr>
              <w:t>4</w:t>
            </w:r>
          </w:p>
        </w:tc>
        <w:tc>
          <w:tcPr>
            <w:tcW w:w="543" w:type="dxa"/>
            <w:shd w:val="clear" w:color="auto" w:fill="auto"/>
            <w:vAlign w:val="center"/>
          </w:tcPr>
          <w:p w:rsidR="00271CF4" w:rsidRDefault="00271CF4">
            <w:pPr>
              <w:pStyle w:val="afffffffff2"/>
            </w:pPr>
          </w:p>
        </w:tc>
      </w:tr>
      <w:tr w:rsidR="00271CF4">
        <w:trPr>
          <w:jc w:val="center"/>
        </w:trPr>
        <w:tc>
          <w:tcPr>
            <w:tcW w:w="421" w:type="dxa"/>
            <w:vMerge w:val="restart"/>
            <w:shd w:val="clear" w:color="auto" w:fill="auto"/>
            <w:vAlign w:val="center"/>
          </w:tcPr>
          <w:p w:rsidR="00271CF4" w:rsidRDefault="001878A3">
            <w:pPr>
              <w:pStyle w:val="afffffffff2"/>
            </w:pPr>
            <w:r>
              <w:rPr>
                <w:rFonts w:hint="eastAsia"/>
              </w:rPr>
              <w:t>3</w:t>
            </w:r>
          </w:p>
        </w:tc>
        <w:tc>
          <w:tcPr>
            <w:tcW w:w="941" w:type="dxa"/>
            <w:vMerge w:val="restart"/>
            <w:shd w:val="clear" w:color="auto" w:fill="auto"/>
            <w:vAlign w:val="center"/>
          </w:tcPr>
          <w:p w:rsidR="00271CF4" w:rsidRDefault="001878A3">
            <w:pPr>
              <w:pStyle w:val="afffffffff2"/>
            </w:pPr>
            <w:r>
              <w:rPr>
                <w:rFonts w:hint="eastAsia"/>
              </w:rPr>
              <w:t>自查情况</w:t>
            </w:r>
          </w:p>
          <w:p w:rsidR="00271CF4" w:rsidRDefault="001878A3">
            <w:pPr>
              <w:pStyle w:val="afffffffff2"/>
            </w:pPr>
            <w:r>
              <w:rPr>
                <w:rFonts w:hint="eastAsia"/>
              </w:rPr>
              <w:t>（6分）</w:t>
            </w:r>
          </w:p>
        </w:tc>
        <w:tc>
          <w:tcPr>
            <w:tcW w:w="6926" w:type="dxa"/>
            <w:shd w:val="clear" w:color="auto" w:fill="auto"/>
            <w:vAlign w:val="center"/>
          </w:tcPr>
          <w:p w:rsidR="00271CF4" w:rsidRDefault="001878A3">
            <w:pPr>
              <w:pStyle w:val="afffffffff2"/>
              <w:ind w:firstLineChars="100" w:firstLine="180"/>
              <w:jc w:val="left"/>
            </w:pPr>
            <w:r>
              <w:rPr>
                <w:rFonts w:hint="eastAsia"/>
              </w:rPr>
              <w:t>未建立食品安全自查制度</w:t>
            </w:r>
          </w:p>
        </w:tc>
        <w:tc>
          <w:tcPr>
            <w:tcW w:w="543" w:type="dxa"/>
            <w:shd w:val="clear" w:color="auto" w:fill="auto"/>
            <w:vAlign w:val="center"/>
          </w:tcPr>
          <w:p w:rsidR="00271CF4" w:rsidRDefault="001878A3">
            <w:pPr>
              <w:pStyle w:val="afffffffff2"/>
            </w:pPr>
            <w:r>
              <w:rPr>
                <w:rFonts w:hint="eastAsia"/>
              </w:rPr>
              <w:t>3</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未定期对预包装螺蛳粉食品安全状况进行检查评价，经营条件发生变化，不再符合食品安全要求的，未立即采取整改措施</w:t>
            </w:r>
          </w:p>
        </w:tc>
        <w:tc>
          <w:tcPr>
            <w:tcW w:w="543" w:type="dxa"/>
            <w:shd w:val="clear" w:color="auto" w:fill="auto"/>
            <w:vAlign w:val="center"/>
          </w:tcPr>
          <w:p w:rsidR="00271CF4" w:rsidRDefault="001878A3">
            <w:pPr>
              <w:pStyle w:val="afffffffff2"/>
            </w:pPr>
            <w:r>
              <w:rPr>
                <w:rFonts w:hint="eastAsia"/>
              </w:rPr>
              <w:t>3</w:t>
            </w:r>
          </w:p>
        </w:tc>
        <w:tc>
          <w:tcPr>
            <w:tcW w:w="543" w:type="dxa"/>
            <w:shd w:val="clear" w:color="auto" w:fill="auto"/>
            <w:vAlign w:val="center"/>
          </w:tcPr>
          <w:p w:rsidR="00271CF4" w:rsidRDefault="00271CF4">
            <w:pPr>
              <w:pStyle w:val="afffffffff2"/>
            </w:pPr>
          </w:p>
        </w:tc>
      </w:tr>
      <w:tr w:rsidR="00271CF4">
        <w:trPr>
          <w:jc w:val="center"/>
        </w:trPr>
        <w:tc>
          <w:tcPr>
            <w:tcW w:w="421" w:type="dxa"/>
            <w:vMerge w:val="restart"/>
            <w:shd w:val="clear" w:color="auto" w:fill="auto"/>
            <w:vAlign w:val="center"/>
          </w:tcPr>
          <w:p w:rsidR="00271CF4" w:rsidRDefault="001878A3">
            <w:pPr>
              <w:pStyle w:val="afffffffff2"/>
            </w:pPr>
            <w:r>
              <w:rPr>
                <w:rFonts w:hint="eastAsia"/>
              </w:rPr>
              <w:t>4</w:t>
            </w:r>
          </w:p>
        </w:tc>
        <w:tc>
          <w:tcPr>
            <w:tcW w:w="941" w:type="dxa"/>
            <w:vMerge w:val="restart"/>
            <w:shd w:val="clear" w:color="auto" w:fill="auto"/>
            <w:vAlign w:val="center"/>
          </w:tcPr>
          <w:p w:rsidR="00271CF4" w:rsidRDefault="001878A3">
            <w:pPr>
              <w:pStyle w:val="afffffffff2"/>
            </w:pPr>
            <w:r>
              <w:t>食品安全管理制度</w:t>
            </w:r>
          </w:p>
          <w:p w:rsidR="00271CF4" w:rsidRDefault="001878A3">
            <w:pPr>
              <w:pStyle w:val="afffffffff2"/>
            </w:pPr>
            <w:r>
              <w:rPr>
                <w:rFonts w:hint="eastAsia"/>
              </w:rPr>
              <w:t>（9分）</w:t>
            </w:r>
          </w:p>
        </w:tc>
        <w:tc>
          <w:tcPr>
            <w:tcW w:w="6926" w:type="dxa"/>
            <w:shd w:val="clear" w:color="auto" w:fill="auto"/>
            <w:vAlign w:val="center"/>
          </w:tcPr>
          <w:p w:rsidR="00271CF4" w:rsidRDefault="001878A3">
            <w:pPr>
              <w:pStyle w:val="afffffffff2"/>
              <w:ind w:firstLineChars="100" w:firstLine="180"/>
              <w:jc w:val="left"/>
            </w:pPr>
            <w:r>
              <w:rPr>
                <w:rFonts w:hint="eastAsia"/>
              </w:rPr>
              <w:t>未建立并执行食品安全管理制度</w:t>
            </w:r>
          </w:p>
        </w:tc>
        <w:tc>
          <w:tcPr>
            <w:tcW w:w="543" w:type="dxa"/>
            <w:shd w:val="clear" w:color="auto" w:fill="auto"/>
            <w:vAlign w:val="center"/>
          </w:tcPr>
          <w:p w:rsidR="00271CF4" w:rsidRDefault="001878A3">
            <w:pPr>
              <w:pStyle w:val="afffffffff2"/>
            </w:pPr>
            <w:r>
              <w:rPr>
                <w:rFonts w:hint="eastAsia"/>
              </w:rPr>
              <w:t>3</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未配备食品安全管理人员</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未对其食品安全管理人员进行培训和考核</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食品安全监管部门实施监督抽查时，食品安全管理人员不能够准确、全面予以答复</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存在经市场监管部门抽查考核不合格的食品安全管理人员在岗从事食品安全管理工作的情况</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val="restart"/>
            <w:shd w:val="clear" w:color="auto" w:fill="auto"/>
            <w:vAlign w:val="center"/>
          </w:tcPr>
          <w:p w:rsidR="00271CF4" w:rsidRDefault="001878A3">
            <w:pPr>
              <w:pStyle w:val="afffffffff2"/>
            </w:pPr>
            <w:r>
              <w:rPr>
                <w:rFonts w:hint="eastAsia"/>
              </w:rPr>
              <w:t>5</w:t>
            </w:r>
          </w:p>
        </w:tc>
        <w:tc>
          <w:tcPr>
            <w:tcW w:w="941" w:type="dxa"/>
            <w:vMerge w:val="restart"/>
            <w:shd w:val="clear" w:color="auto" w:fill="auto"/>
            <w:vAlign w:val="center"/>
          </w:tcPr>
          <w:p w:rsidR="00271CF4" w:rsidRDefault="001878A3">
            <w:pPr>
              <w:pStyle w:val="afffffffff2"/>
            </w:pPr>
            <w:r>
              <w:t>人员管理</w:t>
            </w:r>
          </w:p>
          <w:p w:rsidR="00271CF4" w:rsidRDefault="001878A3">
            <w:pPr>
              <w:pStyle w:val="afffffffff2"/>
            </w:pPr>
            <w:r>
              <w:rPr>
                <w:rFonts w:hint="eastAsia"/>
              </w:rPr>
              <w:t>（3分）</w:t>
            </w:r>
          </w:p>
        </w:tc>
        <w:tc>
          <w:tcPr>
            <w:tcW w:w="6926" w:type="dxa"/>
            <w:shd w:val="clear" w:color="auto" w:fill="auto"/>
            <w:vAlign w:val="center"/>
          </w:tcPr>
          <w:p w:rsidR="00271CF4" w:rsidRDefault="001878A3">
            <w:pPr>
              <w:pStyle w:val="afffffffff2"/>
              <w:ind w:firstLineChars="100" w:firstLine="180"/>
              <w:jc w:val="left"/>
            </w:pPr>
            <w:r>
              <w:rPr>
                <w:rFonts w:hint="eastAsia"/>
              </w:rPr>
              <w:t>未建立并执行从业人员健康管理制度</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未对从业人员进行食品安全知识培训</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val="restart"/>
            <w:shd w:val="clear" w:color="auto" w:fill="auto"/>
            <w:vAlign w:val="center"/>
          </w:tcPr>
          <w:p w:rsidR="00271CF4" w:rsidRDefault="001878A3">
            <w:pPr>
              <w:pStyle w:val="afffffffff2"/>
            </w:pPr>
            <w:r>
              <w:rPr>
                <w:rFonts w:hint="eastAsia"/>
              </w:rPr>
              <w:t>6</w:t>
            </w:r>
          </w:p>
        </w:tc>
        <w:tc>
          <w:tcPr>
            <w:tcW w:w="941" w:type="dxa"/>
            <w:vMerge w:val="restart"/>
            <w:shd w:val="clear" w:color="auto" w:fill="auto"/>
            <w:vAlign w:val="center"/>
          </w:tcPr>
          <w:p w:rsidR="00271CF4" w:rsidRDefault="001878A3">
            <w:pPr>
              <w:pStyle w:val="afffffffff2"/>
            </w:pPr>
            <w:r>
              <w:t>经营过程控制</w:t>
            </w:r>
            <w:r>
              <w:rPr>
                <w:rFonts w:hint="eastAsia"/>
              </w:rPr>
              <w:t>（29分）</w:t>
            </w:r>
          </w:p>
        </w:tc>
        <w:tc>
          <w:tcPr>
            <w:tcW w:w="6926" w:type="dxa"/>
            <w:shd w:val="clear" w:color="auto" w:fill="auto"/>
            <w:vAlign w:val="center"/>
          </w:tcPr>
          <w:p w:rsidR="00271CF4" w:rsidRDefault="001878A3">
            <w:pPr>
              <w:pStyle w:val="afffffffff2"/>
              <w:ind w:firstLineChars="100" w:firstLine="180"/>
              <w:jc w:val="left"/>
            </w:pPr>
            <w:r>
              <w:rPr>
                <w:rFonts w:hint="eastAsia"/>
              </w:rPr>
              <w:t>采购时，未查验供货者的许可证和预包装螺蛳粉出厂检验合格证或者其他合格证明（以下称合格证明文件）</w:t>
            </w:r>
          </w:p>
        </w:tc>
        <w:tc>
          <w:tcPr>
            <w:tcW w:w="543" w:type="dxa"/>
            <w:shd w:val="clear" w:color="auto" w:fill="auto"/>
            <w:vAlign w:val="center"/>
          </w:tcPr>
          <w:p w:rsidR="00271CF4" w:rsidRDefault="001878A3">
            <w:pPr>
              <w:pStyle w:val="afffffffff2"/>
            </w:pPr>
            <w:r>
              <w:rPr>
                <w:rFonts w:hint="eastAsia"/>
              </w:rPr>
              <w:t>4</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未建立食品进货</w:t>
            </w:r>
            <w:proofErr w:type="gramStart"/>
            <w:r>
              <w:rPr>
                <w:rFonts w:hint="eastAsia"/>
              </w:rPr>
              <w:t>査验记录</w:t>
            </w:r>
            <w:proofErr w:type="gramEnd"/>
            <w:r>
              <w:rPr>
                <w:rFonts w:hint="eastAsia"/>
              </w:rPr>
              <w:t>制度</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未如实记录所采购预包装螺蛳粉的名称、规格、数量、生产日期或者生产批号、保质期、进货日期以及供货者名称、地址、联系方式等内容，未保存相关凭证</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未按照标签标示的警示标志、警示说明或者注意事项的要求贮存和销售</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未定期检查库存，及时清理变质或者超过保质期的预包装螺蛳粉</w:t>
            </w:r>
          </w:p>
        </w:tc>
        <w:tc>
          <w:tcPr>
            <w:tcW w:w="543" w:type="dxa"/>
            <w:shd w:val="clear" w:color="auto" w:fill="auto"/>
            <w:vAlign w:val="center"/>
          </w:tcPr>
          <w:p w:rsidR="00271CF4" w:rsidRDefault="001878A3">
            <w:pPr>
              <w:pStyle w:val="afffffffff2"/>
            </w:pPr>
            <w:r>
              <w:rPr>
                <w:rFonts w:hint="eastAsia"/>
              </w:rPr>
              <w:t>4</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tcBorders>
              <w:top w:val="single" w:sz="4" w:space="0" w:color="auto"/>
            </w:tcBorders>
            <w:shd w:val="clear" w:color="auto" w:fill="auto"/>
            <w:vAlign w:val="center"/>
          </w:tcPr>
          <w:p w:rsidR="00271CF4" w:rsidRDefault="001878A3">
            <w:pPr>
              <w:pStyle w:val="afffffffff2"/>
              <w:ind w:firstLineChars="100" w:firstLine="180"/>
              <w:jc w:val="left"/>
            </w:pPr>
            <w:r>
              <w:rPr>
                <w:rFonts w:hint="eastAsia"/>
              </w:rPr>
              <w:t>预包装螺蛳粉贮存隔墙离地距离在10厘米以内</w:t>
            </w:r>
          </w:p>
        </w:tc>
        <w:tc>
          <w:tcPr>
            <w:tcW w:w="543" w:type="dxa"/>
            <w:tcBorders>
              <w:top w:val="single" w:sz="4" w:space="0" w:color="auto"/>
            </w:tcBorders>
            <w:shd w:val="clear" w:color="auto" w:fill="auto"/>
            <w:vAlign w:val="center"/>
          </w:tcPr>
          <w:p w:rsidR="00271CF4" w:rsidRDefault="001878A3">
            <w:pPr>
              <w:pStyle w:val="afffffffff2"/>
            </w:pPr>
            <w:r>
              <w:rPr>
                <w:rFonts w:hint="eastAsia"/>
              </w:rPr>
              <w:t>4</w:t>
            </w:r>
          </w:p>
        </w:tc>
        <w:tc>
          <w:tcPr>
            <w:tcW w:w="543" w:type="dxa"/>
            <w:tcBorders>
              <w:top w:val="single" w:sz="4" w:space="0" w:color="auto"/>
            </w:tcBorders>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从事批发业务的，未建立食品销售记录制度</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从事批发业务的，未如实记录批发预包装螺蛳粉的名称、规格、数量、生产日期或者生产批号、保质期、销售日期以及购货者名称、地址、联系方式等内容，并保存相关凭证</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bl>
    <w:p w:rsidR="00271CF4" w:rsidRDefault="001878A3">
      <w:pPr>
        <w:pStyle w:val="affffe"/>
        <w:spacing w:beforeLines="50" w:before="156" w:afterLines="50" w:after="156"/>
        <w:ind w:firstLineChars="0" w:firstLine="0"/>
        <w:jc w:val="center"/>
        <w:rPr>
          <w:rFonts w:ascii="黑体" w:eastAsia="黑体" w:hAnsi="黑体"/>
        </w:rPr>
      </w:pPr>
      <w:bookmarkStart w:id="117" w:name="BookMark8"/>
      <w:bookmarkEnd w:id="109"/>
      <w:r>
        <w:rPr>
          <w:rFonts w:ascii="黑体" w:eastAsia="黑体" w:hAnsi="黑体" w:hint="eastAsia"/>
        </w:rPr>
        <w:lastRenderedPageBreak/>
        <w:t>表B.1  经营环节动态风险因素量化分值表</w:t>
      </w:r>
      <w:r>
        <w:rPr>
          <w:rFonts w:hAnsi="宋体" w:hint="eastAsia"/>
        </w:rPr>
        <w:t>（续）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1"/>
        <w:gridCol w:w="941"/>
        <w:gridCol w:w="6926"/>
        <w:gridCol w:w="543"/>
        <w:gridCol w:w="543"/>
      </w:tblGrid>
      <w:tr w:rsidR="00271CF4">
        <w:trPr>
          <w:tblHeader/>
          <w:jc w:val="center"/>
        </w:trPr>
        <w:tc>
          <w:tcPr>
            <w:tcW w:w="421" w:type="dxa"/>
            <w:tcBorders>
              <w:top w:val="single" w:sz="8" w:space="0" w:color="auto"/>
              <w:bottom w:val="single" w:sz="8" w:space="0" w:color="auto"/>
            </w:tcBorders>
            <w:shd w:val="clear" w:color="auto" w:fill="auto"/>
            <w:vAlign w:val="center"/>
          </w:tcPr>
          <w:p w:rsidR="00271CF4" w:rsidRDefault="001878A3">
            <w:pPr>
              <w:pStyle w:val="afffffffff2"/>
            </w:pPr>
            <w:r>
              <w:t>序号</w:t>
            </w:r>
          </w:p>
        </w:tc>
        <w:tc>
          <w:tcPr>
            <w:tcW w:w="941" w:type="dxa"/>
            <w:tcBorders>
              <w:top w:val="single" w:sz="8" w:space="0" w:color="auto"/>
              <w:bottom w:val="single" w:sz="8" w:space="0" w:color="auto"/>
            </w:tcBorders>
            <w:shd w:val="clear" w:color="auto" w:fill="auto"/>
            <w:vAlign w:val="center"/>
          </w:tcPr>
          <w:p w:rsidR="00271CF4" w:rsidRDefault="001878A3">
            <w:pPr>
              <w:pStyle w:val="afffffffff2"/>
            </w:pPr>
            <w:r>
              <w:rPr>
                <w:rFonts w:hint="eastAsia"/>
              </w:rPr>
              <w:t>风险</w:t>
            </w:r>
            <w:r>
              <w:t>因素</w:t>
            </w:r>
          </w:p>
        </w:tc>
        <w:tc>
          <w:tcPr>
            <w:tcW w:w="6926" w:type="dxa"/>
            <w:tcBorders>
              <w:top w:val="single" w:sz="8" w:space="0" w:color="auto"/>
              <w:bottom w:val="single" w:sz="8" w:space="0" w:color="auto"/>
            </w:tcBorders>
            <w:shd w:val="clear" w:color="auto" w:fill="auto"/>
            <w:vAlign w:val="center"/>
          </w:tcPr>
          <w:p w:rsidR="00271CF4" w:rsidRDefault="001878A3">
            <w:pPr>
              <w:pStyle w:val="afffffffff2"/>
            </w:pPr>
            <w:r>
              <w:t>评</w:t>
            </w:r>
            <w:r>
              <w:rPr>
                <w:rFonts w:hint="eastAsia"/>
              </w:rPr>
              <w:t>价</w:t>
            </w:r>
            <w:r>
              <w:t>指标</w:t>
            </w:r>
            <w:r>
              <w:rPr>
                <w:rFonts w:hint="eastAsia"/>
              </w:rPr>
              <w:t>（35项）</w:t>
            </w:r>
          </w:p>
        </w:tc>
        <w:tc>
          <w:tcPr>
            <w:tcW w:w="543" w:type="dxa"/>
            <w:tcBorders>
              <w:top w:val="single" w:sz="8" w:space="0" w:color="auto"/>
              <w:bottom w:val="single" w:sz="8" w:space="0" w:color="auto"/>
            </w:tcBorders>
            <w:shd w:val="clear" w:color="auto" w:fill="auto"/>
            <w:vAlign w:val="center"/>
          </w:tcPr>
          <w:p w:rsidR="00271CF4" w:rsidRDefault="001878A3">
            <w:pPr>
              <w:pStyle w:val="afffffffff2"/>
            </w:pPr>
            <w:r>
              <w:t>分值</w:t>
            </w:r>
          </w:p>
        </w:tc>
        <w:tc>
          <w:tcPr>
            <w:tcW w:w="543" w:type="dxa"/>
            <w:tcBorders>
              <w:top w:val="single" w:sz="8" w:space="0" w:color="auto"/>
              <w:bottom w:val="single" w:sz="8" w:space="0" w:color="auto"/>
            </w:tcBorders>
            <w:shd w:val="clear" w:color="auto" w:fill="auto"/>
            <w:vAlign w:val="center"/>
          </w:tcPr>
          <w:p w:rsidR="00271CF4" w:rsidRDefault="001878A3">
            <w:pPr>
              <w:pStyle w:val="afffffffff2"/>
            </w:pPr>
            <w:r>
              <w:t>评分</w:t>
            </w:r>
          </w:p>
        </w:tc>
      </w:tr>
      <w:tr w:rsidR="00271CF4">
        <w:trPr>
          <w:jc w:val="center"/>
        </w:trPr>
        <w:tc>
          <w:tcPr>
            <w:tcW w:w="421" w:type="dxa"/>
            <w:vMerge w:val="restart"/>
            <w:shd w:val="clear" w:color="auto" w:fill="auto"/>
            <w:vAlign w:val="center"/>
          </w:tcPr>
          <w:p w:rsidR="00271CF4" w:rsidRDefault="00271CF4">
            <w:pPr>
              <w:pStyle w:val="afffffffff2"/>
            </w:pPr>
          </w:p>
        </w:tc>
        <w:tc>
          <w:tcPr>
            <w:tcW w:w="941" w:type="dxa"/>
            <w:vMerge w:val="restart"/>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未按要求停止销售、召回、报告不符合食品安全标准或者证明可能危害人体健康的预包装螺蛳粉</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未建立食品安全追溯体系，保证预包装螺蛳粉可追溯</w:t>
            </w:r>
          </w:p>
        </w:tc>
        <w:tc>
          <w:tcPr>
            <w:tcW w:w="543" w:type="dxa"/>
            <w:shd w:val="clear" w:color="auto" w:fill="auto"/>
            <w:vAlign w:val="center"/>
          </w:tcPr>
          <w:p w:rsidR="00271CF4" w:rsidRDefault="001878A3">
            <w:pPr>
              <w:pStyle w:val="afffffffff2"/>
            </w:pPr>
            <w:r>
              <w:rPr>
                <w:rFonts w:hint="eastAsia"/>
              </w:rPr>
              <w:t>3</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未张贴并保持上次监督检查结果记录</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利用自动售货设备销售的，未在自动售货设备的显著位置标明经营者名称、地址、联系方式、营业执照等信息，自动售货设备及其放置地址符合食品安全</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未</w:t>
            </w:r>
            <w:r>
              <w:t>建立消费投诉举报处理制度</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val="restart"/>
            <w:shd w:val="clear" w:color="auto" w:fill="auto"/>
            <w:vAlign w:val="center"/>
          </w:tcPr>
          <w:p w:rsidR="00271CF4" w:rsidRDefault="001878A3">
            <w:pPr>
              <w:pStyle w:val="afffffffff2"/>
            </w:pPr>
            <w:r>
              <w:rPr>
                <w:rFonts w:hint="eastAsia"/>
              </w:rPr>
              <w:t>7</w:t>
            </w:r>
          </w:p>
        </w:tc>
        <w:tc>
          <w:tcPr>
            <w:tcW w:w="941" w:type="dxa"/>
            <w:vMerge w:val="restart"/>
            <w:shd w:val="clear" w:color="auto" w:fill="auto"/>
            <w:vAlign w:val="center"/>
          </w:tcPr>
          <w:p w:rsidR="00271CF4" w:rsidRDefault="001878A3">
            <w:pPr>
              <w:pStyle w:val="afffffffff2"/>
            </w:pPr>
            <w:r>
              <w:t>外观质量状况</w:t>
            </w:r>
            <w:r>
              <w:rPr>
                <w:rFonts w:hint="eastAsia"/>
              </w:rPr>
              <w:t>（8分）</w:t>
            </w:r>
          </w:p>
        </w:tc>
        <w:tc>
          <w:tcPr>
            <w:tcW w:w="6926" w:type="dxa"/>
            <w:shd w:val="clear" w:color="auto" w:fill="auto"/>
            <w:vAlign w:val="center"/>
          </w:tcPr>
          <w:p w:rsidR="00271CF4" w:rsidRDefault="001878A3">
            <w:pPr>
              <w:pStyle w:val="afffffffff2"/>
              <w:ind w:firstLineChars="100" w:firstLine="180"/>
              <w:jc w:val="left"/>
            </w:pPr>
            <w:r>
              <w:rPr>
                <w:rFonts w:hint="eastAsia"/>
              </w:rPr>
              <w:t>抽查的预包装螺蛳</w:t>
            </w:r>
            <w:proofErr w:type="gramStart"/>
            <w:r>
              <w:rPr>
                <w:rFonts w:hint="eastAsia"/>
              </w:rPr>
              <w:t>粉超过</w:t>
            </w:r>
            <w:proofErr w:type="gramEnd"/>
            <w:r>
              <w:rPr>
                <w:rFonts w:hint="eastAsia"/>
              </w:rPr>
              <w:t>保质期</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抽查的预包装螺蛳粉感官性状异常</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抽查的预包装螺蛳粉包装上标签标明的内容不符合食品安全法等法律法规的规定</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抽查的预包装螺蛳粉标签、说明书不清楚、不明显，生产日期、保质期等事项未显著标注，不容易辨识</w:t>
            </w:r>
          </w:p>
        </w:tc>
        <w:tc>
          <w:tcPr>
            <w:tcW w:w="543" w:type="dxa"/>
            <w:shd w:val="clear" w:color="auto" w:fill="auto"/>
            <w:vAlign w:val="center"/>
          </w:tcPr>
          <w:p w:rsidR="00271CF4" w:rsidRDefault="001878A3">
            <w:pPr>
              <w:pStyle w:val="afffffffff2"/>
            </w:pPr>
            <w:r>
              <w:rPr>
                <w:rFonts w:hint="eastAsia"/>
              </w:rPr>
              <w:t>1</w:t>
            </w:r>
          </w:p>
        </w:tc>
        <w:tc>
          <w:tcPr>
            <w:tcW w:w="543" w:type="dxa"/>
            <w:shd w:val="clear" w:color="auto" w:fill="auto"/>
            <w:vAlign w:val="center"/>
          </w:tcPr>
          <w:p w:rsidR="00271CF4" w:rsidRDefault="00271CF4">
            <w:pPr>
              <w:pStyle w:val="afffffffff2"/>
            </w:pPr>
          </w:p>
        </w:tc>
      </w:tr>
      <w:tr w:rsidR="00271CF4">
        <w:trPr>
          <w:jc w:val="center"/>
        </w:trPr>
        <w:tc>
          <w:tcPr>
            <w:tcW w:w="421" w:type="dxa"/>
            <w:vMerge/>
            <w:shd w:val="clear" w:color="auto" w:fill="auto"/>
            <w:vAlign w:val="center"/>
          </w:tcPr>
          <w:p w:rsidR="00271CF4" w:rsidRDefault="00271CF4">
            <w:pPr>
              <w:pStyle w:val="afffffffff2"/>
            </w:pPr>
          </w:p>
        </w:tc>
        <w:tc>
          <w:tcPr>
            <w:tcW w:w="941" w:type="dxa"/>
            <w:vMerge/>
            <w:shd w:val="clear" w:color="auto" w:fill="auto"/>
            <w:vAlign w:val="center"/>
          </w:tcPr>
          <w:p w:rsidR="00271CF4" w:rsidRDefault="00271CF4">
            <w:pPr>
              <w:pStyle w:val="afffffffff2"/>
            </w:pPr>
          </w:p>
        </w:tc>
        <w:tc>
          <w:tcPr>
            <w:tcW w:w="6926" w:type="dxa"/>
            <w:shd w:val="clear" w:color="auto" w:fill="auto"/>
            <w:vAlign w:val="center"/>
          </w:tcPr>
          <w:p w:rsidR="00271CF4" w:rsidRDefault="001878A3">
            <w:pPr>
              <w:pStyle w:val="afffffffff2"/>
              <w:ind w:firstLineChars="100" w:firstLine="180"/>
              <w:jc w:val="left"/>
            </w:pPr>
            <w:r>
              <w:rPr>
                <w:rFonts w:hint="eastAsia"/>
              </w:rPr>
              <w:t>经营场所、网络销售平台设置或摆放的广告的内容存在虚假违法情况</w:t>
            </w:r>
          </w:p>
        </w:tc>
        <w:tc>
          <w:tcPr>
            <w:tcW w:w="543" w:type="dxa"/>
            <w:shd w:val="clear" w:color="auto" w:fill="auto"/>
            <w:vAlign w:val="center"/>
          </w:tcPr>
          <w:p w:rsidR="00271CF4" w:rsidRDefault="001878A3">
            <w:pPr>
              <w:pStyle w:val="afffffffff2"/>
            </w:pPr>
            <w:r>
              <w:rPr>
                <w:rFonts w:hint="eastAsia"/>
              </w:rPr>
              <w:t>2</w:t>
            </w:r>
          </w:p>
        </w:tc>
        <w:tc>
          <w:tcPr>
            <w:tcW w:w="543" w:type="dxa"/>
            <w:shd w:val="clear" w:color="auto" w:fill="auto"/>
            <w:vAlign w:val="center"/>
          </w:tcPr>
          <w:p w:rsidR="00271CF4" w:rsidRDefault="00271CF4">
            <w:pPr>
              <w:pStyle w:val="afffffffff2"/>
            </w:pPr>
          </w:p>
        </w:tc>
      </w:tr>
      <w:tr w:rsidR="00271CF4">
        <w:trPr>
          <w:jc w:val="center"/>
        </w:trPr>
        <w:tc>
          <w:tcPr>
            <w:tcW w:w="8831" w:type="dxa"/>
            <w:gridSpan w:val="4"/>
            <w:tcBorders>
              <w:bottom w:val="single" w:sz="8" w:space="0" w:color="auto"/>
            </w:tcBorders>
            <w:shd w:val="clear" w:color="auto" w:fill="auto"/>
            <w:vAlign w:val="center"/>
          </w:tcPr>
          <w:p w:rsidR="00271CF4" w:rsidRDefault="001878A3">
            <w:pPr>
              <w:pStyle w:val="afffffffff2"/>
            </w:pPr>
            <w:r>
              <w:rPr>
                <w:rFonts w:hint="eastAsia"/>
              </w:rPr>
              <w:t>合计</w:t>
            </w:r>
          </w:p>
        </w:tc>
        <w:tc>
          <w:tcPr>
            <w:tcW w:w="543" w:type="dxa"/>
            <w:tcBorders>
              <w:bottom w:val="single" w:sz="8" w:space="0" w:color="auto"/>
            </w:tcBorders>
            <w:shd w:val="clear" w:color="auto" w:fill="auto"/>
            <w:vAlign w:val="center"/>
          </w:tcPr>
          <w:p w:rsidR="00271CF4" w:rsidRDefault="00271CF4">
            <w:pPr>
              <w:pStyle w:val="afffffffff2"/>
            </w:pPr>
          </w:p>
        </w:tc>
      </w:tr>
      <w:tr w:rsidR="00271CF4">
        <w:trPr>
          <w:jc w:val="center"/>
        </w:trPr>
        <w:tc>
          <w:tcPr>
            <w:tcW w:w="9374" w:type="dxa"/>
            <w:gridSpan w:val="5"/>
            <w:tcBorders>
              <w:top w:val="single" w:sz="8" w:space="0" w:color="auto"/>
              <w:bottom w:val="single" w:sz="8" w:space="0" w:color="auto"/>
            </w:tcBorders>
            <w:shd w:val="clear" w:color="auto" w:fill="auto"/>
            <w:vAlign w:val="center"/>
          </w:tcPr>
          <w:p w:rsidR="00271CF4" w:rsidRDefault="001878A3">
            <w:pPr>
              <w:pStyle w:val="a5"/>
              <w:numPr>
                <w:ilvl w:val="0"/>
                <w:numId w:val="35"/>
              </w:numPr>
            </w:pPr>
            <w:r>
              <w:rPr>
                <w:rFonts w:hint="eastAsia"/>
              </w:rPr>
              <w:t>表中风险因素对应的评分指标为选择得分。</w:t>
            </w:r>
          </w:p>
          <w:p w:rsidR="00271CF4" w:rsidRDefault="001878A3">
            <w:pPr>
              <w:pStyle w:val="a5"/>
              <w:numPr>
                <w:ilvl w:val="0"/>
                <w:numId w:val="35"/>
              </w:numPr>
            </w:pPr>
            <w:r>
              <w:rPr>
                <w:rFonts w:hint="eastAsia"/>
              </w:rPr>
              <w:t>检查时发现不存在评分指标情形的，不予计分。</w:t>
            </w:r>
          </w:p>
        </w:tc>
      </w:tr>
    </w:tbl>
    <w:p w:rsidR="00271CF4" w:rsidRDefault="001878A3">
      <w:pPr>
        <w:pStyle w:val="affffe"/>
        <w:ind w:firstLineChars="0" w:firstLine="0"/>
        <w:jc w:val="center"/>
      </w:pPr>
      <w:r>
        <w:rPr>
          <w:noProof/>
        </w:rPr>
        <w:drawing>
          <wp:inline distT="0" distB="0" distL="0" distR="0" wp14:anchorId="688F3837" wp14:editId="596C7956">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8"/>
                    <a:stretch>
                      <a:fillRect/>
                    </a:stretch>
                  </pic:blipFill>
                  <pic:spPr>
                    <a:xfrm>
                      <a:off x="0" y="0"/>
                      <a:ext cx="1485900" cy="317500"/>
                    </a:xfrm>
                    <a:prstGeom prst="rect">
                      <a:avLst/>
                    </a:prstGeom>
                  </pic:spPr>
                </pic:pic>
              </a:graphicData>
            </a:graphic>
          </wp:inline>
        </w:drawing>
      </w:r>
      <w:bookmarkEnd w:id="117"/>
    </w:p>
    <w:sectPr w:rsidR="00271CF4" w:rsidSect="005976DD">
      <w:headerReference w:type="even" r:id="rId29"/>
      <w:headerReference w:type="default" r:id="rId30"/>
      <w:footerReference w:type="even" r:id="rId31"/>
      <w:footerReference w:type="default" r:id="rId32"/>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BB" w:rsidRDefault="00F13DBB">
      <w:pPr>
        <w:spacing w:line="240" w:lineRule="auto"/>
      </w:pPr>
      <w:r>
        <w:separator/>
      </w:r>
    </w:p>
  </w:endnote>
  <w:endnote w:type="continuationSeparator" w:id="0">
    <w:p w:rsidR="00F13DBB" w:rsidRDefault="00F13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a"/>
    </w:pPr>
    <w:r>
      <w:fldChar w:fldCharType="begin"/>
    </w:r>
    <w:r>
      <w:instrText xml:space="preserve"> PAGE   \* MERGEFORMAT \* MERGEFORMAT </w:instrText>
    </w:r>
    <w:r>
      <w:fldChar w:fldCharType="separate"/>
    </w:r>
    <w:r w:rsidR="00EE5D5B">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b"/>
    </w:pPr>
    <w:r>
      <w:fldChar w:fldCharType="begin"/>
    </w:r>
    <w:r>
      <w:instrText>PAGE   \* MERGEFORMAT</w:instrText>
    </w:r>
    <w:r>
      <w:fldChar w:fldCharType="separate"/>
    </w:r>
    <w:r w:rsidR="00EE5D5B" w:rsidRPr="00EE5D5B">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a"/>
    </w:pPr>
    <w:r>
      <w:fldChar w:fldCharType="begin"/>
    </w:r>
    <w:r>
      <w:instrText xml:space="preserve"> PAGE   \* MERGEFORMAT \* MERGEFORMAT </w:instrText>
    </w:r>
    <w:r>
      <w:fldChar w:fldCharType="separate"/>
    </w:r>
    <w:r w:rsidR="004929F5">
      <w:rPr>
        <w:noProof/>
      </w:rPr>
      <w:t xml:space="preserve">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b"/>
    </w:pPr>
    <w:r>
      <w:fldChar w:fldCharType="begin"/>
    </w:r>
    <w:r>
      <w:instrText>PAGE   \* MERGEFORMAT</w:instrText>
    </w:r>
    <w:r>
      <w:fldChar w:fldCharType="separate"/>
    </w:r>
    <w:r w:rsidR="00EE5D5B" w:rsidRPr="00EE5D5B">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a"/>
    </w:pPr>
    <w:r>
      <w:fldChar w:fldCharType="begin"/>
    </w:r>
    <w:r>
      <w:instrText xml:space="preserve"> PAGE   \* MERGEFORMAT \* MERGEFORMAT </w:instrText>
    </w:r>
    <w:r>
      <w:fldChar w:fldCharType="separate"/>
    </w:r>
    <w:r w:rsidR="00EE5D5B">
      <w:rPr>
        <w:noProof/>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b"/>
    </w:pPr>
    <w:r>
      <w:fldChar w:fldCharType="begin"/>
    </w:r>
    <w:r>
      <w:instrText>PAGE   \* MERGEFORMAT</w:instrText>
    </w:r>
    <w:r>
      <w:fldChar w:fldCharType="separate"/>
    </w:r>
    <w:r w:rsidR="00EE5D5B" w:rsidRPr="00EE5D5B">
      <w:rPr>
        <w:noProof/>
        <w:lang w:val="zh-CN"/>
      </w:rP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a"/>
    </w:pPr>
    <w:r>
      <w:fldChar w:fldCharType="begin"/>
    </w:r>
    <w:r>
      <w:instrText xml:space="preserve"> PAGE   \* MERGEFORMAT \* MERGEFORMAT </w:instrText>
    </w:r>
    <w:r>
      <w:fldChar w:fldCharType="separate"/>
    </w:r>
    <w:r w:rsidR="00EE5D5B">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b"/>
    </w:pPr>
    <w:r>
      <w:fldChar w:fldCharType="begin"/>
    </w:r>
    <w:r>
      <w:instrText>PAGE   \* MERGEFORMAT</w:instrText>
    </w:r>
    <w:r>
      <w:fldChar w:fldCharType="separate"/>
    </w:r>
    <w:r w:rsidRPr="007E255B">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BB" w:rsidRDefault="00F13DBB">
      <w:pPr>
        <w:spacing w:line="240" w:lineRule="auto"/>
      </w:pPr>
      <w:r>
        <w:separator/>
      </w:r>
    </w:p>
  </w:footnote>
  <w:footnote w:type="continuationSeparator" w:id="0">
    <w:p w:rsidR="00F13DBB" w:rsidRDefault="00F13D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f4"/>
    </w:pPr>
    <w:r>
      <w:fldChar w:fldCharType="begin"/>
    </w:r>
    <w:r>
      <w:instrText xml:space="preserve"> STYLEREF  标准文件_文件编号 \* MERGEFORMAT </w:instrText>
    </w:r>
    <w:r>
      <w:fldChar w:fldCharType="separate"/>
    </w:r>
    <w:r w:rsidR="00EE5D5B">
      <w:rPr>
        <w:noProof/>
      </w:rPr>
      <w:t>T/LZLSF XXXX</w:t>
    </w:r>
    <w:r w:rsidR="00EE5D5B">
      <w:rPr>
        <w:noProof/>
      </w:rPr>
      <w:t>—</w:t>
    </w:r>
    <w:r w:rsidR="00EE5D5B">
      <w:rPr>
        <w:noProof/>
      </w:rPr>
      <w:t>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f3"/>
    </w:pPr>
    <w:r>
      <w:fldChar w:fldCharType="begin"/>
    </w:r>
    <w:r>
      <w:instrText xml:space="preserve"> STYLEREF  标准文件_文件编号  \* MERGEFORMAT </w:instrText>
    </w:r>
    <w:r>
      <w:fldChar w:fldCharType="separate"/>
    </w:r>
    <w:r w:rsidR="00EE5D5B">
      <w:rPr>
        <w:noProof/>
      </w:rPr>
      <w:t>T/LZLSF XXXX</w:t>
    </w:r>
    <w:r w:rsidR="00EE5D5B">
      <w:rPr>
        <w:noProof/>
      </w:rPr>
      <w:t>—</w:t>
    </w:r>
    <w:r w:rsidR="00EE5D5B">
      <w:rPr>
        <w:noProof/>
      </w:rPr>
      <w:t>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f4"/>
    </w:pPr>
    <w:r>
      <w:fldChar w:fldCharType="begin"/>
    </w:r>
    <w:r>
      <w:instrText xml:space="preserve"> STYLEREF  标准文件_文件编号 \* MERGEFORMAT </w:instrText>
    </w:r>
    <w:r>
      <w:fldChar w:fldCharType="separate"/>
    </w:r>
    <w:r w:rsidR="004929F5">
      <w:rPr>
        <w:noProof/>
      </w:rPr>
      <w:t>T/LZLSF XXXX</w:t>
    </w:r>
    <w:r w:rsidR="004929F5">
      <w:rPr>
        <w:noProof/>
      </w:rPr>
      <w:t>—</w:t>
    </w:r>
    <w:r w:rsidR="004929F5">
      <w:rPr>
        <w:noProof/>
      </w:rPr>
      <w:t>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f3"/>
    </w:pPr>
    <w:r>
      <w:fldChar w:fldCharType="begin"/>
    </w:r>
    <w:r>
      <w:instrText xml:space="preserve"> STYLEREF  标准文件_文件编号  \* MERGEFORMAT </w:instrText>
    </w:r>
    <w:r>
      <w:fldChar w:fldCharType="separate"/>
    </w:r>
    <w:r w:rsidR="00EE5D5B">
      <w:rPr>
        <w:noProof/>
      </w:rPr>
      <w:t>T/LZLSF XXXX</w:t>
    </w:r>
    <w:r w:rsidR="00EE5D5B">
      <w:rPr>
        <w:noProof/>
      </w:rPr>
      <w:t>—</w:t>
    </w:r>
    <w:r w:rsidR="00EE5D5B">
      <w:rPr>
        <w:noProof/>
      </w:rPr>
      <w:t>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f4"/>
    </w:pPr>
    <w:r>
      <w:fldChar w:fldCharType="begin"/>
    </w:r>
    <w:r>
      <w:instrText xml:space="preserve"> STYLEREF  标准文件_文件编号 \* MERGEFORMAT </w:instrText>
    </w:r>
    <w:r>
      <w:fldChar w:fldCharType="separate"/>
    </w:r>
    <w:r w:rsidR="00EE5D5B">
      <w:rPr>
        <w:noProof/>
      </w:rPr>
      <w:t>T/LZLSF XXXX</w:t>
    </w:r>
    <w:r w:rsidR="00EE5D5B">
      <w:rPr>
        <w:noProof/>
      </w:rPr>
      <w:t>—</w:t>
    </w:r>
    <w:r w:rsidR="00EE5D5B">
      <w:rPr>
        <w:noProof/>
      </w:rPr>
      <w:t>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f3"/>
    </w:pPr>
    <w:r>
      <w:fldChar w:fldCharType="begin"/>
    </w:r>
    <w:r>
      <w:instrText xml:space="preserve"> STYLEREF  标准文件_文件编号  \* MERGEFORMAT </w:instrText>
    </w:r>
    <w:r>
      <w:fldChar w:fldCharType="separate"/>
    </w:r>
    <w:r w:rsidR="00EE5D5B">
      <w:rPr>
        <w:noProof/>
      </w:rPr>
      <w:t>T/LZLSF XXXX</w:t>
    </w:r>
    <w:r w:rsidR="00EE5D5B">
      <w:rPr>
        <w:noProof/>
      </w:rPr>
      <w:t>—</w:t>
    </w:r>
    <w:r w:rsidR="00EE5D5B">
      <w:rPr>
        <w:noProof/>
      </w:rPr>
      <w:t>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Pr="005976DD" w:rsidRDefault="007E255B" w:rsidP="005976DD">
    <w:pPr>
      <w:pStyle w:val="afffff4"/>
    </w:pPr>
    <w:r>
      <w:fldChar w:fldCharType="begin"/>
    </w:r>
    <w:r>
      <w:instrText xml:space="preserve"> STYLEREF  标准文件_文件编号 \* MERGEFORMAT </w:instrText>
    </w:r>
    <w:r>
      <w:fldChar w:fldCharType="separate"/>
    </w:r>
    <w:r w:rsidR="00EE5D5B">
      <w:rPr>
        <w:noProof/>
      </w:rPr>
      <w:t>T/LZLSF XXXX</w:t>
    </w:r>
    <w:r w:rsidR="00EE5D5B">
      <w:rPr>
        <w:noProof/>
      </w:rPr>
      <w:t>—</w:t>
    </w:r>
    <w:r w:rsidR="00EE5D5B">
      <w:rPr>
        <w:noProof/>
      </w:rPr>
      <w:t>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5B" w:rsidRDefault="007E255B" w:rsidP="005976DD">
    <w:pPr>
      <w:pStyle w:val="afffff3"/>
    </w:pPr>
    <w:r>
      <w:fldChar w:fldCharType="begin"/>
    </w:r>
    <w:r>
      <w:instrText xml:space="preserve"> STYLEREF  标准文件_文件编号  \* MERGEFORMAT </w:instrText>
    </w:r>
    <w:r>
      <w:fldChar w:fldCharType="separate"/>
    </w:r>
    <w:r>
      <w:rPr>
        <w:noProof/>
      </w:rPr>
      <w:t>T/LZLSF XXXX</w:t>
    </w:r>
    <w:r>
      <w:rPr>
        <w:noProof/>
      </w:rPr>
      <w:t>—</w:t>
    </w:r>
    <w:r>
      <w:rPr>
        <w:noProof/>
      </w:rPr>
      <w:t>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color w:val="auto"/>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BD"/>
    <w:rsid w:val="0000040A"/>
    <w:rsid w:val="00000A94"/>
    <w:rsid w:val="00001972"/>
    <w:rsid w:val="00001D9A"/>
    <w:rsid w:val="00007B3A"/>
    <w:rsid w:val="000107E0"/>
    <w:rsid w:val="00011FDE"/>
    <w:rsid w:val="00012FFD"/>
    <w:rsid w:val="00014162"/>
    <w:rsid w:val="00014340"/>
    <w:rsid w:val="00016A9C"/>
    <w:rsid w:val="0002121F"/>
    <w:rsid w:val="00022184"/>
    <w:rsid w:val="00022762"/>
    <w:rsid w:val="000238E0"/>
    <w:rsid w:val="000249DB"/>
    <w:rsid w:val="0002595E"/>
    <w:rsid w:val="000279D6"/>
    <w:rsid w:val="000303C3"/>
    <w:rsid w:val="000331D3"/>
    <w:rsid w:val="0003370F"/>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FDB"/>
    <w:rsid w:val="000556ED"/>
    <w:rsid w:val="00055FE2"/>
    <w:rsid w:val="0005616F"/>
    <w:rsid w:val="000566C8"/>
    <w:rsid w:val="00060C2E"/>
    <w:rsid w:val="00061033"/>
    <w:rsid w:val="000619E9"/>
    <w:rsid w:val="000622D4"/>
    <w:rsid w:val="00062E90"/>
    <w:rsid w:val="0006357D"/>
    <w:rsid w:val="00063AF7"/>
    <w:rsid w:val="00067F1E"/>
    <w:rsid w:val="00071CC0"/>
    <w:rsid w:val="00073C8C"/>
    <w:rsid w:val="00076065"/>
    <w:rsid w:val="00077B64"/>
    <w:rsid w:val="00077E47"/>
    <w:rsid w:val="00080A1C"/>
    <w:rsid w:val="00082317"/>
    <w:rsid w:val="00083D2C"/>
    <w:rsid w:val="00085977"/>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A22"/>
    <w:rsid w:val="000A2C5F"/>
    <w:rsid w:val="000A486E"/>
    <w:rsid w:val="000A7311"/>
    <w:rsid w:val="000B060F"/>
    <w:rsid w:val="000B1592"/>
    <w:rsid w:val="000B1FF2"/>
    <w:rsid w:val="000B3CDA"/>
    <w:rsid w:val="000B6A0B"/>
    <w:rsid w:val="000C0F6C"/>
    <w:rsid w:val="000C11DB"/>
    <w:rsid w:val="000C1226"/>
    <w:rsid w:val="000C1492"/>
    <w:rsid w:val="000C1B2D"/>
    <w:rsid w:val="000C2FBD"/>
    <w:rsid w:val="000C4B41"/>
    <w:rsid w:val="000C57D6"/>
    <w:rsid w:val="000C6362"/>
    <w:rsid w:val="000C7666"/>
    <w:rsid w:val="000C7A7C"/>
    <w:rsid w:val="000D0A9C"/>
    <w:rsid w:val="000D1795"/>
    <w:rsid w:val="000D329A"/>
    <w:rsid w:val="000D4B9C"/>
    <w:rsid w:val="000D4EB6"/>
    <w:rsid w:val="000D753B"/>
    <w:rsid w:val="000E29C1"/>
    <w:rsid w:val="000E4C9E"/>
    <w:rsid w:val="000E6FD7"/>
    <w:rsid w:val="000F06E1"/>
    <w:rsid w:val="000F0E3C"/>
    <w:rsid w:val="000F19D5"/>
    <w:rsid w:val="000F3196"/>
    <w:rsid w:val="000F4AEA"/>
    <w:rsid w:val="000F633F"/>
    <w:rsid w:val="000F67E9"/>
    <w:rsid w:val="00104926"/>
    <w:rsid w:val="00113B1E"/>
    <w:rsid w:val="001150E8"/>
    <w:rsid w:val="0011711C"/>
    <w:rsid w:val="0012059C"/>
    <w:rsid w:val="00124E4F"/>
    <w:rsid w:val="001260B7"/>
    <w:rsid w:val="001265CB"/>
    <w:rsid w:val="001321C6"/>
    <w:rsid w:val="001325C4"/>
    <w:rsid w:val="00133010"/>
    <w:rsid w:val="001338EE"/>
    <w:rsid w:val="00133AAE"/>
    <w:rsid w:val="00135323"/>
    <w:rsid w:val="001356C4"/>
    <w:rsid w:val="001358A0"/>
    <w:rsid w:val="00135C8B"/>
    <w:rsid w:val="00141114"/>
    <w:rsid w:val="00142969"/>
    <w:rsid w:val="001446C2"/>
    <w:rsid w:val="001457E7"/>
    <w:rsid w:val="00145D9D"/>
    <w:rsid w:val="00146388"/>
    <w:rsid w:val="001529E5"/>
    <w:rsid w:val="00153C7E"/>
    <w:rsid w:val="00156620"/>
    <w:rsid w:val="00156B25"/>
    <w:rsid w:val="00156E1A"/>
    <w:rsid w:val="00157894"/>
    <w:rsid w:val="00157B55"/>
    <w:rsid w:val="001642FA"/>
    <w:rsid w:val="001649EB"/>
    <w:rsid w:val="00164BAF"/>
    <w:rsid w:val="00164FA8"/>
    <w:rsid w:val="00165065"/>
    <w:rsid w:val="00165434"/>
    <w:rsid w:val="0016580B"/>
    <w:rsid w:val="00165F49"/>
    <w:rsid w:val="00166B88"/>
    <w:rsid w:val="00166F57"/>
    <w:rsid w:val="0016770A"/>
    <w:rsid w:val="00170804"/>
    <w:rsid w:val="001708E9"/>
    <w:rsid w:val="0017340B"/>
    <w:rsid w:val="00173FB1"/>
    <w:rsid w:val="00176B1A"/>
    <w:rsid w:val="00176DFD"/>
    <w:rsid w:val="001852C9"/>
    <w:rsid w:val="001878A3"/>
    <w:rsid w:val="00190087"/>
    <w:rsid w:val="001913C4"/>
    <w:rsid w:val="0019348F"/>
    <w:rsid w:val="00193A07"/>
    <w:rsid w:val="00194C95"/>
    <w:rsid w:val="00195C34"/>
    <w:rsid w:val="00195CAA"/>
    <w:rsid w:val="00196EF5"/>
    <w:rsid w:val="00197669"/>
    <w:rsid w:val="001A1154"/>
    <w:rsid w:val="001A1A53"/>
    <w:rsid w:val="001A234A"/>
    <w:rsid w:val="001A433E"/>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170"/>
    <w:rsid w:val="0022024B"/>
    <w:rsid w:val="002204BB"/>
    <w:rsid w:val="00221B6D"/>
    <w:rsid w:val="00221B79"/>
    <w:rsid w:val="00221C6B"/>
    <w:rsid w:val="002253A1"/>
    <w:rsid w:val="00225CF8"/>
    <w:rsid w:val="0022794E"/>
    <w:rsid w:val="00233D64"/>
    <w:rsid w:val="0023482A"/>
    <w:rsid w:val="002359CB"/>
    <w:rsid w:val="00243540"/>
    <w:rsid w:val="0024497B"/>
    <w:rsid w:val="0024515B"/>
    <w:rsid w:val="00246021"/>
    <w:rsid w:val="0024666E"/>
    <w:rsid w:val="00246EB8"/>
    <w:rsid w:val="00247F52"/>
    <w:rsid w:val="00250B25"/>
    <w:rsid w:val="00250BBE"/>
    <w:rsid w:val="002515C2"/>
    <w:rsid w:val="0025194F"/>
    <w:rsid w:val="0026148A"/>
    <w:rsid w:val="00262696"/>
    <w:rsid w:val="00263D25"/>
    <w:rsid w:val="002643C3"/>
    <w:rsid w:val="00264A0C"/>
    <w:rsid w:val="00266EEB"/>
    <w:rsid w:val="00267EF4"/>
    <w:rsid w:val="00270CB8"/>
    <w:rsid w:val="00271CF4"/>
    <w:rsid w:val="00272B08"/>
    <w:rsid w:val="00281BB8"/>
    <w:rsid w:val="00281E9E"/>
    <w:rsid w:val="00282405"/>
    <w:rsid w:val="002847B0"/>
    <w:rsid w:val="00285170"/>
    <w:rsid w:val="00285361"/>
    <w:rsid w:val="00286FFD"/>
    <w:rsid w:val="0029298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645"/>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0B4"/>
    <w:rsid w:val="00302F5F"/>
    <w:rsid w:val="0030441D"/>
    <w:rsid w:val="00306063"/>
    <w:rsid w:val="003066E9"/>
    <w:rsid w:val="00312458"/>
    <w:rsid w:val="00313B85"/>
    <w:rsid w:val="00317988"/>
    <w:rsid w:val="003202A0"/>
    <w:rsid w:val="003221B4"/>
    <w:rsid w:val="0032258D"/>
    <w:rsid w:val="00322E62"/>
    <w:rsid w:val="00324D13"/>
    <w:rsid w:val="00324D2A"/>
    <w:rsid w:val="00324EDD"/>
    <w:rsid w:val="00327AA6"/>
    <w:rsid w:val="00332DED"/>
    <w:rsid w:val="003331E4"/>
    <w:rsid w:val="00336C64"/>
    <w:rsid w:val="00337162"/>
    <w:rsid w:val="00340C3E"/>
    <w:rsid w:val="0034194F"/>
    <w:rsid w:val="00344605"/>
    <w:rsid w:val="00345546"/>
    <w:rsid w:val="003474AA"/>
    <w:rsid w:val="00350D1D"/>
    <w:rsid w:val="00352C83"/>
    <w:rsid w:val="003615D2"/>
    <w:rsid w:val="0036429C"/>
    <w:rsid w:val="00364A53"/>
    <w:rsid w:val="003654CB"/>
    <w:rsid w:val="00365AA9"/>
    <w:rsid w:val="00365F86"/>
    <w:rsid w:val="00365F87"/>
    <w:rsid w:val="00366E89"/>
    <w:rsid w:val="00366F79"/>
    <w:rsid w:val="003705F4"/>
    <w:rsid w:val="00370D58"/>
    <w:rsid w:val="00371316"/>
    <w:rsid w:val="00373F80"/>
    <w:rsid w:val="00376713"/>
    <w:rsid w:val="00381815"/>
    <w:rsid w:val="003819AF"/>
    <w:rsid w:val="003820E9"/>
    <w:rsid w:val="00382DE7"/>
    <w:rsid w:val="0038473C"/>
    <w:rsid w:val="00384FFC"/>
    <w:rsid w:val="003872FC"/>
    <w:rsid w:val="00387ADC"/>
    <w:rsid w:val="00390020"/>
    <w:rsid w:val="003903D6"/>
    <w:rsid w:val="00390EE6"/>
    <w:rsid w:val="0039118F"/>
    <w:rsid w:val="00392980"/>
    <w:rsid w:val="00392AD7"/>
    <w:rsid w:val="003938D9"/>
    <w:rsid w:val="00394376"/>
    <w:rsid w:val="003943FF"/>
    <w:rsid w:val="0039493D"/>
    <w:rsid w:val="00395700"/>
    <w:rsid w:val="003974EB"/>
    <w:rsid w:val="00397CC5"/>
    <w:rsid w:val="003A1582"/>
    <w:rsid w:val="003A4077"/>
    <w:rsid w:val="003A55C0"/>
    <w:rsid w:val="003B09AD"/>
    <w:rsid w:val="003B1F18"/>
    <w:rsid w:val="003B5BF0"/>
    <w:rsid w:val="003B60BF"/>
    <w:rsid w:val="003B6BE3"/>
    <w:rsid w:val="003C010C"/>
    <w:rsid w:val="003C0A6C"/>
    <w:rsid w:val="003C14F8"/>
    <w:rsid w:val="003C3B06"/>
    <w:rsid w:val="003C5A43"/>
    <w:rsid w:val="003D0519"/>
    <w:rsid w:val="003D0FF6"/>
    <w:rsid w:val="003D262C"/>
    <w:rsid w:val="003D6D61"/>
    <w:rsid w:val="003E091D"/>
    <w:rsid w:val="003E1C53"/>
    <w:rsid w:val="003E2A69"/>
    <w:rsid w:val="003E2D49"/>
    <w:rsid w:val="003E2FD4"/>
    <w:rsid w:val="003E49F6"/>
    <w:rsid w:val="003E660F"/>
    <w:rsid w:val="003E7513"/>
    <w:rsid w:val="003F0841"/>
    <w:rsid w:val="003F09D9"/>
    <w:rsid w:val="003F23D3"/>
    <w:rsid w:val="003F3F08"/>
    <w:rsid w:val="003F49F1"/>
    <w:rsid w:val="003F5F69"/>
    <w:rsid w:val="003F6272"/>
    <w:rsid w:val="00400E72"/>
    <w:rsid w:val="00401400"/>
    <w:rsid w:val="00404869"/>
    <w:rsid w:val="00405884"/>
    <w:rsid w:val="00407D39"/>
    <w:rsid w:val="0041477A"/>
    <w:rsid w:val="004167A3"/>
    <w:rsid w:val="004241D8"/>
    <w:rsid w:val="00424EDB"/>
    <w:rsid w:val="00432DAA"/>
    <w:rsid w:val="00434305"/>
    <w:rsid w:val="00435DF7"/>
    <w:rsid w:val="0044083F"/>
    <w:rsid w:val="00441AE7"/>
    <w:rsid w:val="00445574"/>
    <w:rsid w:val="004467FB"/>
    <w:rsid w:val="00452D6B"/>
    <w:rsid w:val="00454484"/>
    <w:rsid w:val="0045517B"/>
    <w:rsid w:val="00455397"/>
    <w:rsid w:val="0046162E"/>
    <w:rsid w:val="00463B77"/>
    <w:rsid w:val="00463C7B"/>
    <w:rsid w:val="004644A6"/>
    <w:rsid w:val="004659BD"/>
    <w:rsid w:val="00470272"/>
    <w:rsid w:val="00470775"/>
    <w:rsid w:val="004746B1"/>
    <w:rsid w:val="0047583F"/>
    <w:rsid w:val="00475DE8"/>
    <w:rsid w:val="00476B57"/>
    <w:rsid w:val="00477BA8"/>
    <w:rsid w:val="00481C44"/>
    <w:rsid w:val="00484936"/>
    <w:rsid w:val="00485C89"/>
    <w:rsid w:val="00486BE3"/>
    <w:rsid w:val="004905E4"/>
    <w:rsid w:val="00490A89"/>
    <w:rsid w:val="00490AB4"/>
    <w:rsid w:val="004915BF"/>
    <w:rsid w:val="004929F5"/>
    <w:rsid w:val="00492F02"/>
    <w:rsid w:val="004939AE"/>
    <w:rsid w:val="00496B64"/>
    <w:rsid w:val="004A12DF"/>
    <w:rsid w:val="004A17E6"/>
    <w:rsid w:val="004A1BA8"/>
    <w:rsid w:val="004A4B57"/>
    <w:rsid w:val="004A63FA"/>
    <w:rsid w:val="004B0272"/>
    <w:rsid w:val="004B2701"/>
    <w:rsid w:val="004B2E1B"/>
    <w:rsid w:val="004B3AA8"/>
    <w:rsid w:val="004B3E93"/>
    <w:rsid w:val="004C1FBC"/>
    <w:rsid w:val="004C3E94"/>
    <w:rsid w:val="004C3F1D"/>
    <w:rsid w:val="004C458D"/>
    <w:rsid w:val="004C7556"/>
    <w:rsid w:val="004C7E8B"/>
    <w:rsid w:val="004C7E9D"/>
    <w:rsid w:val="004C7F67"/>
    <w:rsid w:val="004D076D"/>
    <w:rsid w:val="004D0EF1"/>
    <w:rsid w:val="004D2253"/>
    <w:rsid w:val="004D34AF"/>
    <w:rsid w:val="004D4406"/>
    <w:rsid w:val="004D7C42"/>
    <w:rsid w:val="004E0465"/>
    <w:rsid w:val="004E127B"/>
    <w:rsid w:val="004E1C0A"/>
    <w:rsid w:val="004E2B06"/>
    <w:rsid w:val="004E30C5"/>
    <w:rsid w:val="004E4AA5"/>
    <w:rsid w:val="004E4AEE"/>
    <w:rsid w:val="004E59E3"/>
    <w:rsid w:val="004E67C0"/>
    <w:rsid w:val="004F02E5"/>
    <w:rsid w:val="004F391A"/>
    <w:rsid w:val="004F3CFB"/>
    <w:rsid w:val="004F4C5C"/>
    <w:rsid w:val="004F5DFD"/>
    <w:rsid w:val="004F6456"/>
    <w:rsid w:val="004F696E"/>
    <w:rsid w:val="004F6C71"/>
    <w:rsid w:val="004F773F"/>
    <w:rsid w:val="00501139"/>
    <w:rsid w:val="0050363E"/>
    <w:rsid w:val="005039BC"/>
    <w:rsid w:val="005043BB"/>
    <w:rsid w:val="00504A3D"/>
    <w:rsid w:val="00505767"/>
    <w:rsid w:val="005068C3"/>
    <w:rsid w:val="005073F0"/>
    <w:rsid w:val="00507F11"/>
    <w:rsid w:val="00510A7B"/>
    <w:rsid w:val="00512F6E"/>
    <w:rsid w:val="00513038"/>
    <w:rsid w:val="00514174"/>
    <w:rsid w:val="00516088"/>
    <w:rsid w:val="00516B0B"/>
    <w:rsid w:val="005220EC"/>
    <w:rsid w:val="00523F95"/>
    <w:rsid w:val="00524D65"/>
    <w:rsid w:val="00525B16"/>
    <w:rsid w:val="00533D04"/>
    <w:rsid w:val="00534804"/>
    <w:rsid w:val="005349D7"/>
    <w:rsid w:val="00534BDF"/>
    <w:rsid w:val="005354EA"/>
    <w:rsid w:val="0053585F"/>
    <w:rsid w:val="00535EC4"/>
    <w:rsid w:val="00535ED9"/>
    <w:rsid w:val="0053692B"/>
    <w:rsid w:val="00541853"/>
    <w:rsid w:val="00543BDA"/>
    <w:rsid w:val="005441CC"/>
    <w:rsid w:val="005479DA"/>
    <w:rsid w:val="00547BCC"/>
    <w:rsid w:val="0055013B"/>
    <w:rsid w:val="00551F6F"/>
    <w:rsid w:val="005524E8"/>
    <w:rsid w:val="005526EE"/>
    <w:rsid w:val="00555044"/>
    <w:rsid w:val="005560B2"/>
    <w:rsid w:val="00561475"/>
    <w:rsid w:val="0056487B"/>
    <w:rsid w:val="00564FB9"/>
    <w:rsid w:val="005715B1"/>
    <w:rsid w:val="00573D9E"/>
    <w:rsid w:val="005801E3"/>
    <w:rsid w:val="00581802"/>
    <w:rsid w:val="005836A8"/>
    <w:rsid w:val="0058409C"/>
    <w:rsid w:val="00584262"/>
    <w:rsid w:val="00586630"/>
    <w:rsid w:val="005876FC"/>
    <w:rsid w:val="00587ADD"/>
    <w:rsid w:val="00591E27"/>
    <w:rsid w:val="00592F4E"/>
    <w:rsid w:val="00596160"/>
    <w:rsid w:val="005966E2"/>
    <w:rsid w:val="00597007"/>
    <w:rsid w:val="005976DD"/>
    <w:rsid w:val="00597A90"/>
    <w:rsid w:val="005A0966"/>
    <w:rsid w:val="005A11B7"/>
    <w:rsid w:val="005A260B"/>
    <w:rsid w:val="005A2CEA"/>
    <w:rsid w:val="005A4A1B"/>
    <w:rsid w:val="005A5C6F"/>
    <w:rsid w:val="005A7830"/>
    <w:rsid w:val="005A7FCE"/>
    <w:rsid w:val="005B0F3F"/>
    <w:rsid w:val="005B4903"/>
    <w:rsid w:val="005B51CE"/>
    <w:rsid w:val="005B5885"/>
    <w:rsid w:val="005B5CD7"/>
    <w:rsid w:val="005B6CF6"/>
    <w:rsid w:val="005B7422"/>
    <w:rsid w:val="005B757B"/>
    <w:rsid w:val="005C29B8"/>
    <w:rsid w:val="005C4101"/>
    <w:rsid w:val="005C5F21"/>
    <w:rsid w:val="005C7156"/>
    <w:rsid w:val="005D0C75"/>
    <w:rsid w:val="005D4171"/>
    <w:rsid w:val="005D6A95"/>
    <w:rsid w:val="005D6B2C"/>
    <w:rsid w:val="005D6D9C"/>
    <w:rsid w:val="005E0483"/>
    <w:rsid w:val="005E2335"/>
    <w:rsid w:val="005E34CA"/>
    <w:rsid w:val="005E3AD9"/>
    <w:rsid w:val="005E3C18"/>
    <w:rsid w:val="005E5551"/>
    <w:rsid w:val="005E6812"/>
    <w:rsid w:val="005E7881"/>
    <w:rsid w:val="005E78E0"/>
    <w:rsid w:val="005F0D9C"/>
    <w:rsid w:val="005F284E"/>
    <w:rsid w:val="005F4712"/>
    <w:rsid w:val="005F7413"/>
    <w:rsid w:val="006015CE"/>
    <w:rsid w:val="00604784"/>
    <w:rsid w:val="00606419"/>
    <w:rsid w:val="00607D29"/>
    <w:rsid w:val="00612952"/>
    <w:rsid w:val="00614CC1"/>
    <w:rsid w:val="00615A9D"/>
    <w:rsid w:val="00617387"/>
    <w:rsid w:val="006205D6"/>
    <w:rsid w:val="00624F91"/>
    <w:rsid w:val="006252D8"/>
    <w:rsid w:val="006259BC"/>
    <w:rsid w:val="0062636B"/>
    <w:rsid w:val="00630500"/>
    <w:rsid w:val="00632182"/>
    <w:rsid w:val="00632AE0"/>
    <w:rsid w:val="00633889"/>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379"/>
    <w:rsid w:val="006640E5"/>
    <w:rsid w:val="006646F1"/>
    <w:rsid w:val="00664929"/>
    <w:rsid w:val="00664EEE"/>
    <w:rsid w:val="00664F62"/>
    <w:rsid w:val="006655E1"/>
    <w:rsid w:val="00666576"/>
    <w:rsid w:val="00667575"/>
    <w:rsid w:val="00672060"/>
    <w:rsid w:val="00672BFD"/>
    <w:rsid w:val="0067583C"/>
    <w:rsid w:val="006770F4"/>
    <w:rsid w:val="00677A84"/>
    <w:rsid w:val="0068026D"/>
    <w:rsid w:val="00680A27"/>
    <w:rsid w:val="006816A4"/>
    <w:rsid w:val="006819B8"/>
    <w:rsid w:val="006821C3"/>
    <w:rsid w:val="006840A6"/>
    <w:rsid w:val="006850CD"/>
    <w:rsid w:val="00685AAB"/>
    <w:rsid w:val="00691AEB"/>
    <w:rsid w:val="00695D22"/>
    <w:rsid w:val="006A07AA"/>
    <w:rsid w:val="006A25E5"/>
    <w:rsid w:val="006A2B46"/>
    <w:rsid w:val="006A336D"/>
    <w:rsid w:val="006A37B9"/>
    <w:rsid w:val="006B2672"/>
    <w:rsid w:val="006B54BF"/>
    <w:rsid w:val="006B5F44"/>
    <w:rsid w:val="006B5F90"/>
    <w:rsid w:val="006B62E4"/>
    <w:rsid w:val="006C0587"/>
    <w:rsid w:val="006C07E9"/>
    <w:rsid w:val="006C1BBA"/>
    <w:rsid w:val="006C2079"/>
    <w:rsid w:val="006C5A62"/>
    <w:rsid w:val="006C5D68"/>
    <w:rsid w:val="006C6976"/>
    <w:rsid w:val="006C6DD0"/>
    <w:rsid w:val="006D04EA"/>
    <w:rsid w:val="006D16C4"/>
    <w:rsid w:val="006D3C9B"/>
    <w:rsid w:val="006D3E96"/>
    <w:rsid w:val="006D4515"/>
    <w:rsid w:val="006D4BB1"/>
    <w:rsid w:val="006D6593"/>
    <w:rsid w:val="006E23EA"/>
    <w:rsid w:val="006E6937"/>
    <w:rsid w:val="006F03A8"/>
    <w:rsid w:val="006F2ACA"/>
    <w:rsid w:val="006F2ADC"/>
    <w:rsid w:val="006F2BFE"/>
    <w:rsid w:val="006F31E9"/>
    <w:rsid w:val="006F423C"/>
    <w:rsid w:val="006F6284"/>
    <w:rsid w:val="007002C5"/>
    <w:rsid w:val="00701E75"/>
    <w:rsid w:val="00704387"/>
    <w:rsid w:val="00707669"/>
    <w:rsid w:val="00711CBA"/>
    <w:rsid w:val="00711FB5"/>
    <w:rsid w:val="00712A01"/>
    <w:rsid w:val="00713AAF"/>
    <w:rsid w:val="00714F58"/>
    <w:rsid w:val="00722FBF"/>
    <w:rsid w:val="00722FC2"/>
    <w:rsid w:val="00724879"/>
    <w:rsid w:val="00724E1B"/>
    <w:rsid w:val="00725949"/>
    <w:rsid w:val="00727FA2"/>
    <w:rsid w:val="007322D9"/>
    <w:rsid w:val="00732BC0"/>
    <w:rsid w:val="0073720F"/>
    <w:rsid w:val="0073764D"/>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BC7"/>
    <w:rsid w:val="00752B4D"/>
    <w:rsid w:val="00755402"/>
    <w:rsid w:val="00756B26"/>
    <w:rsid w:val="00756EDF"/>
    <w:rsid w:val="007600E3"/>
    <w:rsid w:val="007620EA"/>
    <w:rsid w:val="00765C43"/>
    <w:rsid w:val="00765EFB"/>
    <w:rsid w:val="007671CA"/>
    <w:rsid w:val="00767C61"/>
    <w:rsid w:val="0077008A"/>
    <w:rsid w:val="00773C1F"/>
    <w:rsid w:val="00774DA4"/>
    <w:rsid w:val="00774DC7"/>
    <w:rsid w:val="00776599"/>
    <w:rsid w:val="0078114B"/>
    <w:rsid w:val="00781DD2"/>
    <w:rsid w:val="00783ECF"/>
    <w:rsid w:val="0078413A"/>
    <w:rsid w:val="0078550E"/>
    <w:rsid w:val="00790083"/>
    <w:rsid w:val="00790EC8"/>
    <w:rsid w:val="007959E8"/>
    <w:rsid w:val="00795E9C"/>
    <w:rsid w:val="007A0521"/>
    <w:rsid w:val="007A2BC8"/>
    <w:rsid w:val="007A2E12"/>
    <w:rsid w:val="007A3475"/>
    <w:rsid w:val="007A3E3B"/>
    <w:rsid w:val="007A41C8"/>
    <w:rsid w:val="007A54CE"/>
    <w:rsid w:val="007A6FD9"/>
    <w:rsid w:val="007A7FFA"/>
    <w:rsid w:val="007B04EB"/>
    <w:rsid w:val="007B0D4F"/>
    <w:rsid w:val="007B21E6"/>
    <w:rsid w:val="007B5A3D"/>
    <w:rsid w:val="007B5B95"/>
    <w:rsid w:val="007B68EA"/>
    <w:rsid w:val="007B7453"/>
    <w:rsid w:val="007C1E8B"/>
    <w:rsid w:val="007C2D89"/>
    <w:rsid w:val="007C4593"/>
    <w:rsid w:val="007C5309"/>
    <w:rsid w:val="007C5368"/>
    <w:rsid w:val="007C6069"/>
    <w:rsid w:val="007D06C4"/>
    <w:rsid w:val="007D1352"/>
    <w:rsid w:val="007D2508"/>
    <w:rsid w:val="007D346A"/>
    <w:rsid w:val="007D6518"/>
    <w:rsid w:val="007D6ED0"/>
    <w:rsid w:val="007D76BD"/>
    <w:rsid w:val="007E0BF1"/>
    <w:rsid w:val="007E255B"/>
    <w:rsid w:val="007F0ED8"/>
    <w:rsid w:val="007F0F63"/>
    <w:rsid w:val="007F407D"/>
    <w:rsid w:val="007F7202"/>
    <w:rsid w:val="007F75CE"/>
    <w:rsid w:val="008003F3"/>
    <w:rsid w:val="008013A4"/>
    <w:rsid w:val="008027CE"/>
    <w:rsid w:val="00802F42"/>
    <w:rsid w:val="00804383"/>
    <w:rsid w:val="00804BB7"/>
    <w:rsid w:val="00804D41"/>
    <w:rsid w:val="00810257"/>
    <w:rsid w:val="008104F5"/>
    <w:rsid w:val="00811072"/>
    <w:rsid w:val="00811369"/>
    <w:rsid w:val="0081253C"/>
    <w:rsid w:val="00815419"/>
    <w:rsid w:val="008163C8"/>
    <w:rsid w:val="008164A1"/>
    <w:rsid w:val="00817325"/>
    <w:rsid w:val="008209E6"/>
    <w:rsid w:val="00823303"/>
    <w:rsid w:val="008233B2"/>
    <w:rsid w:val="00823A9F"/>
    <w:rsid w:val="00823C85"/>
    <w:rsid w:val="00825138"/>
    <w:rsid w:val="008260B8"/>
    <w:rsid w:val="008269DD"/>
    <w:rsid w:val="00826BAF"/>
    <w:rsid w:val="00830621"/>
    <w:rsid w:val="00833046"/>
    <w:rsid w:val="0083348C"/>
    <w:rsid w:val="008373D3"/>
    <w:rsid w:val="00840617"/>
    <w:rsid w:val="00840F84"/>
    <w:rsid w:val="00842A47"/>
    <w:rsid w:val="00843C13"/>
    <w:rsid w:val="008454F8"/>
    <w:rsid w:val="0085173A"/>
    <w:rsid w:val="00856316"/>
    <w:rsid w:val="00857038"/>
    <w:rsid w:val="008603CE"/>
    <w:rsid w:val="008620FC"/>
    <w:rsid w:val="008627A5"/>
    <w:rsid w:val="00863E05"/>
    <w:rsid w:val="00865ACA"/>
    <w:rsid w:val="00865CA9"/>
    <w:rsid w:val="00865D28"/>
    <w:rsid w:val="00865F85"/>
    <w:rsid w:val="00867C10"/>
    <w:rsid w:val="00870439"/>
    <w:rsid w:val="00870DA1"/>
    <w:rsid w:val="00871BAD"/>
    <w:rsid w:val="00880C83"/>
    <w:rsid w:val="00883F93"/>
    <w:rsid w:val="00884DB3"/>
    <w:rsid w:val="00885A9D"/>
    <w:rsid w:val="008864F6"/>
    <w:rsid w:val="0089049D"/>
    <w:rsid w:val="008928C9"/>
    <w:rsid w:val="00892FF8"/>
    <w:rsid w:val="008930CB"/>
    <w:rsid w:val="008938DC"/>
    <w:rsid w:val="0089394C"/>
    <w:rsid w:val="00893FD1"/>
    <w:rsid w:val="00894836"/>
    <w:rsid w:val="00895172"/>
    <w:rsid w:val="00895680"/>
    <w:rsid w:val="00896DFF"/>
    <w:rsid w:val="0089762C"/>
    <w:rsid w:val="008A1893"/>
    <w:rsid w:val="008A3215"/>
    <w:rsid w:val="008A57E6"/>
    <w:rsid w:val="008A6F81"/>
    <w:rsid w:val="008A769A"/>
    <w:rsid w:val="008A7D65"/>
    <w:rsid w:val="008B0C9C"/>
    <w:rsid w:val="008B166D"/>
    <w:rsid w:val="008B17F4"/>
    <w:rsid w:val="008B3615"/>
    <w:rsid w:val="008B4AC4"/>
    <w:rsid w:val="008B50C8"/>
    <w:rsid w:val="008B5281"/>
    <w:rsid w:val="008B7E05"/>
    <w:rsid w:val="008C1797"/>
    <w:rsid w:val="008C219C"/>
    <w:rsid w:val="008C475E"/>
    <w:rsid w:val="008C619A"/>
    <w:rsid w:val="008D0142"/>
    <w:rsid w:val="008D0CE8"/>
    <w:rsid w:val="008D2D1D"/>
    <w:rsid w:val="008D453D"/>
    <w:rsid w:val="008D53AD"/>
    <w:rsid w:val="008D562B"/>
    <w:rsid w:val="008D5733"/>
    <w:rsid w:val="008D622B"/>
    <w:rsid w:val="008D666C"/>
    <w:rsid w:val="008D7B54"/>
    <w:rsid w:val="008E0C9D"/>
    <w:rsid w:val="008E1648"/>
    <w:rsid w:val="008E1B3E"/>
    <w:rsid w:val="008E2319"/>
    <w:rsid w:val="008E4A06"/>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C69"/>
    <w:rsid w:val="009429D5"/>
    <w:rsid w:val="00942BF1"/>
    <w:rsid w:val="00945180"/>
    <w:rsid w:val="00945428"/>
    <w:rsid w:val="009455DA"/>
    <w:rsid w:val="0094607B"/>
    <w:rsid w:val="00953604"/>
    <w:rsid w:val="0095496B"/>
    <w:rsid w:val="009610DC"/>
    <w:rsid w:val="00961490"/>
    <w:rsid w:val="0096381A"/>
    <w:rsid w:val="00965E04"/>
    <w:rsid w:val="009674AD"/>
    <w:rsid w:val="00970CDC"/>
    <w:rsid w:val="009742A6"/>
    <w:rsid w:val="00977010"/>
    <w:rsid w:val="00977D02"/>
    <w:rsid w:val="009809BB"/>
    <w:rsid w:val="0098364B"/>
    <w:rsid w:val="009911AF"/>
    <w:rsid w:val="00991875"/>
    <w:rsid w:val="00991F92"/>
    <w:rsid w:val="00992985"/>
    <w:rsid w:val="00993889"/>
    <w:rsid w:val="009938D1"/>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170"/>
    <w:rsid w:val="009B6971"/>
    <w:rsid w:val="009C27F1"/>
    <w:rsid w:val="009C3152"/>
    <w:rsid w:val="009C4CFA"/>
    <w:rsid w:val="009C5070"/>
    <w:rsid w:val="009D112C"/>
    <w:rsid w:val="009D47FA"/>
    <w:rsid w:val="009D4C5B"/>
    <w:rsid w:val="009D5011"/>
    <w:rsid w:val="009D50D2"/>
    <w:rsid w:val="009D6BCA"/>
    <w:rsid w:val="009E0F62"/>
    <w:rsid w:val="009E4A58"/>
    <w:rsid w:val="009E5A2D"/>
    <w:rsid w:val="009E5AB2"/>
    <w:rsid w:val="009E6219"/>
    <w:rsid w:val="009E639F"/>
    <w:rsid w:val="009F03B3"/>
    <w:rsid w:val="009F0A51"/>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605"/>
    <w:rsid w:val="00A30EFC"/>
    <w:rsid w:val="00A31984"/>
    <w:rsid w:val="00A32D73"/>
    <w:rsid w:val="00A3367B"/>
    <w:rsid w:val="00A3597D"/>
    <w:rsid w:val="00A35B80"/>
    <w:rsid w:val="00A36DD1"/>
    <w:rsid w:val="00A4006C"/>
    <w:rsid w:val="00A40091"/>
    <w:rsid w:val="00A4030F"/>
    <w:rsid w:val="00A41C79"/>
    <w:rsid w:val="00A41CB5"/>
    <w:rsid w:val="00A42CDF"/>
    <w:rsid w:val="00A4452E"/>
    <w:rsid w:val="00A4472C"/>
    <w:rsid w:val="00A44E69"/>
    <w:rsid w:val="00A45D3B"/>
    <w:rsid w:val="00A4661E"/>
    <w:rsid w:val="00A55BD6"/>
    <w:rsid w:val="00A55D50"/>
    <w:rsid w:val="00A57142"/>
    <w:rsid w:val="00A62BBE"/>
    <w:rsid w:val="00A648CD"/>
    <w:rsid w:val="00A6537A"/>
    <w:rsid w:val="00A6632E"/>
    <w:rsid w:val="00A67866"/>
    <w:rsid w:val="00A679BD"/>
    <w:rsid w:val="00A70B07"/>
    <w:rsid w:val="00A7144A"/>
    <w:rsid w:val="00A723F8"/>
    <w:rsid w:val="00A77CCB"/>
    <w:rsid w:val="00A83D8D"/>
    <w:rsid w:val="00A8446B"/>
    <w:rsid w:val="00A8473F"/>
    <w:rsid w:val="00A862D6"/>
    <w:rsid w:val="00A86A4C"/>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943"/>
    <w:rsid w:val="00AC5DF4"/>
    <w:rsid w:val="00AD0AEF"/>
    <w:rsid w:val="00AD11B7"/>
    <w:rsid w:val="00AD1A94"/>
    <w:rsid w:val="00AD1C05"/>
    <w:rsid w:val="00AD4126"/>
    <w:rsid w:val="00AD421C"/>
    <w:rsid w:val="00AD44FA"/>
    <w:rsid w:val="00AD70C3"/>
    <w:rsid w:val="00AE070A"/>
    <w:rsid w:val="00AE101C"/>
    <w:rsid w:val="00AE37E5"/>
    <w:rsid w:val="00AE5EB4"/>
    <w:rsid w:val="00AF0C18"/>
    <w:rsid w:val="00AF1C66"/>
    <w:rsid w:val="00AF47C5"/>
    <w:rsid w:val="00AF5398"/>
    <w:rsid w:val="00B00E6E"/>
    <w:rsid w:val="00B049AF"/>
    <w:rsid w:val="00B07242"/>
    <w:rsid w:val="00B10534"/>
    <w:rsid w:val="00B113DB"/>
    <w:rsid w:val="00B11D8A"/>
    <w:rsid w:val="00B12981"/>
    <w:rsid w:val="00B147DD"/>
    <w:rsid w:val="00B156FD"/>
    <w:rsid w:val="00B21F61"/>
    <w:rsid w:val="00B23680"/>
    <w:rsid w:val="00B261F1"/>
    <w:rsid w:val="00B265BC"/>
    <w:rsid w:val="00B307A1"/>
    <w:rsid w:val="00B31FB1"/>
    <w:rsid w:val="00B33952"/>
    <w:rsid w:val="00B33C5E"/>
    <w:rsid w:val="00B342F4"/>
    <w:rsid w:val="00B34369"/>
    <w:rsid w:val="00B34DC2"/>
    <w:rsid w:val="00B35E86"/>
    <w:rsid w:val="00B378E5"/>
    <w:rsid w:val="00B41ABF"/>
    <w:rsid w:val="00B42396"/>
    <w:rsid w:val="00B4346D"/>
    <w:rsid w:val="00B440F4"/>
    <w:rsid w:val="00B447A5"/>
    <w:rsid w:val="00B45780"/>
    <w:rsid w:val="00B4654C"/>
    <w:rsid w:val="00B47293"/>
    <w:rsid w:val="00B50E50"/>
    <w:rsid w:val="00B52120"/>
    <w:rsid w:val="00B54ABC"/>
    <w:rsid w:val="00B54DDE"/>
    <w:rsid w:val="00B5609F"/>
    <w:rsid w:val="00B56FBE"/>
    <w:rsid w:val="00B60ACF"/>
    <w:rsid w:val="00B62B58"/>
    <w:rsid w:val="00B64147"/>
    <w:rsid w:val="00B65149"/>
    <w:rsid w:val="00B66453"/>
    <w:rsid w:val="00B66567"/>
    <w:rsid w:val="00B66F52"/>
    <w:rsid w:val="00B66FE5"/>
    <w:rsid w:val="00B72880"/>
    <w:rsid w:val="00B758BF"/>
    <w:rsid w:val="00B77E53"/>
    <w:rsid w:val="00B77EC8"/>
    <w:rsid w:val="00B827A6"/>
    <w:rsid w:val="00B831CE"/>
    <w:rsid w:val="00B84234"/>
    <w:rsid w:val="00B86677"/>
    <w:rsid w:val="00B87131"/>
    <w:rsid w:val="00B939B1"/>
    <w:rsid w:val="00B96D40"/>
    <w:rsid w:val="00B97386"/>
    <w:rsid w:val="00BA1BC4"/>
    <w:rsid w:val="00BA263B"/>
    <w:rsid w:val="00BA42B2"/>
    <w:rsid w:val="00BA58D4"/>
    <w:rsid w:val="00BA5B9E"/>
    <w:rsid w:val="00BA7C9A"/>
    <w:rsid w:val="00BB5F8F"/>
    <w:rsid w:val="00BB657A"/>
    <w:rsid w:val="00BC1A4E"/>
    <w:rsid w:val="00BC374E"/>
    <w:rsid w:val="00BC5DC7"/>
    <w:rsid w:val="00BC6B8B"/>
    <w:rsid w:val="00BC73D8"/>
    <w:rsid w:val="00BD52D7"/>
    <w:rsid w:val="00BD5AD2"/>
    <w:rsid w:val="00BD5D7C"/>
    <w:rsid w:val="00BE22F3"/>
    <w:rsid w:val="00BE523D"/>
    <w:rsid w:val="00BE5B52"/>
    <w:rsid w:val="00BE7B8D"/>
    <w:rsid w:val="00BF0993"/>
    <w:rsid w:val="00BF10A9"/>
    <w:rsid w:val="00BF14DA"/>
    <w:rsid w:val="00BF1703"/>
    <w:rsid w:val="00BF231C"/>
    <w:rsid w:val="00BF33C7"/>
    <w:rsid w:val="00BF51E5"/>
    <w:rsid w:val="00BF74A6"/>
    <w:rsid w:val="00C013AD"/>
    <w:rsid w:val="00C03AC2"/>
    <w:rsid w:val="00C04904"/>
    <w:rsid w:val="00C056B3"/>
    <w:rsid w:val="00C103E5"/>
    <w:rsid w:val="00C13319"/>
    <w:rsid w:val="00C13EE9"/>
    <w:rsid w:val="00C21540"/>
    <w:rsid w:val="00C21906"/>
    <w:rsid w:val="00C21BFA"/>
    <w:rsid w:val="00C22148"/>
    <w:rsid w:val="00C24C8D"/>
    <w:rsid w:val="00C25FE2"/>
    <w:rsid w:val="00C26B53"/>
    <w:rsid w:val="00C279B2"/>
    <w:rsid w:val="00C3169E"/>
    <w:rsid w:val="00C33E50"/>
    <w:rsid w:val="00C34C20"/>
    <w:rsid w:val="00C35A3E"/>
    <w:rsid w:val="00C42130"/>
    <w:rsid w:val="00C423A4"/>
    <w:rsid w:val="00C444E2"/>
    <w:rsid w:val="00C44BF5"/>
    <w:rsid w:val="00C467B3"/>
    <w:rsid w:val="00C521D6"/>
    <w:rsid w:val="00C55232"/>
    <w:rsid w:val="00C553A4"/>
    <w:rsid w:val="00C55A06"/>
    <w:rsid w:val="00C55D03"/>
    <w:rsid w:val="00C601BC"/>
    <w:rsid w:val="00C6329F"/>
    <w:rsid w:val="00C63340"/>
    <w:rsid w:val="00C643F9"/>
    <w:rsid w:val="00C64BF7"/>
    <w:rsid w:val="00C64E95"/>
    <w:rsid w:val="00C70549"/>
    <w:rsid w:val="00C70E1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FC2"/>
    <w:rsid w:val="00CA7AFD"/>
    <w:rsid w:val="00CA7C3C"/>
    <w:rsid w:val="00CB0189"/>
    <w:rsid w:val="00CB0BA2"/>
    <w:rsid w:val="00CB1A42"/>
    <w:rsid w:val="00CB1B0C"/>
    <w:rsid w:val="00CB2C0B"/>
    <w:rsid w:val="00CB517D"/>
    <w:rsid w:val="00CB7DB4"/>
    <w:rsid w:val="00CC038D"/>
    <w:rsid w:val="00CC08DB"/>
    <w:rsid w:val="00CC39FF"/>
    <w:rsid w:val="00CC3C2F"/>
    <w:rsid w:val="00CC4AC8"/>
    <w:rsid w:val="00CC5233"/>
    <w:rsid w:val="00CC5DE6"/>
    <w:rsid w:val="00CC6592"/>
    <w:rsid w:val="00CC6E4E"/>
    <w:rsid w:val="00CC6FE8"/>
    <w:rsid w:val="00CC7202"/>
    <w:rsid w:val="00CD2808"/>
    <w:rsid w:val="00CD28BF"/>
    <w:rsid w:val="00CD4092"/>
    <w:rsid w:val="00CD4A20"/>
    <w:rsid w:val="00CD50A1"/>
    <w:rsid w:val="00CD519E"/>
    <w:rsid w:val="00CE0C4F"/>
    <w:rsid w:val="00CE2554"/>
    <w:rsid w:val="00CE30EA"/>
    <w:rsid w:val="00CE538C"/>
    <w:rsid w:val="00CE7C9A"/>
    <w:rsid w:val="00CF048A"/>
    <w:rsid w:val="00CF155A"/>
    <w:rsid w:val="00CF2947"/>
    <w:rsid w:val="00CF686F"/>
    <w:rsid w:val="00CF6E60"/>
    <w:rsid w:val="00CF7BCA"/>
    <w:rsid w:val="00D008FD"/>
    <w:rsid w:val="00D0321C"/>
    <w:rsid w:val="00D03439"/>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010"/>
    <w:rsid w:val="00D32719"/>
    <w:rsid w:val="00D33333"/>
    <w:rsid w:val="00D33457"/>
    <w:rsid w:val="00D352A2"/>
    <w:rsid w:val="00D4162B"/>
    <w:rsid w:val="00D4514F"/>
    <w:rsid w:val="00D451E2"/>
    <w:rsid w:val="00D45E89"/>
    <w:rsid w:val="00D45E8D"/>
    <w:rsid w:val="00D466AE"/>
    <w:rsid w:val="00D4734F"/>
    <w:rsid w:val="00D51BF3"/>
    <w:rsid w:val="00D57F5B"/>
    <w:rsid w:val="00D62295"/>
    <w:rsid w:val="00D66846"/>
    <w:rsid w:val="00D675FB"/>
    <w:rsid w:val="00D71F25"/>
    <w:rsid w:val="00D72A9C"/>
    <w:rsid w:val="00D77031"/>
    <w:rsid w:val="00D84941"/>
    <w:rsid w:val="00D84FA1"/>
    <w:rsid w:val="00D851F0"/>
    <w:rsid w:val="00D86DB7"/>
    <w:rsid w:val="00D926D0"/>
    <w:rsid w:val="00D93030"/>
    <w:rsid w:val="00D950E1"/>
    <w:rsid w:val="00D952A6"/>
    <w:rsid w:val="00D971FE"/>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0CE"/>
    <w:rsid w:val="00DB73F7"/>
    <w:rsid w:val="00DC0321"/>
    <w:rsid w:val="00DC3067"/>
    <w:rsid w:val="00DC370B"/>
    <w:rsid w:val="00DC5B90"/>
    <w:rsid w:val="00DD00FF"/>
    <w:rsid w:val="00DD0619"/>
    <w:rsid w:val="00DD07FB"/>
    <w:rsid w:val="00DD25C6"/>
    <w:rsid w:val="00DD2BD2"/>
    <w:rsid w:val="00DD4FE5"/>
    <w:rsid w:val="00DD54B0"/>
    <w:rsid w:val="00DD57EE"/>
    <w:rsid w:val="00DD6BCC"/>
    <w:rsid w:val="00DE0A4B"/>
    <w:rsid w:val="00DE2410"/>
    <w:rsid w:val="00DE2939"/>
    <w:rsid w:val="00DE6042"/>
    <w:rsid w:val="00DE68A1"/>
    <w:rsid w:val="00DE6E81"/>
    <w:rsid w:val="00DE703F"/>
    <w:rsid w:val="00DE7595"/>
    <w:rsid w:val="00DF1961"/>
    <w:rsid w:val="00DF44DE"/>
    <w:rsid w:val="00DF5F11"/>
    <w:rsid w:val="00DF7288"/>
    <w:rsid w:val="00E01138"/>
    <w:rsid w:val="00E02DFB"/>
    <w:rsid w:val="00E030F9"/>
    <w:rsid w:val="00E0311A"/>
    <w:rsid w:val="00E03138"/>
    <w:rsid w:val="00E06404"/>
    <w:rsid w:val="00E11A85"/>
    <w:rsid w:val="00E12495"/>
    <w:rsid w:val="00E15CCD"/>
    <w:rsid w:val="00E202EF"/>
    <w:rsid w:val="00E210B5"/>
    <w:rsid w:val="00E21B3A"/>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D63"/>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1678"/>
    <w:rsid w:val="00E9311F"/>
    <w:rsid w:val="00E934D1"/>
    <w:rsid w:val="00E94AF0"/>
    <w:rsid w:val="00E95D13"/>
    <w:rsid w:val="00E95DD3"/>
    <w:rsid w:val="00E969D5"/>
    <w:rsid w:val="00EA58D1"/>
    <w:rsid w:val="00EA61BC"/>
    <w:rsid w:val="00EA681A"/>
    <w:rsid w:val="00EA6EC8"/>
    <w:rsid w:val="00EA735B"/>
    <w:rsid w:val="00EB17DE"/>
    <w:rsid w:val="00EB1E69"/>
    <w:rsid w:val="00EB2086"/>
    <w:rsid w:val="00EB42C9"/>
    <w:rsid w:val="00EB4D1A"/>
    <w:rsid w:val="00EB5EDF"/>
    <w:rsid w:val="00EB60FE"/>
    <w:rsid w:val="00EB74DB"/>
    <w:rsid w:val="00EC5359"/>
    <w:rsid w:val="00EC562A"/>
    <w:rsid w:val="00EC6D37"/>
    <w:rsid w:val="00ED067A"/>
    <w:rsid w:val="00ED2B50"/>
    <w:rsid w:val="00EE0350"/>
    <w:rsid w:val="00EE0719"/>
    <w:rsid w:val="00EE0E80"/>
    <w:rsid w:val="00EE54A6"/>
    <w:rsid w:val="00EE5D5B"/>
    <w:rsid w:val="00EE613F"/>
    <w:rsid w:val="00EE7295"/>
    <w:rsid w:val="00EE7869"/>
    <w:rsid w:val="00EF054A"/>
    <w:rsid w:val="00EF3235"/>
    <w:rsid w:val="00EF7E72"/>
    <w:rsid w:val="00F06D37"/>
    <w:rsid w:val="00F07B9D"/>
    <w:rsid w:val="00F108F0"/>
    <w:rsid w:val="00F11586"/>
    <w:rsid w:val="00F1183B"/>
    <w:rsid w:val="00F11C9F"/>
    <w:rsid w:val="00F12263"/>
    <w:rsid w:val="00F13DBB"/>
    <w:rsid w:val="00F1409D"/>
    <w:rsid w:val="00F14214"/>
    <w:rsid w:val="00F157A9"/>
    <w:rsid w:val="00F22DA4"/>
    <w:rsid w:val="00F25BB6"/>
    <w:rsid w:val="00F26B7E"/>
    <w:rsid w:val="00F27A3B"/>
    <w:rsid w:val="00F334B7"/>
    <w:rsid w:val="00F33817"/>
    <w:rsid w:val="00F34ABB"/>
    <w:rsid w:val="00F379E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B50"/>
    <w:rsid w:val="00F71E22"/>
    <w:rsid w:val="00F71EF4"/>
    <w:rsid w:val="00F72142"/>
    <w:rsid w:val="00F72AE7"/>
    <w:rsid w:val="00F77798"/>
    <w:rsid w:val="00F81141"/>
    <w:rsid w:val="00F833BA"/>
    <w:rsid w:val="00F84FD0"/>
    <w:rsid w:val="00F859A8"/>
    <w:rsid w:val="00F85EDD"/>
    <w:rsid w:val="00F86D87"/>
    <w:rsid w:val="00F90ED2"/>
    <w:rsid w:val="00F9108B"/>
    <w:rsid w:val="00F91349"/>
    <w:rsid w:val="00F93A8A"/>
    <w:rsid w:val="00F95248"/>
    <w:rsid w:val="00F956A9"/>
    <w:rsid w:val="00F963ED"/>
    <w:rsid w:val="00F966CF"/>
    <w:rsid w:val="00F96CAE"/>
    <w:rsid w:val="00F97C99"/>
    <w:rsid w:val="00F97EBE"/>
    <w:rsid w:val="00FA4DAC"/>
    <w:rsid w:val="00FA662D"/>
    <w:rsid w:val="00FA73B1"/>
    <w:rsid w:val="00FB0CB9"/>
    <w:rsid w:val="00FB231D"/>
    <w:rsid w:val="00FB2C7A"/>
    <w:rsid w:val="00FB45F1"/>
    <w:rsid w:val="00FB4A72"/>
    <w:rsid w:val="00FB54E8"/>
    <w:rsid w:val="00FB7054"/>
    <w:rsid w:val="00FC17B7"/>
    <w:rsid w:val="00FC2CB7"/>
    <w:rsid w:val="00FC4090"/>
    <w:rsid w:val="00FC55B4"/>
    <w:rsid w:val="00FC6E23"/>
    <w:rsid w:val="00FD00E6"/>
    <w:rsid w:val="00FD09A1"/>
    <w:rsid w:val="00FD2A7C"/>
    <w:rsid w:val="00FD37F1"/>
    <w:rsid w:val="00FD59EB"/>
    <w:rsid w:val="00FD7299"/>
    <w:rsid w:val="00FE1FBE"/>
    <w:rsid w:val="00FE3901"/>
    <w:rsid w:val="00FE39D3"/>
    <w:rsid w:val="00FE4BCE"/>
    <w:rsid w:val="00FE51AA"/>
    <w:rsid w:val="00FE54AE"/>
    <w:rsid w:val="00FE576A"/>
    <w:rsid w:val="00FE7E79"/>
    <w:rsid w:val="00FF1A4F"/>
    <w:rsid w:val="00FF3E7D"/>
    <w:rsid w:val="00FF5B99"/>
    <w:rsid w:val="00FF730C"/>
    <w:rsid w:val="00FF73F4"/>
    <w:rsid w:val="00FF7CE4"/>
    <w:rsid w:val="00FF7E39"/>
    <w:rsid w:val="18E74914"/>
    <w:rsid w:val="271827F1"/>
    <w:rsid w:val="38E7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91B51308464150BD0E241F185E6678"/>
        <w:category>
          <w:name w:val="常规"/>
          <w:gallery w:val="placeholder"/>
        </w:category>
        <w:types>
          <w:type w:val="bbPlcHdr"/>
        </w:types>
        <w:behaviors>
          <w:behavior w:val="content"/>
        </w:behaviors>
        <w:guid w:val="{89E2CD11-C291-40B0-9307-779FC8D8B4AD}"/>
      </w:docPartPr>
      <w:docPartBody>
        <w:p w:rsidR="00E503EE" w:rsidRDefault="00E503EE">
          <w:pPr>
            <w:pStyle w:val="A991B51308464150BD0E241F185E6678"/>
          </w:pPr>
          <w:r>
            <w:rPr>
              <w:rStyle w:val="a3"/>
              <w:rFonts w:hint="eastAsia"/>
            </w:rPr>
            <w:t>单击或点击此处输入文字。</w:t>
          </w:r>
        </w:p>
      </w:docPartBody>
    </w:docPart>
    <w:docPart>
      <w:docPartPr>
        <w:name w:val="DC7ED220997A4F8092AC0AEBDD0445DE"/>
        <w:category>
          <w:name w:val="常规"/>
          <w:gallery w:val="placeholder"/>
        </w:category>
        <w:types>
          <w:type w:val="bbPlcHdr"/>
        </w:types>
        <w:behaviors>
          <w:behavior w:val="content"/>
        </w:behaviors>
        <w:guid w:val="{EE373C6B-6B54-4AB0-89CE-B9D1DB72DC54}"/>
      </w:docPartPr>
      <w:docPartBody>
        <w:p w:rsidR="00E503EE" w:rsidRDefault="00E503EE">
          <w:pPr>
            <w:pStyle w:val="DC7ED220997A4F8092AC0AEBDD0445DE"/>
          </w:pPr>
          <w:r>
            <w:rPr>
              <w:rStyle w:val="a3"/>
              <w:rFonts w:hint="eastAsia"/>
            </w:rPr>
            <w:t>选择一项。</w:t>
          </w:r>
        </w:p>
      </w:docPartBody>
    </w:docPart>
    <w:docPart>
      <w:docPartPr>
        <w:name w:val="B13452C0530D4F179E23302492962566"/>
        <w:category>
          <w:name w:val="常规"/>
          <w:gallery w:val="placeholder"/>
        </w:category>
        <w:types>
          <w:type w:val="bbPlcHdr"/>
        </w:types>
        <w:behaviors>
          <w:behavior w:val="content"/>
        </w:behaviors>
        <w:guid w:val="{8DBB985C-6864-4121-BDA2-5ABDA736F63F}"/>
      </w:docPartPr>
      <w:docPartBody>
        <w:p w:rsidR="00E503EE" w:rsidRDefault="00E503EE">
          <w:pPr>
            <w:pStyle w:val="B13452C0530D4F179E2330249296256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9B"/>
    <w:rsid w:val="000B1BA9"/>
    <w:rsid w:val="000E4792"/>
    <w:rsid w:val="001110C5"/>
    <w:rsid w:val="00180355"/>
    <w:rsid w:val="00196476"/>
    <w:rsid w:val="0022158F"/>
    <w:rsid w:val="00276AFC"/>
    <w:rsid w:val="00296D4F"/>
    <w:rsid w:val="002C29C8"/>
    <w:rsid w:val="002C3777"/>
    <w:rsid w:val="004253D6"/>
    <w:rsid w:val="004476B8"/>
    <w:rsid w:val="00592508"/>
    <w:rsid w:val="005F6B11"/>
    <w:rsid w:val="00622287"/>
    <w:rsid w:val="006B4A0C"/>
    <w:rsid w:val="006E4A26"/>
    <w:rsid w:val="00752E78"/>
    <w:rsid w:val="007973F4"/>
    <w:rsid w:val="007A029C"/>
    <w:rsid w:val="008924A7"/>
    <w:rsid w:val="0091470F"/>
    <w:rsid w:val="00921DBC"/>
    <w:rsid w:val="0092695E"/>
    <w:rsid w:val="00B503CC"/>
    <w:rsid w:val="00BB3D9B"/>
    <w:rsid w:val="00BF3383"/>
    <w:rsid w:val="00C12FBA"/>
    <w:rsid w:val="00C163CE"/>
    <w:rsid w:val="00C645BA"/>
    <w:rsid w:val="00CA7235"/>
    <w:rsid w:val="00D35BB8"/>
    <w:rsid w:val="00D93489"/>
    <w:rsid w:val="00E00BC1"/>
    <w:rsid w:val="00E42BAB"/>
    <w:rsid w:val="00E503EE"/>
    <w:rsid w:val="00E515D8"/>
    <w:rsid w:val="00FC0485"/>
    <w:rsid w:val="00FE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991B51308464150BD0E241F185E6678">
    <w:name w:val="A991B51308464150BD0E241F185E6678"/>
    <w:qFormat/>
    <w:pPr>
      <w:widowControl w:val="0"/>
      <w:jc w:val="both"/>
    </w:pPr>
    <w:rPr>
      <w:kern w:val="2"/>
      <w:sz w:val="21"/>
      <w:szCs w:val="22"/>
    </w:rPr>
  </w:style>
  <w:style w:type="paragraph" w:customStyle="1" w:styleId="DC7ED220997A4F8092AC0AEBDD0445DE">
    <w:name w:val="DC7ED220997A4F8092AC0AEBDD0445DE"/>
    <w:qFormat/>
    <w:pPr>
      <w:widowControl w:val="0"/>
      <w:jc w:val="both"/>
    </w:pPr>
    <w:rPr>
      <w:kern w:val="2"/>
      <w:sz w:val="21"/>
      <w:szCs w:val="22"/>
    </w:rPr>
  </w:style>
  <w:style w:type="paragraph" w:customStyle="1" w:styleId="B13452C0530D4F179E23302492962566">
    <w:name w:val="B13452C0530D4F179E2330249296256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991B51308464150BD0E241F185E6678">
    <w:name w:val="A991B51308464150BD0E241F185E6678"/>
    <w:qFormat/>
    <w:pPr>
      <w:widowControl w:val="0"/>
      <w:jc w:val="both"/>
    </w:pPr>
    <w:rPr>
      <w:kern w:val="2"/>
      <w:sz w:val="21"/>
      <w:szCs w:val="22"/>
    </w:rPr>
  </w:style>
  <w:style w:type="paragraph" w:customStyle="1" w:styleId="DC7ED220997A4F8092AC0AEBDD0445DE">
    <w:name w:val="DC7ED220997A4F8092AC0AEBDD0445DE"/>
    <w:qFormat/>
    <w:pPr>
      <w:widowControl w:val="0"/>
      <w:jc w:val="both"/>
    </w:pPr>
    <w:rPr>
      <w:kern w:val="2"/>
      <w:sz w:val="21"/>
      <w:szCs w:val="22"/>
    </w:rPr>
  </w:style>
  <w:style w:type="paragraph" w:customStyle="1" w:styleId="B13452C0530D4F179E23302492962566">
    <w:name w:val="B13452C0530D4F179E2330249296256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8A28D-1587-4757-B6EF-5007A9F2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554</TotalTime>
  <Pages>10</Pages>
  <Words>668</Words>
  <Characters>3811</Characters>
  <Application>Microsoft Office Word</Application>
  <DocSecurity>0</DocSecurity>
  <Lines>31</Lines>
  <Paragraphs>8</Paragraphs>
  <ScaleCrop>false</ScaleCrop>
  <Company>PCMI</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徐超莲</dc:creator>
  <dc:description>&lt;config cover="true" show_menu="true" version="1.0.0" doctype="SDKXY"&gt;_x000d_
&lt;/config&gt;</dc:description>
  <cp:lastModifiedBy>xu</cp:lastModifiedBy>
  <cp:revision>253</cp:revision>
  <cp:lastPrinted>2022-04-14T09:38:00Z</cp:lastPrinted>
  <dcterms:created xsi:type="dcterms:W3CDTF">2022-02-21T00:37:00Z</dcterms:created>
  <dcterms:modified xsi:type="dcterms:W3CDTF">2026-01-14T03:42:00Z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2052-11.1.0.11365</vt:lpwstr>
  </property>
  <property fmtid="{D5CDD505-2E9C-101B-9397-08002B2CF9AE}" pid="16" name="ICV">
    <vt:lpwstr>E994766A4D4B43129107FDAA6676334E</vt:lpwstr>
  </property>
</Properties>
</file>