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B64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41C4B5">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hint="eastAsia" w:ascii="黑体" w:hAnsi="黑体" w:eastAsia="黑体"/>
                <w:sz w:val="21"/>
                <w:szCs w:val="21"/>
              </w:rPr>
              <w:t xml:space="preserve"> </w:t>
            </w:r>
            <w:r>
              <w:rPr>
                <w:rFonts w:ascii="黑体" w:hAnsi="黑体" w:eastAsia="黑体"/>
                <w:sz w:val="21"/>
                <w:szCs w:val="21"/>
              </w:rPr>
              <w:t>ICS</w:t>
            </w:r>
          </w:p>
          <w:p w14:paraId="0FBE9288">
            <w:pPr>
              <w:pStyle w:val="18"/>
              <w:framePr w:wrap="notBeside" w:vAnchor="page" w:hAnchor="page" w:x="1372" w:y="568"/>
              <w:tabs>
                <w:tab w:val="clear" w:pos="4153"/>
                <w:tab w:val="clear" w:pos="8306"/>
              </w:tabs>
              <w:spacing w:line="240" w:lineRule="auto"/>
              <w:ind w:left="105" w:hanging="105" w:hangingChars="50"/>
              <w:jc w:val="left"/>
              <w:rPr>
                <w:rFonts w:ascii="黑体" w:hAnsi="黑体" w:eastAsia="黑体"/>
                <w:sz w:val="21"/>
                <w:szCs w:val="21"/>
              </w:rPr>
            </w:pPr>
            <w:r>
              <w:rPr>
                <w:rFonts w:ascii="黑体" w:hAnsi="黑体" w:eastAsia="黑体"/>
                <w:sz w:val="21"/>
                <w:szCs w:val="21"/>
              </w:rPr>
              <w:t xml:space="preserve"> CCS </w:t>
            </w:r>
          </w:p>
        </w:tc>
        <w:tc>
          <w:tcPr>
            <w:tcW w:w="8855" w:type="dxa"/>
          </w:tcPr>
          <w:p w14:paraId="3044186E">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t>29.240</w:t>
            </w:r>
          </w:p>
          <w:p w14:paraId="6D5772A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F</w:t>
            </w:r>
            <w:r>
              <w:rPr>
                <w:rFonts w:ascii="黑体" w:hAnsi="黑体" w:eastAsia="黑体"/>
                <w:sz w:val="21"/>
                <w:szCs w:val="21"/>
              </w:rPr>
              <w:t xml:space="preserve"> 20</w:t>
            </w:r>
          </w:p>
        </w:tc>
      </w:tr>
      <w:tr w14:paraId="2367A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8D2EB7C">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8BC96B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847D882">
                  <w:pPr>
                    <w:pStyle w:val="51"/>
                    <w:framePr w:wrap="notBeside" w:vAnchor="page" w:hAnchor="page" w:x="1372" w:y="568"/>
                    <w:ind w:left="420" w:right="624"/>
                    <w:rPr>
                      <w:rFonts w:ascii="宋体" w:hAnsi="宋体"/>
                      <w:sz w:val="28"/>
                      <w:szCs w:val="28"/>
                    </w:rPr>
                  </w:pPr>
                  <w:r>
                    <w:rPr>
                      <w:sz w:val="21"/>
                      <w:szCs w:val="21"/>
                    </w:rPr>
                    <w:t xml:space="preserve"> </w:t>
                  </w:r>
                  <w:bookmarkStart w:id="0" w:name="c1"/>
                  <w:r>
                    <w:rPr>
                      <w:rFonts w:ascii="Times New Roman" w:hAnsi="Times New Roman" w:eastAsia="宋体" w:cs="Times New Roman"/>
                      <w:b/>
                      <w:w w:val="130"/>
                      <w:sz w:val="96"/>
                      <w:lang w:val="en-US" w:eastAsia="zh-CN" w:bidi="ar-SA"/>
                    </w:rPr>
                    <w:fldChar w:fldCharType="begin">
                      <w:ffData>
                        <w:name w:val="c1"/>
                        <w:enabled/>
                        <w:calcOnExit w:val="0"/>
                        <w:textInput>
                          <w:default w:val="T/CIAD"/>
                          <w:maxLength w:val="10"/>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T/CIAD</w:t>
                  </w:r>
                  <w:r>
                    <w:rPr>
                      <w:rFonts w:ascii="Times New Roman" w:hAnsi="Times New Roman" w:eastAsia="宋体" w:cs="Times New Roman"/>
                      <w:b/>
                      <w:w w:val="130"/>
                      <w:sz w:val="96"/>
                      <w:lang w:val="en-US" w:eastAsia="zh-CN" w:bidi="ar-SA"/>
                    </w:rPr>
                    <w:fldChar w:fldCharType="end"/>
                  </w:r>
                  <w:bookmarkEnd w:id="0"/>
                </w:p>
              </w:tc>
            </w:tr>
          </w:tbl>
          <w:p w14:paraId="07347DA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p w14:paraId="08A868B5">
      <w:pPr>
        <w:pStyle w:val="52"/>
        <w:framePr w:w="9639" w:h="624" w:hRule="exact" w:hSpace="181" w:vSpace="181" w:wrap="around" w:hAnchor="page" w:x="1212" w:y="2569"/>
        <w:rPr>
          <w:rFonts w:ascii="黑体" w:hAnsi="黑体" w:eastAsia="黑体"/>
          <w:b w:val="0"/>
          <w:bCs w:val="0"/>
          <w:w w:val="100"/>
          <w:sz w:val="48"/>
          <w:szCs w:val="48"/>
        </w:rPr>
      </w:pPr>
      <w:bookmarkStart w:id="1"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1DF44B20">
      <w:pPr>
        <w:pStyle w:val="197"/>
      </w:pPr>
      <w:r>
        <w:t>T/CIAD</w:t>
      </w:r>
      <w:r>
        <w:rPr>
          <w:rFonts w:hint="eastAsia"/>
          <w:lang w:val="en-US" w:eastAsia="zh-CN"/>
        </w:rPr>
        <w:t xml:space="preserve"> </w:t>
      </w:r>
      <w:bookmarkStart w:id="100" w:name="_GoBack"/>
      <w:bookmarkEnd w:id="100"/>
      <w:r>
        <w:t>XXXX</w:t>
      </w:r>
      <w:r>
        <w:rPr>
          <w:rFonts w:hAnsi="黑体"/>
        </w:rPr>
        <w:t>—</w:t>
      </w:r>
      <w:r>
        <w:rPr>
          <w:rFonts w:hint="eastAsia"/>
        </w:rPr>
        <w:t>202</w:t>
      </w:r>
      <w:r>
        <w:t>6</w:t>
      </w:r>
    </w:p>
    <w:p w14:paraId="78A2A030">
      <w:pPr>
        <w:pStyle w:val="198"/>
        <w:rPr>
          <w:rFonts w:hAnsi="黑体"/>
        </w:rPr>
      </w:pPr>
    </w:p>
    <w:p w14:paraId="78C6932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8265B3E">
      <w:pPr>
        <w:pStyle w:val="52"/>
        <w:framePr w:w="9639" w:h="6976" w:hRule="exact" w:hSpace="0" w:vSpace="0" w:wrap="around" w:hAnchor="page" w:y="6408"/>
        <w:jc w:val="center"/>
        <w:rPr>
          <w:rFonts w:ascii="黑体" w:hAnsi="黑体" w:eastAsia="黑体"/>
          <w:b w:val="0"/>
          <w:bCs w:val="0"/>
          <w:w w:val="100"/>
        </w:rPr>
      </w:pPr>
    </w:p>
    <w:p w14:paraId="689D6351">
      <w:pPr>
        <w:pStyle w:val="199"/>
        <w:framePr w:h="6974" w:hRule="exact" w:wrap="around" w:x="1419" w:anchorLock="1"/>
      </w:pPr>
      <w:r>
        <w:rPr>
          <w:rFonts w:hint="eastAsia"/>
        </w:rPr>
        <w:t>智能温控户外电能计量箱</w:t>
      </w:r>
    </w:p>
    <w:p w14:paraId="5EE6B40B">
      <w:pPr>
        <w:framePr w:w="9639" w:h="6974" w:hRule="exact" w:wrap="around" w:vAnchor="page" w:hAnchor="page" w:x="1419" w:y="6408" w:anchorLock="1"/>
        <w:ind w:left="-1418"/>
      </w:pPr>
    </w:p>
    <w:p w14:paraId="266A5894">
      <w:pPr>
        <w:pStyle w:val="127"/>
        <w:framePr w:w="9639" w:h="6974" w:hRule="exact" w:wrap="around" w:vAnchor="page" w:hAnchor="page" w:x="1419" w:y="6408" w:anchorLock="1"/>
        <w:textAlignment w:val="bottom"/>
        <w:rPr>
          <w:rFonts w:eastAsia="黑体"/>
          <w:szCs w:val="28"/>
        </w:rPr>
      </w:pPr>
    </w:p>
    <w:p w14:paraId="04B47E34">
      <w:pPr>
        <w:framePr w:w="9639" w:h="6974" w:hRule="exact" w:wrap="around" w:vAnchor="page" w:hAnchor="page" w:x="1419" w:y="6408" w:anchorLock="1"/>
        <w:spacing w:line="760" w:lineRule="exact"/>
        <w:ind w:left="-1418"/>
      </w:pPr>
    </w:p>
    <w:p w14:paraId="40DB2EDB">
      <w:pPr>
        <w:pStyle w:val="127"/>
        <w:framePr w:w="9639" w:h="6974" w:hRule="exact" w:wrap="around" w:vAnchor="page" w:hAnchor="page" w:x="1419" w:y="6408" w:anchorLock="1"/>
        <w:textAlignment w:val="bottom"/>
        <w:rPr>
          <w:rFonts w:eastAsia="黑体"/>
          <w:szCs w:val="28"/>
        </w:rPr>
      </w:pPr>
    </w:p>
    <w:p w14:paraId="331916B6">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2" w:name="下拉1"/>
      <w:r>
        <w:rPr>
          <w:sz w:val="24"/>
          <w:szCs w:val="28"/>
        </w:rPr>
        <w:instrText xml:space="preserve"> FORMDROPDOWN </w:instrText>
      </w:r>
      <w:r>
        <w:rPr>
          <w:sz w:val="24"/>
          <w:szCs w:val="28"/>
        </w:rPr>
        <w:fldChar w:fldCharType="separate"/>
      </w:r>
      <w:r>
        <w:rPr>
          <w:sz w:val="24"/>
          <w:szCs w:val="28"/>
        </w:rPr>
        <w:fldChar w:fldCharType="end"/>
      </w:r>
      <w:bookmarkEnd w:id="2"/>
    </w:p>
    <w:p w14:paraId="17BDF6FC">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3"/>
    </w:p>
    <w:p w14:paraId="051487F9">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p>
    <w:p w14:paraId="0B81ADC4">
      <w:pPr>
        <w:pStyle w:val="195"/>
        <w:framePr w:wrap="around" w:y="14176"/>
      </w:pPr>
      <w:r>
        <w:rPr>
          <w:rFonts w:hint="eastAsia" w:ascii="黑体"/>
        </w:rPr>
        <w:t>202</w:t>
      </w:r>
      <w:r>
        <w:rPr>
          <w:rFonts w:ascii="黑体"/>
        </w:rPr>
        <w:t>6</w:t>
      </w:r>
      <w:r>
        <w:t xml:space="preserve"> </w:t>
      </w:r>
      <w:r>
        <w:rPr>
          <w:rFonts w:ascii="黑体"/>
        </w:rPr>
        <w:t>-</w:t>
      </w:r>
      <w:r>
        <w:t xml:space="preserve"> </w:t>
      </w:r>
      <w:bookmarkStart w:id="5" w:name="PLSH_DATE_M"/>
      <w:r>
        <w:rPr>
          <w:rFonts w:ascii="黑体"/>
        </w:rPr>
        <w:fldChar w:fldCharType="begin">
          <w:ffData>
            <w:name w:val="PLSH_DATE_M"/>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5"/>
      <w:r>
        <w:t xml:space="preserve"> </w:t>
      </w:r>
      <w:r>
        <w:rPr>
          <w:rFonts w:ascii="黑体"/>
        </w:rPr>
        <w:t>-</w:t>
      </w:r>
      <w:r>
        <w:t xml:space="preserve"> </w:t>
      </w:r>
      <w:bookmarkStart w:id="6" w:name="PLSH_DATE_D"/>
      <w:r>
        <w:rPr>
          <w:rFonts w:ascii="黑体"/>
        </w:rPr>
        <w:fldChar w:fldCharType="begin">
          <w:ffData>
            <w:name w:val="PLSH_DATE_D"/>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6"/>
      <w:r>
        <w:rPr>
          <w:rFonts w:hint="eastAsia"/>
        </w:rPr>
        <w:t>发布</w:t>
      </w:r>
    </w:p>
    <w:p w14:paraId="20FBC5EF">
      <w:pPr>
        <w:pStyle w:val="196"/>
        <w:framePr w:wrap="around" w:y="14176"/>
      </w:pPr>
      <w:r>
        <w:rPr>
          <w:rFonts w:hint="eastAsia" w:ascii="黑体"/>
        </w:rPr>
        <w:t>202</w:t>
      </w:r>
      <w:r>
        <w:rPr>
          <w:rFonts w:ascii="黑体"/>
        </w:rPr>
        <w:t>6</w:t>
      </w:r>
      <w:r>
        <w:t xml:space="preserve"> </w:t>
      </w:r>
      <w:r>
        <w:rPr>
          <w:rFonts w:ascii="黑体"/>
        </w:rPr>
        <w:t>-</w:t>
      </w:r>
      <w:r>
        <w:t xml:space="preserve"> </w:t>
      </w:r>
      <w:bookmarkStart w:id="7" w:name="CROT_DATE_M"/>
      <w:r>
        <w:rPr>
          <w:rFonts w:ascii="黑体"/>
        </w:rPr>
        <w:fldChar w:fldCharType="begin">
          <w:ffData>
            <w:name w:val="CROT_DATE_M"/>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bookmarkStart w:id="8" w:name="CROT_DATE_D"/>
      <w:r>
        <w:rPr>
          <w:rFonts w:ascii="黑体"/>
        </w:rPr>
        <w:fldChar w:fldCharType="begin">
          <w:ffData>
            <w:name w:val="CROT_DATE_D"/>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8"/>
      <w:r>
        <w:rPr>
          <w:rFonts w:hint="eastAsia"/>
        </w:rPr>
        <w:t>实施</w:t>
      </w:r>
    </w:p>
    <w:p w14:paraId="359CC488">
      <w:pPr>
        <w:pStyle w:val="153"/>
        <w:framePr w:h="584" w:hRule="exact" w:hSpace="181" w:vSpace="181" w:wrap="around" w:vAnchor="page" w:y="14800"/>
        <w:rPr>
          <w:rFonts w:hAnsi="黑体"/>
        </w:rPr>
      </w:pPr>
      <w:r>
        <w:rPr>
          <w:rFonts w:hint="eastAsia" w:hAnsi="黑体"/>
          <w:w w:val="100"/>
          <w:sz w:val="28"/>
        </w:rPr>
        <w:t>中国城乡发展国际交流协会</w:t>
      </w:r>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749FC2AD">
      <w:pPr>
        <w:rPr>
          <w:rFonts w:ascii="宋体" w:hAnsi="宋体"/>
          <w:sz w:val="28"/>
          <w:szCs w:val="28"/>
        </w:r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5DBBDCD"/>
    <w:p w14:paraId="787A3D00"/>
    <w:p w14:paraId="3F29B508"/>
    <w:p w14:paraId="29A65F54"/>
    <w:p w14:paraId="2F89F110"/>
    <w:p w14:paraId="082D13CF">
      <w:pPr>
        <w:tabs>
          <w:tab w:val="right" w:pos="9354"/>
        </w:tabs>
        <w:jc w:val="left"/>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rPr>
        <w:tab/>
      </w:r>
    </w:p>
    <w:p w14:paraId="56CF3682">
      <w:pPr>
        <w:pStyle w:val="93"/>
        <w:spacing w:before="850" w:after="680" w:afterLines="0"/>
      </w:pPr>
      <w:r>
        <w:rPr>
          <w:spacing w:val="320"/>
        </w:rPr>
        <w:t>目</w:t>
      </w:r>
      <w:r>
        <w:t>次</w:t>
      </w:r>
    </w:p>
    <w:p w14:paraId="1429658A">
      <w:pPr>
        <w:pStyle w:val="19"/>
        <w:tabs>
          <w:tab w:val="right" w:leader="dot" w:pos="9354"/>
        </w:tabs>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"_Toc4370" </w:instrText>
      </w:r>
      <w:r>
        <w:fldChar w:fldCharType="separate"/>
      </w:r>
      <w:r>
        <w:rPr>
          <w:rFonts w:hint="eastAsia"/>
        </w:rPr>
        <w:t>前言</w:t>
      </w:r>
      <w:r>
        <w:rPr>
          <w:rFonts w:hint="eastAsia"/>
        </w:rPr>
        <w:tab/>
      </w:r>
      <w:r>
        <w:rPr>
          <w:rFonts w:hint="eastAsia"/>
        </w:rPr>
        <w:fldChar w:fldCharType="begin"/>
      </w:r>
      <w:r>
        <w:rPr>
          <w:rFonts w:hint="eastAsia"/>
        </w:rPr>
        <w:instrText xml:space="preserve"> PAGEREF _Toc4370 \h </w:instrText>
      </w:r>
      <w:r>
        <w:rPr>
          <w:rFonts w:hint="eastAsia"/>
        </w:rPr>
        <w:fldChar w:fldCharType="separate"/>
      </w:r>
      <w:r>
        <w:rPr>
          <w:rFonts w:hint="eastAsia"/>
        </w:rPr>
        <w:t>II</w:t>
      </w:r>
      <w:r>
        <w:rPr>
          <w:rFonts w:hint="eastAsia"/>
        </w:rPr>
        <w:fldChar w:fldCharType="end"/>
      </w:r>
      <w:r>
        <w:rPr>
          <w:rFonts w:hint="eastAsia"/>
        </w:rPr>
        <w:fldChar w:fldCharType="end"/>
      </w:r>
    </w:p>
    <w:p w14:paraId="577AA8EF">
      <w:pPr>
        <w:pStyle w:val="19"/>
        <w:tabs>
          <w:tab w:val="right" w:leader="dot" w:pos="9354"/>
        </w:tabs>
      </w:pPr>
      <w:r>
        <w:fldChar w:fldCharType="begin"/>
      </w:r>
      <w:r>
        <w:instrText xml:space="preserve"> HYPERLINK \l "_Toc14636" </w:instrText>
      </w:r>
      <w:r>
        <w:fldChar w:fldCharType="separate"/>
      </w:r>
      <w:r>
        <w:rPr>
          <w:rFonts w:hint="eastAsia" w:ascii="黑体" w:eastAsia="黑体"/>
        </w:rPr>
        <w:t xml:space="preserve">1 </w:t>
      </w:r>
      <w:r>
        <w:rPr>
          <w:rFonts w:hint="eastAsia"/>
        </w:rPr>
        <w:t>范围</w:t>
      </w:r>
      <w:r>
        <w:tab/>
      </w:r>
      <w:r>
        <w:fldChar w:fldCharType="begin"/>
      </w:r>
      <w:r>
        <w:instrText xml:space="preserve"> PAGEREF _Toc14636 \h </w:instrText>
      </w:r>
      <w:r>
        <w:fldChar w:fldCharType="separate"/>
      </w:r>
      <w:r>
        <w:t>1</w:t>
      </w:r>
      <w:r>
        <w:fldChar w:fldCharType="end"/>
      </w:r>
      <w:r>
        <w:fldChar w:fldCharType="end"/>
      </w:r>
    </w:p>
    <w:p w14:paraId="5266C4B0">
      <w:pPr>
        <w:pStyle w:val="19"/>
        <w:tabs>
          <w:tab w:val="right" w:leader="dot" w:pos="9354"/>
        </w:tabs>
      </w:pPr>
      <w:r>
        <w:fldChar w:fldCharType="begin"/>
      </w:r>
      <w:r>
        <w:instrText xml:space="preserve"> HYPERLINK \l "_Toc8461"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_Toc8461 \h </w:instrText>
      </w:r>
      <w:r>
        <w:fldChar w:fldCharType="separate"/>
      </w:r>
      <w:r>
        <w:t>1</w:t>
      </w:r>
      <w:r>
        <w:fldChar w:fldCharType="end"/>
      </w:r>
      <w:r>
        <w:fldChar w:fldCharType="end"/>
      </w:r>
    </w:p>
    <w:p w14:paraId="46D1E685">
      <w:pPr>
        <w:pStyle w:val="19"/>
        <w:tabs>
          <w:tab w:val="right" w:leader="dot" w:pos="9354"/>
        </w:tabs>
      </w:pPr>
      <w:r>
        <w:fldChar w:fldCharType="begin"/>
      </w:r>
      <w:r>
        <w:instrText xml:space="preserve"> HYPERLINK \l "_Toc10311"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_Toc10311 \h </w:instrText>
      </w:r>
      <w:r>
        <w:fldChar w:fldCharType="separate"/>
      </w:r>
      <w:r>
        <w:t>1</w:t>
      </w:r>
      <w:r>
        <w:fldChar w:fldCharType="end"/>
      </w:r>
      <w:r>
        <w:fldChar w:fldCharType="end"/>
      </w:r>
    </w:p>
    <w:p w14:paraId="2701B64C">
      <w:pPr>
        <w:pStyle w:val="19"/>
        <w:tabs>
          <w:tab w:val="right" w:leader="dot" w:pos="9354"/>
        </w:tabs>
      </w:pPr>
      <w:r>
        <w:fldChar w:fldCharType="begin"/>
      </w:r>
      <w:r>
        <w:instrText xml:space="preserve"> HYPERLINK \l "_Toc30643" </w:instrText>
      </w:r>
      <w:r>
        <w:fldChar w:fldCharType="separate"/>
      </w:r>
      <w:r>
        <w:rPr>
          <w:rFonts w:hint="eastAsia" w:ascii="黑体" w:eastAsia="黑体"/>
        </w:rPr>
        <w:t xml:space="preserve">4 </w:t>
      </w:r>
      <w:r>
        <w:rPr>
          <w:rFonts w:hint="eastAsia"/>
        </w:rPr>
        <w:t>技术要求</w:t>
      </w:r>
      <w:r>
        <w:tab/>
      </w:r>
      <w:r>
        <w:fldChar w:fldCharType="begin"/>
      </w:r>
      <w:r>
        <w:instrText xml:space="preserve"> PAGEREF _Toc30643 \h </w:instrText>
      </w:r>
      <w:r>
        <w:fldChar w:fldCharType="separate"/>
      </w:r>
      <w:r>
        <w:t>1</w:t>
      </w:r>
      <w:r>
        <w:fldChar w:fldCharType="end"/>
      </w:r>
      <w:r>
        <w:fldChar w:fldCharType="end"/>
      </w:r>
    </w:p>
    <w:p w14:paraId="7DDDA73E">
      <w:pPr>
        <w:pStyle w:val="19"/>
        <w:tabs>
          <w:tab w:val="right" w:leader="dot" w:pos="9354"/>
        </w:tabs>
      </w:pPr>
      <w:r>
        <w:fldChar w:fldCharType="begin"/>
      </w:r>
      <w:r>
        <w:instrText xml:space="preserve"> HYPERLINK \l "_Toc3191" </w:instrText>
      </w:r>
      <w:r>
        <w:fldChar w:fldCharType="separate"/>
      </w:r>
      <w:r>
        <w:rPr>
          <w:rFonts w:hint="eastAsia" w:ascii="黑体" w:eastAsia="黑体"/>
        </w:rPr>
        <w:t xml:space="preserve">5 </w:t>
      </w:r>
      <w:r>
        <w:rPr>
          <w:rFonts w:hint="eastAsia"/>
        </w:rPr>
        <w:t>试验方法</w:t>
      </w:r>
      <w:r>
        <w:tab/>
      </w:r>
      <w:r>
        <w:fldChar w:fldCharType="begin"/>
      </w:r>
      <w:r>
        <w:instrText xml:space="preserve"> PAGEREF _Toc3191 \h </w:instrText>
      </w:r>
      <w:r>
        <w:fldChar w:fldCharType="separate"/>
      </w:r>
      <w:r>
        <w:t>5</w:t>
      </w:r>
      <w:r>
        <w:fldChar w:fldCharType="end"/>
      </w:r>
      <w:r>
        <w:fldChar w:fldCharType="end"/>
      </w:r>
    </w:p>
    <w:p w14:paraId="360A17FE">
      <w:pPr>
        <w:pStyle w:val="19"/>
        <w:tabs>
          <w:tab w:val="right" w:leader="dot" w:pos="9354"/>
        </w:tabs>
      </w:pPr>
      <w:r>
        <w:fldChar w:fldCharType="begin"/>
      </w:r>
      <w:r>
        <w:instrText xml:space="preserve"> HYPERLINK \l "_Toc23976" </w:instrText>
      </w:r>
      <w:r>
        <w:fldChar w:fldCharType="separate"/>
      </w:r>
      <w:r>
        <w:rPr>
          <w:rFonts w:hint="eastAsia" w:ascii="黑体" w:eastAsia="黑体"/>
        </w:rPr>
        <w:t xml:space="preserve">6 </w:t>
      </w:r>
      <w:r>
        <w:rPr>
          <w:rFonts w:hint="eastAsia"/>
        </w:rPr>
        <w:t>检验规则</w:t>
      </w:r>
      <w:r>
        <w:tab/>
      </w:r>
      <w:r>
        <w:fldChar w:fldCharType="begin"/>
      </w:r>
      <w:r>
        <w:instrText xml:space="preserve"> PAGEREF _Toc23976 \h </w:instrText>
      </w:r>
      <w:r>
        <w:fldChar w:fldCharType="separate"/>
      </w:r>
      <w:r>
        <w:t>7</w:t>
      </w:r>
      <w:r>
        <w:fldChar w:fldCharType="end"/>
      </w:r>
      <w:r>
        <w:fldChar w:fldCharType="end"/>
      </w:r>
    </w:p>
    <w:p w14:paraId="2A578806">
      <w:pPr>
        <w:pStyle w:val="19"/>
        <w:tabs>
          <w:tab w:val="right" w:leader="dot" w:pos="9354"/>
        </w:tabs>
      </w:pPr>
      <w:r>
        <w:fldChar w:fldCharType="begin"/>
      </w:r>
      <w:r>
        <w:instrText xml:space="preserve"> HYPERLINK \l "_Toc6349" </w:instrText>
      </w:r>
      <w:r>
        <w:fldChar w:fldCharType="separate"/>
      </w:r>
      <w:r>
        <w:rPr>
          <w:rFonts w:hint="eastAsia" w:ascii="黑体" w:eastAsia="黑体"/>
        </w:rPr>
        <w:t xml:space="preserve">7 </w:t>
      </w:r>
      <w:r>
        <w:rPr>
          <w:rFonts w:hint="eastAsia"/>
        </w:rPr>
        <w:t>标志、包装、运输、贮存</w:t>
      </w:r>
      <w:r>
        <w:tab/>
      </w:r>
      <w:r>
        <w:fldChar w:fldCharType="begin"/>
      </w:r>
      <w:r>
        <w:instrText xml:space="preserve"> PAGEREF _Toc6349 \h </w:instrText>
      </w:r>
      <w:r>
        <w:fldChar w:fldCharType="separate"/>
      </w:r>
      <w:r>
        <w:t>7</w:t>
      </w:r>
      <w:r>
        <w:fldChar w:fldCharType="end"/>
      </w:r>
      <w:r>
        <w:fldChar w:fldCharType="end"/>
      </w:r>
    </w:p>
    <w:p w14:paraId="2DE5C44E">
      <w:pPr>
        <w:pStyle w:val="19"/>
        <w:tabs>
          <w:tab w:val="right" w:leader="dot" w:pos="9344"/>
        </w:tabs>
        <w:rPr>
          <w:rFonts w:hAnsi="宋体" w:cs="宋体"/>
        </w:rPr>
      </w:pPr>
      <w:r>
        <w:rPr>
          <w:rFonts w:hint="eastAsia"/>
        </w:rPr>
        <w:fldChar w:fldCharType="end"/>
      </w:r>
    </w:p>
    <w:p w14:paraId="396FC2AA">
      <w:pPr>
        <w:pStyle w:val="93"/>
        <w:spacing w:before="0" w:after="0" w:afterLines="0" w:line="400" w:lineRule="atLeast"/>
        <w:jc w:val="both"/>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p w14:paraId="184E5511">
      <w:pPr>
        <w:pStyle w:val="91"/>
        <w:spacing w:before="850" w:after="680" w:afterLines="0"/>
      </w:pPr>
      <w:bookmarkStart w:id="9" w:name="_Toc19046"/>
      <w:bookmarkStart w:id="10" w:name="_Toc30374"/>
      <w:bookmarkStart w:id="11" w:name="_Toc24663"/>
      <w:bookmarkStart w:id="12" w:name="_Toc4370"/>
      <w:bookmarkStart w:id="13" w:name="BookMark2"/>
      <w:r>
        <w:rPr>
          <w:spacing w:val="320"/>
        </w:rPr>
        <w:t>前</w:t>
      </w:r>
      <w:r>
        <w:t>言</w:t>
      </w:r>
      <w:bookmarkEnd w:id="9"/>
      <w:bookmarkEnd w:id="10"/>
      <w:bookmarkEnd w:id="11"/>
      <w:bookmarkEnd w:id="12"/>
    </w:p>
    <w:p w14:paraId="79A59E28">
      <w:pPr>
        <w:pStyle w:val="58"/>
        <w:ind w:firstLine="420"/>
      </w:pPr>
      <w:r>
        <w:rPr>
          <w:rFonts w:hint="eastAsia"/>
        </w:rPr>
        <w:t>本文件按照GB/T 1.1—2020《标准化工作导则  第1部分：标准化文件的结构和起草规则》的规定起草。</w:t>
      </w:r>
    </w:p>
    <w:p w14:paraId="73D86813">
      <w:pPr>
        <w:pStyle w:val="58"/>
        <w:ind w:firstLine="420"/>
      </w:pPr>
      <w:r>
        <w:rPr>
          <w:rFonts w:hint="eastAsia"/>
        </w:rPr>
        <w:t>本文件由XXXX提出并归口。</w:t>
      </w:r>
    </w:p>
    <w:p w14:paraId="4230B282">
      <w:pPr>
        <w:pStyle w:val="58"/>
        <w:ind w:firstLine="420"/>
      </w:pPr>
      <w:r>
        <w:rPr>
          <w:rFonts w:hint="eastAsia"/>
        </w:rPr>
        <w:t>本文件起草单位：XXXX。</w:t>
      </w:r>
    </w:p>
    <w:p w14:paraId="68972861">
      <w:pPr>
        <w:pStyle w:val="58"/>
        <w:ind w:firstLine="420"/>
      </w:pPr>
      <w:r>
        <w:rPr>
          <w:rFonts w:hint="eastAsia"/>
        </w:rPr>
        <w:t>本文件主要起草人：XXXX。</w:t>
      </w:r>
    </w:p>
    <w:p w14:paraId="48E5FBAC">
      <w:pPr>
        <w:pStyle w:val="58"/>
        <w:ind w:firstLine="420"/>
        <w:sectPr>
          <w:headerReference r:id="rId12" w:type="even"/>
          <w:footerReference r:id="rId13" w:type="even"/>
          <w:pgSz w:w="11906" w:h="16838"/>
          <w:pgMar w:top="1928" w:right="1134" w:bottom="1134" w:left="1134" w:header="1418" w:footer="1134" w:gutter="284"/>
          <w:pgNumType w:fmt="upperRoman"/>
          <w:cols w:space="425" w:num="1"/>
          <w:formProt w:val="0"/>
          <w:docGrid w:linePitch="312" w:charSpace="0"/>
        </w:sectPr>
      </w:pPr>
    </w:p>
    <w:bookmarkEnd w:id="13"/>
    <w:p w14:paraId="256CB49E">
      <w:pPr>
        <w:spacing w:line="20" w:lineRule="exact"/>
        <w:jc w:val="center"/>
        <w:rPr>
          <w:rFonts w:ascii="黑体" w:hAnsi="黑体" w:eastAsia="黑体"/>
          <w:sz w:val="32"/>
          <w:szCs w:val="32"/>
        </w:rPr>
      </w:pPr>
      <w:bookmarkStart w:id="14" w:name="BookMark4"/>
    </w:p>
    <w:p w14:paraId="6CD02E15">
      <w:pPr>
        <w:spacing w:line="20" w:lineRule="exact"/>
        <w:jc w:val="center"/>
        <w:rPr>
          <w:rFonts w:ascii="黑体" w:hAnsi="黑体" w:eastAsia="黑体"/>
          <w:sz w:val="32"/>
          <w:szCs w:val="32"/>
        </w:rPr>
      </w:pPr>
    </w:p>
    <w:p w14:paraId="7908D958">
      <w:pPr>
        <w:pStyle w:val="179"/>
        <w:spacing w:before="0" w:after="680" w:line="240" w:lineRule="auto"/>
      </w:pPr>
      <w:sdt>
        <w:sdtPr>
          <w:tag w:val="NEW_STAND_NAME"/>
          <w:id w:val="595910757"/>
          <w:lock w:val="sdtLocked"/>
          <w:placeholder>
            <w:docPart w:val="775AB84935EF433FA6318A933DA8A069"/>
          </w:placeholder>
        </w:sdtPr>
        <w:sdtEndPr>
          <w:rPr>
            <w:rFonts w:hint="eastAsia"/>
            <w:highlight w:val="green"/>
          </w:rPr>
        </w:sdtEndPr>
        <w:sdtContent>
          <w:bookmarkStart w:id="15" w:name="NEW_STAND_NAME"/>
          <w:r>
            <w:rPr>
              <w:rFonts w:hint="eastAsia"/>
            </w:rPr>
            <w:t>智能温控户外电能计量箱</w:t>
          </w:r>
        </w:sdtContent>
      </w:sdt>
    </w:p>
    <w:bookmarkEnd w:id="15"/>
    <w:p w14:paraId="6B1D0C7E">
      <w:pPr>
        <w:pStyle w:val="106"/>
        <w:spacing w:before="240" w:after="240"/>
      </w:pPr>
      <w:bookmarkStart w:id="16" w:name="_Toc17233325"/>
      <w:bookmarkStart w:id="17" w:name="_Toc24884211"/>
      <w:bookmarkStart w:id="18" w:name="_Toc26986530"/>
      <w:bookmarkStart w:id="19" w:name="_Toc14636"/>
      <w:bookmarkStart w:id="20" w:name="_Toc24884218"/>
      <w:bookmarkStart w:id="21" w:name="_Toc17233333"/>
      <w:bookmarkStart w:id="22" w:name="_Toc97192964"/>
      <w:bookmarkStart w:id="23" w:name="_Toc26986771"/>
      <w:bookmarkStart w:id="24" w:name="_Toc26648465"/>
      <w:bookmarkStart w:id="25" w:name="_Toc31882"/>
      <w:bookmarkStart w:id="26" w:name="_Toc26718930"/>
      <w:bookmarkStart w:id="27" w:name="_Toc23697"/>
      <w:bookmarkStart w:id="28" w:name="_Toc18223"/>
      <w:r>
        <w:rPr>
          <w:rFonts w:hint="eastAsia"/>
        </w:rPr>
        <w:t>范围</w:t>
      </w:r>
      <w:bookmarkEnd w:id="16"/>
      <w:bookmarkEnd w:id="17"/>
      <w:bookmarkEnd w:id="18"/>
      <w:bookmarkEnd w:id="19"/>
      <w:bookmarkEnd w:id="20"/>
      <w:bookmarkEnd w:id="21"/>
      <w:bookmarkEnd w:id="22"/>
      <w:bookmarkEnd w:id="23"/>
      <w:bookmarkEnd w:id="24"/>
      <w:bookmarkEnd w:id="25"/>
      <w:bookmarkEnd w:id="26"/>
      <w:bookmarkEnd w:id="27"/>
      <w:bookmarkEnd w:id="28"/>
    </w:p>
    <w:p w14:paraId="7EA45013">
      <w:pPr>
        <w:pStyle w:val="106"/>
        <w:numPr>
          <w:ilvl w:val="1"/>
          <w:numId w:val="0"/>
        </w:numPr>
        <w:spacing w:before="0" w:beforeLines="0" w:after="0" w:afterLines="0"/>
        <w:ind w:firstLine="420" w:firstLineChars="200"/>
        <w:outlineLvl w:val="9"/>
        <w:rPr>
          <w:rFonts w:ascii="宋体" w:eastAsia="宋体"/>
        </w:rPr>
      </w:pPr>
      <w:bookmarkStart w:id="29" w:name="_Toc27062"/>
      <w:bookmarkStart w:id="30" w:name="_Toc2390"/>
      <w:bookmarkStart w:id="31" w:name="_Toc29164"/>
      <w:bookmarkStart w:id="32" w:name="_Toc16698"/>
      <w:bookmarkStart w:id="33" w:name="_Toc7413"/>
      <w:bookmarkStart w:id="34" w:name="_Toc16713"/>
      <w:bookmarkStart w:id="35" w:name="_Toc276"/>
      <w:bookmarkStart w:id="36" w:name="_Toc23446"/>
      <w:bookmarkStart w:id="37" w:name="_Toc26275"/>
      <w:bookmarkStart w:id="38" w:name="_Toc29090"/>
      <w:bookmarkStart w:id="39" w:name="_Toc12543"/>
      <w:bookmarkStart w:id="40" w:name="_Toc24884212"/>
      <w:bookmarkStart w:id="41" w:name="_Toc24884219"/>
      <w:bookmarkStart w:id="42" w:name="_Toc17233326"/>
      <w:bookmarkStart w:id="43" w:name="_Toc17233334"/>
      <w:bookmarkStart w:id="44" w:name="_Toc26648466"/>
      <w:r>
        <w:rPr>
          <w:rFonts w:hint="eastAsia" w:ascii="宋体" w:eastAsia="宋体"/>
        </w:rPr>
        <w:t>本文件规定了电能计量箱的术语和定义、技术要求、试验方法、检验规则、标志、包装、运输、贮存。</w:t>
      </w:r>
      <w:bookmarkEnd w:id="29"/>
    </w:p>
    <w:p w14:paraId="16E0B9ED">
      <w:pPr>
        <w:pStyle w:val="106"/>
        <w:numPr>
          <w:ilvl w:val="1"/>
          <w:numId w:val="0"/>
        </w:numPr>
        <w:spacing w:before="0" w:beforeLines="0" w:after="0" w:afterLines="0"/>
        <w:ind w:firstLine="420" w:firstLineChars="200"/>
        <w:outlineLvl w:val="9"/>
        <w:rPr>
          <w:rFonts w:ascii="宋体" w:eastAsia="宋体"/>
        </w:rPr>
      </w:pPr>
      <w:bookmarkStart w:id="45" w:name="_Toc12344"/>
      <w:r>
        <w:rPr>
          <w:rFonts w:hint="eastAsia" w:ascii="宋体" w:eastAsia="宋体"/>
        </w:rPr>
        <w:t>本文件适用于本公司的智能温控户外电能计量箱。</w:t>
      </w:r>
      <w:bookmarkEnd w:id="30"/>
      <w:bookmarkEnd w:id="31"/>
      <w:bookmarkEnd w:id="32"/>
      <w:bookmarkEnd w:id="33"/>
      <w:bookmarkEnd w:id="34"/>
      <w:bookmarkEnd w:id="35"/>
      <w:bookmarkEnd w:id="36"/>
      <w:bookmarkEnd w:id="37"/>
      <w:bookmarkEnd w:id="38"/>
      <w:bookmarkEnd w:id="39"/>
      <w:bookmarkEnd w:id="45"/>
    </w:p>
    <w:p w14:paraId="5179DC33">
      <w:pPr>
        <w:pStyle w:val="106"/>
        <w:spacing w:before="240" w:after="240"/>
      </w:pPr>
      <w:bookmarkStart w:id="46" w:name="_Toc26986772"/>
      <w:bookmarkStart w:id="47" w:name="_Toc26718931"/>
      <w:bookmarkStart w:id="48" w:name="_Toc28690"/>
      <w:bookmarkStart w:id="49" w:name="_Toc6462"/>
      <w:bookmarkStart w:id="50" w:name="_Toc97192965"/>
      <w:bookmarkStart w:id="51" w:name="_Toc24297"/>
      <w:bookmarkStart w:id="52" w:name="_Toc26986531"/>
      <w:bookmarkStart w:id="53" w:name="_Toc8461"/>
      <w:r>
        <w:rPr>
          <w:rFonts w:hint="eastAsia"/>
        </w:rPr>
        <w:t>规范性引用文件</w:t>
      </w:r>
      <w:bookmarkEnd w:id="40"/>
      <w:bookmarkEnd w:id="41"/>
      <w:bookmarkEnd w:id="42"/>
      <w:bookmarkEnd w:id="43"/>
      <w:bookmarkEnd w:id="44"/>
      <w:bookmarkEnd w:id="46"/>
      <w:bookmarkEnd w:id="47"/>
      <w:bookmarkEnd w:id="48"/>
      <w:bookmarkEnd w:id="49"/>
      <w:bookmarkEnd w:id="50"/>
      <w:bookmarkEnd w:id="51"/>
      <w:bookmarkEnd w:id="52"/>
      <w:bookmarkEnd w:id="53"/>
    </w:p>
    <w:sdt>
      <w:sdtPr>
        <w:rPr>
          <w:rFonts w:hint="eastAsia"/>
        </w:rPr>
        <w:id w:val="715848253"/>
        <w:placeholder>
          <w:docPart w:val="930E0B44147E4E37A2E0B6C0B1282EF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AC50000">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55E6683">
      <w:pPr>
        <w:pStyle w:val="58"/>
        <w:ind w:firstLine="420"/>
      </w:pPr>
      <w:r>
        <w:rPr>
          <w:rFonts w:hint="eastAsia"/>
        </w:rPr>
        <w:t>GB/T 191  包装储运图示标志</w:t>
      </w:r>
    </w:p>
    <w:p w14:paraId="716B5A28">
      <w:pPr>
        <w:pStyle w:val="58"/>
        <w:ind w:firstLine="420"/>
      </w:pPr>
      <w:r>
        <w:rPr>
          <w:rFonts w:hint="eastAsia"/>
        </w:rPr>
        <w:t xml:space="preserve">GB/T 2423.22  环境试验 第2部分：试验方法 试验N：温度变化 </w:t>
      </w:r>
    </w:p>
    <w:p w14:paraId="19680ACE">
      <w:pPr>
        <w:pStyle w:val="58"/>
        <w:ind w:firstLine="420"/>
      </w:pPr>
      <w:r>
        <w:rPr>
          <w:rFonts w:hint="eastAsia"/>
        </w:rPr>
        <w:t>GB/T 2518  连续热镀锌和锌合金镀层钢板及钢带</w:t>
      </w:r>
    </w:p>
    <w:p w14:paraId="1B3BC988">
      <w:pPr>
        <w:pStyle w:val="58"/>
        <w:ind w:firstLine="420"/>
      </w:pPr>
      <w:r>
        <w:rPr>
          <w:rFonts w:hint="eastAsia"/>
        </w:rPr>
        <w:t xml:space="preserve">GB/T 2828.1  计数抽样检验程序 第1部分：按接收质量限(AQL)检索的逐批检验抽样计划 </w:t>
      </w:r>
    </w:p>
    <w:p w14:paraId="503D8F2E">
      <w:pPr>
        <w:pStyle w:val="58"/>
        <w:ind w:firstLine="420"/>
      </w:pPr>
      <w:r>
        <w:rPr>
          <w:rFonts w:hint="eastAsia"/>
        </w:rPr>
        <w:t>GB/T 3280  不锈钢冷轧钢板和钢带</w:t>
      </w:r>
    </w:p>
    <w:p w14:paraId="76A04647">
      <w:pPr>
        <w:pStyle w:val="58"/>
        <w:ind w:firstLine="420"/>
      </w:pPr>
      <w:r>
        <w:rPr>
          <w:rFonts w:hint="eastAsia"/>
        </w:rPr>
        <w:t>GB/T 4208  外壳防护等级（IP代码）</w:t>
      </w:r>
    </w:p>
    <w:p w14:paraId="232C6D65">
      <w:pPr>
        <w:pStyle w:val="58"/>
        <w:ind w:firstLine="420"/>
      </w:pPr>
      <w:r>
        <w:rPr>
          <w:rFonts w:hint="eastAsia"/>
        </w:rPr>
        <w:t>GB/T 7251.1  低压成套开关设备和控制设备 第1部分：总则</w:t>
      </w:r>
    </w:p>
    <w:p w14:paraId="2F4BBE26">
      <w:pPr>
        <w:pStyle w:val="58"/>
        <w:ind w:firstLine="420"/>
      </w:pPr>
      <w:r>
        <w:rPr>
          <w:rFonts w:hint="eastAsia"/>
        </w:rPr>
        <w:t xml:space="preserve">GB/T 7251.3  低压成套开关设备和控制设备 第3部分: 由一般人员操作的配电板（DBO） </w:t>
      </w:r>
    </w:p>
    <w:p w14:paraId="4B4CA5DD">
      <w:pPr>
        <w:pStyle w:val="58"/>
        <w:ind w:firstLine="420"/>
      </w:pPr>
      <w:r>
        <w:rPr>
          <w:rFonts w:hint="eastAsia"/>
        </w:rPr>
        <w:t xml:space="preserve">GB/T 7251.5  低压成套开关设备和控制设备 第5部分：公用电网电力配电成套设备 </w:t>
      </w:r>
    </w:p>
    <w:p w14:paraId="0296B1B9">
      <w:pPr>
        <w:pStyle w:val="58"/>
        <w:ind w:firstLine="420"/>
      </w:pPr>
      <w:r>
        <w:rPr>
          <w:rFonts w:hint="eastAsia"/>
        </w:rPr>
        <w:t>GB/T 9286  色漆和清漆 划格试验</w:t>
      </w:r>
    </w:p>
    <w:p w14:paraId="0D3F2DF1">
      <w:pPr>
        <w:pStyle w:val="58"/>
        <w:ind w:firstLine="420"/>
      </w:pPr>
      <w:r>
        <w:rPr>
          <w:rFonts w:hint="eastAsia"/>
        </w:rPr>
        <w:t xml:space="preserve">GB/T 10963.1  电气附件 家用及类似场所用过电流保护断路器 第1部分：用于交流的断路器 </w:t>
      </w:r>
    </w:p>
    <w:p w14:paraId="617D41E1">
      <w:pPr>
        <w:pStyle w:val="58"/>
        <w:ind w:firstLine="420"/>
      </w:pPr>
      <w:r>
        <w:rPr>
          <w:rFonts w:hint="eastAsia"/>
        </w:rPr>
        <w:t>GB/T 14048.2  低压开关设备和控制设备 第2部分：断路器</w:t>
      </w:r>
    </w:p>
    <w:p w14:paraId="4C868C67">
      <w:pPr>
        <w:pStyle w:val="58"/>
        <w:ind w:firstLine="420"/>
      </w:pPr>
      <w:r>
        <w:rPr>
          <w:rFonts w:hint="eastAsia"/>
        </w:rPr>
        <w:t>GB/T 18663.1-2008  电子设备机械结构 公制系列和英制系列的试验 第1部分：机柜、机架、插箱和机箱的气候、机械试验及安全要求</w:t>
      </w:r>
    </w:p>
    <w:p w14:paraId="34FBAC25">
      <w:pPr>
        <w:pStyle w:val="58"/>
        <w:ind w:firstLine="420"/>
      </w:pPr>
      <w:r>
        <w:rPr>
          <w:rFonts w:hint="eastAsia"/>
        </w:rPr>
        <w:t xml:space="preserve">GB/T 20641  低压成套开关设备和控制设备 空壳体的一般要求 </w:t>
      </w:r>
    </w:p>
    <w:p w14:paraId="6B2CF69C">
      <w:pPr>
        <w:pStyle w:val="58"/>
        <w:ind w:firstLine="420"/>
      </w:pPr>
      <w:r>
        <w:rPr>
          <w:rFonts w:hint="eastAsia"/>
        </w:rPr>
        <w:t>GB/T 23641  电气用纤维增强不饱和聚酯模塑料（SMC/BMC）</w:t>
      </w:r>
    </w:p>
    <w:p w14:paraId="333F1D3B">
      <w:pPr>
        <w:pStyle w:val="58"/>
        <w:ind w:firstLine="420"/>
      </w:pPr>
      <w:r>
        <w:rPr>
          <w:rFonts w:hint="eastAsia"/>
        </w:rPr>
        <w:t>HG/T 2503  聚碳酸酯树脂</w:t>
      </w:r>
    </w:p>
    <w:p w14:paraId="1B48FDFE">
      <w:pPr>
        <w:pStyle w:val="106"/>
        <w:spacing w:before="240" w:after="240"/>
      </w:pPr>
      <w:bookmarkStart w:id="54" w:name="_Toc6958"/>
      <w:bookmarkStart w:id="55" w:name="_Toc7036"/>
      <w:bookmarkStart w:id="56" w:name="_Toc21137"/>
      <w:bookmarkStart w:id="57" w:name="_Toc97192966"/>
      <w:bookmarkStart w:id="58" w:name="_Toc10311"/>
      <w:r>
        <w:rPr>
          <w:rFonts w:hint="eastAsia"/>
          <w:szCs w:val="21"/>
        </w:rPr>
        <w:t>术语和定义</w:t>
      </w:r>
      <w:bookmarkEnd w:id="54"/>
      <w:bookmarkEnd w:id="55"/>
      <w:bookmarkEnd w:id="56"/>
      <w:bookmarkEnd w:id="57"/>
      <w:bookmarkEnd w:id="58"/>
    </w:p>
    <w:p w14:paraId="236F5027">
      <w:pPr>
        <w:pStyle w:val="58"/>
        <w:ind w:firstLine="420"/>
      </w:pPr>
      <w:bookmarkStart w:id="59" w:name="_Toc28343"/>
      <w:bookmarkEnd w:id="59"/>
      <w:bookmarkStart w:id="60" w:name="_Toc12005"/>
      <w:bookmarkEnd w:id="60"/>
      <w:bookmarkStart w:id="61" w:name="_Toc15391"/>
      <w:bookmarkEnd w:id="61"/>
      <w:bookmarkStart w:id="62" w:name="_Toc862"/>
      <w:bookmarkEnd w:id="62"/>
      <w:bookmarkStart w:id="63" w:name="_Toc19506"/>
      <w:bookmarkEnd w:id="63"/>
      <w:bookmarkStart w:id="64" w:name="_Toc32145"/>
      <w:bookmarkEnd w:id="64"/>
      <w:bookmarkStart w:id="65" w:name="_Toc28991"/>
      <w:bookmarkEnd w:id="65"/>
      <w:bookmarkStart w:id="66" w:name="_Toc398"/>
      <w:bookmarkEnd w:id="66"/>
      <w:bookmarkStart w:id="67" w:name="_Toc26986532"/>
      <w:bookmarkEnd w:id="67"/>
      <w:sdt>
        <w:sdtPr>
          <w:rPr>
            <w:rFonts w:hint="eastAsia"/>
          </w:rPr>
          <w:id w:val="147454771"/>
          <w:placeholder>
            <w:docPart w:val="{fe4e5b26-0edf-4a4d-a442-0134c258899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r>
            <w:rPr>
              <w:rFonts w:hint="eastAsia"/>
            </w:rPr>
            <w:t>本文件没有需要界定的术语和定义。</w:t>
          </w:r>
        </w:sdtContent>
      </w:sdt>
    </w:p>
    <w:bookmarkEnd w:id="14"/>
    <w:p w14:paraId="116F79CD">
      <w:pPr>
        <w:pStyle w:val="106"/>
        <w:spacing w:before="240" w:after="240"/>
      </w:pPr>
      <w:bookmarkStart w:id="68" w:name="_Toc1705"/>
      <w:bookmarkEnd w:id="68"/>
      <w:bookmarkStart w:id="69" w:name="_Toc23622"/>
      <w:bookmarkEnd w:id="69"/>
      <w:bookmarkStart w:id="70" w:name="_Toc22224"/>
      <w:bookmarkEnd w:id="70"/>
      <w:bookmarkStart w:id="71" w:name="_Toc14077"/>
      <w:bookmarkEnd w:id="71"/>
      <w:bookmarkStart w:id="72" w:name="_Toc30643"/>
      <w:r>
        <w:rPr>
          <w:rFonts w:hint="eastAsia"/>
        </w:rPr>
        <w:t>技术要求</w:t>
      </w:r>
      <w:bookmarkEnd w:id="72"/>
    </w:p>
    <w:p w14:paraId="59282012">
      <w:pPr>
        <w:pStyle w:val="107"/>
        <w:spacing w:before="120" w:after="120"/>
      </w:pPr>
      <w:bookmarkStart w:id="73" w:name="_Toc13586"/>
      <w:r>
        <w:rPr>
          <w:rFonts w:hint="eastAsia"/>
        </w:rPr>
        <w:t>使用条件</w:t>
      </w:r>
      <w:bookmarkEnd w:id="73"/>
    </w:p>
    <w:p w14:paraId="40656989">
      <w:pPr>
        <w:pStyle w:val="67"/>
        <w:spacing w:before="120" w:after="120"/>
        <w:ind w:left="0"/>
      </w:pPr>
      <w:r>
        <w:rPr>
          <w:rFonts w:hint="eastAsia"/>
        </w:rPr>
        <w:t>空气温度</w:t>
      </w:r>
    </w:p>
    <w:p w14:paraId="1F618D31">
      <w:pPr>
        <w:pStyle w:val="58"/>
        <w:ind w:firstLine="420"/>
      </w:pPr>
      <w:r>
        <w:rPr>
          <w:rFonts w:hint="eastAsia"/>
        </w:rPr>
        <w:t>周围空气最高温度不超过+60℃，而且在24h内其平均温度不超过+35℃。周围空气温度的下限为：</w:t>
      </w:r>
    </w:p>
    <w:p w14:paraId="040B5F80">
      <w:pPr>
        <w:pStyle w:val="58"/>
        <w:numPr>
          <w:ilvl w:val="1"/>
          <w:numId w:val="32"/>
        </w:numPr>
        <w:ind w:left="839" w:firstLineChars="0"/>
        <w:rPr>
          <w:rFonts w:hAnsi="宋体"/>
        </w:rPr>
      </w:pPr>
      <w:r>
        <w:rPr>
          <w:rFonts w:hint="eastAsia" w:hAnsi="宋体"/>
        </w:rPr>
        <w:t>温带地区为-25℃；</w:t>
      </w:r>
    </w:p>
    <w:p w14:paraId="543FF67B">
      <w:pPr>
        <w:pStyle w:val="58"/>
        <w:numPr>
          <w:ilvl w:val="1"/>
          <w:numId w:val="32"/>
        </w:numPr>
        <w:ind w:left="839" w:firstLineChars="0"/>
        <w:rPr>
          <w:rFonts w:hAnsi="宋体"/>
        </w:rPr>
      </w:pPr>
      <w:r>
        <w:rPr>
          <w:rFonts w:hint="eastAsia" w:hAnsi="宋体"/>
        </w:rPr>
        <w:t>严寒地区（冀北、辽宁、吉林、黑龙江、内蒙、甘肃、青海、新疆、西藏等）为-50℃。</w:t>
      </w:r>
    </w:p>
    <w:p w14:paraId="592A437F">
      <w:pPr>
        <w:pStyle w:val="67"/>
        <w:spacing w:before="120" w:after="120"/>
        <w:ind w:left="0"/>
      </w:pPr>
      <w:r>
        <w:rPr>
          <w:rFonts w:hint="eastAsia"/>
        </w:rPr>
        <w:t>相对湿度</w:t>
      </w:r>
    </w:p>
    <w:p w14:paraId="602365F9">
      <w:pPr>
        <w:pStyle w:val="58"/>
        <w:ind w:firstLine="420"/>
      </w:pPr>
      <w:r>
        <w:rPr>
          <w:rFonts w:hint="eastAsia"/>
        </w:rPr>
        <w:t>空气的相对湿度应符合表1要求。</w:t>
      </w:r>
    </w:p>
    <w:p w14:paraId="7ADF514B">
      <w:pPr>
        <w:pStyle w:val="58"/>
        <w:spacing w:after="120" w:afterLines="50"/>
        <w:ind w:firstLine="420"/>
        <w:jc w:val="center"/>
        <w:rPr>
          <w:rFonts w:ascii="黑体" w:hAnsi="黑体" w:eastAsia="黑体" w:cs="黑体"/>
        </w:rPr>
      </w:pPr>
      <w:r>
        <w:rPr>
          <w:rFonts w:hint="eastAsia" w:ascii="黑体" w:hAnsi="黑体" w:eastAsia="黑体" w:cs="黑体"/>
        </w:rPr>
        <w:t>表1 相对湿度</w:t>
      </w:r>
    </w:p>
    <w:tbl>
      <w:tblPr>
        <w:tblStyle w:val="27"/>
        <w:tblW w:w="9345" w:type="dxa"/>
        <w:tblInd w:w="4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10"/>
        <w:gridCol w:w="5235"/>
      </w:tblGrid>
      <w:tr w14:paraId="5E130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4110" w:type="dxa"/>
            <w:tcBorders>
              <w:right w:val="single" w:color="000000" w:sz="4" w:space="0"/>
            </w:tcBorders>
            <w:vAlign w:val="center"/>
          </w:tcPr>
          <w:p w14:paraId="493C5300">
            <w:pPr>
              <w:pStyle w:val="239"/>
              <w:spacing w:line="240" w:lineRule="auto"/>
              <w:ind w:left="18" w:right="3"/>
              <w:rPr>
                <w:sz w:val="18"/>
              </w:rPr>
            </w:pPr>
            <w:r>
              <w:rPr>
                <w:spacing w:val="-5"/>
                <w:sz w:val="18"/>
              </w:rPr>
              <w:t>条件</w:t>
            </w:r>
          </w:p>
        </w:tc>
        <w:tc>
          <w:tcPr>
            <w:tcW w:w="5235" w:type="dxa"/>
            <w:tcBorders>
              <w:left w:val="single" w:color="000000" w:sz="4" w:space="0"/>
            </w:tcBorders>
            <w:vAlign w:val="center"/>
          </w:tcPr>
          <w:p w14:paraId="67FDAA0D">
            <w:pPr>
              <w:pStyle w:val="239"/>
              <w:spacing w:line="240" w:lineRule="auto"/>
              <w:ind w:right="2"/>
              <w:rPr>
                <w:sz w:val="18"/>
              </w:rPr>
            </w:pPr>
            <w:r>
              <w:rPr>
                <w:spacing w:val="-5"/>
                <w:sz w:val="18"/>
              </w:rPr>
              <w:t>湿度</w:t>
            </w:r>
          </w:p>
        </w:tc>
      </w:tr>
      <w:tr w14:paraId="5B563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4110" w:type="dxa"/>
            <w:tcBorders>
              <w:bottom w:val="single" w:color="000000" w:sz="4" w:space="0"/>
              <w:right w:val="single" w:color="000000" w:sz="4" w:space="0"/>
            </w:tcBorders>
            <w:vAlign w:val="center"/>
          </w:tcPr>
          <w:p w14:paraId="6D0AED13">
            <w:pPr>
              <w:pStyle w:val="239"/>
              <w:spacing w:line="240" w:lineRule="auto"/>
              <w:ind w:left="18"/>
              <w:rPr>
                <w:sz w:val="18"/>
              </w:rPr>
            </w:pPr>
            <w:r>
              <w:rPr>
                <w:spacing w:val="-4"/>
                <w:sz w:val="18"/>
              </w:rPr>
              <w:t>年平均</w:t>
            </w:r>
          </w:p>
        </w:tc>
        <w:tc>
          <w:tcPr>
            <w:tcW w:w="5235" w:type="dxa"/>
            <w:tcBorders>
              <w:left w:val="single" w:color="000000" w:sz="4" w:space="0"/>
              <w:bottom w:val="single" w:color="000000" w:sz="4" w:space="0"/>
            </w:tcBorders>
            <w:vAlign w:val="center"/>
          </w:tcPr>
          <w:p w14:paraId="4D97B231">
            <w:pPr>
              <w:pStyle w:val="239"/>
              <w:spacing w:line="240" w:lineRule="auto"/>
              <w:rPr>
                <w:sz w:val="18"/>
              </w:rPr>
            </w:pPr>
            <w:r>
              <w:rPr>
                <w:spacing w:val="-4"/>
                <w:sz w:val="18"/>
              </w:rPr>
              <w:t>＜75%</w:t>
            </w:r>
          </w:p>
        </w:tc>
      </w:tr>
      <w:tr w14:paraId="769BE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4110" w:type="dxa"/>
            <w:tcBorders>
              <w:top w:val="single" w:color="000000" w:sz="4" w:space="0"/>
              <w:bottom w:val="single" w:color="000000" w:sz="4" w:space="0"/>
              <w:right w:val="single" w:color="000000" w:sz="4" w:space="0"/>
            </w:tcBorders>
            <w:vAlign w:val="center"/>
          </w:tcPr>
          <w:p w14:paraId="1A76018C">
            <w:pPr>
              <w:pStyle w:val="239"/>
              <w:spacing w:line="240" w:lineRule="auto"/>
              <w:ind w:left="18"/>
              <w:rPr>
                <w:sz w:val="18"/>
              </w:rPr>
            </w:pPr>
            <w:r>
              <w:rPr>
                <w:spacing w:val="-2"/>
                <w:sz w:val="18"/>
              </w:rPr>
              <w:t>30</w:t>
            </w:r>
            <w:r>
              <w:rPr>
                <w:spacing w:val="-3"/>
                <w:sz w:val="18"/>
              </w:rPr>
              <w:t>天，一年内以自然方式分</w:t>
            </w:r>
          </w:p>
        </w:tc>
        <w:tc>
          <w:tcPr>
            <w:tcW w:w="5235" w:type="dxa"/>
            <w:tcBorders>
              <w:top w:val="single" w:color="000000" w:sz="4" w:space="0"/>
              <w:left w:val="single" w:color="000000" w:sz="4" w:space="0"/>
              <w:bottom w:val="single" w:color="000000" w:sz="4" w:space="0"/>
            </w:tcBorders>
            <w:vAlign w:val="center"/>
          </w:tcPr>
          <w:p w14:paraId="6BCDE626">
            <w:pPr>
              <w:pStyle w:val="239"/>
              <w:spacing w:line="240" w:lineRule="auto"/>
              <w:rPr>
                <w:sz w:val="18"/>
              </w:rPr>
            </w:pPr>
            <w:r>
              <w:rPr>
                <w:spacing w:val="-4"/>
                <w:sz w:val="18"/>
              </w:rPr>
              <w:t>＜95%</w:t>
            </w:r>
          </w:p>
        </w:tc>
      </w:tr>
      <w:tr w14:paraId="0CA98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4110" w:type="dxa"/>
            <w:tcBorders>
              <w:top w:val="single" w:color="000000" w:sz="4" w:space="0"/>
              <w:right w:val="single" w:color="000000" w:sz="4" w:space="0"/>
            </w:tcBorders>
            <w:vAlign w:val="center"/>
          </w:tcPr>
          <w:p w14:paraId="749698FF">
            <w:pPr>
              <w:pStyle w:val="239"/>
              <w:spacing w:line="240" w:lineRule="auto"/>
              <w:ind w:left="18"/>
              <w:rPr>
                <w:sz w:val="18"/>
              </w:rPr>
            </w:pPr>
            <w:r>
              <w:rPr>
                <w:spacing w:val="-2"/>
                <w:sz w:val="18"/>
              </w:rPr>
              <w:t>偶然出现</w:t>
            </w:r>
          </w:p>
        </w:tc>
        <w:tc>
          <w:tcPr>
            <w:tcW w:w="5235" w:type="dxa"/>
            <w:tcBorders>
              <w:top w:val="single" w:color="000000" w:sz="4" w:space="0"/>
              <w:left w:val="single" w:color="000000" w:sz="4" w:space="0"/>
            </w:tcBorders>
            <w:vAlign w:val="center"/>
          </w:tcPr>
          <w:p w14:paraId="400FDDEC">
            <w:pPr>
              <w:pStyle w:val="239"/>
              <w:spacing w:line="240" w:lineRule="auto"/>
              <w:rPr>
                <w:sz w:val="18"/>
              </w:rPr>
            </w:pPr>
            <w:r>
              <w:rPr>
                <w:spacing w:val="-5"/>
                <w:sz w:val="18"/>
              </w:rPr>
              <w:t>＜5%</w:t>
            </w:r>
          </w:p>
        </w:tc>
      </w:tr>
    </w:tbl>
    <w:p w14:paraId="554731AC">
      <w:pPr>
        <w:pStyle w:val="67"/>
        <w:spacing w:before="120" w:after="120"/>
        <w:ind w:left="0"/>
      </w:pPr>
      <w:r>
        <w:rPr>
          <w:rFonts w:hint="eastAsia"/>
        </w:rPr>
        <w:t>污染等级</w:t>
      </w:r>
    </w:p>
    <w:p w14:paraId="2BB30E76">
      <w:pPr>
        <w:pStyle w:val="58"/>
        <w:ind w:firstLine="420"/>
      </w:pPr>
      <w:r>
        <w:rPr>
          <w:rFonts w:hint="eastAsia"/>
        </w:rPr>
        <w:t>污染等级不超过2级。</w:t>
      </w:r>
    </w:p>
    <w:p w14:paraId="6A20BFC8">
      <w:pPr>
        <w:pStyle w:val="67"/>
        <w:spacing w:before="120" w:after="120"/>
        <w:ind w:left="0"/>
      </w:pPr>
      <w:r>
        <w:rPr>
          <w:rFonts w:hint="eastAsia"/>
        </w:rPr>
        <w:t>海拔</w:t>
      </w:r>
    </w:p>
    <w:p w14:paraId="453A9837">
      <w:pPr>
        <w:pStyle w:val="58"/>
        <w:ind w:firstLine="420"/>
      </w:pPr>
      <w:r>
        <w:rPr>
          <w:rFonts w:hint="eastAsia"/>
        </w:rPr>
        <w:t>海拔不超过2000m。</w:t>
      </w:r>
    </w:p>
    <w:p w14:paraId="6BBB7051">
      <w:pPr>
        <w:pStyle w:val="67"/>
        <w:spacing w:before="120" w:after="120"/>
        <w:ind w:left="0"/>
      </w:pPr>
      <w:r>
        <w:rPr>
          <w:rFonts w:hint="eastAsia"/>
        </w:rPr>
        <w:t>安装场所</w:t>
      </w:r>
    </w:p>
    <w:p w14:paraId="158E0AAB">
      <w:pPr>
        <w:pStyle w:val="58"/>
        <w:ind w:firstLine="420"/>
      </w:pPr>
      <w:r>
        <w:rPr>
          <w:rFonts w:hint="eastAsia"/>
        </w:rPr>
        <w:t>计量箱安装场所条件应符合以下要求：</w:t>
      </w:r>
    </w:p>
    <w:p w14:paraId="6399F1C0">
      <w:pPr>
        <w:pStyle w:val="58"/>
        <w:numPr>
          <w:ilvl w:val="1"/>
          <w:numId w:val="33"/>
        </w:numPr>
        <w:ind w:left="839" w:firstLineChars="0"/>
        <w:rPr>
          <w:rFonts w:hAnsi="宋体"/>
        </w:rPr>
      </w:pPr>
      <w:r>
        <w:rPr>
          <w:rFonts w:hint="eastAsia" w:hAnsi="宋体"/>
        </w:rPr>
        <w:t>适应墙面、电杆、落地等安装场所；</w:t>
      </w:r>
    </w:p>
    <w:p w14:paraId="6D3541F7">
      <w:pPr>
        <w:pStyle w:val="58"/>
        <w:numPr>
          <w:ilvl w:val="1"/>
          <w:numId w:val="33"/>
        </w:numPr>
        <w:ind w:left="839" w:firstLineChars="0"/>
        <w:rPr>
          <w:rFonts w:hAnsi="宋体"/>
        </w:rPr>
      </w:pPr>
      <w:r>
        <w:rPr>
          <w:rFonts w:hint="eastAsia" w:hAnsi="宋体"/>
        </w:rPr>
        <w:t>外磁场：5倍地磁场，任何方向；</w:t>
      </w:r>
    </w:p>
    <w:p w14:paraId="3ABEDCAA">
      <w:pPr>
        <w:pStyle w:val="58"/>
        <w:numPr>
          <w:ilvl w:val="1"/>
          <w:numId w:val="33"/>
        </w:numPr>
        <w:ind w:left="839" w:firstLineChars="0"/>
        <w:rPr>
          <w:rFonts w:hAnsi="宋体"/>
        </w:rPr>
      </w:pPr>
      <w:r>
        <w:rPr>
          <w:rFonts w:hint="eastAsia" w:hAnsi="宋体"/>
        </w:rPr>
        <w:t>适应地震烈度：8度；</w:t>
      </w:r>
    </w:p>
    <w:p w14:paraId="7E5BFC47">
      <w:pPr>
        <w:pStyle w:val="58"/>
        <w:numPr>
          <w:ilvl w:val="1"/>
          <w:numId w:val="33"/>
        </w:numPr>
        <w:ind w:left="839" w:firstLineChars="0"/>
        <w:rPr>
          <w:rFonts w:hAnsi="宋体"/>
        </w:rPr>
      </w:pPr>
      <w:r>
        <w:rPr>
          <w:rFonts w:hint="eastAsia" w:hAnsi="宋体"/>
        </w:rPr>
        <w:t>承受风力：8级。</w:t>
      </w:r>
    </w:p>
    <w:p w14:paraId="0E368EBF">
      <w:pPr>
        <w:pStyle w:val="107"/>
        <w:spacing w:before="120" w:after="120"/>
      </w:pPr>
      <w:bookmarkStart w:id="74" w:name="_Toc10558"/>
      <w:r>
        <w:rPr>
          <w:rFonts w:hint="eastAsia"/>
        </w:rPr>
        <w:t>外观</w:t>
      </w:r>
      <w:bookmarkEnd w:id="74"/>
    </w:p>
    <w:p w14:paraId="665A5015">
      <w:pPr>
        <w:pStyle w:val="67"/>
        <w:spacing w:before="0" w:beforeLines="0" w:after="0" w:afterLines="0"/>
        <w:ind w:left="0"/>
        <w:rPr>
          <w:rFonts w:ascii="宋体" w:hAnsi="宋体" w:eastAsia="宋体" w:cs="宋体"/>
        </w:rPr>
      </w:pPr>
      <w:r>
        <w:rPr>
          <w:rFonts w:hint="eastAsia" w:ascii="宋体" w:hAnsi="宋体" w:eastAsia="宋体" w:cs="宋体"/>
        </w:rPr>
        <w:t>外观及涂层平整应无脱层、气泡、流痕、划痕或凹凸不平等缺陷，颜色与色卡间无肉眼可观察之色差。</w:t>
      </w:r>
    </w:p>
    <w:p w14:paraId="09D236DA">
      <w:pPr>
        <w:pStyle w:val="67"/>
        <w:spacing w:before="0" w:beforeLines="0" w:after="0" w:afterLines="0"/>
        <w:ind w:left="0"/>
        <w:rPr>
          <w:rFonts w:ascii="宋体" w:hAnsi="宋体" w:eastAsia="宋体" w:cs="宋体"/>
        </w:rPr>
      </w:pPr>
      <w:r>
        <w:rPr>
          <w:rFonts w:hint="eastAsia" w:ascii="宋体" w:hAnsi="宋体" w:eastAsia="宋体" w:cs="宋体"/>
        </w:rPr>
        <w:t>标识、警示语、铭牌、电气图，应清晰、牢固、内容正确完整。</w:t>
      </w:r>
    </w:p>
    <w:p w14:paraId="38A41F74">
      <w:pPr>
        <w:pStyle w:val="67"/>
        <w:spacing w:before="0" w:beforeLines="0" w:after="0" w:afterLines="0"/>
        <w:ind w:left="0"/>
        <w:rPr>
          <w:rFonts w:ascii="宋体" w:hAnsi="宋体" w:eastAsia="宋体" w:cs="宋体"/>
        </w:rPr>
      </w:pPr>
      <w:r>
        <w:rPr>
          <w:rFonts w:hint="eastAsia" w:ascii="宋体" w:hAnsi="宋体" w:eastAsia="宋体" w:cs="宋体"/>
        </w:rPr>
        <w:t>产品规格、颜色符合要求，标识齐全、清晰、无误。</w:t>
      </w:r>
    </w:p>
    <w:p w14:paraId="45C9861F">
      <w:pPr>
        <w:pStyle w:val="107"/>
        <w:spacing w:before="120" w:after="120"/>
      </w:pPr>
      <w:bookmarkStart w:id="75" w:name="_Toc31310"/>
      <w:r>
        <w:rPr>
          <w:rFonts w:hint="eastAsia"/>
        </w:rPr>
        <w:t>装配质量</w:t>
      </w:r>
      <w:bookmarkEnd w:id="75"/>
    </w:p>
    <w:p w14:paraId="2DDF3DA7">
      <w:pPr>
        <w:pStyle w:val="67"/>
        <w:spacing w:before="0" w:beforeLines="0" w:after="0" w:afterLines="0"/>
        <w:ind w:left="0"/>
        <w:rPr>
          <w:rFonts w:ascii="宋体" w:hAnsi="宋体" w:eastAsia="宋体" w:cs="宋体"/>
        </w:rPr>
      </w:pPr>
      <w:r>
        <w:rPr>
          <w:rFonts w:hint="eastAsia" w:ascii="宋体" w:hAnsi="宋体" w:eastAsia="宋体" w:cs="宋体"/>
        </w:rPr>
        <w:t>电气附件、接线措施、备用接线点齐全；电能表、采集终端、互感器、天线等安装定位措施应有效。</w:t>
      </w:r>
    </w:p>
    <w:p w14:paraId="0FB35408">
      <w:pPr>
        <w:pStyle w:val="67"/>
        <w:spacing w:before="0" w:beforeLines="0" w:after="0" w:afterLines="0"/>
        <w:ind w:left="0"/>
        <w:rPr>
          <w:rFonts w:ascii="宋体" w:hAnsi="宋体" w:eastAsia="宋体" w:cs="宋体"/>
        </w:rPr>
      </w:pPr>
      <w:r>
        <w:rPr>
          <w:rFonts w:hint="eastAsia" w:ascii="宋体" w:hAnsi="宋体" w:eastAsia="宋体" w:cs="宋体"/>
        </w:rPr>
        <w:t>电器排列及布线整齐、牢固、美观；导线连接点无多余裸露导体部分；电气、机械连接牢靠，接触良好、无松动。</w:t>
      </w:r>
    </w:p>
    <w:p w14:paraId="223141E4">
      <w:pPr>
        <w:pStyle w:val="67"/>
        <w:spacing w:before="0" w:beforeLines="0" w:after="0" w:afterLines="0"/>
        <w:ind w:left="0"/>
        <w:rPr>
          <w:rFonts w:ascii="宋体" w:hAnsi="宋体" w:eastAsia="宋体" w:cs="宋体"/>
        </w:rPr>
      </w:pPr>
      <w:r>
        <w:rPr>
          <w:rFonts w:hint="eastAsia" w:ascii="宋体" w:hAnsi="宋体" w:eastAsia="宋体" w:cs="宋体"/>
        </w:rPr>
        <w:t>两个接线端之间的连接导线无中间接头；接线正确无差错。</w:t>
      </w:r>
    </w:p>
    <w:p w14:paraId="4640AB96">
      <w:pPr>
        <w:pStyle w:val="107"/>
        <w:spacing w:before="120" w:after="120"/>
      </w:pPr>
      <w:bookmarkStart w:id="76" w:name="_Toc10007"/>
      <w:r>
        <w:rPr>
          <w:rFonts w:hint="eastAsia"/>
        </w:rPr>
        <w:t>尺寸偏差</w:t>
      </w:r>
      <w:bookmarkEnd w:id="76"/>
    </w:p>
    <w:p w14:paraId="258ADA9A">
      <w:pPr>
        <w:pStyle w:val="58"/>
        <w:ind w:firstLine="420"/>
      </w:pPr>
      <w:r>
        <w:rPr>
          <w:rFonts w:hint="eastAsia"/>
        </w:rPr>
        <w:t>产品实际尺寸与标示尺寸相符，允许偏差为±5%。如有特殊要求，可根据顾客要求而定。</w:t>
      </w:r>
    </w:p>
    <w:p w14:paraId="529AD403">
      <w:pPr>
        <w:pStyle w:val="107"/>
        <w:spacing w:before="120" w:after="120"/>
      </w:pPr>
      <w:bookmarkStart w:id="77" w:name="_Toc1729"/>
      <w:r>
        <w:rPr>
          <w:rFonts w:hint="eastAsia"/>
        </w:rPr>
        <w:t>性能指标</w:t>
      </w:r>
      <w:bookmarkEnd w:id="77"/>
    </w:p>
    <w:p w14:paraId="2EEFBACA">
      <w:pPr>
        <w:pStyle w:val="67"/>
        <w:spacing w:before="120" w:after="120"/>
        <w:ind w:left="0"/>
      </w:pPr>
      <w:r>
        <w:rPr>
          <w:rFonts w:hint="eastAsia"/>
        </w:rPr>
        <w:t>绝缘材料</w:t>
      </w:r>
    </w:p>
    <w:p w14:paraId="7EC339D5">
      <w:pPr>
        <w:pStyle w:val="96"/>
        <w:spacing w:before="120" w:after="120"/>
      </w:pPr>
      <w:r>
        <w:rPr>
          <w:rFonts w:hint="eastAsia"/>
        </w:rPr>
        <w:t>热稳定性</w:t>
      </w:r>
    </w:p>
    <w:p w14:paraId="61E2C1E3">
      <w:pPr>
        <w:pStyle w:val="58"/>
        <w:ind w:firstLine="420"/>
      </w:pPr>
      <w:r>
        <w:rPr>
          <w:rFonts w:hint="eastAsia"/>
        </w:rPr>
        <w:t>经试验后，计量箱内绝缘材料部件、非金属计量箱外壳应没有可见的裂缝或无新裂缝，其材料不应变为粘性或油脂性。</w:t>
      </w:r>
    </w:p>
    <w:p w14:paraId="2A8F284C">
      <w:pPr>
        <w:pStyle w:val="96"/>
        <w:spacing w:before="120" w:after="120"/>
      </w:pPr>
      <w:r>
        <w:rPr>
          <w:rFonts w:hint="eastAsia"/>
        </w:rPr>
        <w:t>耐热性</w:t>
      </w:r>
    </w:p>
    <w:p w14:paraId="2008F955">
      <w:pPr>
        <w:pStyle w:val="58"/>
        <w:ind w:firstLine="420"/>
      </w:pPr>
      <w:r>
        <w:rPr>
          <w:rFonts w:hint="eastAsia"/>
        </w:rPr>
        <w:t>经试验后，测量球的压痕直径不得超过2mm。</w:t>
      </w:r>
    </w:p>
    <w:p w14:paraId="79B17CA6">
      <w:pPr>
        <w:pStyle w:val="96"/>
        <w:spacing w:before="120" w:after="120"/>
      </w:pPr>
      <w:r>
        <w:rPr>
          <w:rFonts w:hint="eastAsia"/>
        </w:rPr>
        <w:t>耐老化</w:t>
      </w:r>
    </w:p>
    <w:p w14:paraId="7F4764D9">
      <w:pPr>
        <w:pStyle w:val="58"/>
        <w:ind w:firstLine="420"/>
      </w:pPr>
      <w:r>
        <w:rPr>
          <w:rFonts w:hint="eastAsia"/>
        </w:rPr>
        <w:t>非金属材料冲击强度和弯曲强度减少不大于30%；观察窗透光率降低不大于10%。金属计量箱外壳涂层至少保留50%，样品无破裂和损坏。</w:t>
      </w:r>
    </w:p>
    <w:p w14:paraId="5B5A5741">
      <w:pPr>
        <w:pStyle w:val="96"/>
        <w:spacing w:before="120" w:after="120"/>
      </w:pPr>
      <w:r>
        <w:rPr>
          <w:rFonts w:hint="eastAsia"/>
        </w:rPr>
        <w:t>温度冲击</w:t>
      </w:r>
    </w:p>
    <w:p w14:paraId="695934A2">
      <w:pPr>
        <w:pStyle w:val="58"/>
        <w:ind w:firstLine="420"/>
      </w:pPr>
      <w:r>
        <w:rPr>
          <w:rFonts w:hint="eastAsia"/>
        </w:rPr>
        <w:t>非金属计量箱应没有粘连、变形、破裂或损坏等现象。</w:t>
      </w:r>
    </w:p>
    <w:p w14:paraId="605E7AC1">
      <w:pPr>
        <w:pStyle w:val="67"/>
        <w:spacing w:before="120" w:after="120"/>
        <w:ind w:left="0"/>
      </w:pPr>
      <w:r>
        <w:rPr>
          <w:rFonts w:hint="eastAsia"/>
        </w:rPr>
        <w:t>静载能力</w:t>
      </w:r>
    </w:p>
    <w:p w14:paraId="78D96484">
      <w:pPr>
        <w:pStyle w:val="96"/>
        <w:spacing w:before="120" w:after="120"/>
      </w:pPr>
      <w:r>
        <w:rPr>
          <w:rFonts w:hint="eastAsia"/>
        </w:rPr>
        <w:t>对计量箱外壳</w:t>
      </w:r>
    </w:p>
    <w:p w14:paraId="2FD4A0AA">
      <w:pPr>
        <w:pStyle w:val="58"/>
        <w:ind w:firstLine="420"/>
      </w:pPr>
      <w:r>
        <w:rPr>
          <w:rFonts w:hint="eastAsia"/>
        </w:rPr>
        <w:t>经试验后，产品不应有形状、配合或功能部件、影响安装的变形。</w:t>
      </w:r>
    </w:p>
    <w:p w14:paraId="1BF4B64E">
      <w:pPr>
        <w:pStyle w:val="96"/>
        <w:spacing w:before="120" w:after="120"/>
      </w:pPr>
      <w:r>
        <w:rPr>
          <w:rFonts w:hint="eastAsia"/>
        </w:rPr>
        <w:t>对铰链式计量箱门</w:t>
      </w:r>
    </w:p>
    <w:p w14:paraId="6493E351">
      <w:pPr>
        <w:pStyle w:val="58"/>
        <w:ind w:firstLine="420"/>
      </w:pPr>
      <w:r>
        <w:rPr>
          <w:rFonts w:hint="eastAsia"/>
        </w:rPr>
        <w:t>经试验后，门、铰链、限位装置无损坏及变形；门开闭功能正常且门在开闭过程中无损坏涂覆层现象；防护等级不变；门锁试验能通过。</w:t>
      </w:r>
    </w:p>
    <w:p w14:paraId="6FE93959">
      <w:pPr>
        <w:pStyle w:val="67"/>
        <w:spacing w:before="120" w:after="120"/>
        <w:ind w:left="0"/>
      </w:pPr>
      <w:r>
        <w:rPr>
          <w:rFonts w:hint="eastAsia"/>
        </w:rPr>
        <w:t>动态载荷</w:t>
      </w:r>
    </w:p>
    <w:p w14:paraId="119CC571">
      <w:pPr>
        <w:pStyle w:val="58"/>
        <w:ind w:firstLine="420"/>
      </w:pPr>
      <w:r>
        <w:rPr>
          <w:rFonts w:hint="eastAsia"/>
        </w:rPr>
        <w:t>经试验后，部件不允许有影响形状、配合或功能的变形或损坏及安装部件脱落、松动；保护短路连续性及性能指标仍能保持。</w:t>
      </w:r>
    </w:p>
    <w:p w14:paraId="1A402F52">
      <w:pPr>
        <w:pStyle w:val="67"/>
        <w:spacing w:before="120" w:after="120"/>
        <w:ind w:left="0"/>
      </w:pPr>
      <w:r>
        <w:rPr>
          <w:rFonts w:hint="eastAsia"/>
        </w:rPr>
        <w:t>冲击载荷</w:t>
      </w:r>
    </w:p>
    <w:p w14:paraId="36E44929">
      <w:pPr>
        <w:pStyle w:val="58"/>
        <w:ind w:firstLine="420"/>
      </w:pPr>
      <w:r>
        <w:rPr>
          <w:rFonts w:hint="eastAsia"/>
        </w:rPr>
        <w:t>经试验后，由撞击导致的裂纹直径不超过15mm，如果撞击物的尖端部穿透了计量箱的表面，则所形成的孔径应不能插入4mm塞规（塞规施加5N力）。</w:t>
      </w:r>
    </w:p>
    <w:p w14:paraId="30DEBBA3">
      <w:pPr>
        <w:pStyle w:val="67"/>
        <w:spacing w:before="120" w:after="120"/>
        <w:ind w:left="0"/>
      </w:pPr>
      <w:r>
        <w:rPr>
          <w:rFonts w:hint="eastAsia"/>
        </w:rPr>
        <w:t>螺纹紧固连接件机械强度</w:t>
      </w:r>
    </w:p>
    <w:p w14:paraId="6F65FD32">
      <w:pPr>
        <w:pStyle w:val="58"/>
        <w:ind w:firstLine="420"/>
      </w:pPr>
      <w:r>
        <w:rPr>
          <w:rFonts w:hint="eastAsia"/>
        </w:rPr>
        <w:t>试验过程中，螺钉连接不应出现松动和损坏，也不应发生类似螺钉破碎或裂变，螺纹、垫圈等或外壳和盖板的损坏。</w:t>
      </w:r>
    </w:p>
    <w:p w14:paraId="78684044">
      <w:pPr>
        <w:pStyle w:val="67"/>
        <w:spacing w:before="120" w:after="120"/>
        <w:ind w:left="0"/>
      </w:pPr>
      <w:r>
        <w:rPr>
          <w:rFonts w:hint="eastAsia"/>
        </w:rPr>
        <w:t>防护等级</w:t>
      </w:r>
    </w:p>
    <w:p w14:paraId="17E7AAED">
      <w:pPr>
        <w:pStyle w:val="58"/>
        <w:ind w:firstLine="420"/>
      </w:pPr>
      <w:r>
        <w:rPr>
          <w:rFonts w:hint="eastAsia"/>
        </w:rPr>
        <w:t>计量箱外壳防护等级应不低于IP34D。</w:t>
      </w:r>
    </w:p>
    <w:p w14:paraId="241D8FA7">
      <w:pPr>
        <w:pStyle w:val="107"/>
        <w:spacing w:before="120" w:after="120"/>
      </w:pPr>
      <w:bookmarkStart w:id="78" w:name="_Toc9186"/>
      <w:r>
        <w:rPr>
          <w:rFonts w:hint="eastAsia"/>
        </w:rPr>
        <w:t>理化指标</w:t>
      </w:r>
      <w:bookmarkEnd w:id="78"/>
    </w:p>
    <w:p w14:paraId="673A9386">
      <w:pPr>
        <w:pStyle w:val="67"/>
        <w:spacing w:before="120" w:after="120"/>
        <w:ind w:left="0"/>
      </w:pPr>
      <w:r>
        <w:rPr>
          <w:rFonts w:hint="eastAsia"/>
        </w:rPr>
        <w:t>耐腐蚀性</w:t>
      </w:r>
    </w:p>
    <w:p w14:paraId="7E581FE2">
      <w:pPr>
        <w:pStyle w:val="58"/>
        <w:ind w:firstLine="420"/>
      </w:pPr>
      <w:r>
        <w:rPr>
          <w:rFonts w:hint="eastAsia"/>
        </w:rPr>
        <w:t>经试验后，外观检查应无肉眼可见锈痕、破裂或其他损坏现象，然而允许保护涂层表面的损坏。门、铰链、锁、紧固件和入口设施不影响正常使用。</w:t>
      </w:r>
    </w:p>
    <w:p w14:paraId="65D0A43B">
      <w:pPr>
        <w:pStyle w:val="67"/>
        <w:spacing w:before="120" w:after="120"/>
        <w:ind w:left="0"/>
      </w:pPr>
      <w:r>
        <w:rPr>
          <w:rFonts w:hint="eastAsia"/>
        </w:rPr>
        <w:t>外壳表面涂层附着力测定</w:t>
      </w:r>
    </w:p>
    <w:p w14:paraId="7ABE2088">
      <w:pPr>
        <w:pStyle w:val="58"/>
        <w:ind w:firstLine="420"/>
      </w:pPr>
      <w:r>
        <w:rPr>
          <w:rFonts w:hint="eastAsia"/>
        </w:rPr>
        <w:t>附着力等级不低于1级，涂层脱落或碎片剥离面积不大于5%。</w:t>
      </w:r>
    </w:p>
    <w:p w14:paraId="27049DB1">
      <w:pPr>
        <w:pStyle w:val="107"/>
        <w:spacing w:before="120" w:after="120"/>
      </w:pPr>
      <w:bookmarkStart w:id="79" w:name="_Toc3475"/>
      <w:r>
        <w:rPr>
          <w:rFonts w:hint="eastAsia"/>
        </w:rPr>
        <w:t>电气性能</w:t>
      </w:r>
      <w:bookmarkEnd w:id="79"/>
    </w:p>
    <w:p w14:paraId="13B9FC11">
      <w:pPr>
        <w:pStyle w:val="67"/>
        <w:spacing w:before="120" w:after="120"/>
        <w:ind w:left="0"/>
      </w:pPr>
      <w:r>
        <w:rPr>
          <w:rFonts w:hint="eastAsia"/>
        </w:rPr>
        <w:t>电气间隙、爬电距离检测</w:t>
      </w:r>
    </w:p>
    <w:p w14:paraId="1AA92C3E">
      <w:pPr>
        <w:pStyle w:val="58"/>
        <w:ind w:firstLine="420"/>
      </w:pPr>
      <w:r>
        <w:rPr>
          <w:rFonts w:hint="eastAsia"/>
        </w:rPr>
        <w:t>经试验后，电气间隙、爬电距离分别大于5.5mm、6.3mm。</w:t>
      </w:r>
    </w:p>
    <w:p w14:paraId="2B44FB6B">
      <w:pPr>
        <w:pStyle w:val="67"/>
        <w:spacing w:before="120" w:after="120"/>
        <w:ind w:left="0"/>
      </w:pPr>
      <w:r>
        <w:rPr>
          <w:rFonts w:hint="eastAsia"/>
        </w:rPr>
        <w:t>保护电路有效性</w:t>
      </w:r>
    </w:p>
    <w:p w14:paraId="36DC3B52">
      <w:pPr>
        <w:pStyle w:val="58"/>
        <w:ind w:firstLine="420"/>
      </w:pPr>
      <w:r>
        <w:rPr>
          <w:rFonts w:hint="eastAsia"/>
        </w:rPr>
        <w:t>经试验后，测得的电阻值应不大于0.1Ω 。</w:t>
      </w:r>
    </w:p>
    <w:p w14:paraId="05FCC989">
      <w:pPr>
        <w:pStyle w:val="67"/>
        <w:spacing w:before="120" w:after="120"/>
        <w:ind w:left="0"/>
      </w:pPr>
      <w:r>
        <w:rPr>
          <w:rFonts w:hint="eastAsia"/>
        </w:rPr>
        <w:t>绝缘电阻</w:t>
      </w:r>
    </w:p>
    <w:p w14:paraId="12B8A788">
      <w:pPr>
        <w:pStyle w:val="58"/>
        <w:ind w:firstLine="420"/>
      </w:pPr>
      <w:r>
        <w:rPr>
          <w:rFonts w:hint="eastAsia"/>
        </w:rPr>
        <w:t>经试验后，绝缘电阻应大于1000Ω/V。</w:t>
      </w:r>
    </w:p>
    <w:p w14:paraId="50AFBD52">
      <w:pPr>
        <w:pStyle w:val="67"/>
        <w:spacing w:before="120" w:after="120"/>
        <w:ind w:left="0"/>
      </w:pPr>
      <w:r>
        <w:rPr>
          <w:rFonts w:hint="eastAsia"/>
        </w:rPr>
        <w:t>介电性能</w:t>
      </w:r>
    </w:p>
    <w:p w14:paraId="6079F155">
      <w:pPr>
        <w:pStyle w:val="58"/>
        <w:ind w:firstLine="420"/>
      </w:pPr>
      <w:r>
        <w:rPr>
          <w:rFonts w:hint="eastAsia"/>
        </w:rPr>
        <w:t>试验中无闪络、击穿现象，试验后试品无破损且泄露电流不超过100mA。</w:t>
      </w:r>
    </w:p>
    <w:p w14:paraId="74116460">
      <w:pPr>
        <w:pStyle w:val="67"/>
        <w:spacing w:before="120" w:after="120"/>
        <w:ind w:left="0"/>
      </w:pPr>
      <w:r>
        <w:rPr>
          <w:rFonts w:hint="eastAsia"/>
        </w:rPr>
        <w:t>温升极限</w:t>
      </w:r>
    </w:p>
    <w:p w14:paraId="2B071D49">
      <w:pPr>
        <w:pStyle w:val="58"/>
        <w:ind w:firstLine="420"/>
      </w:pPr>
      <w:r>
        <w:rPr>
          <w:rFonts w:hint="eastAsia"/>
        </w:rPr>
        <w:t>仅试验后，温升极限应符合表2的规定。</w:t>
      </w:r>
    </w:p>
    <w:p w14:paraId="2C69D29C">
      <w:pPr>
        <w:pStyle w:val="58"/>
        <w:spacing w:after="120" w:afterLines="50"/>
        <w:ind w:firstLine="420"/>
        <w:jc w:val="center"/>
        <w:rPr>
          <w:rFonts w:ascii="黑体" w:hAnsi="黑体" w:eastAsia="黑体" w:cs="黑体"/>
        </w:rPr>
      </w:pPr>
      <w:r>
        <w:rPr>
          <w:rFonts w:hint="eastAsia" w:ascii="黑体" w:hAnsi="黑体" w:eastAsia="黑体" w:cs="黑体"/>
        </w:rPr>
        <w:t>表2 温升极限值</w:t>
      </w:r>
    </w:p>
    <w:tbl>
      <w:tblPr>
        <w:tblStyle w:val="27"/>
        <w:tblW w:w="9375" w:type="dxa"/>
        <w:tblInd w:w="-1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18"/>
        <w:gridCol w:w="3257"/>
      </w:tblGrid>
      <w:tr w14:paraId="035CB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6118" w:type="dxa"/>
            <w:tcBorders>
              <w:right w:val="single" w:color="000000" w:sz="4" w:space="0"/>
            </w:tcBorders>
            <w:vAlign w:val="center"/>
          </w:tcPr>
          <w:p w14:paraId="673C8E9D">
            <w:pPr>
              <w:pStyle w:val="239"/>
              <w:spacing w:line="240" w:lineRule="auto"/>
              <w:ind w:left="19" w:right="3"/>
              <w:rPr>
                <w:sz w:val="18"/>
              </w:rPr>
            </w:pPr>
            <w:r>
              <w:rPr>
                <w:rFonts w:hint="eastAsia"/>
                <w:spacing w:val="-2"/>
                <w:sz w:val="18"/>
              </w:rPr>
              <w:t>计量箱的部件</w:t>
            </w:r>
          </w:p>
        </w:tc>
        <w:tc>
          <w:tcPr>
            <w:tcW w:w="3257" w:type="dxa"/>
            <w:tcBorders>
              <w:left w:val="single" w:color="000000" w:sz="4" w:space="0"/>
            </w:tcBorders>
            <w:vAlign w:val="center"/>
          </w:tcPr>
          <w:p w14:paraId="7239A5A3">
            <w:pPr>
              <w:pStyle w:val="239"/>
              <w:spacing w:line="240" w:lineRule="auto"/>
              <w:ind w:left="20" w:right="4"/>
              <w:rPr>
                <w:sz w:val="18"/>
              </w:rPr>
            </w:pPr>
            <w:r>
              <w:rPr>
                <w:rFonts w:hint="eastAsia"/>
                <w:sz w:val="18"/>
              </w:rPr>
              <w:t>温升</w:t>
            </w:r>
            <w:r>
              <w:rPr>
                <w:rFonts w:hint="eastAsia"/>
                <w:spacing w:val="-5"/>
                <w:sz w:val="18"/>
              </w:rPr>
              <w:t>（K）</w:t>
            </w:r>
          </w:p>
        </w:tc>
      </w:tr>
      <w:tr w14:paraId="1AC45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6118" w:type="dxa"/>
            <w:tcBorders>
              <w:bottom w:val="single" w:color="000000" w:sz="4" w:space="0"/>
              <w:right w:val="single" w:color="000000" w:sz="4" w:space="0"/>
            </w:tcBorders>
            <w:vAlign w:val="center"/>
          </w:tcPr>
          <w:p w14:paraId="7205FD00">
            <w:pPr>
              <w:pStyle w:val="239"/>
              <w:spacing w:line="240" w:lineRule="auto"/>
              <w:ind w:left="19" w:right="3"/>
              <w:rPr>
                <w:sz w:val="18"/>
              </w:rPr>
            </w:pPr>
            <w:r>
              <w:rPr>
                <w:rFonts w:hint="eastAsia"/>
                <w:spacing w:val="-2"/>
                <w:sz w:val="18"/>
              </w:rPr>
              <w:t>电能表接插件</w:t>
            </w:r>
          </w:p>
          <w:p w14:paraId="01579433">
            <w:pPr>
              <w:pStyle w:val="239"/>
              <w:spacing w:before="81" w:line="240" w:lineRule="auto"/>
              <w:ind w:left="19"/>
              <w:rPr>
                <w:sz w:val="18"/>
              </w:rPr>
            </w:pPr>
            <w:r>
              <w:rPr>
                <w:rFonts w:hint="eastAsia"/>
                <w:sz w:val="18"/>
              </w:rPr>
              <w:t>——φ</w:t>
            </w:r>
            <w:r>
              <w:rPr>
                <w:rFonts w:hint="eastAsia"/>
                <w:spacing w:val="13"/>
                <w:sz w:val="18"/>
              </w:rPr>
              <w:t xml:space="preserve"> </w:t>
            </w:r>
            <w:r>
              <w:rPr>
                <w:rFonts w:hint="eastAsia"/>
                <w:spacing w:val="-5"/>
                <w:sz w:val="18"/>
              </w:rPr>
              <w:t>8.5</w:t>
            </w:r>
          </w:p>
          <w:p w14:paraId="730984C5">
            <w:pPr>
              <w:pStyle w:val="239"/>
              <w:spacing w:before="82" w:line="240" w:lineRule="auto"/>
              <w:ind w:left="19" w:right="2"/>
              <w:rPr>
                <w:sz w:val="18"/>
              </w:rPr>
            </w:pPr>
            <w:r>
              <w:rPr>
                <w:rFonts w:hint="eastAsia"/>
                <w:sz w:val="18"/>
              </w:rPr>
              <w:t>——φ</w:t>
            </w:r>
            <w:r>
              <w:rPr>
                <w:rFonts w:hint="eastAsia"/>
                <w:spacing w:val="-12"/>
                <w:sz w:val="18"/>
              </w:rPr>
              <w:t xml:space="preserve"> </w:t>
            </w:r>
            <w:r>
              <w:rPr>
                <w:rFonts w:hint="eastAsia"/>
                <w:sz w:val="18"/>
              </w:rPr>
              <w:t>6.0、φ</w:t>
            </w:r>
            <w:r>
              <w:rPr>
                <w:rFonts w:hint="eastAsia"/>
                <w:spacing w:val="11"/>
                <w:sz w:val="18"/>
              </w:rPr>
              <w:t xml:space="preserve"> </w:t>
            </w:r>
            <w:r>
              <w:rPr>
                <w:rFonts w:hint="eastAsia"/>
                <w:spacing w:val="-5"/>
                <w:sz w:val="18"/>
              </w:rPr>
              <w:t>7.5</w:t>
            </w:r>
          </w:p>
        </w:tc>
        <w:tc>
          <w:tcPr>
            <w:tcW w:w="3257" w:type="dxa"/>
            <w:tcBorders>
              <w:left w:val="single" w:color="000000" w:sz="4" w:space="0"/>
              <w:bottom w:val="single" w:color="000000" w:sz="4" w:space="0"/>
            </w:tcBorders>
            <w:vAlign w:val="center"/>
          </w:tcPr>
          <w:p w14:paraId="0ABBAB72">
            <w:pPr>
              <w:pStyle w:val="239"/>
              <w:spacing w:before="121" w:line="240" w:lineRule="auto"/>
              <w:ind w:left="0"/>
              <w:rPr>
                <w:sz w:val="18"/>
              </w:rPr>
            </w:pPr>
          </w:p>
          <w:p w14:paraId="2BC25486">
            <w:pPr>
              <w:pStyle w:val="239"/>
              <w:spacing w:before="0" w:line="240" w:lineRule="auto"/>
              <w:ind w:left="20"/>
              <w:rPr>
                <w:sz w:val="18"/>
              </w:rPr>
            </w:pPr>
            <w:r>
              <w:rPr>
                <w:rFonts w:hint="eastAsia"/>
                <w:spacing w:val="-5"/>
                <w:sz w:val="18"/>
              </w:rPr>
              <w:t>70</w:t>
            </w:r>
          </w:p>
          <w:p w14:paraId="026BB14F">
            <w:pPr>
              <w:pStyle w:val="239"/>
              <w:spacing w:before="82" w:line="240" w:lineRule="auto"/>
              <w:ind w:left="20"/>
              <w:rPr>
                <w:sz w:val="18"/>
              </w:rPr>
            </w:pPr>
            <w:r>
              <w:rPr>
                <w:rFonts w:hint="eastAsia"/>
                <w:spacing w:val="-5"/>
                <w:sz w:val="18"/>
              </w:rPr>
              <w:t>60</w:t>
            </w:r>
          </w:p>
        </w:tc>
      </w:tr>
      <w:tr w14:paraId="5086D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4" w:hRule="atLeast"/>
        </w:trPr>
        <w:tc>
          <w:tcPr>
            <w:tcW w:w="6118" w:type="dxa"/>
            <w:tcBorders>
              <w:top w:val="single" w:color="000000" w:sz="4" w:space="0"/>
              <w:bottom w:val="single" w:color="000000" w:sz="4" w:space="0"/>
              <w:right w:val="single" w:color="000000" w:sz="4" w:space="0"/>
            </w:tcBorders>
            <w:vAlign w:val="center"/>
          </w:tcPr>
          <w:p w14:paraId="5D59BD74">
            <w:pPr>
              <w:pStyle w:val="239"/>
              <w:spacing w:line="240" w:lineRule="auto"/>
              <w:ind w:left="19" w:right="3"/>
              <w:rPr>
                <w:sz w:val="18"/>
              </w:rPr>
            </w:pPr>
            <w:r>
              <w:rPr>
                <w:rFonts w:hint="eastAsia"/>
                <w:spacing w:val="-2"/>
                <w:sz w:val="18"/>
              </w:rPr>
              <w:t>进、出线端子</w:t>
            </w:r>
          </w:p>
          <w:p w14:paraId="30C03510">
            <w:pPr>
              <w:pStyle w:val="239"/>
              <w:spacing w:before="81" w:line="240" w:lineRule="auto"/>
              <w:ind w:left="19" w:right="3"/>
              <w:rPr>
                <w:sz w:val="18"/>
              </w:rPr>
            </w:pPr>
            <w:r>
              <w:rPr>
                <w:rFonts w:hint="eastAsia"/>
                <w:sz w:val="18"/>
              </w:rPr>
              <w:t>——断路器</w:t>
            </w:r>
            <w:r>
              <w:rPr>
                <w:rFonts w:hint="eastAsia"/>
                <w:spacing w:val="-2"/>
                <w:sz w:val="18"/>
              </w:rPr>
              <w:t>（MCCB）</w:t>
            </w:r>
          </w:p>
          <w:p w14:paraId="36092207">
            <w:pPr>
              <w:pStyle w:val="239"/>
              <w:spacing w:before="82" w:line="240" w:lineRule="auto"/>
              <w:ind w:left="19"/>
              <w:rPr>
                <w:sz w:val="18"/>
              </w:rPr>
            </w:pPr>
            <w:r>
              <w:rPr>
                <w:rFonts w:hint="eastAsia"/>
                <w:sz w:val="18"/>
              </w:rPr>
              <w:t>——小型断路器</w:t>
            </w:r>
            <w:r>
              <w:rPr>
                <w:rFonts w:hint="eastAsia"/>
                <w:spacing w:val="-4"/>
                <w:sz w:val="18"/>
              </w:rPr>
              <w:t>（MCB）</w:t>
            </w:r>
          </w:p>
        </w:tc>
        <w:tc>
          <w:tcPr>
            <w:tcW w:w="3257" w:type="dxa"/>
            <w:tcBorders>
              <w:top w:val="single" w:color="000000" w:sz="4" w:space="0"/>
              <w:left w:val="single" w:color="000000" w:sz="4" w:space="0"/>
              <w:bottom w:val="single" w:color="000000" w:sz="4" w:space="0"/>
            </w:tcBorders>
            <w:vAlign w:val="center"/>
          </w:tcPr>
          <w:p w14:paraId="2FCD7841">
            <w:pPr>
              <w:pStyle w:val="239"/>
              <w:spacing w:before="119" w:line="240" w:lineRule="auto"/>
              <w:ind w:left="0"/>
              <w:rPr>
                <w:sz w:val="18"/>
              </w:rPr>
            </w:pPr>
          </w:p>
          <w:p w14:paraId="39635C31">
            <w:pPr>
              <w:pStyle w:val="239"/>
              <w:spacing w:before="0" w:line="240" w:lineRule="auto"/>
              <w:ind w:left="20"/>
              <w:rPr>
                <w:sz w:val="18"/>
              </w:rPr>
            </w:pPr>
            <w:r>
              <w:rPr>
                <w:rFonts w:hint="eastAsia"/>
                <w:spacing w:val="-5"/>
                <w:sz w:val="18"/>
              </w:rPr>
              <w:t>70</w:t>
            </w:r>
          </w:p>
          <w:p w14:paraId="023AD818">
            <w:pPr>
              <w:pStyle w:val="239"/>
              <w:spacing w:before="82" w:line="240" w:lineRule="auto"/>
              <w:ind w:left="20"/>
              <w:rPr>
                <w:sz w:val="18"/>
              </w:rPr>
            </w:pPr>
            <w:r>
              <w:rPr>
                <w:rFonts w:hint="eastAsia"/>
                <w:spacing w:val="-5"/>
                <w:sz w:val="18"/>
              </w:rPr>
              <w:t>60</w:t>
            </w:r>
          </w:p>
        </w:tc>
      </w:tr>
      <w:tr w14:paraId="1C2C3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6118" w:type="dxa"/>
            <w:tcBorders>
              <w:top w:val="single" w:color="000000" w:sz="4" w:space="0"/>
              <w:bottom w:val="single" w:color="000000" w:sz="4" w:space="0"/>
              <w:right w:val="single" w:color="000000" w:sz="4" w:space="0"/>
            </w:tcBorders>
            <w:vAlign w:val="center"/>
          </w:tcPr>
          <w:p w14:paraId="37EFC3F4">
            <w:pPr>
              <w:pStyle w:val="239"/>
              <w:spacing w:line="240" w:lineRule="auto"/>
              <w:ind w:left="19" w:right="6"/>
              <w:rPr>
                <w:sz w:val="18"/>
              </w:rPr>
            </w:pPr>
            <w:r>
              <w:rPr>
                <w:rFonts w:hint="eastAsia"/>
                <w:sz w:val="18"/>
              </w:rPr>
              <w:t>母排、导线，连接到母排上的可移式部件和抽出式部件插接式触点（如有</w:t>
            </w:r>
            <w:r>
              <w:rPr>
                <w:rFonts w:hint="eastAsia"/>
                <w:spacing w:val="-10"/>
                <w:sz w:val="18"/>
              </w:rPr>
              <w:t>）</w:t>
            </w:r>
          </w:p>
        </w:tc>
        <w:tc>
          <w:tcPr>
            <w:tcW w:w="3257" w:type="dxa"/>
            <w:tcBorders>
              <w:top w:val="single" w:color="000000" w:sz="4" w:space="0"/>
              <w:left w:val="single" w:color="000000" w:sz="4" w:space="0"/>
              <w:bottom w:val="single" w:color="000000" w:sz="4" w:space="0"/>
            </w:tcBorders>
            <w:vAlign w:val="center"/>
          </w:tcPr>
          <w:p w14:paraId="15129D75">
            <w:pPr>
              <w:pStyle w:val="239"/>
              <w:spacing w:line="240" w:lineRule="auto"/>
              <w:ind w:left="20"/>
              <w:rPr>
                <w:sz w:val="18"/>
              </w:rPr>
            </w:pPr>
            <w:r>
              <w:rPr>
                <w:rFonts w:hint="eastAsia"/>
                <w:spacing w:val="-5"/>
                <w:sz w:val="18"/>
              </w:rPr>
              <w:t>70</w:t>
            </w:r>
          </w:p>
        </w:tc>
      </w:tr>
      <w:tr w14:paraId="432A9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6118" w:type="dxa"/>
            <w:tcBorders>
              <w:top w:val="single" w:color="000000" w:sz="4" w:space="0"/>
              <w:bottom w:val="single" w:color="000000" w:sz="4" w:space="0"/>
              <w:right w:val="single" w:color="000000" w:sz="4" w:space="0"/>
            </w:tcBorders>
            <w:vAlign w:val="center"/>
          </w:tcPr>
          <w:p w14:paraId="6DDB97D0">
            <w:pPr>
              <w:pStyle w:val="239"/>
              <w:spacing w:line="240" w:lineRule="auto"/>
              <w:ind w:left="19" w:right="7"/>
              <w:rPr>
                <w:sz w:val="18"/>
              </w:rPr>
            </w:pPr>
            <w:r>
              <w:rPr>
                <w:rFonts w:hint="eastAsia"/>
                <w:sz w:val="18"/>
              </w:rPr>
              <w:t>操作手柄（锁体</w:t>
            </w:r>
            <w:r>
              <w:rPr>
                <w:rFonts w:hint="eastAsia"/>
                <w:spacing w:val="-92"/>
                <w:sz w:val="18"/>
              </w:rPr>
              <w:t>）</w:t>
            </w:r>
            <w:r>
              <w:rPr>
                <w:rFonts w:hint="eastAsia"/>
                <w:spacing w:val="-4"/>
                <w:sz w:val="18"/>
              </w:rPr>
              <w:t>、把手</w:t>
            </w:r>
          </w:p>
        </w:tc>
        <w:tc>
          <w:tcPr>
            <w:tcW w:w="3257" w:type="dxa"/>
            <w:tcBorders>
              <w:top w:val="single" w:color="000000" w:sz="4" w:space="0"/>
              <w:left w:val="single" w:color="000000" w:sz="4" w:space="0"/>
              <w:bottom w:val="single" w:color="000000" w:sz="4" w:space="0"/>
            </w:tcBorders>
            <w:vAlign w:val="center"/>
          </w:tcPr>
          <w:p w14:paraId="1B20A3FE">
            <w:pPr>
              <w:pStyle w:val="239"/>
              <w:spacing w:line="240" w:lineRule="auto"/>
              <w:ind w:left="20"/>
              <w:rPr>
                <w:sz w:val="18"/>
              </w:rPr>
            </w:pPr>
            <w:r>
              <w:rPr>
                <w:rFonts w:hint="eastAsia"/>
                <w:spacing w:val="-5"/>
                <w:sz w:val="18"/>
              </w:rPr>
              <w:t>15</w:t>
            </w:r>
          </w:p>
        </w:tc>
      </w:tr>
      <w:tr w14:paraId="6672F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6118" w:type="dxa"/>
            <w:tcBorders>
              <w:top w:val="single" w:color="000000" w:sz="4" w:space="0"/>
              <w:right w:val="single" w:color="000000" w:sz="4" w:space="0"/>
            </w:tcBorders>
            <w:vAlign w:val="center"/>
          </w:tcPr>
          <w:p w14:paraId="140BD65A">
            <w:pPr>
              <w:pStyle w:val="239"/>
              <w:spacing w:line="240" w:lineRule="auto"/>
              <w:ind w:left="19" w:right="3"/>
              <w:rPr>
                <w:sz w:val="18"/>
              </w:rPr>
            </w:pPr>
            <w:r>
              <w:rPr>
                <w:rFonts w:hint="eastAsia"/>
                <w:spacing w:val="-3"/>
                <w:sz w:val="18"/>
              </w:rPr>
              <w:t>外壳表面</w:t>
            </w:r>
          </w:p>
        </w:tc>
        <w:tc>
          <w:tcPr>
            <w:tcW w:w="3257" w:type="dxa"/>
            <w:tcBorders>
              <w:top w:val="single" w:color="000000" w:sz="4" w:space="0"/>
              <w:left w:val="single" w:color="000000" w:sz="4" w:space="0"/>
            </w:tcBorders>
            <w:vAlign w:val="center"/>
          </w:tcPr>
          <w:p w14:paraId="1020C37E">
            <w:pPr>
              <w:pStyle w:val="239"/>
              <w:spacing w:line="240" w:lineRule="auto"/>
              <w:ind w:left="20"/>
              <w:rPr>
                <w:sz w:val="18"/>
              </w:rPr>
            </w:pPr>
            <w:r>
              <w:rPr>
                <w:rFonts w:hint="eastAsia"/>
                <w:spacing w:val="-5"/>
                <w:sz w:val="18"/>
              </w:rPr>
              <w:t>30</w:t>
            </w:r>
          </w:p>
        </w:tc>
      </w:tr>
    </w:tbl>
    <w:p w14:paraId="5E582388">
      <w:pPr>
        <w:pStyle w:val="67"/>
        <w:spacing w:before="120" w:after="120"/>
        <w:ind w:left="0"/>
      </w:pPr>
      <w:r>
        <w:rPr>
          <w:rFonts w:hint="eastAsia"/>
        </w:rPr>
        <w:t>电气开关性能</w:t>
      </w:r>
    </w:p>
    <w:p w14:paraId="75A4755F">
      <w:pPr>
        <w:pStyle w:val="58"/>
        <w:ind w:firstLine="420"/>
      </w:pPr>
      <w:r>
        <w:rPr>
          <w:rFonts w:hint="eastAsia"/>
        </w:rPr>
        <w:t>经试验后，计量箱应符合GB/T 10963.1、GB/T 14048.2的相关要求。</w:t>
      </w:r>
    </w:p>
    <w:p w14:paraId="686DEFC6">
      <w:pPr>
        <w:pStyle w:val="107"/>
        <w:spacing w:before="120" w:after="120"/>
      </w:pPr>
      <w:bookmarkStart w:id="80" w:name="_Toc27891"/>
      <w:r>
        <w:rPr>
          <w:rFonts w:hint="eastAsia"/>
        </w:rPr>
        <w:t>安全要求</w:t>
      </w:r>
      <w:bookmarkEnd w:id="80"/>
    </w:p>
    <w:p w14:paraId="23092664">
      <w:pPr>
        <w:pStyle w:val="58"/>
        <w:ind w:firstLine="420"/>
      </w:pPr>
      <w:r>
        <w:rPr>
          <w:rFonts w:hint="eastAsia"/>
        </w:rPr>
        <w:t>计量箱应具备防触电与设备安全保障功能，其电气性能、机械性能应符合相应标准规定要求：</w:t>
      </w:r>
    </w:p>
    <w:p w14:paraId="2B2A00E3">
      <w:pPr>
        <w:pStyle w:val="58"/>
        <w:numPr>
          <w:ilvl w:val="1"/>
          <w:numId w:val="34"/>
        </w:numPr>
        <w:ind w:left="839" w:firstLineChars="0"/>
        <w:rPr>
          <w:rFonts w:hAnsi="宋体"/>
        </w:rPr>
      </w:pPr>
      <w:r>
        <w:rPr>
          <w:rFonts w:hint="eastAsia" w:hAnsi="宋体"/>
        </w:rPr>
        <w:t>电气设计应规范，其性能、技术指标应符合GB/T 7251.3中相应要求，每一型号的产品都为3C认证产品；</w:t>
      </w:r>
    </w:p>
    <w:p w14:paraId="2B0B99B6">
      <w:pPr>
        <w:pStyle w:val="58"/>
        <w:numPr>
          <w:ilvl w:val="1"/>
          <w:numId w:val="34"/>
        </w:numPr>
        <w:ind w:left="839" w:firstLineChars="0"/>
        <w:rPr>
          <w:rFonts w:hAnsi="宋体"/>
        </w:rPr>
      </w:pPr>
      <w:r>
        <w:rPr>
          <w:rFonts w:hint="eastAsia" w:hAnsi="宋体"/>
        </w:rPr>
        <w:t>通过对带电导体采用挡板及外罩隔离或绝缘包裹等防护措施，保证箱门开启状态下无裸露带电部分；接线端子、固定导体的螺钉、外部或内部的导体，与隔离罩间隙应满足相应要求；电器安装、电气连接、导线（母排）固定等措施应永久牢靠；电气开关与表计应有相应的电气隔离措施；</w:t>
      </w:r>
    </w:p>
    <w:p w14:paraId="274D8595">
      <w:pPr>
        <w:pStyle w:val="58"/>
        <w:numPr>
          <w:ilvl w:val="1"/>
          <w:numId w:val="34"/>
        </w:numPr>
        <w:ind w:left="839" w:firstLineChars="0"/>
        <w:rPr>
          <w:rFonts w:hAnsi="宋体"/>
        </w:rPr>
      </w:pPr>
      <w:r>
        <w:rPr>
          <w:rFonts w:hint="eastAsia" w:hAnsi="宋体"/>
        </w:rPr>
        <w:t>PE导体与裸露导电体间应有可靠连接措施；</w:t>
      </w:r>
    </w:p>
    <w:p w14:paraId="51D96A4F">
      <w:pPr>
        <w:pStyle w:val="58"/>
        <w:numPr>
          <w:ilvl w:val="1"/>
          <w:numId w:val="34"/>
        </w:numPr>
        <w:ind w:left="839" w:firstLineChars="0"/>
        <w:rPr>
          <w:rFonts w:hAnsi="宋体"/>
        </w:rPr>
      </w:pPr>
      <w:r>
        <w:rPr>
          <w:rFonts w:hint="eastAsia" w:hAnsi="宋体"/>
        </w:rPr>
        <w:t>计量箱电气总线（母排）截面积符合相应载流量要求，电气互连机构工作方式应可靠；</w:t>
      </w:r>
    </w:p>
    <w:p w14:paraId="0FB5A145">
      <w:pPr>
        <w:pStyle w:val="58"/>
        <w:numPr>
          <w:ilvl w:val="1"/>
          <w:numId w:val="34"/>
        </w:numPr>
        <w:ind w:left="839" w:firstLineChars="0"/>
        <w:rPr>
          <w:rFonts w:hAnsi="宋体"/>
        </w:rPr>
      </w:pPr>
      <w:r>
        <w:rPr>
          <w:rFonts w:hint="eastAsia" w:hAnsi="宋体"/>
        </w:rPr>
        <w:t>计量箱外壳散热（尤其非金属）措施应有效、可靠；</w:t>
      </w:r>
    </w:p>
    <w:p w14:paraId="3B3F737B">
      <w:pPr>
        <w:pStyle w:val="58"/>
        <w:numPr>
          <w:ilvl w:val="1"/>
          <w:numId w:val="34"/>
        </w:numPr>
        <w:ind w:left="839" w:firstLineChars="0"/>
        <w:rPr>
          <w:rFonts w:hAnsi="宋体"/>
        </w:rPr>
      </w:pPr>
      <w:r>
        <w:rPr>
          <w:rFonts w:hint="eastAsia" w:hAnsi="宋体"/>
        </w:rPr>
        <w:t>电气开关应具有3C认证标志，开关上桩头为进线，下桩头为出线，安装满足规范操作方向要求（如左或上位置为“合”，右或下位置为“分”），专业人员操作的开关应有防他人操作的防护措施；</w:t>
      </w:r>
    </w:p>
    <w:p w14:paraId="7868FEF1">
      <w:pPr>
        <w:pStyle w:val="58"/>
        <w:numPr>
          <w:ilvl w:val="1"/>
          <w:numId w:val="34"/>
        </w:numPr>
        <w:ind w:left="839" w:firstLineChars="0"/>
        <w:rPr>
          <w:rFonts w:hAnsi="宋体"/>
        </w:rPr>
      </w:pPr>
      <w:r>
        <w:rPr>
          <w:rFonts w:hint="eastAsia" w:hAnsi="宋体"/>
        </w:rPr>
        <w:t>计量箱所配电气开关、导线、母排等电器应符合相应产品标准要求，并有相应合格保证资料；</w:t>
      </w:r>
    </w:p>
    <w:p w14:paraId="76DFCD75">
      <w:pPr>
        <w:pStyle w:val="58"/>
        <w:numPr>
          <w:ilvl w:val="1"/>
          <w:numId w:val="34"/>
        </w:numPr>
        <w:ind w:left="839" w:firstLineChars="0"/>
        <w:rPr>
          <w:rFonts w:hAnsi="宋体"/>
        </w:rPr>
      </w:pPr>
      <w:r>
        <w:rPr>
          <w:rFonts w:hint="eastAsia" w:hAnsi="宋体"/>
        </w:rPr>
        <w:t>计量箱安全警告语、标志应清晰、永久；</w:t>
      </w:r>
    </w:p>
    <w:p w14:paraId="719A70C0">
      <w:pPr>
        <w:pStyle w:val="58"/>
        <w:numPr>
          <w:ilvl w:val="1"/>
          <w:numId w:val="34"/>
        </w:numPr>
        <w:ind w:left="839" w:firstLineChars="0"/>
        <w:rPr>
          <w:rFonts w:hAnsi="宋体"/>
        </w:rPr>
      </w:pPr>
      <w:r>
        <w:rPr>
          <w:rFonts w:hint="eastAsia" w:hAnsi="宋体"/>
        </w:rPr>
        <w:t>计量箱外壳应有可靠的防雨及必要的防尘措施，其防护等级不低于IP34D（包括电缆、导管入口），箱门、视窗及门锁应具有一定的防撬功能，电缆及导线穿孔具有防磨损保护措施。</w:t>
      </w:r>
    </w:p>
    <w:p w14:paraId="05C6EDE8">
      <w:pPr>
        <w:pStyle w:val="107"/>
        <w:spacing w:before="120" w:after="120"/>
      </w:pPr>
      <w:bookmarkStart w:id="81" w:name="_Toc6761"/>
      <w:r>
        <w:rPr>
          <w:rFonts w:hint="eastAsia"/>
        </w:rPr>
        <w:t>可靠性要求</w:t>
      </w:r>
      <w:bookmarkEnd w:id="81"/>
    </w:p>
    <w:p w14:paraId="75BF70E6">
      <w:pPr>
        <w:pStyle w:val="58"/>
        <w:ind w:firstLine="420"/>
      </w:pPr>
      <w:r>
        <w:rPr>
          <w:rFonts w:hint="eastAsia"/>
        </w:rPr>
        <w:t>计量箱产品设计、材质及配件选用、制造工艺应保证其使用寿命不小于20年：</w:t>
      </w:r>
    </w:p>
    <w:p w14:paraId="0B98E200">
      <w:pPr>
        <w:pStyle w:val="58"/>
        <w:numPr>
          <w:ilvl w:val="1"/>
          <w:numId w:val="35"/>
        </w:numPr>
        <w:ind w:left="839" w:firstLineChars="0"/>
        <w:rPr>
          <w:rFonts w:hAnsi="宋体"/>
        </w:rPr>
      </w:pPr>
      <w:r>
        <w:rPr>
          <w:rFonts w:hint="eastAsia" w:hAnsi="宋体"/>
        </w:rPr>
        <w:t>计量箱所用非金属材料、外壳及金属件涂层、外壳结构强度、标志等应满足使用寿命不少于20年，外壳及绝缘材料性能指标应符合表3（或订货技术协议）中规定的数值，且铭文、标识应能保持清晰、完整，其标识、铭牌材料应耐腐蚀。</w:t>
      </w:r>
    </w:p>
    <w:p w14:paraId="487C10AD">
      <w:pPr>
        <w:pStyle w:val="58"/>
        <w:numPr>
          <w:ilvl w:val="1"/>
          <w:numId w:val="35"/>
        </w:numPr>
        <w:ind w:left="839" w:firstLineChars="0"/>
        <w:rPr>
          <w:rFonts w:hAnsi="宋体"/>
        </w:rPr>
      </w:pPr>
      <w:r>
        <w:rPr>
          <w:rFonts w:hint="eastAsia" w:hAnsi="宋体"/>
        </w:rPr>
        <w:t>计量箱配件在寿命周期内便于更换，计量箱门锁、铰链、电气开关、电能表接插件：</w:t>
      </w:r>
    </w:p>
    <w:p w14:paraId="0B1FB966">
      <w:pPr>
        <w:pStyle w:val="58"/>
        <w:numPr>
          <w:ilvl w:val="2"/>
          <w:numId w:val="35"/>
        </w:numPr>
        <w:ind w:firstLineChars="0"/>
        <w:rPr>
          <w:rFonts w:hAnsi="宋体"/>
        </w:rPr>
      </w:pPr>
      <w:r>
        <w:rPr>
          <w:rFonts w:hint="eastAsia" w:hAnsi="宋体"/>
        </w:rPr>
        <w:t>机械寿命：门锁及铰链应不小于5000次；电气开关不小于10000次，电能表接插件不小于1000次；</w:t>
      </w:r>
    </w:p>
    <w:p w14:paraId="597AD193">
      <w:pPr>
        <w:pStyle w:val="58"/>
        <w:numPr>
          <w:ilvl w:val="2"/>
          <w:numId w:val="35"/>
        </w:numPr>
        <w:ind w:firstLineChars="0"/>
        <w:rPr>
          <w:rFonts w:hAnsi="宋体"/>
        </w:rPr>
      </w:pPr>
      <w:r>
        <w:rPr>
          <w:rFonts w:hint="eastAsia" w:hAnsi="宋体"/>
        </w:rPr>
        <w:t>电气寿命：隔离开关电气寿命不小于3000次、微型断路器不小于6000次。</w:t>
      </w:r>
    </w:p>
    <w:p w14:paraId="187102F7">
      <w:pPr>
        <w:pStyle w:val="58"/>
        <w:numPr>
          <w:ilvl w:val="1"/>
          <w:numId w:val="35"/>
        </w:numPr>
        <w:ind w:left="839" w:firstLineChars="0"/>
        <w:rPr>
          <w:rFonts w:hAnsi="宋体"/>
        </w:rPr>
      </w:pPr>
      <w:r>
        <w:rPr>
          <w:rFonts w:hint="eastAsia" w:hAnsi="宋体"/>
        </w:rPr>
        <w:t>箱门门锁应具备雨水防护功能或设置相应防护结构；</w:t>
      </w:r>
    </w:p>
    <w:p w14:paraId="09D382E5">
      <w:pPr>
        <w:pStyle w:val="58"/>
        <w:numPr>
          <w:ilvl w:val="1"/>
          <w:numId w:val="35"/>
        </w:numPr>
        <w:ind w:left="839" w:firstLineChars="0"/>
        <w:rPr>
          <w:rFonts w:hAnsi="宋体"/>
        </w:rPr>
      </w:pPr>
      <w:r>
        <w:rPr>
          <w:rFonts w:hint="eastAsia" w:hAnsi="宋体"/>
        </w:rPr>
        <w:t>电能表接插件应经过专门工艺处理使其耐腐蚀、耐氧化，具备长寿命、高可靠性；</w:t>
      </w:r>
    </w:p>
    <w:p w14:paraId="5842BB55">
      <w:pPr>
        <w:pStyle w:val="58"/>
        <w:numPr>
          <w:ilvl w:val="1"/>
          <w:numId w:val="35"/>
        </w:numPr>
        <w:ind w:left="839" w:firstLineChars="0"/>
        <w:rPr>
          <w:rFonts w:hAnsi="宋体"/>
        </w:rPr>
      </w:pPr>
      <w:r>
        <w:rPr>
          <w:rFonts w:hint="eastAsia" w:hAnsi="宋体"/>
        </w:rPr>
        <w:t>计量箱箱体结构应具备一定的扩展性、可改造性。</w:t>
      </w:r>
    </w:p>
    <w:p w14:paraId="6B872C9B">
      <w:pPr>
        <w:pStyle w:val="58"/>
        <w:spacing w:after="120" w:afterLines="50"/>
        <w:ind w:firstLine="420"/>
        <w:jc w:val="center"/>
        <w:rPr>
          <w:rFonts w:ascii="黑体" w:hAnsi="黑体" w:eastAsia="黑体" w:cs="黑体"/>
        </w:rPr>
      </w:pPr>
      <w:r>
        <w:rPr>
          <w:rFonts w:hint="eastAsia" w:ascii="黑体" w:hAnsi="黑体" w:eastAsia="黑体" w:cs="黑体"/>
        </w:rPr>
        <w:t>表3 计量箱外壳材料及性能参数表</w:t>
      </w:r>
    </w:p>
    <w:tbl>
      <w:tblPr>
        <w:tblStyle w:val="27"/>
        <w:tblW w:w="10020" w:type="dxa"/>
        <w:tblInd w:w="-25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90"/>
        <w:gridCol w:w="1035"/>
        <w:gridCol w:w="1530"/>
        <w:gridCol w:w="1800"/>
        <w:gridCol w:w="1320"/>
        <w:gridCol w:w="1545"/>
      </w:tblGrid>
      <w:tr w14:paraId="2FEA1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790" w:type="dxa"/>
            <w:vMerge w:val="restart"/>
            <w:tcBorders>
              <w:bottom w:val="single" w:color="000000" w:sz="4" w:space="0"/>
              <w:right w:val="single" w:color="000000" w:sz="4" w:space="0"/>
            </w:tcBorders>
            <w:vAlign w:val="center"/>
          </w:tcPr>
          <w:p w14:paraId="1F8BADEC">
            <w:pPr>
              <w:pStyle w:val="239"/>
              <w:spacing w:before="0"/>
              <w:ind w:left="17"/>
              <w:rPr>
                <w:sz w:val="18"/>
              </w:rPr>
            </w:pPr>
            <w:r>
              <w:rPr>
                <w:spacing w:val="-3"/>
                <w:sz w:val="18"/>
              </w:rPr>
              <w:t>材料名称</w:t>
            </w:r>
          </w:p>
        </w:tc>
        <w:tc>
          <w:tcPr>
            <w:tcW w:w="5685" w:type="dxa"/>
            <w:gridSpan w:val="4"/>
            <w:tcBorders>
              <w:left w:val="single" w:color="000000" w:sz="4" w:space="0"/>
              <w:right w:val="single" w:color="000000" w:sz="4" w:space="0"/>
            </w:tcBorders>
            <w:vAlign w:val="center"/>
          </w:tcPr>
          <w:p w14:paraId="18BBA4A6">
            <w:pPr>
              <w:pStyle w:val="239"/>
              <w:ind w:left="12"/>
              <w:rPr>
                <w:sz w:val="18"/>
              </w:rPr>
            </w:pPr>
            <w:r>
              <w:rPr>
                <w:spacing w:val="-3"/>
                <w:sz w:val="18"/>
              </w:rPr>
              <w:t>壳体部门</w:t>
            </w:r>
          </w:p>
        </w:tc>
        <w:tc>
          <w:tcPr>
            <w:tcW w:w="1545" w:type="dxa"/>
            <w:tcBorders>
              <w:left w:val="single" w:color="000000" w:sz="4" w:space="0"/>
            </w:tcBorders>
            <w:vAlign w:val="center"/>
          </w:tcPr>
          <w:p w14:paraId="76AF975B">
            <w:pPr>
              <w:pStyle w:val="239"/>
              <w:ind w:left="6"/>
              <w:rPr>
                <w:sz w:val="18"/>
              </w:rPr>
            </w:pPr>
            <w:r>
              <w:rPr>
                <w:spacing w:val="-2"/>
                <w:sz w:val="18"/>
              </w:rPr>
              <w:t>观察窗部分</w:t>
            </w:r>
          </w:p>
        </w:tc>
      </w:tr>
      <w:tr w14:paraId="71159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2790" w:type="dxa"/>
            <w:vMerge w:val="continue"/>
            <w:tcBorders>
              <w:top w:val="nil"/>
              <w:bottom w:val="single" w:color="000000" w:sz="4" w:space="0"/>
              <w:right w:val="single" w:color="000000" w:sz="4" w:space="0"/>
            </w:tcBorders>
            <w:vAlign w:val="center"/>
          </w:tcPr>
          <w:p w14:paraId="3AD129BF">
            <w:pPr>
              <w:jc w:val="center"/>
              <w:rPr>
                <w:sz w:val="2"/>
                <w:szCs w:val="2"/>
              </w:rPr>
            </w:pPr>
          </w:p>
        </w:tc>
        <w:tc>
          <w:tcPr>
            <w:tcW w:w="2565" w:type="dxa"/>
            <w:gridSpan w:val="2"/>
            <w:tcBorders>
              <w:left w:val="single" w:color="000000" w:sz="4" w:space="0"/>
              <w:bottom w:val="single" w:color="000000" w:sz="4" w:space="0"/>
              <w:right w:val="single" w:color="000000" w:sz="4" w:space="0"/>
            </w:tcBorders>
            <w:vAlign w:val="center"/>
          </w:tcPr>
          <w:p w14:paraId="4920839E">
            <w:pPr>
              <w:pStyle w:val="239"/>
              <w:ind w:left="11"/>
              <w:rPr>
                <w:sz w:val="18"/>
              </w:rPr>
            </w:pPr>
            <w:r>
              <w:rPr>
                <w:spacing w:val="-5"/>
                <w:sz w:val="18"/>
              </w:rPr>
              <w:t>金属</w:t>
            </w:r>
          </w:p>
        </w:tc>
        <w:tc>
          <w:tcPr>
            <w:tcW w:w="3120" w:type="dxa"/>
            <w:gridSpan w:val="2"/>
            <w:tcBorders>
              <w:left w:val="single" w:color="000000" w:sz="4" w:space="0"/>
              <w:bottom w:val="single" w:color="000000" w:sz="4" w:space="0"/>
              <w:right w:val="single" w:color="000000" w:sz="4" w:space="0"/>
            </w:tcBorders>
            <w:vAlign w:val="center"/>
          </w:tcPr>
          <w:p w14:paraId="7D9A9769">
            <w:pPr>
              <w:pStyle w:val="239"/>
              <w:ind w:left="3"/>
              <w:rPr>
                <w:sz w:val="18"/>
              </w:rPr>
            </w:pPr>
            <w:r>
              <w:rPr>
                <w:spacing w:val="-4"/>
                <w:sz w:val="18"/>
              </w:rPr>
              <w:t>非金属</w:t>
            </w:r>
          </w:p>
        </w:tc>
        <w:tc>
          <w:tcPr>
            <w:tcW w:w="1545" w:type="dxa"/>
            <w:tcBorders>
              <w:left w:val="single" w:color="000000" w:sz="4" w:space="0"/>
              <w:bottom w:val="single" w:color="000000" w:sz="4" w:space="0"/>
            </w:tcBorders>
            <w:vAlign w:val="center"/>
          </w:tcPr>
          <w:p w14:paraId="332133DF">
            <w:pPr>
              <w:pStyle w:val="239"/>
              <w:ind w:left="6"/>
              <w:rPr>
                <w:sz w:val="18"/>
              </w:rPr>
            </w:pPr>
            <w:r>
              <w:rPr>
                <w:spacing w:val="-4"/>
                <w:sz w:val="18"/>
              </w:rPr>
              <w:t>非金属</w:t>
            </w:r>
          </w:p>
        </w:tc>
      </w:tr>
      <w:tr w14:paraId="0F9BE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9" w:hRule="atLeast"/>
        </w:trPr>
        <w:tc>
          <w:tcPr>
            <w:tcW w:w="2790" w:type="dxa"/>
            <w:vMerge w:val="continue"/>
            <w:tcBorders>
              <w:top w:val="nil"/>
              <w:bottom w:val="single" w:color="000000" w:sz="4" w:space="0"/>
              <w:right w:val="single" w:color="000000" w:sz="4" w:space="0"/>
            </w:tcBorders>
            <w:vAlign w:val="center"/>
          </w:tcPr>
          <w:p w14:paraId="294FE688">
            <w:pPr>
              <w:jc w:val="center"/>
              <w:rPr>
                <w:sz w:val="2"/>
                <w:szCs w:val="2"/>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11D1EDC5">
            <w:pPr>
              <w:pStyle w:val="239"/>
              <w:spacing w:before="47"/>
              <w:ind w:left="16"/>
              <w:rPr>
                <w:sz w:val="18"/>
              </w:rPr>
            </w:pPr>
            <w:r>
              <w:rPr>
                <w:spacing w:val="-2"/>
                <w:sz w:val="18"/>
              </w:rPr>
              <w:t>连续热镀锌钢</w:t>
            </w:r>
            <w:r>
              <w:rPr>
                <w:spacing w:val="-10"/>
                <w:sz w:val="18"/>
              </w:rPr>
              <w:t>板</w:t>
            </w:r>
          </w:p>
        </w:tc>
        <w:tc>
          <w:tcPr>
            <w:tcW w:w="1530" w:type="dxa"/>
            <w:tcBorders>
              <w:top w:val="single" w:color="000000" w:sz="4" w:space="0"/>
              <w:left w:val="single" w:color="000000" w:sz="4" w:space="0"/>
              <w:bottom w:val="single" w:color="000000" w:sz="4" w:space="0"/>
              <w:right w:val="single" w:color="000000" w:sz="4" w:space="0"/>
            </w:tcBorders>
            <w:vAlign w:val="center"/>
          </w:tcPr>
          <w:p w14:paraId="623FE5C8">
            <w:pPr>
              <w:pStyle w:val="239"/>
              <w:spacing w:before="47"/>
              <w:ind w:left="82"/>
              <w:rPr>
                <w:sz w:val="18"/>
              </w:rPr>
            </w:pPr>
            <w:r>
              <w:rPr>
                <w:spacing w:val="-2"/>
                <w:sz w:val="18"/>
              </w:rPr>
              <w:t>奥氏体非导磁不锈钢冷轧钢板</w:t>
            </w:r>
          </w:p>
        </w:tc>
        <w:tc>
          <w:tcPr>
            <w:tcW w:w="1800" w:type="dxa"/>
            <w:tcBorders>
              <w:top w:val="single" w:color="000000" w:sz="4" w:space="0"/>
              <w:left w:val="single" w:color="000000" w:sz="4" w:space="0"/>
              <w:bottom w:val="single" w:color="000000" w:sz="4" w:space="0"/>
              <w:right w:val="single" w:color="000000" w:sz="4" w:space="0"/>
            </w:tcBorders>
            <w:vAlign w:val="center"/>
          </w:tcPr>
          <w:p w14:paraId="659E45A2">
            <w:pPr>
              <w:pStyle w:val="239"/>
              <w:spacing w:before="47"/>
              <w:rPr>
                <w:sz w:val="18"/>
              </w:rPr>
            </w:pPr>
            <w:r>
              <w:rPr>
                <w:spacing w:val="-1"/>
                <w:sz w:val="18"/>
              </w:rPr>
              <w:t>聚碳酸酯树脂</w:t>
            </w:r>
            <w:r>
              <w:rPr>
                <w:rFonts w:hint="eastAsia"/>
                <w:spacing w:val="-1"/>
                <w:sz w:val="18"/>
              </w:rPr>
              <w:t>+</w:t>
            </w:r>
            <w:r>
              <w:rPr>
                <w:spacing w:val="-1"/>
                <w:sz w:val="18"/>
              </w:rPr>
              <w:t>丙烯腈-</w:t>
            </w:r>
            <w:r>
              <w:rPr>
                <w:spacing w:val="-2"/>
                <w:sz w:val="18"/>
              </w:rPr>
              <w:t>丁二烯-苯乙烯树脂</w:t>
            </w:r>
          </w:p>
        </w:tc>
        <w:tc>
          <w:tcPr>
            <w:tcW w:w="1320" w:type="dxa"/>
            <w:tcBorders>
              <w:top w:val="single" w:color="000000" w:sz="4" w:space="0"/>
              <w:left w:val="single" w:color="000000" w:sz="4" w:space="0"/>
              <w:bottom w:val="single" w:color="000000" w:sz="4" w:space="0"/>
              <w:right w:val="single" w:color="000000" w:sz="4" w:space="0"/>
            </w:tcBorders>
            <w:vAlign w:val="center"/>
          </w:tcPr>
          <w:p w14:paraId="2999B605">
            <w:pPr>
              <w:pStyle w:val="239"/>
              <w:spacing w:before="47"/>
              <w:ind w:left="6"/>
              <w:rPr>
                <w:sz w:val="18"/>
              </w:rPr>
            </w:pPr>
            <w:r>
              <w:rPr>
                <w:spacing w:val="-2"/>
                <w:sz w:val="18"/>
              </w:rPr>
              <w:t>玻纤增强不饱和</w:t>
            </w:r>
          </w:p>
          <w:p w14:paraId="0154BEF7">
            <w:pPr>
              <w:pStyle w:val="239"/>
              <w:spacing w:before="82"/>
              <w:ind w:left="6"/>
              <w:rPr>
                <w:sz w:val="18"/>
              </w:rPr>
            </w:pPr>
            <w:r>
              <w:rPr>
                <w:spacing w:val="-2"/>
                <w:sz w:val="18"/>
              </w:rPr>
              <w:t>聚酯模塑料</w:t>
            </w:r>
          </w:p>
        </w:tc>
        <w:tc>
          <w:tcPr>
            <w:tcW w:w="1545" w:type="dxa"/>
            <w:tcBorders>
              <w:top w:val="single" w:color="000000" w:sz="4" w:space="0"/>
              <w:left w:val="single" w:color="000000" w:sz="4" w:space="0"/>
              <w:bottom w:val="single" w:color="000000" w:sz="4" w:space="0"/>
            </w:tcBorders>
            <w:vAlign w:val="center"/>
          </w:tcPr>
          <w:p w14:paraId="7B9AA22E">
            <w:pPr>
              <w:pStyle w:val="239"/>
              <w:spacing w:before="203"/>
              <w:ind w:left="4"/>
              <w:rPr>
                <w:sz w:val="18"/>
              </w:rPr>
            </w:pPr>
            <w:r>
              <w:rPr>
                <w:spacing w:val="-2"/>
                <w:sz w:val="18"/>
              </w:rPr>
              <w:t>聚碳酸酯树脂</w:t>
            </w:r>
          </w:p>
        </w:tc>
      </w:tr>
      <w:tr w14:paraId="61341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2790" w:type="dxa"/>
            <w:tcBorders>
              <w:top w:val="single" w:color="000000" w:sz="4" w:space="0"/>
              <w:bottom w:val="single" w:color="000000" w:sz="4" w:space="0"/>
              <w:right w:val="single" w:color="000000" w:sz="4" w:space="0"/>
            </w:tcBorders>
          </w:tcPr>
          <w:p w14:paraId="208C94E4">
            <w:pPr>
              <w:pStyle w:val="239"/>
              <w:ind w:left="17"/>
              <w:rPr>
                <w:sz w:val="18"/>
              </w:rPr>
            </w:pPr>
            <w:r>
              <w:rPr>
                <w:spacing w:val="-2"/>
                <w:sz w:val="18"/>
              </w:rPr>
              <w:t>材料相关标准</w:t>
            </w:r>
          </w:p>
        </w:tc>
        <w:tc>
          <w:tcPr>
            <w:tcW w:w="1035" w:type="dxa"/>
            <w:tcBorders>
              <w:top w:val="single" w:color="000000" w:sz="4" w:space="0"/>
              <w:left w:val="single" w:color="000000" w:sz="4" w:space="0"/>
              <w:bottom w:val="single" w:color="000000" w:sz="4" w:space="0"/>
              <w:right w:val="single" w:color="000000" w:sz="4" w:space="0"/>
            </w:tcBorders>
          </w:tcPr>
          <w:p w14:paraId="20E0DA2F">
            <w:pPr>
              <w:pStyle w:val="239"/>
              <w:ind w:left="16"/>
              <w:rPr>
                <w:sz w:val="18"/>
              </w:rPr>
            </w:pPr>
            <w:r>
              <w:rPr>
                <w:sz w:val="18"/>
              </w:rPr>
              <w:t>GB/T</w:t>
            </w:r>
            <w:r>
              <w:rPr>
                <w:spacing w:val="-3"/>
                <w:sz w:val="18"/>
              </w:rPr>
              <w:t xml:space="preserve"> </w:t>
            </w:r>
            <w:r>
              <w:rPr>
                <w:spacing w:val="-4"/>
                <w:sz w:val="18"/>
              </w:rPr>
              <w:t>2518</w:t>
            </w:r>
          </w:p>
        </w:tc>
        <w:tc>
          <w:tcPr>
            <w:tcW w:w="1530" w:type="dxa"/>
            <w:tcBorders>
              <w:top w:val="single" w:color="000000" w:sz="4" w:space="0"/>
              <w:left w:val="single" w:color="000000" w:sz="4" w:space="0"/>
              <w:bottom w:val="single" w:color="000000" w:sz="4" w:space="0"/>
              <w:right w:val="single" w:color="000000" w:sz="4" w:space="0"/>
            </w:tcBorders>
          </w:tcPr>
          <w:p w14:paraId="691AF44F">
            <w:pPr>
              <w:pStyle w:val="239"/>
              <w:ind w:right="2"/>
              <w:rPr>
                <w:sz w:val="18"/>
              </w:rPr>
            </w:pPr>
            <w:r>
              <w:rPr>
                <w:sz w:val="18"/>
              </w:rPr>
              <w:t>GB/T</w:t>
            </w:r>
            <w:r>
              <w:rPr>
                <w:spacing w:val="-3"/>
                <w:sz w:val="18"/>
              </w:rPr>
              <w:t xml:space="preserve"> </w:t>
            </w:r>
            <w:r>
              <w:rPr>
                <w:spacing w:val="-4"/>
                <w:sz w:val="18"/>
              </w:rPr>
              <w:t>3280</w:t>
            </w:r>
          </w:p>
        </w:tc>
        <w:tc>
          <w:tcPr>
            <w:tcW w:w="1800" w:type="dxa"/>
            <w:tcBorders>
              <w:top w:val="single" w:color="000000" w:sz="4" w:space="0"/>
              <w:left w:val="single" w:color="000000" w:sz="4" w:space="0"/>
              <w:bottom w:val="single" w:color="000000" w:sz="4" w:space="0"/>
              <w:right w:val="single" w:color="000000" w:sz="4" w:space="0"/>
            </w:tcBorders>
          </w:tcPr>
          <w:p w14:paraId="0B69C42B">
            <w:pPr>
              <w:pStyle w:val="239"/>
              <w:ind w:right="4"/>
              <w:rPr>
                <w:sz w:val="18"/>
              </w:rPr>
            </w:pPr>
            <w:r>
              <w:rPr>
                <w:spacing w:val="-10"/>
                <w:sz w:val="18"/>
              </w:rPr>
              <w:t>/</w:t>
            </w:r>
          </w:p>
        </w:tc>
        <w:tc>
          <w:tcPr>
            <w:tcW w:w="1320" w:type="dxa"/>
            <w:tcBorders>
              <w:top w:val="single" w:color="000000" w:sz="4" w:space="0"/>
              <w:left w:val="single" w:color="000000" w:sz="4" w:space="0"/>
              <w:bottom w:val="single" w:color="000000" w:sz="4" w:space="0"/>
              <w:right w:val="single" w:color="000000" w:sz="4" w:space="0"/>
            </w:tcBorders>
          </w:tcPr>
          <w:p w14:paraId="7E71778C">
            <w:pPr>
              <w:pStyle w:val="239"/>
              <w:ind w:left="6"/>
              <w:rPr>
                <w:sz w:val="18"/>
              </w:rPr>
            </w:pPr>
            <w:r>
              <w:rPr>
                <w:sz w:val="18"/>
              </w:rPr>
              <w:t>GB/T</w:t>
            </w:r>
            <w:r>
              <w:rPr>
                <w:spacing w:val="-3"/>
                <w:sz w:val="18"/>
              </w:rPr>
              <w:t xml:space="preserve"> </w:t>
            </w:r>
            <w:r>
              <w:rPr>
                <w:spacing w:val="-2"/>
                <w:sz w:val="18"/>
              </w:rPr>
              <w:t>23641</w:t>
            </w:r>
          </w:p>
        </w:tc>
        <w:tc>
          <w:tcPr>
            <w:tcW w:w="1545" w:type="dxa"/>
            <w:tcBorders>
              <w:top w:val="single" w:color="000000" w:sz="4" w:space="0"/>
              <w:left w:val="single" w:color="000000" w:sz="4" w:space="0"/>
              <w:bottom w:val="single" w:color="000000" w:sz="4" w:space="0"/>
            </w:tcBorders>
          </w:tcPr>
          <w:p w14:paraId="64E2AC54">
            <w:pPr>
              <w:pStyle w:val="239"/>
              <w:ind w:left="4"/>
              <w:rPr>
                <w:sz w:val="18"/>
              </w:rPr>
            </w:pPr>
            <w:r>
              <w:rPr>
                <w:sz w:val="18"/>
              </w:rPr>
              <w:t>HG/T</w:t>
            </w:r>
            <w:r>
              <w:rPr>
                <w:spacing w:val="-3"/>
                <w:sz w:val="18"/>
              </w:rPr>
              <w:t xml:space="preserve"> </w:t>
            </w:r>
            <w:r>
              <w:rPr>
                <w:spacing w:val="-4"/>
                <w:sz w:val="18"/>
              </w:rPr>
              <w:t>2503</w:t>
            </w:r>
          </w:p>
        </w:tc>
      </w:tr>
      <w:tr w14:paraId="1D33E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2790" w:type="dxa"/>
            <w:tcBorders>
              <w:top w:val="single" w:color="000000" w:sz="4" w:space="0"/>
              <w:bottom w:val="single" w:color="000000" w:sz="4" w:space="0"/>
              <w:right w:val="single" w:color="000000" w:sz="4" w:space="0"/>
            </w:tcBorders>
          </w:tcPr>
          <w:p w14:paraId="36706722">
            <w:pPr>
              <w:pStyle w:val="239"/>
              <w:ind w:left="17"/>
              <w:rPr>
                <w:sz w:val="18"/>
              </w:rPr>
            </w:pPr>
            <w:r>
              <w:rPr>
                <w:spacing w:val="-3"/>
                <w:sz w:val="18"/>
              </w:rPr>
              <w:t>材料代号</w:t>
            </w:r>
          </w:p>
        </w:tc>
        <w:tc>
          <w:tcPr>
            <w:tcW w:w="1035" w:type="dxa"/>
            <w:tcBorders>
              <w:top w:val="single" w:color="000000" w:sz="4" w:space="0"/>
              <w:left w:val="single" w:color="000000" w:sz="4" w:space="0"/>
              <w:bottom w:val="single" w:color="000000" w:sz="4" w:space="0"/>
              <w:right w:val="single" w:color="000000" w:sz="4" w:space="0"/>
            </w:tcBorders>
          </w:tcPr>
          <w:p w14:paraId="5E7088F6">
            <w:pPr>
              <w:pStyle w:val="239"/>
              <w:ind w:left="13"/>
              <w:rPr>
                <w:sz w:val="18"/>
              </w:rPr>
            </w:pPr>
            <w:r>
              <w:rPr>
                <w:spacing w:val="-10"/>
                <w:sz w:val="18"/>
              </w:rPr>
              <w:t>/</w:t>
            </w:r>
          </w:p>
        </w:tc>
        <w:tc>
          <w:tcPr>
            <w:tcW w:w="1530" w:type="dxa"/>
            <w:tcBorders>
              <w:top w:val="single" w:color="000000" w:sz="4" w:space="0"/>
              <w:left w:val="single" w:color="000000" w:sz="4" w:space="0"/>
              <w:bottom w:val="single" w:color="000000" w:sz="4" w:space="0"/>
              <w:right w:val="single" w:color="000000" w:sz="4" w:space="0"/>
            </w:tcBorders>
          </w:tcPr>
          <w:p w14:paraId="402413BC">
            <w:pPr>
              <w:pStyle w:val="239"/>
              <w:ind w:right="4"/>
              <w:rPr>
                <w:sz w:val="18"/>
              </w:rPr>
            </w:pPr>
            <w:r>
              <w:rPr>
                <w:spacing w:val="-10"/>
                <w:sz w:val="18"/>
              </w:rPr>
              <w:t>/</w:t>
            </w:r>
          </w:p>
        </w:tc>
        <w:tc>
          <w:tcPr>
            <w:tcW w:w="1800" w:type="dxa"/>
            <w:tcBorders>
              <w:top w:val="single" w:color="000000" w:sz="4" w:space="0"/>
              <w:left w:val="single" w:color="000000" w:sz="4" w:space="0"/>
              <w:bottom w:val="single" w:color="000000" w:sz="4" w:space="0"/>
              <w:right w:val="single" w:color="000000" w:sz="4" w:space="0"/>
            </w:tcBorders>
          </w:tcPr>
          <w:p w14:paraId="795BF7FE">
            <w:pPr>
              <w:pStyle w:val="239"/>
              <w:ind w:right="3"/>
              <w:rPr>
                <w:sz w:val="18"/>
              </w:rPr>
            </w:pPr>
            <w:r>
              <w:rPr>
                <w:sz w:val="18"/>
              </w:rPr>
              <w:t>PC+ABS（阻燃</w:t>
            </w:r>
            <w:r>
              <w:rPr>
                <w:spacing w:val="-10"/>
                <w:sz w:val="18"/>
              </w:rPr>
              <w:t>）</w:t>
            </w:r>
          </w:p>
        </w:tc>
        <w:tc>
          <w:tcPr>
            <w:tcW w:w="1320" w:type="dxa"/>
            <w:tcBorders>
              <w:top w:val="single" w:color="000000" w:sz="4" w:space="0"/>
              <w:left w:val="single" w:color="000000" w:sz="4" w:space="0"/>
              <w:bottom w:val="single" w:color="000000" w:sz="4" w:space="0"/>
              <w:right w:val="single" w:color="000000" w:sz="4" w:space="0"/>
            </w:tcBorders>
          </w:tcPr>
          <w:p w14:paraId="77950AA6">
            <w:pPr>
              <w:pStyle w:val="239"/>
              <w:ind w:left="11"/>
              <w:rPr>
                <w:sz w:val="18"/>
              </w:rPr>
            </w:pPr>
            <w:r>
              <w:rPr>
                <w:sz w:val="18"/>
              </w:rPr>
              <w:t>SMC（玻璃钢</w:t>
            </w:r>
            <w:r>
              <w:rPr>
                <w:spacing w:val="-10"/>
                <w:sz w:val="18"/>
              </w:rPr>
              <w:t>）</w:t>
            </w:r>
          </w:p>
        </w:tc>
        <w:tc>
          <w:tcPr>
            <w:tcW w:w="1545" w:type="dxa"/>
            <w:tcBorders>
              <w:top w:val="single" w:color="000000" w:sz="4" w:space="0"/>
              <w:left w:val="single" w:color="000000" w:sz="4" w:space="0"/>
              <w:bottom w:val="single" w:color="000000" w:sz="4" w:space="0"/>
            </w:tcBorders>
          </w:tcPr>
          <w:p w14:paraId="7E737F2F">
            <w:pPr>
              <w:pStyle w:val="239"/>
              <w:ind w:left="9"/>
              <w:rPr>
                <w:sz w:val="18"/>
              </w:rPr>
            </w:pPr>
            <w:r>
              <w:rPr>
                <w:spacing w:val="-5"/>
                <w:sz w:val="18"/>
              </w:rPr>
              <w:t>PC</w:t>
            </w:r>
          </w:p>
        </w:tc>
      </w:tr>
      <w:tr w14:paraId="06FD6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2790" w:type="dxa"/>
            <w:tcBorders>
              <w:top w:val="single" w:color="000000" w:sz="4" w:space="0"/>
              <w:bottom w:val="single" w:color="000000" w:sz="4" w:space="0"/>
              <w:right w:val="single" w:color="000000" w:sz="4" w:space="0"/>
            </w:tcBorders>
          </w:tcPr>
          <w:p w14:paraId="3B6C66C1">
            <w:pPr>
              <w:pStyle w:val="239"/>
              <w:ind w:left="20"/>
              <w:rPr>
                <w:position w:val="9"/>
                <w:sz w:val="9"/>
              </w:rPr>
            </w:pPr>
            <w:r>
              <w:rPr>
                <w:spacing w:val="-1"/>
                <w:sz w:val="18"/>
              </w:rPr>
              <w:t>密度，</w:t>
            </w:r>
            <w:r>
              <w:rPr>
                <w:spacing w:val="-2"/>
                <w:sz w:val="18"/>
              </w:rPr>
              <w:t>g/cm</w:t>
            </w:r>
            <w:r>
              <w:rPr>
                <w:spacing w:val="-2"/>
                <w:position w:val="9"/>
                <w:sz w:val="9"/>
              </w:rPr>
              <w:t>3</w:t>
            </w:r>
          </w:p>
        </w:tc>
        <w:tc>
          <w:tcPr>
            <w:tcW w:w="1035" w:type="dxa"/>
            <w:tcBorders>
              <w:top w:val="single" w:color="000000" w:sz="4" w:space="0"/>
              <w:left w:val="single" w:color="000000" w:sz="4" w:space="0"/>
              <w:bottom w:val="single" w:color="000000" w:sz="4" w:space="0"/>
              <w:right w:val="single" w:color="000000" w:sz="4" w:space="0"/>
            </w:tcBorders>
          </w:tcPr>
          <w:p w14:paraId="1A683F8A">
            <w:pPr>
              <w:pStyle w:val="239"/>
              <w:ind w:left="16"/>
              <w:rPr>
                <w:sz w:val="18"/>
              </w:rPr>
            </w:pPr>
            <w:r>
              <w:rPr>
                <w:spacing w:val="-5"/>
                <w:sz w:val="18"/>
              </w:rPr>
              <w:t>7.8</w:t>
            </w:r>
          </w:p>
        </w:tc>
        <w:tc>
          <w:tcPr>
            <w:tcW w:w="1530" w:type="dxa"/>
            <w:tcBorders>
              <w:top w:val="single" w:color="000000" w:sz="4" w:space="0"/>
              <w:left w:val="single" w:color="000000" w:sz="4" w:space="0"/>
              <w:bottom w:val="single" w:color="000000" w:sz="4" w:space="0"/>
              <w:right w:val="single" w:color="000000" w:sz="4" w:space="0"/>
            </w:tcBorders>
          </w:tcPr>
          <w:p w14:paraId="793C19A9">
            <w:pPr>
              <w:pStyle w:val="239"/>
              <w:ind w:right="2"/>
              <w:rPr>
                <w:sz w:val="18"/>
              </w:rPr>
            </w:pPr>
            <w:r>
              <w:rPr>
                <w:spacing w:val="-4"/>
                <w:sz w:val="18"/>
              </w:rPr>
              <w:t>7.93</w:t>
            </w:r>
          </w:p>
        </w:tc>
        <w:tc>
          <w:tcPr>
            <w:tcW w:w="1800" w:type="dxa"/>
            <w:tcBorders>
              <w:top w:val="single" w:color="000000" w:sz="4" w:space="0"/>
              <w:left w:val="single" w:color="000000" w:sz="4" w:space="0"/>
              <w:bottom w:val="single" w:color="000000" w:sz="4" w:space="0"/>
              <w:right w:val="single" w:color="000000" w:sz="4" w:space="0"/>
            </w:tcBorders>
          </w:tcPr>
          <w:p w14:paraId="609EFAD7">
            <w:pPr>
              <w:pStyle w:val="239"/>
              <w:ind w:right="3"/>
              <w:rPr>
                <w:sz w:val="18"/>
              </w:rPr>
            </w:pPr>
            <w:r>
              <w:rPr>
                <w:spacing w:val="-5"/>
                <w:sz w:val="18"/>
              </w:rPr>
              <w:t>1.2</w:t>
            </w:r>
          </w:p>
        </w:tc>
        <w:tc>
          <w:tcPr>
            <w:tcW w:w="1320" w:type="dxa"/>
            <w:tcBorders>
              <w:top w:val="single" w:color="000000" w:sz="4" w:space="0"/>
              <w:left w:val="single" w:color="000000" w:sz="4" w:space="0"/>
              <w:bottom w:val="single" w:color="000000" w:sz="4" w:space="0"/>
              <w:right w:val="single" w:color="000000" w:sz="4" w:space="0"/>
            </w:tcBorders>
          </w:tcPr>
          <w:p w14:paraId="31C2872C">
            <w:pPr>
              <w:pStyle w:val="239"/>
              <w:ind w:left="9"/>
              <w:rPr>
                <w:sz w:val="18"/>
              </w:rPr>
            </w:pPr>
            <w:r>
              <w:rPr>
                <w:spacing w:val="-4"/>
                <w:sz w:val="18"/>
              </w:rPr>
              <w:t>1.78</w:t>
            </w:r>
          </w:p>
        </w:tc>
        <w:tc>
          <w:tcPr>
            <w:tcW w:w="1545" w:type="dxa"/>
            <w:tcBorders>
              <w:top w:val="single" w:color="000000" w:sz="4" w:space="0"/>
              <w:left w:val="single" w:color="000000" w:sz="4" w:space="0"/>
              <w:bottom w:val="single" w:color="000000" w:sz="4" w:space="0"/>
            </w:tcBorders>
          </w:tcPr>
          <w:p w14:paraId="099A351E">
            <w:pPr>
              <w:pStyle w:val="239"/>
              <w:ind w:left="5"/>
              <w:rPr>
                <w:sz w:val="18"/>
              </w:rPr>
            </w:pPr>
            <w:r>
              <w:rPr>
                <w:spacing w:val="-4"/>
                <w:sz w:val="18"/>
              </w:rPr>
              <w:t>1.20</w:t>
            </w:r>
          </w:p>
        </w:tc>
      </w:tr>
      <w:tr w14:paraId="264A2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2790" w:type="dxa"/>
            <w:tcBorders>
              <w:top w:val="single" w:color="000000" w:sz="4" w:space="0"/>
              <w:bottom w:val="single" w:color="000000" w:sz="4" w:space="0"/>
              <w:right w:val="single" w:color="000000" w:sz="4" w:space="0"/>
            </w:tcBorders>
          </w:tcPr>
          <w:p w14:paraId="7955382B">
            <w:pPr>
              <w:pStyle w:val="239"/>
              <w:ind w:left="20"/>
              <w:rPr>
                <w:sz w:val="18"/>
              </w:rPr>
            </w:pPr>
            <w:r>
              <w:rPr>
                <w:spacing w:val="-1"/>
                <w:sz w:val="18"/>
              </w:rPr>
              <w:t>拉伸强度，</w:t>
            </w:r>
            <w:r>
              <w:rPr>
                <w:spacing w:val="-4"/>
                <w:sz w:val="18"/>
              </w:rPr>
              <w:t>MPa</w:t>
            </w:r>
          </w:p>
        </w:tc>
        <w:tc>
          <w:tcPr>
            <w:tcW w:w="1035" w:type="dxa"/>
            <w:tcBorders>
              <w:top w:val="single" w:color="000000" w:sz="4" w:space="0"/>
              <w:left w:val="single" w:color="000000" w:sz="4" w:space="0"/>
              <w:bottom w:val="single" w:color="000000" w:sz="4" w:space="0"/>
              <w:right w:val="single" w:color="000000" w:sz="4" w:space="0"/>
            </w:tcBorders>
          </w:tcPr>
          <w:p w14:paraId="6484760D">
            <w:pPr>
              <w:pStyle w:val="239"/>
              <w:ind w:left="16"/>
              <w:rPr>
                <w:sz w:val="18"/>
              </w:rPr>
            </w:pPr>
            <w:r>
              <w:rPr>
                <w:spacing w:val="-2"/>
                <w:sz w:val="18"/>
              </w:rPr>
              <w:t>270～420</w:t>
            </w:r>
          </w:p>
        </w:tc>
        <w:tc>
          <w:tcPr>
            <w:tcW w:w="1530" w:type="dxa"/>
            <w:tcBorders>
              <w:top w:val="single" w:color="000000" w:sz="4" w:space="0"/>
              <w:left w:val="single" w:color="000000" w:sz="4" w:space="0"/>
              <w:bottom w:val="single" w:color="000000" w:sz="4" w:space="0"/>
              <w:right w:val="single" w:color="000000" w:sz="4" w:space="0"/>
            </w:tcBorders>
          </w:tcPr>
          <w:p w14:paraId="1B7EFE9B">
            <w:pPr>
              <w:pStyle w:val="239"/>
              <w:rPr>
                <w:sz w:val="18"/>
              </w:rPr>
            </w:pPr>
            <w:r>
              <w:rPr>
                <w:spacing w:val="-4"/>
                <w:sz w:val="18"/>
              </w:rPr>
              <w:t>≥520</w:t>
            </w:r>
          </w:p>
        </w:tc>
        <w:tc>
          <w:tcPr>
            <w:tcW w:w="1800" w:type="dxa"/>
            <w:tcBorders>
              <w:top w:val="single" w:color="000000" w:sz="4" w:space="0"/>
              <w:left w:val="single" w:color="000000" w:sz="4" w:space="0"/>
              <w:bottom w:val="single" w:color="000000" w:sz="4" w:space="0"/>
              <w:right w:val="single" w:color="000000" w:sz="4" w:space="0"/>
            </w:tcBorders>
          </w:tcPr>
          <w:p w14:paraId="523C22BA">
            <w:pPr>
              <w:pStyle w:val="239"/>
              <w:rPr>
                <w:sz w:val="18"/>
              </w:rPr>
            </w:pPr>
            <w:r>
              <w:rPr>
                <w:spacing w:val="-5"/>
                <w:sz w:val="18"/>
              </w:rPr>
              <w:t>≥42</w:t>
            </w:r>
          </w:p>
        </w:tc>
        <w:tc>
          <w:tcPr>
            <w:tcW w:w="1320" w:type="dxa"/>
            <w:tcBorders>
              <w:top w:val="single" w:color="000000" w:sz="4" w:space="0"/>
              <w:left w:val="single" w:color="000000" w:sz="4" w:space="0"/>
              <w:bottom w:val="single" w:color="000000" w:sz="4" w:space="0"/>
              <w:right w:val="single" w:color="000000" w:sz="4" w:space="0"/>
            </w:tcBorders>
          </w:tcPr>
          <w:p w14:paraId="10E07758">
            <w:pPr>
              <w:pStyle w:val="239"/>
              <w:ind w:left="11"/>
              <w:rPr>
                <w:sz w:val="18"/>
              </w:rPr>
            </w:pPr>
            <w:r>
              <w:rPr>
                <w:spacing w:val="-5"/>
                <w:sz w:val="18"/>
              </w:rPr>
              <w:t>≥55</w:t>
            </w:r>
          </w:p>
        </w:tc>
        <w:tc>
          <w:tcPr>
            <w:tcW w:w="1545" w:type="dxa"/>
            <w:tcBorders>
              <w:top w:val="single" w:color="000000" w:sz="4" w:space="0"/>
              <w:left w:val="single" w:color="000000" w:sz="4" w:space="0"/>
              <w:bottom w:val="single" w:color="000000" w:sz="4" w:space="0"/>
            </w:tcBorders>
          </w:tcPr>
          <w:p w14:paraId="5EA8AC63">
            <w:pPr>
              <w:pStyle w:val="239"/>
              <w:ind w:left="6"/>
              <w:rPr>
                <w:sz w:val="18"/>
              </w:rPr>
            </w:pPr>
            <w:r>
              <w:rPr>
                <w:spacing w:val="-5"/>
                <w:sz w:val="18"/>
              </w:rPr>
              <w:t>≥55</w:t>
            </w:r>
          </w:p>
        </w:tc>
      </w:tr>
      <w:tr w14:paraId="4D9F5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2790" w:type="dxa"/>
            <w:tcBorders>
              <w:top w:val="single" w:color="000000" w:sz="4" w:space="0"/>
              <w:bottom w:val="single" w:color="000000" w:sz="4" w:space="0"/>
              <w:right w:val="single" w:color="000000" w:sz="4" w:space="0"/>
            </w:tcBorders>
          </w:tcPr>
          <w:p w14:paraId="420F5EDF">
            <w:pPr>
              <w:pStyle w:val="239"/>
              <w:ind w:left="20"/>
              <w:rPr>
                <w:sz w:val="18"/>
              </w:rPr>
            </w:pPr>
            <w:r>
              <w:rPr>
                <w:spacing w:val="-1"/>
                <w:sz w:val="18"/>
              </w:rPr>
              <w:t>弯曲强度，</w:t>
            </w:r>
            <w:r>
              <w:rPr>
                <w:spacing w:val="-4"/>
                <w:sz w:val="18"/>
              </w:rPr>
              <w:t>MPa</w:t>
            </w:r>
          </w:p>
        </w:tc>
        <w:tc>
          <w:tcPr>
            <w:tcW w:w="1035" w:type="dxa"/>
            <w:tcBorders>
              <w:top w:val="single" w:color="000000" w:sz="4" w:space="0"/>
              <w:left w:val="single" w:color="000000" w:sz="4" w:space="0"/>
              <w:bottom w:val="single" w:color="000000" w:sz="4" w:space="0"/>
              <w:right w:val="single" w:color="000000" w:sz="4" w:space="0"/>
            </w:tcBorders>
          </w:tcPr>
          <w:p w14:paraId="29B09FD5">
            <w:pPr>
              <w:pStyle w:val="239"/>
              <w:ind w:left="13"/>
              <w:rPr>
                <w:sz w:val="18"/>
              </w:rPr>
            </w:pPr>
            <w:r>
              <w:rPr>
                <w:spacing w:val="-10"/>
                <w:sz w:val="18"/>
              </w:rPr>
              <w:t>/</w:t>
            </w:r>
          </w:p>
        </w:tc>
        <w:tc>
          <w:tcPr>
            <w:tcW w:w="1530" w:type="dxa"/>
            <w:tcBorders>
              <w:top w:val="single" w:color="000000" w:sz="4" w:space="0"/>
              <w:left w:val="single" w:color="000000" w:sz="4" w:space="0"/>
              <w:bottom w:val="single" w:color="000000" w:sz="4" w:space="0"/>
              <w:right w:val="single" w:color="000000" w:sz="4" w:space="0"/>
            </w:tcBorders>
          </w:tcPr>
          <w:p w14:paraId="365C0C52">
            <w:pPr>
              <w:pStyle w:val="239"/>
              <w:ind w:right="4"/>
              <w:rPr>
                <w:sz w:val="18"/>
              </w:rPr>
            </w:pPr>
            <w:r>
              <w:rPr>
                <w:spacing w:val="-10"/>
                <w:sz w:val="18"/>
              </w:rPr>
              <w:t>/</w:t>
            </w:r>
          </w:p>
        </w:tc>
        <w:tc>
          <w:tcPr>
            <w:tcW w:w="1800" w:type="dxa"/>
            <w:tcBorders>
              <w:top w:val="single" w:color="000000" w:sz="4" w:space="0"/>
              <w:left w:val="single" w:color="000000" w:sz="4" w:space="0"/>
              <w:bottom w:val="single" w:color="000000" w:sz="4" w:space="0"/>
              <w:right w:val="single" w:color="000000" w:sz="4" w:space="0"/>
            </w:tcBorders>
          </w:tcPr>
          <w:p w14:paraId="69D3DD4C">
            <w:pPr>
              <w:pStyle w:val="239"/>
              <w:rPr>
                <w:sz w:val="18"/>
              </w:rPr>
            </w:pPr>
            <w:r>
              <w:rPr>
                <w:spacing w:val="-5"/>
                <w:sz w:val="18"/>
              </w:rPr>
              <w:t>≥65</w:t>
            </w:r>
          </w:p>
        </w:tc>
        <w:tc>
          <w:tcPr>
            <w:tcW w:w="1320" w:type="dxa"/>
            <w:tcBorders>
              <w:top w:val="single" w:color="000000" w:sz="4" w:space="0"/>
              <w:left w:val="single" w:color="000000" w:sz="4" w:space="0"/>
              <w:bottom w:val="single" w:color="000000" w:sz="4" w:space="0"/>
              <w:right w:val="single" w:color="000000" w:sz="4" w:space="0"/>
            </w:tcBorders>
          </w:tcPr>
          <w:p w14:paraId="1DA049AE">
            <w:pPr>
              <w:pStyle w:val="239"/>
              <w:ind w:left="11"/>
              <w:rPr>
                <w:position w:val="9"/>
                <w:sz w:val="9"/>
              </w:rPr>
            </w:pPr>
            <w:r>
              <w:rPr>
                <w:spacing w:val="-2"/>
                <w:sz w:val="18"/>
              </w:rPr>
              <w:t>≥140</w:t>
            </w:r>
            <w:r>
              <w:rPr>
                <w:spacing w:val="-2"/>
                <w:position w:val="9"/>
                <w:sz w:val="9"/>
              </w:rPr>
              <w:t>a</w:t>
            </w:r>
          </w:p>
        </w:tc>
        <w:tc>
          <w:tcPr>
            <w:tcW w:w="1545" w:type="dxa"/>
            <w:tcBorders>
              <w:top w:val="single" w:color="000000" w:sz="4" w:space="0"/>
              <w:left w:val="single" w:color="000000" w:sz="4" w:space="0"/>
              <w:bottom w:val="single" w:color="000000" w:sz="4" w:space="0"/>
            </w:tcBorders>
          </w:tcPr>
          <w:p w14:paraId="75EE90BE">
            <w:pPr>
              <w:pStyle w:val="239"/>
              <w:ind w:left="6"/>
              <w:rPr>
                <w:sz w:val="18"/>
              </w:rPr>
            </w:pPr>
            <w:r>
              <w:rPr>
                <w:spacing w:val="-5"/>
                <w:sz w:val="18"/>
              </w:rPr>
              <w:t>≥95</w:t>
            </w:r>
          </w:p>
        </w:tc>
      </w:tr>
      <w:tr w14:paraId="70AF9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790" w:type="dxa"/>
            <w:tcBorders>
              <w:top w:val="single" w:color="000000" w:sz="4" w:space="0"/>
              <w:bottom w:val="single" w:color="000000" w:sz="4" w:space="0"/>
              <w:right w:val="single" w:color="000000" w:sz="4" w:space="0"/>
            </w:tcBorders>
          </w:tcPr>
          <w:p w14:paraId="0CFC7052">
            <w:pPr>
              <w:pStyle w:val="239"/>
              <w:ind w:left="9" w:right="-15"/>
              <w:rPr>
                <w:position w:val="9"/>
                <w:sz w:val="9"/>
              </w:rPr>
            </w:pPr>
            <w:r>
              <w:rPr>
                <w:spacing w:val="-1"/>
                <w:sz w:val="18"/>
              </w:rPr>
              <w:t>无缺口简支梁冲击强度，</w:t>
            </w:r>
            <w:r>
              <w:rPr>
                <w:spacing w:val="-2"/>
                <w:sz w:val="18"/>
              </w:rPr>
              <w:t>kJ/m</w:t>
            </w:r>
            <w:r>
              <w:rPr>
                <w:spacing w:val="-2"/>
                <w:position w:val="9"/>
                <w:sz w:val="9"/>
              </w:rPr>
              <w:t>2</w:t>
            </w:r>
          </w:p>
        </w:tc>
        <w:tc>
          <w:tcPr>
            <w:tcW w:w="1035" w:type="dxa"/>
            <w:tcBorders>
              <w:top w:val="single" w:color="000000" w:sz="4" w:space="0"/>
              <w:left w:val="single" w:color="000000" w:sz="4" w:space="0"/>
              <w:bottom w:val="single" w:color="000000" w:sz="4" w:space="0"/>
              <w:right w:val="single" w:color="000000" w:sz="4" w:space="0"/>
            </w:tcBorders>
          </w:tcPr>
          <w:p w14:paraId="2EAAF982">
            <w:pPr>
              <w:pStyle w:val="239"/>
              <w:ind w:left="13"/>
              <w:rPr>
                <w:sz w:val="18"/>
              </w:rPr>
            </w:pPr>
            <w:r>
              <w:rPr>
                <w:spacing w:val="-10"/>
                <w:sz w:val="18"/>
              </w:rPr>
              <w:t>/</w:t>
            </w:r>
          </w:p>
        </w:tc>
        <w:tc>
          <w:tcPr>
            <w:tcW w:w="1530" w:type="dxa"/>
            <w:tcBorders>
              <w:top w:val="single" w:color="000000" w:sz="4" w:space="0"/>
              <w:left w:val="single" w:color="000000" w:sz="4" w:space="0"/>
              <w:bottom w:val="single" w:color="000000" w:sz="4" w:space="0"/>
              <w:right w:val="single" w:color="000000" w:sz="4" w:space="0"/>
            </w:tcBorders>
          </w:tcPr>
          <w:p w14:paraId="736356CF">
            <w:pPr>
              <w:pStyle w:val="239"/>
              <w:ind w:right="4"/>
              <w:rPr>
                <w:sz w:val="18"/>
              </w:rPr>
            </w:pPr>
            <w:r>
              <w:rPr>
                <w:spacing w:val="-10"/>
                <w:sz w:val="18"/>
              </w:rPr>
              <w:t>/</w:t>
            </w:r>
          </w:p>
        </w:tc>
        <w:tc>
          <w:tcPr>
            <w:tcW w:w="1800" w:type="dxa"/>
            <w:tcBorders>
              <w:top w:val="single" w:color="000000" w:sz="4" w:space="0"/>
              <w:left w:val="single" w:color="000000" w:sz="4" w:space="0"/>
              <w:bottom w:val="single" w:color="000000" w:sz="4" w:space="0"/>
              <w:right w:val="single" w:color="000000" w:sz="4" w:space="0"/>
            </w:tcBorders>
          </w:tcPr>
          <w:p w14:paraId="7A3E2D68">
            <w:pPr>
              <w:pStyle w:val="239"/>
              <w:rPr>
                <w:sz w:val="18"/>
              </w:rPr>
            </w:pPr>
            <w:r>
              <w:rPr>
                <w:spacing w:val="-5"/>
                <w:sz w:val="18"/>
              </w:rPr>
              <w:t>≥42</w:t>
            </w:r>
          </w:p>
        </w:tc>
        <w:tc>
          <w:tcPr>
            <w:tcW w:w="1320" w:type="dxa"/>
            <w:tcBorders>
              <w:top w:val="single" w:color="000000" w:sz="4" w:space="0"/>
              <w:left w:val="single" w:color="000000" w:sz="4" w:space="0"/>
              <w:bottom w:val="single" w:color="000000" w:sz="4" w:space="0"/>
              <w:right w:val="single" w:color="000000" w:sz="4" w:space="0"/>
            </w:tcBorders>
          </w:tcPr>
          <w:p w14:paraId="28401325">
            <w:pPr>
              <w:pStyle w:val="239"/>
              <w:ind w:left="9"/>
              <w:rPr>
                <w:position w:val="9"/>
                <w:sz w:val="9"/>
              </w:rPr>
            </w:pPr>
            <w:r>
              <w:rPr>
                <w:spacing w:val="-4"/>
                <w:sz w:val="18"/>
              </w:rPr>
              <w:t>≥55</w:t>
            </w:r>
            <w:r>
              <w:rPr>
                <w:spacing w:val="-4"/>
                <w:position w:val="9"/>
                <w:sz w:val="9"/>
              </w:rPr>
              <w:t>b</w:t>
            </w:r>
          </w:p>
        </w:tc>
        <w:tc>
          <w:tcPr>
            <w:tcW w:w="1545" w:type="dxa"/>
            <w:tcBorders>
              <w:top w:val="single" w:color="000000" w:sz="4" w:space="0"/>
              <w:left w:val="single" w:color="000000" w:sz="4" w:space="0"/>
              <w:bottom w:val="single" w:color="000000" w:sz="4" w:space="0"/>
            </w:tcBorders>
          </w:tcPr>
          <w:p w14:paraId="4906C834">
            <w:pPr>
              <w:pStyle w:val="239"/>
              <w:ind w:left="6"/>
              <w:rPr>
                <w:sz w:val="18"/>
              </w:rPr>
            </w:pPr>
            <w:r>
              <w:rPr>
                <w:spacing w:val="-5"/>
                <w:sz w:val="18"/>
              </w:rPr>
              <w:t>≥45</w:t>
            </w:r>
          </w:p>
        </w:tc>
      </w:tr>
      <w:tr w14:paraId="2B452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2790" w:type="dxa"/>
            <w:tcBorders>
              <w:top w:val="single" w:color="000000" w:sz="4" w:space="0"/>
              <w:bottom w:val="single" w:color="000000" w:sz="4" w:space="0"/>
              <w:right w:val="single" w:color="000000" w:sz="4" w:space="0"/>
            </w:tcBorders>
          </w:tcPr>
          <w:p w14:paraId="50FAC5C0">
            <w:pPr>
              <w:pStyle w:val="239"/>
              <w:spacing w:before="37"/>
              <w:ind w:left="20"/>
              <w:rPr>
                <w:position w:val="1"/>
                <w:sz w:val="18"/>
              </w:rPr>
            </w:pPr>
            <w:r>
              <w:rPr>
                <w:position w:val="1"/>
                <w:sz w:val="18"/>
              </w:rPr>
              <w:t>负荷变形温度</w:t>
            </w:r>
            <w:r>
              <w:rPr>
                <w:spacing w:val="-2"/>
                <w:position w:val="1"/>
                <w:sz w:val="18"/>
              </w:rPr>
              <w:t>（T</w:t>
            </w:r>
            <w:r>
              <w:rPr>
                <w:spacing w:val="-2"/>
                <w:sz w:val="9"/>
              </w:rPr>
              <w:t>ff</w:t>
            </w:r>
            <w:r>
              <w:rPr>
                <w:spacing w:val="-2"/>
                <w:position w:val="1"/>
                <w:sz w:val="18"/>
              </w:rPr>
              <w:t>1.8），℃</w:t>
            </w:r>
          </w:p>
        </w:tc>
        <w:tc>
          <w:tcPr>
            <w:tcW w:w="1035" w:type="dxa"/>
            <w:tcBorders>
              <w:top w:val="single" w:color="000000" w:sz="4" w:space="0"/>
              <w:left w:val="single" w:color="000000" w:sz="4" w:space="0"/>
              <w:bottom w:val="single" w:color="000000" w:sz="4" w:space="0"/>
              <w:right w:val="single" w:color="000000" w:sz="4" w:space="0"/>
            </w:tcBorders>
          </w:tcPr>
          <w:p w14:paraId="5D448D55">
            <w:pPr>
              <w:pStyle w:val="239"/>
              <w:ind w:left="13"/>
              <w:rPr>
                <w:sz w:val="18"/>
              </w:rPr>
            </w:pPr>
            <w:r>
              <w:rPr>
                <w:spacing w:val="-10"/>
                <w:sz w:val="18"/>
              </w:rPr>
              <w:t>/</w:t>
            </w:r>
          </w:p>
        </w:tc>
        <w:tc>
          <w:tcPr>
            <w:tcW w:w="1530" w:type="dxa"/>
            <w:tcBorders>
              <w:top w:val="single" w:color="000000" w:sz="4" w:space="0"/>
              <w:left w:val="single" w:color="000000" w:sz="4" w:space="0"/>
              <w:bottom w:val="single" w:color="000000" w:sz="4" w:space="0"/>
              <w:right w:val="single" w:color="000000" w:sz="4" w:space="0"/>
            </w:tcBorders>
          </w:tcPr>
          <w:p w14:paraId="633A3B46">
            <w:pPr>
              <w:pStyle w:val="239"/>
              <w:ind w:right="4"/>
              <w:rPr>
                <w:sz w:val="18"/>
              </w:rPr>
            </w:pPr>
            <w:r>
              <w:rPr>
                <w:spacing w:val="-10"/>
                <w:sz w:val="18"/>
              </w:rPr>
              <w:t>/</w:t>
            </w:r>
          </w:p>
        </w:tc>
        <w:tc>
          <w:tcPr>
            <w:tcW w:w="1800" w:type="dxa"/>
            <w:tcBorders>
              <w:top w:val="single" w:color="000000" w:sz="4" w:space="0"/>
              <w:left w:val="single" w:color="000000" w:sz="4" w:space="0"/>
              <w:bottom w:val="single" w:color="000000" w:sz="4" w:space="0"/>
              <w:right w:val="single" w:color="000000" w:sz="4" w:space="0"/>
            </w:tcBorders>
          </w:tcPr>
          <w:p w14:paraId="20BF6B70">
            <w:pPr>
              <w:pStyle w:val="239"/>
              <w:rPr>
                <w:sz w:val="18"/>
              </w:rPr>
            </w:pPr>
            <w:r>
              <w:rPr>
                <w:spacing w:val="-4"/>
                <w:sz w:val="18"/>
              </w:rPr>
              <w:t>≥100</w:t>
            </w:r>
          </w:p>
        </w:tc>
        <w:tc>
          <w:tcPr>
            <w:tcW w:w="1320" w:type="dxa"/>
            <w:tcBorders>
              <w:top w:val="single" w:color="000000" w:sz="4" w:space="0"/>
              <w:left w:val="single" w:color="000000" w:sz="4" w:space="0"/>
              <w:bottom w:val="single" w:color="000000" w:sz="4" w:space="0"/>
              <w:right w:val="single" w:color="000000" w:sz="4" w:space="0"/>
            </w:tcBorders>
          </w:tcPr>
          <w:p w14:paraId="4E6863CF">
            <w:pPr>
              <w:pStyle w:val="239"/>
              <w:ind w:left="11"/>
              <w:rPr>
                <w:sz w:val="18"/>
              </w:rPr>
            </w:pPr>
            <w:r>
              <w:rPr>
                <w:spacing w:val="-4"/>
                <w:sz w:val="18"/>
              </w:rPr>
              <w:t>≥180</w:t>
            </w:r>
          </w:p>
        </w:tc>
        <w:tc>
          <w:tcPr>
            <w:tcW w:w="1545" w:type="dxa"/>
            <w:tcBorders>
              <w:top w:val="single" w:color="000000" w:sz="4" w:space="0"/>
              <w:left w:val="single" w:color="000000" w:sz="4" w:space="0"/>
              <w:bottom w:val="single" w:color="000000" w:sz="4" w:space="0"/>
            </w:tcBorders>
          </w:tcPr>
          <w:p w14:paraId="021E4B82">
            <w:pPr>
              <w:pStyle w:val="239"/>
              <w:ind w:left="6"/>
              <w:rPr>
                <w:sz w:val="18"/>
              </w:rPr>
            </w:pPr>
            <w:r>
              <w:rPr>
                <w:spacing w:val="-4"/>
                <w:sz w:val="18"/>
              </w:rPr>
              <w:t>≥130</w:t>
            </w:r>
          </w:p>
        </w:tc>
      </w:tr>
      <w:tr w14:paraId="0B147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trPr>
        <w:tc>
          <w:tcPr>
            <w:tcW w:w="2790" w:type="dxa"/>
            <w:tcBorders>
              <w:top w:val="single" w:color="000000" w:sz="4" w:space="0"/>
              <w:bottom w:val="single" w:color="000000" w:sz="4" w:space="0"/>
              <w:right w:val="single" w:color="000000" w:sz="4" w:space="0"/>
            </w:tcBorders>
          </w:tcPr>
          <w:p w14:paraId="646A81C9">
            <w:pPr>
              <w:pStyle w:val="239"/>
              <w:spacing w:before="35"/>
              <w:ind w:left="16"/>
              <w:rPr>
                <w:sz w:val="18"/>
              </w:rPr>
            </w:pPr>
            <w:r>
              <w:rPr>
                <w:sz w:val="18"/>
              </w:rPr>
              <w:t>电气强度（常态油中</w:t>
            </w:r>
            <w:r>
              <w:rPr>
                <w:spacing w:val="-10"/>
                <w:sz w:val="18"/>
              </w:rPr>
              <w:t>），kV/mm</w:t>
            </w:r>
          </w:p>
        </w:tc>
        <w:tc>
          <w:tcPr>
            <w:tcW w:w="1035" w:type="dxa"/>
            <w:tcBorders>
              <w:left w:val="single" w:color="000000" w:sz="4" w:space="0"/>
              <w:bottom w:val="single" w:color="000000" w:sz="4" w:space="0"/>
              <w:right w:val="single" w:color="000000" w:sz="4" w:space="0"/>
            </w:tcBorders>
          </w:tcPr>
          <w:p w14:paraId="0BC7E8B4">
            <w:pPr>
              <w:pStyle w:val="239"/>
              <w:spacing w:before="35"/>
              <w:ind w:left="13"/>
              <w:rPr>
                <w:sz w:val="18"/>
              </w:rPr>
            </w:pPr>
            <w:r>
              <w:rPr>
                <w:spacing w:val="-10"/>
                <w:sz w:val="18"/>
              </w:rPr>
              <w:t>/</w:t>
            </w:r>
          </w:p>
        </w:tc>
        <w:tc>
          <w:tcPr>
            <w:tcW w:w="1530" w:type="dxa"/>
            <w:tcBorders>
              <w:left w:val="single" w:color="000000" w:sz="4" w:space="0"/>
              <w:bottom w:val="single" w:color="000000" w:sz="4" w:space="0"/>
              <w:right w:val="single" w:color="000000" w:sz="4" w:space="0"/>
            </w:tcBorders>
          </w:tcPr>
          <w:p w14:paraId="498556F8">
            <w:pPr>
              <w:pStyle w:val="239"/>
              <w:spacing w:before="35"/>
              <w:ind w:right="4"/>
              <w:rPr>
                <w:sz w:val="18"/>
              </w:rPr>
            </w:pPr>
            <w:r>
              <w:rPr>
                <w:spacing w:val="-10"/>
                <w:sz w:val="18"/>
              </w:rPr>
              <w:t>/</w:t>
            </w:r>
          </w:p>
        </w:tc>
        <w:tc>
          <w:tcPr>
            <w:tcW w:w="1800" w:type="dxa"/>
            <w:tcBorders>
              <w:left w:val="single" w:color="000000" w:sz="4" w:space="0"/>
              <w:bottom w:val="single" w:color="000000" w:sz="4" w:space="0"/>
              <w:right w:val="single" w:color="000000" w:sz="4" w:space="0"/>
            </w:tcBorders>
          </w:tcPr>
          <w:p w14:paraId="3BFCC675">
            <w:pPr>
              <w:pStyle w:val="239"/>
              <w:spacing w:before="35"/>
              <w:rPr>
                <w:sz w:val="18"/>
              </w:rPr>
            </w:pPr>
            <w:r>
              <w:rPr>
                <w:spacing w:val="-5"/>
                <w:sz w:val="18"/>
              </w:rPr>
              <w:t>≥15</w:t>
            </w:r>
          </w:p>
        </w:tc>
        <w:tc>
          <w:tcPr>
            <w:tcW w:w="1320" w:type="dxa"/>
            <w:tcBorders>
              <w:left w:val="single" w:color="000000" w:sz="4" w:space="0"/>
              <w:bottom w:val="single" w:color="000000" w:sz="4" w:space="0"/>
              <w:right w:val="single" w:color="000000" w:sz="4" w:space="0"/>
            </w:tcBorders>
          </w:tcPr>
          <w:p w14:paraId="3AB99BCC">
            <w:pPr>
              <w:pStyle w:val="239"/>
              <w:spacing w:before="35"/>
              <w:ind w:left="11"/>
              <w:rPr>
                <w:sz w:val="18"/>
              </w:rPr>
            </w:pPr>
            <w:r>
              <w:rPr>
                <w:spacing w:val="-5"/>
                <w:sz w:val="18"/>
              </w:rPr>
              <w:t>≥20</w:t>
            </w:r>
          </w:p>
        </w:tc>
        <w:tc>
          <w:tcPr>
            <w:tcW w:w="1545" w:type="dxa"/>
            <w:tcBorders>
              <w:left w:val="single" w:color="000000" w:sz="4" w:space="0"/>
              <w:bottom w:val="single" w:color="000000" w:sz="4" w:space="0"/>
            </w:tcBorders>
          </w:tcPr>
          <w:p w14:paraId="00B7BB25">
            <w:pPr>
              <w:pStyle w:val="239"/>
              <w:spacing w:before="35"/>
              <w:ind w:left="6"/>
              <w:rPr>
                <w:sz w:val="18"/>
              </w:rPr>
            </w:pPr>
            <w:r>
              <w:rPr>
                <w:spacing w:val="-5"/>
                <w:sz w:val="18"/>
              </w:rPr>
              <w:t>≥16</w:t>
            </w:r>
          </w:p>
        </w:tc>
      </w:tr>
      <w:tr w14:paraId="3BA1E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2790" w:type="dxa"/>
            <w:tcBorders>
              <w:top w:val="single" w:color="000000" w:sz="4" w:space="0"/>
              <w:bottom w:val="single" w:color="000000" w:sz="4" w:space="0"/>
              <w:right w:val="single" w:color="000000" w:sz="4" w:space="0"/>
            </w:tcBorders>
          </w:tcPr>
          <w:p w14:paraId="2763715D">
            <w:pPr>
              <w:pStyle w:val="239"/>
              <w:spacing w:before="28"/>
              <w:ind w:left="17"/>
              <w:rPr>
                <w:sz w:val="18"/>
              </w:rPr>
            </w:pPr>
            <w:r>
              <w:rPr>
                <w:spacing w:val="-3"/>
                <w:sz w:val="18"/>
              </w:rPr>
              <w:t>阻燃等级</w:t>
            </w:r>
          </w:p>
        </w:tc>
        <w:tc>
          <w:tcPr>
            <w:tcW w:w="1035" w:type="dxa"/>
            <w:tcBorders>
              <w:top w:val="single" w:color="000000" w:sz="4" w:space="0"/>
              <w:left w:val="single" w:color="000000" w:sz="4" w:space="0"/>
              <w:bottom w:val="single" w:color="000000" w:sz="4" w:space="0"/>
              <w:right w:val="single" w:color="000000" w:sz="4" w:space="0"/>
            </w:tcBorders>
          </w:tcPr>
          <w:p w14:paraId="471F2B20">
            <w:pPr>
              <w:pStyle w:val="239"/>
              <w:spacing w:before="28"/>
              <w:ind w:left="13"/>
              <w:rPr>
                <w:sz w:val="18"/>
              </w:rPr>
            </w:pPr>
            <w:r>
              <w:rPr>
                <w:spacing w:val="-10"/>
                <w:sz w:val="18"/>
              </w:rPr>
              <w:t>/</w:t>
            </w:r>
          </w:p>
        </w:tc>
        <w:tc>
          <w:tcPr>
            <w:tcW w:w="1530" w:type="dxa"/>
            <w:tcBorders>
              <w:top w:val="single" w:color="000000" w:sz="4" w:space="0"/>
              <w:left w:val="single" w:color="000000" w:sz="4" w:space="0"/>
              <w:bottom w:val="single" w:color="000000" w:sz="4" w:space="0"/>
              <w:right w:val="single" w:color="000000" w:sz="4" w:space="0"/>
            </w:tcBorders>
          </w:tcPr>
          <w:p w14:paraId="22CB431A">
            <w:pPr>
              <w:pStyle w:val="239"/>
              <w:spacing w:before="28"/>
              <w:ind w:right="4"/>
              <w:rPr>
                <w:sz w:val="18"/>
              </w:rPr>
            </w:pPr>
            <w:r>
              <w:rPr>
                <w:spacing w:val="-10"/>
                <w:sz w:val="18"/>
              </w:rPr>
              <w:t>/</w:t>
            </w:r>
          </w:p>
        </w:tc>
        <w:tc>
          <w:tcPr>
            <w:tcW w:w="1800" w:type="dxa"/>
            <w:tcBorders>
              <w:top w:val="single" w:color="000000" w:sz="4" w:space="0"/>
              <w:left w:val="single" w:color="000000" w:sz="4" w:space="0"/>
              <w:bottom w:val="single" w:color="000000" w:sz="4" w:space="0"/>
              <w:right w:val="single" w:color="000000" w:sz="4" w:space="0"/>
            </w:tcBorders>
          </w:tcPr>
          <w:p w14:paraId="52306463">
            <w:pPr>
              <w:pStyle w:val="239"/>
              <w:spacing w:before="28"/>
              <w:ind w:right="3"/>
              <w:rPr>
                <w:sz w:val="18"/>
              </w:rPr>
            </w:pPr>
            <w:r>
              <w:rPr>
                <w:spacing w:val="-5"/>
                <w:sz w:val="18"/>
              </w:rPr>
              <w:t>V0</w:t>
            </w:r>
          </w:p>
        </w:tc>
        <w:tc>
          <w:tcPr>
            <w:tcW w:w="1320" w:type="dxa"/>
            <w:tcBorders>
              <w:top w:val="single" w:color="000000" w:sz="4" w:space="0"/>
              <w:left w:val="single" w:color="000000" w:sz="4" w:space="0"/>
              <w:bottom w:val="single" w:color="000000" w:sz="4" w:space="0"/>
              <w:right w:val="single" w:color="000000" w:sz="4" w:space="0"/>
            </w:tcBorders>
          </w:tcPr>
          <w:p w14:paraId="5730E4ED">
            <w:pPr>
              <w:pStyle w:val="239"/>
              <w:spacing w:before="28"/>
              <w:rPr>
                <w:sz w:val="18"/>
              </w:rPr>
            </w:pPr>
            <w:r>
              <w:rPr>
                <w:spacing w:val="-5"/>
                <w:sz w:val="18"/>
              </w:rPr>
              <w:t>V0</w:t>
            </w:r>
          </w:p>
        </w:tc>
        <w:tc>
          <w:tcPr>
            <w:tcW w:w="1545" w:type="dxa"/>
            <w:tcBorders>
              <w:top w:val="single" w:color="000000" w:sz="4" w:space="0"/>
              <w:left w:val="single" w:color="000000" w:sz="4" w:space="0"/>
              <w:bottom w:val="single" w:color="000000" w:sz="4" w:space="0"/>
            </w:tcBorders>
          </w:tcPr>
          <w:p w14:paraId="16DC3821">
            <w:pPr>
              <w:pStyle w:val="239"/>
              <w:spacing w:before="28"/>
              <w:ind w:left="9"/>
              <w:rPr>
                <w:sz w:val="18"/>
              </w:rPr>
            </w:pPr>
            <w:r>
              <w:rPr>
                <w:spacing w:val="-5"/>
                <w:sz w:val="18"/>
              </w:rPr>
              <w:t>V0</w:t>
            </w:r>
          </w:p>
        </w:tc>
      </w:tr>
      <w:tr w14:paraId="6BB62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2790" w:type="dxa"/>
            <w:tcBorders>
              <w:top w:val="single" w:color="000000" w:sz="4" w:space="0"/>
              <w:bottom w:val="single" w:color="000000" w:sz="4" w:space="0"/>
              <w:right w:val="single" w:color="000000" w:sz="4" w:space="0"/>
            </w:tcBorders>
          </w:tcPr>
          <w:p w14:paraId="1DC959FE">
            <w:pPr>
              <w:pStyle w:val="239"/>
              <w:spacing w:before="28"/>
              <w:ind w:left="20"/>
              <w:rPr>
                <w:sz w:val="18"/>
              </w:rPr>
            </w:pPr>
            <w:r>
              <w:rPr>
                <w:spacing w:val="-1"/>
                <w:sz w:val="18"/>
              </w:rPr>
              <w:t>屈服强度，</w:t>
            </w:r>
            <w:r>
              <w:rPr>
                <w:spacing w:val="-4"/>
                <w:sz w:val="18"/>
              </w:rPr>
              <w:t>MPa</w:t>
            </w:r>
          </w:p>
        </w:tc>
        <w:tc>
          <w:tcPr>
            <w:tcW w:w="1035" w:type="dxa"/>
            <w:tcBorders>
              <w:top w:val="single" w:color="000000" w:sz="4" w:space="0"/>
              <w:left w:val="single" w:color="000000" w:sz="4" w:space="0"/>
              <w:bottom w:val="single" w:color="000000" w:sz="4" w:space="0"/>
              <w:right w:val="single" w:color="000000" w:sz="4" w:space="0"/>
            </w:tcBorders>
          </w:tcPr>
          <w:p w14:paraId="52307E19">
            <w:pPr>
              <w:pStyle w:val="239"/>
              <w:spacing w:before="28"/>
              <w:ind w:left="16"/>
              <w:rPr>
                <w:sz w:val="18"/>
              </w:rPr>
            </w:pPr>
            <w:r>
              <w:rPr>
                <w:spacing w:val="-2"/>
                <w:sz w:val="18"/>
              </w:rPr>
              <w:t>140～300</w:t>
            </w:r>
          </w:p>
        </w:tc>
        <w:tc>
          <w:tcPr>
            <w:tcW w:w="1530" w:type="dxa"/>
            <w:tcBorders>
              <w:top w:val="single" w:color="000000" w:sz="4" w:space="0"/>
              <w:left w:val="single" w:color="000000" w:sz="4" w:space="0"/>
              <w:bottom w:val="single" w:color="000000" w:sz="4" w:space="0"/>
              <w:right w:val="single" w:color="000000" w:sz="4" w:space="0"/>
            </w:tcBorders>
          </w:tcPr>
          <w:p w14:paraId="6D8E04C1">
            <w:pPr>
              <w:pStyle w:val="239"/>
              <w:spacing w:before="28"/>
              <w:rPr>
                <w:sz w:val="18"/>
              </w:rPr>
            </w:pPr>
            <w:r>
              <w:rPr>
                <w:spacing w:val="-4"/>
                <w:sz w:val="18"/>
              </w:rPr>
              <w:t>≥205</w:t>
            </w:r>
          </w:p>
        </w:tc>
        <w:tc>
          <w:tcPr>
            <w:tcW w:w="1800" w:type="dxa"/>
            <w:tcBorders>
              <w:top w:val="single" w:color="000000" w:sz="4" w:space="0"/>
              <w:left w:val="single" w:color="000000" w:sz="4" w:space="0"/>
              <w:bottom w:val="single" w:color="000000" w:sz="4" w:space="0"/>
              <w:right w:val="single" w:color="000000" w:sz="4" w:space="0"/>
            </w:tcBorders>
          </w:tcPr>
          <w:p w14:paraId="1F0AC2F1">
            <w:pPr>
              <w:pStyle w:val="239"/>
              <w:spacing w:before="28"/>
              <w:ind w:right="4"/>
              <w:rPr>
                <w:sz w:val="18"/>
              </w:rPr>
            </w:pPr>
            <w:r>
              <w:rPr>
                <w:spacing w:val="-10"/>
                <w:sz w:val="18"/>
              </w:rPr>
              <w:t>/</w:t>
            </w:r>
          </w:p>
        </w:tc>
        <w:tc>
          <w:tcPr>
            <w:tcW w:w="1320" w:type="dxa"/>
            <w:tcBorders>
              <w:top w:val="single" w:color="000000" w:sz="4" w:space="0"/>
              <w:left w:val="single" w:color="000000" w:sz="4" w:space="0"/>
              <w:bottom w:val="single" w:color="000000" w:sz="4" w:space="0"/>
              <w:right w:val="single" w:color="000000" w:sz="4" w:space="0"/>
            </w:tcBorders>
          </w:tcPr>
          <w:p w14:paraId="28827432">
            <w:pPr>
              <w:pStyle w:val="239"/>
              <w:spacing w:before="28"/>
              <w:ind w:left="8"/>
              <w:rPr>
                <w:sz w:val="18"/>
              </w:rPr>
            </w:pPr>
            <w:r>
              <w:rPr>
                <w:spacing w:val="-10"/>
                <w:sz w:val="18"/>
              </w:rPr>
              <w:t>/</w:t>
            </w:r>
          </w:p>
        </w:tc>
        <w:tc>
          <w:tcPr>
            <w:tcW w:w="1545" w:type="dxa"/>
            <w:tcBorders>
              <w:top w:val="single" w:color="000000" w:sz="4" w:space="0"/>
              <w:left w:val="single" w:color="000000" w:sz="4" w:space="0"/>
              <w:bottom w:val="single" w:color="000000" w:sz="4" w:space="0"/>
            </w:tcBorders>
          </w:tcPr>
          <w:p w14:paraId="6569FDF6">
            <w:pPr>
              <w:pStyle w:val="239"/>
              <w:spacing w:before="28"/>
              <w:ind w:left="3"/>
              <w:rPr>
                <w:sz w:val="18"/>
              </w:rPr>
            </w:pPr>
            <w:r>
              <w:rPr>
                <w:spacing w:val="-10"/>
                <w:sz w:val="18"/>
              </w:rPr>
              <w:t>/</w:t>
            </w:r>
          </w:p>
        </w:tc>
      </w:tr>
      <w:tr w14:paraId="6E821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2790" w:type="dxa"/>
            <w:tcBorders>
              <w:top w:val="single" w:color="000000" w:sz="4" w:space="0"/>
              <w:bottom w:val="single" w:color="000000" w:sz="4" w:space="0"/>
              <w:right w:val="single" w:color="000000" w:sz="4" w:space="0"/>
            </w:tcBorders>
          </w:tcPr>
          <w:p w14:paraId="458EC8F5">
            <w:pPr>
              <w:pStyle w:val="239"/>
              <w:spacing w:before="28"/>
              <w:ind w:left="16"/>
              <w:rPr>
                <w:sz w:val="18"/>
              </w:rPr>
            </w:pPr>
            <w:r>
              <w:rPr>
                <w:spacing w:val="-2"/>
                <w:sz w:val="18"/>
              </w:rPr>
              <w:t>断裂伸长率，%</w:t>
            </w:r>
          </w:p>
        </w:tc>
        <w:tc>
          <w:tcPr>
            <w:tcW w:w="1035" w:type="dxa"/>
            <w:tcBorders>
              <w:top w:val="single" w:color="000000" w:sz="4" w:space="0"/>
              <w:left w:val="single" w:color="000000" w:sz="4" w:space="0"/>
              <w:bottom w:val="single" w:color="000000" w:sz="4" w:space="0"/>
              <w:right w:val="single" w:color="000000" w:sz="4" w:space="0"/>
            </w:tcBorders>
          </w:tcPr>
          <w:p w14:paraId="1D0711C4">
            <w:pPr>
              <w:pStyle w:val="239"/>
              <w:spacing w:before="28"/>
              <w:ind w:left="17"/>
              <w:rPr>
                <w:sz w:val="18"/>
              </w:rPr>
            </w:pPr>
            <w:r>
              <w:rPr>
                <w:spacing w:val="-5"/>
                <w:sz w:val="18"/>
              </w:rPr>
              <w:t>≥26</w:t>
            </w:r>
          </w:p>
        </w:tc>
        <w:tc>
          <w:tcPr>
            <w:tcW w:w="1530" w:type="dxa"/>
            <w:tcBorders>
              <w:top w:val="single" w:color="000000" w:sz="4" w:space="0"/>
              <w:left w:val="single" w:color="000000" w:sz="4" w:space="0"/>
              <w:bottom w:val="single" w:color="000000" w:sz="4" w:space="0"/>
              <w:right w:val="single" w:color="000000" w:sz="4" w:space="0"/>
            </w:tcBorders>
          </w:tcPr>
          <w:p w14:paraId="60551EE5">
            <w:pPr>
              <w:pStyle w:val="239"/>
              <w:spacing w:before="28"/>
              <w:rPr>
                <w:sz w:val="18"/>
              </w:rPr>
            </w:pPr>
            <w:r>
              <w:rPr>
                <w:spacing w:val="-5"/>
                <w:sz w:val="18"/>
              </w:rPr>
              <w:t>≥40</w:t>
            </w:r>
          </w:p>
        </w:tc>
        <w:tc>
          <w:tcPr>
            <w:tcW w:w="1800" w:type="dxa"/>
            <w:tcBorders>
              <w:top w:val="single" w:color="000000" w:sz="4" w:space="0"/>
              <w:left w:val="single" w:color="000000" w:sz="4" w:space="0"/>
              <w:bottom w:val="single" w:color="000000" w:sz="4" w:space="0"/>
              <w:right w:val="single" w:color="000000" w:sz="4" w:space="0"/>
            </w:tcBorders>
          </w:tcPr>
          <w:p w14:paraId="6F34D070">
            <w:pPr>
              <w:pStyle w:val="239"/>
              <w:spacing w:before="28"/>
              <w:ind w:right="4"/>
              <w:rPr>
                <w:sz w:val="18"/>
              </w:rPr>
            </w:pPr>
            <w:r>
              <w:rPr>
                <w:spacing w:val="-10"/>
                <w:sz w:val="18"/>
              </w:rPr>
              <w:t>/</w:t>
            </w:r>
          </w:p>
        </w:tc>
        <w:tc>
          <w:tcPr>
            <w:tcW w:w="1320" w:type="dxa"/>
            <w:tcBorders>
              <w:top w:val="single" w:color="000000" w:sz="4" w:space="0"/>
              <w:left w:val="single" w:color="000000" w:sz="4" w:space="0"/>
              <w:bottom w:val="single" w:color="000000" w:sz="4" w:space="0"/>
              <w:right w:val="single" w:color="000000" w:sz="4" w:space="0"/>
            </w:tcBorders>
          </w:tcPr>
          <w:p w14:paraId="5D614CEC">
            <w:pPr>
              <w:pStyle w:val="239"/>
              <w:spacing w:before="28"/>
              <w:ind w:left="8"/>
              <w:rPr>
                <w:sz w:val="18"/>
              </w:rPr>
            </w:pPr>
            <w:r>
              <w:rPr>
                <w:spacing w:val="-10"/>
                <w:sz w:val="18"/>
              </w:rPr>
              <w:t>/</w:t>
            </w:r>
          </w:p>
        </w:tc>
        <w:tc>
          <w:tcPr>
            <w:tcW w:w="1545" w:type="dxa"/>
            <w:tcBorders>
              <w:top w:val="single" w:color="000000" w:sz="4" w:space="0"/>
              <w:left w:val="single" w:color="000000" w:sz="4" w:space="0"/>
              <w:bottom w:val="single" w:color="000000" w:sz="4" w:space="0"/>
            </w:tcBorders>
          </w:tcPr>
          <w:p w14:paraId="136FA4CE">
            <w:pPr>
              <w:pStyle w:val="239"/>
              <w:spacing w:before="28"/>
              <w:ind w:left="3"/>
              <w:rPr>
                <w:sz w:val="18"/>
              </w:rPr>
            </w:pPr>
            <w:r>
              <w:rPr>
                <w:spacing w:val="-10"/>
                <w:sz w:val="18"/>
              </w:rPr>
              <w:t>/</w:t>
            </w:r>
          </w:p>
        </w:tc>
      </w:tr>
      <w:tr w14:paraId="5D278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2790" w:type="dxa"/>
            <w:vMerge w:val="restart"/>
            <w:tcBorders>
              <w:top w:val="single" w:color="000000" w:sz="4" w:space="0"/>
              <w:right w:val="single" w:color="000000" w:sz="4" w:space="0"/>
            </w:tcBorders>
          </w:tcPr>
          <w:p w14:paraId="0A4763D7">
            <w:pPr>
              <w:pStyle w:val="239"/>
              <w:spacing w:before="196"/>
              <w:ind w:left="570"/>
              <w:jc w:val="left"/>
              <w:rPr>
                <w:sz w:val="18"/>
              </w:rPr>
            </w:pPr>
            <w:r>
              <w:rPr>
                <w:spacing w:val="-1"/>
                <w:sz w:val="18"/>
              </w:rPr>
              <w:t>材料板厚度，</w:t>
            </w:r>
            <w:r>
              <w:rPr>
                <w:spacing w:val="-5"/>
                <w:sz w:val="18"/>
              </w:rPr>
              <w:t>mm</w:t>
            </w:r>
          </w:p>
        </w:tc>
        <w:tc>
          <w:tcPr>
            <w:tcW w:w="1035" w:type="dxa"/>
            <w:vMerge w:val="restart"/>
            <w:tcBorders>
              <w:top w:val="single" w:color="000000" w:sz="4" w:space="0"/>
              <w:left w:val="single" w:color="000000" w:sz="4" w:space="0"/>
              <w:right w:val="single" w:color="000000" w:sz="4" w:space="0"/>
            </w:tcBorders>
          </w:tcPr>
          <w:p w14:paraId="23CFF3FC">
            <w:pPr>
              <w:pStyle w:val="239"/>
              <w:spacing w:before="196"/>
              <w:ind w:left="344"/>
              <w:jc w:val="left"/>
              <w:rPr>
                <w:sz w:val="18"/>
              </w:rPr>
            </w:pPr>
            <w:r>
              <w:rPr>
                <w:spacing w:val="-4"/>
                <w:sz w:val="18"/>
              </w:rPr>
              <w:t>≥1.5</w:t>
            </w:r>
          </w:p>
        </w:tc>
        <w:tc>
          <w:tcPr>
            <w:tcW w:w="1530" w:type="dxa"/>
            <w:vMerge w:val="restart"/>
            <w:tcBorders>
              <w:top w:val="single" w:color="000000" w:sz="4" w:space="0"/>
              <w:left w:val="single" w:color="000000" w:sz="4" w:space="0"/>
              <w:right w:val="single" w:color="000000" w:sz="4" w:space="0"/>
            </w:tcBorders>
          </w:tcPr>
          <w:p w14:paraId="3CEFD69C">
            <w:pPr>
              <w:pStyle w:val="239"/>
              <w:spacing w:before="196"/>
              <w:rPr>
                <w:sz w:val="18"/>
              </w:rPr>
            </w:pPr>
            <w:r>
              <w:rPr>
                <w:spacing w:val="-4"/>
                <w:sz w:val="18"/>
              </w:rPr>
              <w:t>≥1.5</w:t>
            </w:r>
          </w:p>
        </w:tc>
        <w:tc>
          <w:tcPr>
            <w:tcW w:w="3120" w:type="dxa"/>
            <w:gridSpan w:val="2"/>
            <w:tcBorders>
              <w:top w:val="single" w:color="000000" w:sz="4" w:space="0"/>
              <w:left w:val="single" w:color="000000" w:sz="4" w:space="0"/>
              <w:bottom w:val="single" w:color="000000" w:sz="4" w:space="0"/>
              <w:right w:val="single" w:color="000000" w:sz="4" w:space="0"/>
            </w:tcBorders>
          </w:tcPr>
          <w:p w14:paraId="7E215369">
            <w:pPr>
              <w:pStyle w:val="239"/>
              <w:spacing w:before="28"/>
              <w:rPr>
                <w:sz w:val="18"/>
              </w:rPr>
            </w:pPr>
            <w:r>
              <w:rPr>
                <w:sz w:val="18"/>
              </w:rPr>
              <w:t>≥3（单表位</w:t>
            </w:r>
            <w:r>
              <w:rPr>
                <w:spacing w:val="-10"/>
                <w:sz w:val="18"/>
              </w:rPr>
              <w:t>）</w:t>
            </w:r>
          </w:p>
        </w:tc>
        <w:tc>
          <w:tcPr>
            <w:tcW w:w="1545" w:type="dxa"/>
            <w:vMerge w:val="restart"/>
            <w:tcBorders>
              <w:top w:val="single" w:color="000000" w:sz="4" w:space="0"/>
              <w:left w:val="single" w:color="000000" w:sz="4" w:space="0"/>
            </w:tcBorders>
          </w:tcPr>
          <w:p w14:paraId="76654CAF">
            <w:pPr>
              <w:pStyle w:val="239"/>
              <w:spacing w:before="196"/>
              <w:rPr>
                <w:sz w:val="18"/>
              </w:rPr>
            </w:pPr>
            <w:r>
              <w:rPr>
                <w:spacing w:val="-4"/>
                <w:sz w:val="18"/>
              </w:rPr>
              <w:t>≥2.5</w:t>
            </w:r>
          </w:p>
        </w:tc>
      </w:tr>
      <w:tr w14:paraId="52BE9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 w:hRule="atLeast"/>
        </w:trPr>
        <w:tc>
          <w:tcPr>
            <w:tcW w:w="2790" w:type="dxa"/>
            <w:vMerge w:val="continue"/>
            <w:tcBorders>
              <w:top w:val="nil"/>
              <w:right w:val="single" w:color="000000" w:sz="4" w:space="0"/>
            </w:tcBorders>
          </w:tcPr>
          <w:p w14:paraId="6D5900D1">
            <w:pPr>
              <w:rPr>
                <w:sz w:val="2"/>
                <w:szCs w:val="2"/>
              </w:rPr>
            </w:pPr>
          </w:p>
        </w:tc>
        <w:tc>
          <w:tcPr>
            <w:tcW w:w="1035" w:type="dxa"/>
            <w:vMerge w:val="continue"/>
            <w:tcBorders>
              <w:top w:val="nil"/>
              <w:left w:val="single" w:color="000000" w:sz="4" w:space="0"/>
              <w:right w:val="single" w:color="000000" w:sz="4" w:space="0"/>
            </w:tcBorders>
          </w:tcPr>
          <w:p w14:paraId="7F884406">
            <w:pPr>
              <w:rPr>
                <w:sz w:val="2"/>
                <w:szCs w:val="2"/>
              </w:rPr>
            </w:pPr>
          </w:p>
        </w:tc>
        <w:tc>
          <w:tcPr>
            <w:tcW w:w="1530" w:type="dxa"/>
            <w:vMerge w:val="continue"/>
            <w:tcBorders>
              <w:top w:val="nil"/>
              <w:left w:val="single" w:color="000000" w:sz="4" w:space="0"/>
              <w:right w:val="single" w:color="000000" w:sz="4" w:space="0"/>
            </w:tcBorders>
          </w:tcPr>
          <w:p w14:paraId="1654328A">
            <w:pPr>
              <w:rPr>
                <w:sz w:val="2"/>
                <w:szCs w:val="2"/>
              </w:rPr>
            </w:pPr>
          </w:p>
        </w:tc>
        <w:tc>
          <w:tcPr>
            <w:tcW w:w="3120" w:type="dxa"/>
            <w:gridSpan w:val="2"/>
            <w:tcBorders>
              <w:top w:val="single" w:color="000000" w:sz="4" w:space="0"/>
              <w:left w:val="single" w:color="000000" w:sz="4" w:space="0"/>
              <w:right w:val="single" w:color="000000" w:sz="4" w:space="0"/>
            </w:tcBorders>
          </w:tcPr>
          <w:p w14:paraId="10DBFD27">
            <w:pPr>
              <w:pStyle w:val="239"/>
              <w:spacing w:before="35"/>
              <w:ind w:left="1043"/>
              <w:jc w:val="left"/>
              <w:rPr>
                <w:sz w:val="18"/>
              </w:rPr>
            </w:pPr>
            <w:r>
              <w:rPr>
                <w:sz w:val="18"/>
              </w:rPr>
              <w:t>≥2（多表位</w:t>
            </w:r>
            <w:r>
              <w:rPr>
                <w:spacing w:val="-10"/>
                <w:sz w:val="18"/>
              </w:rPr>
              <w:t>）</w:t>
            </w:r>
          </w:p>
        </w:tc>
        <w:tc>
          <w:tcPr>
            <w:tcW w:w="1545" w:type="dxa"/>
            <w:vMerge w:val="continue"/>
            <w:tcBorders>
              <w:top w:val="nil"/>
              <w:left w:val="single" w:color="000000" w:sz="4" w:space="0"/>
            </w:tcBorders>
          </w:tcPr>
          <w:p w14:paraId="4200E878">
            <w:pPr>
              <w:rPr>
                <w:sz w:val="2"/>
                <w:szCs w:val="2"/>
              </w:rPr>
            </w:pPr>
          </w:p>
        </w:tc>
      </w:tr>
      <w:tr w14:paraId="20C35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10020" w:type="dxa"/>
            <w:gridSpan w:val="6"/>
          </w:tcPr>
          <w:p w14:paraId="41AF1E34">
            <w:pPr>
              <w:pStyle w:val="239"/>
              <w:spacing w:before="28"/>
              <w:ind w:left="9"/>
              <w:jc w:val="left"/>
              <w:rPr>
                <w:sz w:val="18"/>
              </w:rPr>
            </w:pPr>
            <w:r>
              <w:rPr>
                <w:position w:val="9"/>
                <w:sz w:val="9"/>
              </w:rPr>
              <w:t>a</w:t>
            </w:r>
            <w:r>
              <w:rPr>
                <w:sz w:val="18"/>
              </w:rPr>
              <w:t>壳体取样为 120</w:t>
            </w:r>
            <w:r>
              <w:rPr>
                <w:spacing w:val="-10"/>
                <w:sz w:val="18"/>
              </w:rPr>
              <w:t>。</w:t>
            </w:r>
          </w:p>
          <w:p w14:paraId="78F045A6">
            <w:pPr>
              <w:pStyle w:val="239"/>
              <w:spacing w:before="81"/>
              <w:ind w:left="9"/>
              <w:jc w:val="left"/>
              <w:rPr>
                <w:sz w:val="18"/>
              </w:rPr>
            </w:pPr>
            <w:r>
              <w:rPr>
                <w:position w:val="9"/>
                <w:sz w:val="9"/>
              </w:rPr>
              <w:t>b</w:t>
            </w:r>
            <w:r>
              <w:rPr>
                <w:sz w:val="18"/>
              </w:rPr>
              <w:t>壳体取样为 45</w:t>
            </w:r>
            <w:r>
              <w:rPr>
                <w:spacing w:val="-10"/>
                <w:sz w:val="18"/>
              </w:rPr>
              <w:t>。</w:t>
            </w:r>
          </w:p>
        </w:tc>
      </w:tr>
    </w:tbl>
    <w:p w14:paraId="7D5C42EB">
      <w:pPr>
        <w:pStyle w:val="106"/>
        <w:spacing w:before="240" w:after="240"/>
      </w:pPr>
      <w:bookmarkStart w:id="82" w:name="_Toc3191"/>
      <w:r>
        <w:rPr>
          <w:rFonts w:hint="eastAsia"/>
        </w:rPr>
        <w:t>试验方法</w:t>
      </w:r>
      <w:bookmarkEnd w:id="82"/>
    </w:p>
    <w:p w14:paraId="596FBD7E">
      <w:pPr>
        <w:pStyle w:val="107"/>
        <w:spacing w:before="120" w:after="120"/>
      </w:pPr>
      <w:bookmarkStart w:id="83" w:name="_Toc28526"/>
      <w:r>
        <w:rPr>
          <w:rFonts w:hint="eastAsia"/>
        </w:rPr>
        <w:t>外观</w:t>
      </w:r>
      <w:bookmarkEnd w:id="83"/>
    </w:p>
    <w:p w14:paraId="3A632A14">
      <w:pPr>
        <w:pStyle w:val="58"/>
        <w:ind w:firstLine="420"/>
      </w:pPr>
      <w:r>
        <w:rPr>
          <w:rFonts w:hint="eastAsia"/>
        </w:rPr>
        <w:t>在自然光线下，目测检验。</w:t>
      </w:r>
    </w:p>
    <w:p w14:paraId="3C9F6697">
      <w:pPr>
        <w:pStyle w:val="107"/>
        <w:spacing w:before="120" w:after="120"/>
      </w:pPr>
      <w:bookmarkStart w:id="84" w:name="_Toc25042"/>
      <w:r>
        <w:rPr>
          <w:rFonts w:hint="eastAsia"/>
        </w:rPr>
        <w:t>尺寸偏差</w:t>
      </w:r>
      <w:bookmarkEnd w:id="84"/>
    </w:p>
    <w:p w14:paraId="1D83BCC5">
      <w:pPr>
        <w:pStyle w:val="58"/>
        <w:ind w:firstLine="420"/>
      </w:pPr>
      <w:r>
        <w:rPr>
          <w:rFonts w:hint="eastAsia"/>
        </w:rPr>
        <w:t>用相应长度计量器具测量计量箱外壳。</w:t>
      </w:r>
    </w:p>
    <w:p w14:paraId="44FE490A">
      <w:pPr>
        <w:pStyle w:val="107"/>
        <w:spacing w:before="120" w:after="120"/>
      </w:pPr>
      <w:bookmarkStart w:id="85" w:name="_Toc9400"/>
      <w:r>
        <w:rPr>
          <w:rFonts w:hint="eastAsia"/>
        </w:rPr>
        <w:t>装配质量</w:t>
      </w:r>
      <w:bookmarkEnd w:id="85"/>
    </w:p>
    <w:p w14:paraId="72EBC53F">
      <w:pPr>
        <w:pStyle w:val="58"/>
        <w:ind w:firstLine="420"/>
      </w:pPr>
      <w:r>
        <w:rPr>
          <w:rFonts w:hint="eastAsia"/>
        </w:rPr>
        <w:t>在自然光线下，实际操作检验。</w:t>
      </w:r>
    </w:p>
    <w:p w14:paraId="1C840B22">
      <w:pPr>
        <w:pStyle w:val="107"/>
        <w:spacing w:before="120" w:after="120"/>
      </w:pPr>
      <w:bookmarkStart w:id="86" w:name="_Toc2563"/>
      <w:r>
        <w:rPr>
          <w:rFonts w:hint="eastAsia"/>
        </w:rPr>
        <w:t>性能指标</w:t>
      </w:r>
      <w:bookmarkEnd w:id="86"/>
    </w:p>
    <w:p w14:paraId="51B6D7FE">
      <w:pPr>
        <w:pStyle w:val="67"/>
        <w:spacing w:before="120" w:after="120"/>
        <w:ind w:left="0"/>
      </w:pPr>
      <w:r>
        <w:rPr>
          <w:rFonts w:hint="eastAsia"/>
        </w:rPr>
        <w:t>绝缘材料</w:t>
      </w:r>
    </w:p>
    <w:p w14:paraId="1FBAED3E">
      <w:pPr>
        <w:pStyle w:val="96"/>
        <w:spacing w:before="120" w:after="120"/>
      </w:pPr>
      <w:r>
        <w:rPr>
          <w:rFonts w:hint="eastAsia"/>
        </w:rPr>
        <w:t>热稳定性</w:t>
      </w:r>
    </w:p>
    <w:p w14:paraId="43873901">
      <w:pPr>
        <w:pStyle w:val="58"/>
        <w:ind w:firstLine="420"/>
      </w:pPr>
      <w:r>
        <w:rPr>
          <w:rFonts w:hint="eastAsia"/>
        </w:rPr>
        <w:t>按GB/T 20641的规定执行。</w:t>
      </w:r>
    </w:p>
    <w:p w14:paraId="727A402A">
      <w:pPr>
        <w:pStyle w:val="96"/>
        <w:spacing w:before="120" w:after="120"/>
      </w:pPr>
      <w:r>
        <w:rPr>
          <w:rFonts w:hint="eastAsia"/>
        </w:rPr>
        <w:t>耐热性</w:t>
      </w:r>
    </w:p>
    <w:p w14:paraId="35AF76D6">
      <w:pPr>
        <w:pStyle w:val="58"/>
        <w:ind w:firstLine="420"/>
      </w:pPr>
      <w:r>
        <w:rPr>
          <w:rFonts w:hint="eastAsia"/>
        </w:rPr>
        <w:t>按GB/T 20641的规定执行。</w:t>
      </w:r>
    </w:p>
    <w:p w14:paraId="0A1DA2FA">
      <w:pPr>
        <w:pStyle w:val="96"/>
        <w:spacing w:before="120" w:after="120"/>
      </w:pPr>
      <w:r>
        <w:rPr>
          <w:rFonts w:hint="eastAsia"/>
        </w:rPr>
        <w:t>耐老化</w:t>
      </w:r>
    </w:p>
    <w:p w14:paraId="588760DB">
      <w:pPr>
        <w:pStyle w:val="58"/>
        <w:ind w:firstLine="420"/>
      </w:pPr>
      <w:r>
        <w:rPr>
          <w:rFonts w:hint="eastAsia"/>
        </w:rPr>
        <w:t>按GB/T 20641的规定执行。</w:t>
      </w:r>
    </w:p>
    <w:p w14:paraId="71EB7F26">
      <w:pPr>
        <w:pStyle w:val="96"/>
        <w:spacing w:before="120" w:after="120"/>
      </w:pPr>
      <w:r>
        <w:rPr>
          <w:rFonts w:hint="eastAsia"/>
        </w:rPr>
        <w:t>温度冲击</w:t>
      </w:r>
    </w:p>
    <w:p w14:paraId="35B93026">
      <w:pPr>
        <w:pStyle w:val="58"/>
        <w:ind w:firstLine="420"/>
      </w:pPr>
      <w:r>
        <w:rPr>
          <w:rFonts w:hint="eastAsia"/>
        </w:rPr>
        <w:t>按GB/T 2423.22的规定执行，高温为70℃、30min，低温为-40℃、30min，温度转换时间为（2～ 3）min，共进行5个循环。试验后计量箱在常温下恢复24h。</w:t>
      </w:r>
    </w:p>
    <w:p w14:paraId="6D22497F">
      <w:pPr>
        <w:pStyle w:val="67"/>
        <w:spacing w:before="120" w:after="120"/>
        <w:ind w:left="0"/>
      </w:pPr>
      <w:r>
        <w:rPr>
          <w:rFonts w:hint="eastAsia"/>
        </w:rPr>
        <w:t>静载能力</w:t>
      </w:r>
    </w:p>
    <w:p w14:paraId="7154CD9F">
      <w:pPr>
        <w:pStyle w:val="96"/>
        <w:spacing w:before="120" w:after="120"/>
      </w:pPr>
      <w:r>
        <w:rPr>
          <w:rFonts w:hint="eastAsia"/>
        </w:rPr>
        <w:t>对计量箱外壳</w:t>
      </w:r>
    </w:p>
    <w:p w14:paraId="5C02B9F0">
      <w:pPr>
        <w:pStyle w:val="58"/>
        <w:ind w:firstLine="420"/>
      </w:pPr>
      <w:r>
        <w:rPr>
          <w:rFonts w:hint="eastAsia"/>
        </w:rPr>
        <w:t>按GB/T 18663.1-2008中5.2.2的规定执行。</w:t>
      </w:r>
    </w:p>
    <w:p w14:paraId="4E67B674">
      <w:pPr>
        <w:pStyle w:val="96"/>
        <w:spacing w:before="120" w:after="120"/>
      </w:pPr>
      <w:r>
        <w:rPr>
          <w:rFonts w:hint="eastAsia"/>
        </w:rPr>
        <w:t>对铰链式计量箱门</w:t>
      </w:r>
    </w:p>
    <w:p w14:paraId="4C32B527">
      <w:pPr>
        <w:pStyle w:val="58"/>
        <w:ind w:firstLine="420"/>
      </w:pPr>
      <w:r>
        <w:rPr>
          <w:rFonts w:hint="eastAsia"/>
        </w:rPr>
        <w:t>按GB/T 7251.5的规定执行。</w:t>
      </w:r>
    </w:p>
    <w:p w14:paraId="1EA36697">
      <w:pPr>
        <w:pStyle w:val="67"/>
        <w:spacing w:before="120" w:after="120"/>
        <w:ind w:left="0"/>
      </w:pPr>
      <w:r>
        <w:rPr>
          <w:rFonts w:hint="eastAsia"/>
        </w:rPr>
        <w:t>动态载荷</w:t>
      </w:r>
    </w:p>
    <w:p w14:paraId="425FADC0">
      <w:pPr>
        <w:pStyle w:val="58"/>
        <w:ind w:firstLine="420"/>
      </w:pPr>
      <w:r>
        <w:rPr>
          <w:rFonts w:hint="eastAsia"/>
        </w:rPr>
        <w:t>试验参照GB/T 18663.1-2008中5.3.1的规定进行。将计量箱固定在振动台上，进行动态负载试验。振动试验设置振动频率范围为2Hz～9Hz、位移振幅1.5mm，9Hz～200Hz、加速度振幅5m/s</w:t>
      </w:r>
      <w:r>
        <w:rPr>
          <w:rFonts w:hint="eastAsia"/>
          <w:vertAlign w:val="superscript"/>
        </w:rPr>
        <w:t>2</w:t>
      </w:r>
      <w:r>
        <w:rPr>
          <w:rFonts w:hint="eastAsia"/>
        </w:rPr>
        <w:t>，扫描速率为loct/min，进行10次循环；冲击试验设置峰值加速度300m/s</w:t>
      </w:r>
      <w:r>
        <w:rPr>
          <w:rFonts w:hint="eastAsia"/>
          <w:vertAlign w:val="superscript"/>
        </w:rPr>
        <w:t>2</w:t>
      </w:r>
      <w:r>
        <w:rPr>
          <w:rFonts w:hint="eastAsia"/>
        </w:rPr>
        <w:t>，持续时间18ms，进行3次。</w:t>
      </w:r>
    </w:p>
    <w:p w14:paraId="0D7E0559">
      <w:pPr>
        <w:pStyle w:val="67"/>
        <w:spacing w:before="120" w:after="120"/>
        <w:ind w:left="0"/>
      </w:pPr>
      <w:r>
        <w:rPr>
          <w:rFonts w:hint="eastAsia"/>
        </w:rPr>
        <w:t>冲击载荷</w:t>
      </w:r>
    </w:p>
    <w:p w14:paraId="5309164B">
      <w:pPr>
        <w:pStyle w:val="58"/>
        <w:ind w:firstLine="420"/>
      </w:pPr>
      <w:r>
        <w:rPr>
          <w:rFonts w:hint="eastAsia"/>
        </w:rPr>
        <w:t>按GB/T 20641的规定执行。</w:t>
      </w:r>
    </w:p>
    <w:p w14:paraId="007A5FAB">
      <w:pPr>
        <w:pStyle w:val="67"/>
        <w:spacing w:before="120" w:after="120"/>
        <w:ind w:left="0"/>
      </w:pPr>
      <w:r>
        <w:rPr>
          <w:rFonts w:hint="eastAsia"/>
        </w:rPr>
        <w:t>螺纹紧固连接件机械强度</w:t>
      </w:r>
    </w:p>
    <w:p w14:paraId="2BDCCDC8">
      <w:pPr>
        <w:pStyle w:val="58"/>
        <w:ind w:firstLine="420"/>
      </w:pPr>
      <w:r>
        <w:rPr>
          <w:rFonts w:hint="eastAsia"/>
        </w:rPr>
        <w:t>按GB/T 7251.3的规定执行。</w:t>
      </w:r>
    </w:p>
    <w:p w14:paraId="4CAE7C6C">
      <w:pPr>
        <w:pStyle w:val="67"/>
        <w:spacing w:before="120" w:after="120"/>
        <w:ind w:left="0"/>
      </w:pPr>
      <w:r>
        <w:rPr>
          <w:rFonts w:hint="eastAsia"/>
        </w:rPr>
        <w:t>防护等级</w:t>
      </w:r>
    </w:p>
    <w:p w14:paraId="79C83D1F">
      <w:pPr>
        <w:pStyle w:val="58"/>
        <w:ind w:firstLine="420"/>
      </w:pPr>
      <w:r>
        <w:rPr>
          <w:rFonts w:hint="eastAsia"/>
        </w:rPr>
        <w:t>按GB/T 4208的规定执行。</w:t>
      </w:r>
    </w:p>
    <w:p w14:paraId="2ABBE8D2">
      <w:pPr>
        <w:pStyle w:val="107"/>
        <w:spacing w:before="120" w:after="120"/>
      </w:pPr>
      <w:bookmarkStart w:id="87" w:name="_Toc7070"/>
      <w:r>
        <w:rPr>
          <w:rFonts w:hint="eastAsia"/>
        </w:rPr>
        <w:t>理化指标</w:t>
      </w:r>
      <w:bookmarkEnd w:id="87"/>
    </w:p>
    <w:p w14:paraId="344895F0">
      <w:pPr>
        <w:pStyle w:val="67"/>
        <w:spacing w:before="120" w:after="120"/>
        <w:ind w:left="0"/>
      </w:pPr>
      <w:r>
        <w:rPr>
          <w:rFonts w:hint="eastAsia"/>
        </w:rPr>
        <w:t>耐腐蚀性</w:t>
      </w:r>
    </w:p>
    <w:p w14:paraId="71850E8B">
      <w:pPr>
        <w:pStyle w:val="58"/>
        <w:ind w:firstLine="420"/>
      </w:pPr>
      <w:r>
        <w:rPr>
          <w:rFonts w:hint="eastAsia"/>
        </w:rPr>
        <w:t>按GB/T 20641的规定执行，以验证防护层是否耐腐蚀，试验以24h为一个周期，共进行14个周期。</w:t>
      </w:r>
    </w:p>
    <w:p w14:paraId="56D1BC1E">
      <w:pPr>
        <w:pStyle w:val="67"/>
        <w:spacing w:before="120" w:after="120"/>
        <w:ind w:left="0"/>
      </w:pPr>
      <w:r>
        <w:rPr>
          <w:rFonts w:hint="eastAsia"/>
        </w:rPr>
        <w:t>外壳表面涂层附着力测定</w:t>
      </w:r>
    </w:p>
    <w:p w14:paraId="7836ABA9">
      <w:pPr>
        <w:pStyle w:val="58"/>
        <w:ind w:firstLine="420"/>
      </w:pPr>
      <w:r>
        <w:rPr>
          <w:rFonts w:hint="eastAsia"/>
        </w:rPr>
        <w:t>按GB/T 9286的规定执行。</w:t>
      </w:r>
    </w:p>
    <w:p w14:paraId="541D88E0">
      <w:pPr>
        <w:pStyle w:val="107"/>
        <w:spacing w:before="120" w:after="120"/>
      </w:pPr>
      <w:bookmarkStart w:id="88" w:name="_Toc10"/>
      <w:r>
        <w:rPr>
          <w:rFonts w:hint="eastAsia"/>
        </w:rPr>
        <w:t>电气性能</w:t>
      </w:r>
      <w:bookmarkEnd w:id="88"/>
    </w:p>
    <w:p w14:paraId="5E86345F">
      <w:pPr>
        <w:pStyle w:val="67"/>
        <w:spacing w:before="120" w:after="120"/>
        <w:ind w:left="0"/>
      </w:pPr>
      <w:r>
        <w:rPr>
          <w:rFonts w:hint="eastAsia"/>
        </w:rPr>
        <w:t>电气间隙、爬电距离检测</w:t>
      </w:r>
    </w:p>
    <w:p w14:paraId="1C50636B">
      <w:pPr>
        <w:pStyle w:val="58"/>
        <w:ind w:firstLine="420"/>
      </w:pPr>
      <w:r>
        <w:rPr>
          <w:rFonts w:hint="eastAsia"/>
        </w:rPr>
        <w:t>按GB/T 7251.1的规定执行。</w:t>
      </w:r>
    </w:p>
    <w:p w14:paraId="752857E0">
      <w:pPr>
        <w:pStyle w:val="67"/>
        <w:spacing w:before="120" w:after="120"/>
        <w:ind w:left="0"/>
      </w:pPr>
      <w:r>
        <w:rPr>
          <w:rFonts w:hint="eastAsia"/>
        </w:rPr>
        <w:t>保护电路有效性</w:t>
      </w:r>
    </w:p>
    <w:p w14:paraId="17F940B0">
      <w:pPr>
        <w:pStyle w:val="58"/>
        <w:ind w:firstLine="420"/>
      </w:pPr>
      <w:r>
        <w:rPr>
          <w:rFonts w:hint="eastAsia"/>
        </w:rPr>
        <w:t>按GB/T 7251.1的规定执行。</w:t>
      </w:r>
    </w:p>
    <w:p w14:paraId="0C15E11A">
      <w:pPr>
        <w:pStyle w:val="67"/>
        <w:spacing w:before="120" w:after="120"/>
        <w:ind w:left="0"/>
      </w:pPr>
      <w:r>
        <w:rPr>
          <w:rFonts w:hint="eastAsia"/>
        </w:rPr>
        <w:t>绝缘电阻</w:t>
      </w:r>
    </w:p>
    <w:p w14:paraId="2D3E5BDF">
      <w:pPr>
        <w:pStyle w:val="58"/>
        <w:ind w:firstLine="420"/>
      </w:pPr>
      <w:r>
        <w:rPr>
          <w:rFonts w:hint="eastAsia"/>
        </w:rPr>
        <w:t>按GB/T 7251.1的规定执行，在计量箱内相间、相与外壳间、相与地间施加500N电压。</w:t>
      </w:r>
    </w:p>
    <w:p w14:paraId="55128A68">
      <w:pPr>
        <w:pStyle w:val="67"/>
        <w:spacing w:before="120" w:after="120"/>
        <w:ind w:left="0"/>
      </w:pPr>
      <w:r>
        <w:rPr>
          <w:rFonts w:hint="eastAsia"/>
        </w:rPr>
        <w:t>介电性能</w:t>
      </w:r>
    </w:p>
    <w:p w14:paraId="02B89E41">
      <w:pPr>
        <w:pStyle w:val="58"/>
        <w:ind w:firstLine="420"/>
      </w:pPr>
      <w:r>
        <w:rPr>
          <w:rFonts w:hint="eastAsia"/>
        </w:rPr>
        <w:t>按GB/T 7251.1的规定执行，在计量箱内相间、相与外壳间、相与地间施加50Hz、2500V交流电压1min，在非金属计量箱外壳与金属门锁、铅封螺钉、金属铰链等带金属部件之间施加50Hz、1.5*2500V交流电压1min。</w:t>
      </w:r>
    </w:p>
    <w:p w14:paraId="7AFD45E8">
      <w:pPr>
        <w:pStyle w:val="67"/>
        <w:spacing w:before="120" w:after="120"/>
        <w:ind w:left="0"/>
      </w:pPr>
      <w:r>
        <w:rPr>
          <w:rFonts w:hint="eastAsia"/>
        </w:rPr>
        <w:t>温升极限</w:t>
      </w:r>
    </w:p>
    <w:p w14:paraId="2091CEB7">
      <w:pPr>
        <w:pStyle w:val="58"/>
        <w:ind w:firstLine="420"/>
      </w:pPr>
      <w:r>
        <w:rPr>
          <w:rFonts w:hint="eastAsia"/>
        </w:rPr>
        <w:t>按GB/T 7251.1的规定执行。</w:t>
      </w:r>
    </w:p>
    <w:p w14:paraId="578ABF4A">
      <w:pPr>
        <w:pStyle w:val="107"/>
        <w:spacing w:before="120" w:after="120"/>
      </w:pPr>
      <w:bookmarkStart w:id="89" w:name="_Toc11774"/>
      <w:r>
        <w:rPr>
          <w:rFonts w:hint="eastAsia"/>
        </w:rPr>
        <w:t>电气开关性能</w:t>
      </w:r>
      <w:bookmarkEnd w:id="89"/>
    </w:p>
    <w:p w14:paraId="7BE46654">
      <w:pPr>
        <w:pStyle w:val="58"/>
        <w:ind w:firstLine="420"/>
      </w:pPr>
      <w:r>
        <w:rPr>
          <w:rFonts w:hint="eastAsia"/>
        </w:rPr>
        <w:t>按GB/T 10963.1、GB/T 14048.2的规定执行。</w:t>
      </w:r>
    </w:p>
    <w:p w14:paraId="2E07B7BC">
      <w:pPr>
        <w:pStyle w:val="106"/>
        <w:spacing w:before="240" w:after="240"/>
      </w:pPr>
      <w:bookmarkStart w:id="90" w:name="_Toc23976"/>
      <w:r>
        <w:rPr>
          <w:rFonts w:hint="eastAsia"/>
        </w:rPr>
        <w:t>检验规则</w:t>
      </w:r>
      <w:bookmarkEnd w:id="90"/>
    </w:p>
    <w:p w14:paraId="442F1D20">
      <w:pPr>
        <w:pStyle w:val="107"/>
        <w:spacing w:before="120" w:after="120"/>
      </w:pPr>
      <w:bookmarkStart w:id="91" w:name="_Toc139"/>
      <w:r>
        <w:rPr>
          <w:rFonts w:hint="eastAsia"/>
        </w:rPr>
        <w:t>检验分类</w:t>
      </w:r>
      <w:bookmarkEnd w:id="91"/>
    </w:p>
    <w:p w14:paraId="0D8E55D1">
      <w:pPr>
        <w:pStyle w:val="58"/>
        <w:ind w:firstLine="420"/>
      </w:pPr>
      <w:r>
        <w:rPr>
          <w:rFonts w:hint="eastAsia"/>
        </w:rPr>
        <w:t>产品检验分为出厂检验和型式检验。</w:t>
      </w:r>
    </w:p>
    <w:p w14:paraId="2C545978">
      <w:pPr>
        <w:pStyle w:val="107"/>
        <w:spacing w:before="120" w:after="120"/>
      </w:pPr>
      <w:bookmarkStart w:id="92" w:name="_Toc9967"/>
      <w:r>
        <w:rPr>
          <w:rFonts w:hint="eastAsia"/>
        </w:rPr>
        <w:t>组批</w:t>
      </w:r>
      <w:bookmarkEnd w:id="92"/>
    </w:p>
    <w:p w14:paraId="7FAC5DDB">
      <w:pPr>
        <w:pStyle w:val="58"/>
        <w:ind w:firstLine="420"/>
      </w:pPr>
      <w:r>
        <w:rPr>
          <w:rFonts w:hint="eastAsia"/>
        </w:rPr>
        <w:t>以同一工艺、同一原辅材料生产的同一规格产品为一组批。</w:t>
      </w:r>
    </w:p>
    <w:p w14:paraId="1B01B627">
      <w:pPr>
        <w:pStyle w:val="107"/>
        <w:spacing w:before="120" w:after="120"/>
      </w:pPr>
      <w:bookmarkStart w:id="93" w:name="_Toc22671"/>
      <w:r>
        <w:rPr>
          <w:rFonts w:hint="eastAsia"/>
        </w:rPr>
        <w:t>出厂检验</w:t>
      </w:r>
      <w:bookmarkEnd w:id="93"/>
    </w:p>
    <w:p w14:paraId="135B8A4C">
      <w:pPr>
        <w:pStyle w:val="67"/>
        <w:spacing w:before="0" w:beforeLines="0" w:after="0" w:afterLines="0"/>
        <w:ind w:left="0"/>
        <w:rPr>
          <w:rFonts w:ascii="宋体" w:hAnsi="宋体" w:eastAsia="宋体" w:cs="宋体"/>
        </w:rPr>
      </w:pPr>
      <w:r>
        <w:rPr>
          <w:rFonts w:hint="eastAsia" w:ascii="宋体" w:hAnsi="宋体" w:eastAsia="宋体" w:cs="宋体"/>
        </w:rPr>
        <w:t>产品出厂需经工厂检验部门逐批检验合格，方能出厂。</w:t>
      </w:r>
    </w:p>
    <w:p w14:paraId="33DF8FDC">
      <w:pPr>
        <w:pStyle w:val="67"/>
        <w:spacing w:before="0" w:beforeLines="0" w:after="0" w:afterLines="0"/>
        <w:ind w:left="0"/>
        <w:rPr>
          <w:rFonts w:ascii="宋体" w:hAnsi="宋体" w:eastAsia="宋体" w:cs="宋体"/>
        </w:rPr>
      </w:pPr>
      <w:r>
        <w:rPr>
          <w:rFonts w:hint="eastAsia" w:ascii="宋体" w:hAnsi="宋体" w:eastAsia="宋体" w:cs="宋体"/>
        </w:rPr>
        <w:t>出厂检验项目包括本文件中的外观、尺寸偏差。</w:t>
      </w:r>
    </w:p>
    <w:p w14:paraId="72E08654">
      <w:pPr>
        <w:pStyle w:val="67"/>
        <w:spacing w:before="0" w:beforeLines="0" w:after="0" w:afterLines="0"/>
        <w:ind w:left="0"/>
        <w:rPr>
          <w:rFonts w:ascii="宋体" w:hAnsi="宋体" w:eastAsia="宋体" w:cs="宋体"/>
        </w:rPr>
      </w:pPr>
      <w:r>
        <w:rPr>
          <w:rFonts w:hint="eastAsia" w:ascii="宋体" w:hAnsi="宋体" w:eastAsia="宋体" w:cs="宋体"/>
        </w:rPr>
        <w:t>按GB/T 2828.1抽检，样本量按一般检验水平Ⅱ，接收质量限AQL值不低于4.0。</w:t>
      </w:r>
    </w:p>
    <w:p w14:paraId="769AAC50">
      <w:pPr>
        <w:pStyle w:val="107"/>
        <w:spacing w:before="120" w:after="120"/>
      </w:pPr>
      <w:bookmarkStart w:id="94" w:name="_Toc8057"/>
      <w:r>
        <w:rPr>
          <w:rFonts w:hint="eastAsia"/>
        </w:rPr>
        <w:t>型式检验</w:t>
      </w:r>
      <w:bookmarkEnd w:id="94"/>
    </w:p>
    <w:p w14:paraId="46F473D0">
      <w:pPr>
        <w:pStyle w:val="67"/>
        <w:spacing w:before="0" w:beforeLines="0" w:after="0" w:afterLines="0"/>
        <w:ind w:left="0"/>
        <w:rPr>
          <w:rFonts w:ascii="宋体" w:hAnsi="宋体" w:eastAsia="宋体" w:cs="宋体"/>
        </w:rPr>
      </w:pPr>
      <w:r>
        <w:rPr>
          <w:rFonts w:hint="eastAsia" w:ascii="宋体" w:hAnsi="宋体" w:eastAsia="宋体" w:cs="宋体"/>
        </w:rPr>
        <w:t>正常生产时每年进行一次型式检验；有下列情况时也应进行型式检验：</w:t>
      </w:r>
    </w:p>
    <w:p w14:paraId="15220AA8">
      <w:pPr>
        <w:pStyle w:val="58"/>
        <w:numPr>
          <w:ilvl w:val="1"/>
          <w:numId w:val="36"/>
        </w:numPr>
        <w:ind w:left="839" w:firstLineChars="0"/>
        <w:rPr>
          <w:rFonts w:hAnsi="宋体"/>
        </w:rPr>
      </w:pPr>
      <w:r>
        <w:rPr>
          <w:rFonts w:hint="eastAsia" w:hAnsi="宋体"/>
        </w:rPr>
        <w:t>新产品试制鉴定；</w:t>
      </w:r>
    </w:p>
    <w:p w14:paraId="1A0ABF3E">
      <w:pPr>
        <w:pStyle w:val="58"/>
        <w:numPr>
          <w:ilvl w:val="1"/>
          <w:numId w:val="36"/>
        </w:numPr>
        <w:ind w:left="839" w:firstLineChars="0"/>
        <w:rPr>
          <w:rFonts w:hAnsi="宋体"/>
        </w:rPr>
      </w:pPr>
      <w:r>
        <w:rPr>
          <w:rFonts w:hint="eastAsia" w:hAnsi="宋体"/>
        </w:rPr>
        <w:t>正式生产时，如原料、工艺有较大改变可能影响到产品的质量；</w:t>
      </w:r>
    </w:p>
    <w:p w14:paraId="1A8C96D3">
      <w:pPr>
        <w:pStyle w:val="58"/>
        <w:numPr>
          <w:ilvl w:val="1"/>
          <w:numId w:val="36"/>
        </w:numPr>
        <w:ind w:left="839" w:firstLineChars="0"/>
        <w:rPr>
          <w:rFonts w:hAnsi="宋体"/>
        </w:rPr>
      </w:pPr>
      <w:r>
        <w:rPr>
          <w:rFonts w:hint="eastAsia" w:hAnsi="宋体"/>
        </w:rPr>
        <w:t>出厂检验的结果与上次型式检验有较大差异时；</w:t>
      </w:r>
    </w:p>
    <w:p w14:paraId="15E830BA">
      <w:pPr>
        <w:pStyle w:val="58"/>
        <w:numPr>
          <w:ilvl w:val="1"/>
          <w:numId w:val="36"/>
        </w:numPr>
        <w:ind w:left="839" w:firstLineChars="0"/>
        <w:rPr>
          <w:rFonts w:hAnsi="宋体"/>
        </w:rPr>
      </w:pPr>
      <w:r>
        <w:rPr>
          <w:rFonts w:hint="eastAsia" w:hAnsi="宋体"/>
        </w:rPr>
        <w:t>产品停产12个月以上重新恢复生产时；</w:t>
      </w:r>
    </w:p>
    <w:p w14:paraId="0338B46B">
      <w:pPr>
        <w:pStyle w:val="58"/>
        <w:numPr>
          <w:ilvl w:val="1"/>
          <w:numId w:val="36"/>
        </w:numPr>
        <w:ind w:left="839" w:firstLineChars="0"/>
        <w:rPr>
          <w:rFonts w:hAnsi="宋体"/>
        </w:rPr>
      </w:pPr>
      <w:r>
        <w:rPr>
          <w:rFonts w:hint="eastAsia" w:hAnsi="宋体"/>
        </w:rPr>
        <w:t>国家质量监督机构提出要求时。</w:t>
      </w:r>
    </w:p>
    <w:p w14:paraId="4C92CD82">
      <w:pPr>
        <w:pStyle w:val="67"/>
        <w:spacing w:before="0" w:beforeLines="0" w:after="0" w:afterLines="0"/>
        <w:ind w:left="0"/>
        <w:rPr>
          <w:rFonts w:ascii="宋体" w:hAnsi="宋体" w:eastAsia="宋体" w:cs="宋体"/>
        </w:rPr>
      </w:pPr>
      <w:r>
        <w:rPr>
          <w:rFonts w:hint="eastAsia" w:ascii="宋体" w:hAnsi="宋体" w:eastAsia="宋体" w:cs="宋体"/>
        </w:rPr>
        <w:t>型式检验项目包括技术要求中的全部项目。</w:t>
      </w:r>
    </w:p>
    <w:p w14:paraId="0511152B">
      <w:pPr>
        <w:pStyle w:val="67"/>
        <w:spacing w:before="0" w:beforeLines="0" w:after="0" w:afterLines="0"/>
        <w:ind w:left="0"/>
        <w:rPr>
          <w:rFonts w:ascii="宋体" w:hAnsi="宋体" w:eastAsia="宋体" w:cs="宋体"/>
        </w:rPr>
      </w:pPr>
      <w:r>
        <w:rPr>
          <w:rFonts w:hint="eastAsia" w:ascii="宋体" w:hAnsi="宋体" w:eastAsia="宋体" w:cs="宋体"/>
        </w:rPr>
        <w:t>型式检验应从出厂检验合格产品中随机抽取，抽取数量应满足检测要求。</w:t>
      </w:r>
    </w:p>
    <w:p w14:paraId="1D691A94">
      <w:pPr>
        <w:pStyle w:val="67"/>
        <w:spacing w:before="0" w:beforeLines="0" w:after="0" w:afterLines="0"/>
        <w:ind w:left="0"/>
        <w:rPr>
          <w:rFonts w:ascii="宋体" w:hAnsi="宋体" w:eastAsia="宋体" w:cs="宋体"/>
        </w:rPr>
      </w:pPr>
      <w:r>
        <w:rPr>
          <w:rFonts w:hint="eastAsia" w:ascii="宋体" w:hAnsi="宋体" w:eastAsia="宋体" w:cs="宋体"/>
        </w:rPr>
        <w:t>当型式检验结果全部符合本文件要求时，判型式检验合格。若检验中出现任何一项不符合，允许加倍重新抽取样品进行复检，复检后，若全部符合本文件要求时，判型式检验合格，否则为不合格。</w:t>
      </w:r>
    </w:p>
    <w:p w14:paraId="070867E6">
      <w:pPr>
        <w:pStyle w:val="106"/>
        <w:spacing w:before="240" w:after="240"/>
      </w:pPr>
      <w:bookmarkStart w:id="95" w:name="_Toc6349"/>
      <w:r>
        <w:rPr>
          <w:rFonts w:hint="eastAsia"/>
        </w:rPr>
        <w:t>标志、包装、运输、贮存</w:t>
      </w:r>
      <w:bookmarkEnd w:id="95"/>
    </w:p>
    <w:p w14:paraId="16525E10">
      <w:pPr>
        <w:pStyle w:val="107"/>
        <w:spacing w:before="120" w:after="120"/>
      </w:pPr>
      <w:bookmarkStart w:id="96" w:name="_Toc24134"/>
      <w:r>
        <w:rPr>
          <w:rFonts w:hint="eastAsia"/>
        </w:rPr>
        <w:t>标志</w:t>
      </w:r>
      <w:bookmarkEnd w:id="96"/>
    </w:p>
    <w:p w14:paraId="016BE7BC">
      <w:pPr>
        <w:pStyle w:val="67"/>
        <w:spacing w:before="0" w:beforeLines="0" w:after="0" w:afterLines="0"/>
        <w:ind w:left="0"/>
        <w:rPr>
          <w:rFonts w:ascii="宋体" w:hAnsi="宋体" w:eastAsia="宋体" w:cs="宋体"/>
        </w:rPr>
      </w:pPr>
      <w:r>
        <w:rPr>
          <w:rFonts w:hint="eastAsia" w:ascii="宋体" w:hAnsi="宋体" w:eastAsia="宋体" w:cs="宋体"/>
        </w:rPr>
        <w:t>销售标志应至少含有以下内容：</w:t>
      </w:r>
    </w:p>
    <w:p w14:paraId="0850A6B7">
      <w:pPr>
        <w:pStyle w:val="58"/>
        <w:numPr>
          <w:ilvl w:val="1"/>
          <w:numId w:val="37"/>
        </w:numPr>
        <w:ind w:left="839" w:firstLineChars="0"/>
        <w:rPr>
          <w:rFonts w:hAnsi="宋体"/>
        </w:rPr>
      </w:pPr>
      <w:r>
        <w:rPr>
          <w:rFonts w:hint="eastAsia" w:hAnsi="宋体"/>
        </w:rPr>
        <w:t>产品名称；</w:t>
      </w:r>
    </w:p>
    <w:p w14:paraId="1933EA1B">
      <w:pPr>
        <w:pStyle w:val="58"/>
        <w:numPr>
          <w:ilvl w:val="1"/>
          <w:numId w:val="37"/>
        </w:numPr>
        <w:ind w:left="839" w:firstLineChars="0"/>
        <w:rPr>
          <w:rFonts w:hAnsi="宋体"/>
        </w:rPr>
      </w:pPr>
      <w:r>
        <w:rPr>
          <w:rFonts w:hint="eastAsia" w:hAnsi="宋体"/>
        </w:rPr>
        <w:t>商品责任单位名称及地址；</w:t>
      </w:r>
    </w:p>
    <w:p w14:paraId="0035B646">
      <w:pPr>
        <w:pStyle w:val="58"/>
        <w:numPr>
          <w:ilvl w:val="1"/>
          <w:numId w:val="37"/>
        </w:numPr>
        <w:ind w:left="839" w:firstLineChars="0"/>
        <w:rPr>
          <w:rFonts w:hAnsi="宋体"/>
        </w:rPr>
      </w:pPr>
      <w:r>
        <w:rPr>
          <w:rFonts w:hint="eastAsia" w:hAnsi="宋体"/>
        </w:rPr>
        <w:t>执行标准号；</w:t>
      </w:r>
    </w:p>
    <w:p w14:paraId="0DD60A15">
      <w:pPr>
        <w:pStyle w:val="58"/>
        <w:numPr>
          <w:ilvl w:val="1"/>
          <w:numId w:val="37"/>
        </w:numPr>
        <w:ind w:left="839" w:firstLineChars="0"/>
        <w:rPr>
          <w:rFonts w:hAnsi="宋体"/>
        </w:rPr>
      </w:pPr>
      <w:r>
        <w:rPr>
          <w:rFonts w:hint="eastAsia" w:hAnsi="宋体"/>
        </w:rPr>
        <w:t>产品合格标识。</w:t>
      </w:r>
    </w:p>
    <w:p w14:paraId="7573C8E0">
      <w:pPr>
        <w:pStyle w:val="67"/>
        <w:spacing w:before="0" w:beforeLines="0" w:after="0" w:afterLines="0"/>
        <w:ind w:left="0"/>
        <w:rPr>
          <w:rFonts w:ascii="宋体" w:hAnsi="宋体" w:eastAsia="宋体" w:cs="宋体"/>
        </w:rPr>
      </w:pPr>
      <w:r>
        <w:rPr>
          <w:rFonts w:hint="eastAsia" w:ascii="宋体" w:hAnsi="宋体" w:eastAsia="宋体" w:cs="宋体"/>
        </w:rPr>
        <w:t>包装箱上的包装储运图示标志按GB/T 191的规定选择使用。</w:t>
      </w:r>
    </w:p>
    <w:p w14:paraId="61DC205B">
      <w:pPr>
        <w:pStyle w:val="67"/>
        <w:spacing w:before="0" w:beforeLines="0" w:after="0" w:afterLines="0"/>
        <w:ind w:left="0"/>
        <w:rPr>
          <w:rFonts w:ascii="宋体" w:hAnsi="宋体" w:eastAsia="宋体" w:cs="宋体"/>
        </w:rPr>
      </w:pPr>
      <w:r>
        <w:rPr>
          <w:rFonts w:hint="eastAsia" w:ascii="宋体" w:hAnsi="宋体" w:eastAsia="宋体" w:cs="宋体"/>
        </w:rPr>
        <w:t>标志应清晰、牢固，不应因运输条件和自然条件而褪色、变色、脱落。</w:t>
      </w:r>
    </w:p>
    <w:p w14:paraId="3F0F9747">
      <w:pPr>
        <w:pStyle w:val="107"/>
        <w:spacing w:before="120" w:after="120"/>
      </w:pPr>
      <w:bookmarkStart w:id="97" w:name="_Toc26217"/>
      <w:r>
        <w:rPr>
          <w:rFonts w:hint="eastAsia"/>
        </w:rPr>
        <w:t>包装</w:t>
      </w:r>
      <w:bookmarkEnd w:id="97"/>
    </w:p>
    <w:p w14:paraId="36380295">
      <w:pPr>
        <w:pStyle w:val="58"/>
        <w:ind w:firstLine="420"/>
      </w:pPr>
    </w:p>
    <w:p w14:paraId="3BE08B09">
      <w:pPr>
        <w:pStyle w:val="58"/>
        <w:ind w:firstLine="420"/>
      </w:pPr>
      <w:r>
        <w:rPr>
          <w:rFonts w:hint="eastAsia"/>
        </w:rPr>
        <w:t>产品包装应保证产品不受损伤，应防尘、防震，便于运输和贮存。如客户有特殊要求，按合同有关规定进行。</w:t>
      </w:r>
    </w:p>
    <w:p w14:paraId="5F2D539B">
      <w:pPr>
        <w:pStyle w:val="107"/>
        <w:spacing w:before="120" w:after="120"/>
      </w:pPr>
      <w:bookmarkStart w:id="98" w:name="_Toc15756"/>
      <w:r>
        <w:rPr>
          <w:rFonts w:hint="eastAsia"/>
        </w:rPr>
        <w:t>运输</w:t>
      </w:r>
      <w:bookmarkEnd w:id="98"/>
    </w:p>
    <w:p w14:paraId="2798760A">
      <w:pPr>
        <w:pStyle w:val="58"/>
        <w:ind w:firstLine="420"/>
      </w:pPr>
      <w:r>
        <w:rPr>
          <w:rFonts w:hint="eastAsia"/>
        </w:rPr>
        <w:t>产品在运输过程中应避免冲击、挤压、日晒、雨淋及化学品的腐蚀。</w:t>
      </w:r>
    </w:p>
    <w:p w14:paraId="0F1E75D0">
      <w:pPr>
        <w:pStyle w:val="107"/>
        <w:spacing w:before="120" w:after="120"/>
      </w:pPr>
      <w:bookmarkStart w:id="99" w:name="_Toc15858"/>
      <w:r>
        <w:rPr>
          <w:rFonts w:hint="eastAsia"/>
        </w:rPr>
        <w:t>贮存</w:t>
      </w:r>
      <w:bookmarkEnd w:id="99"/>
    </w:p>
    <w:p w14:paraId="62124E71">
      <w:pPr>
        <w:pStyle w:val="58"/>
        <w:ind w:firstLine="420"/>
      </w:pPr>
      <w:r>
        <w:rPr>
          <w:rFonts w:hint="eastAsia"/>
        </w:rPr>
        <w:t>产品应贮存在通风良好、干燥的室内，避免重压及污染。</w:t>
      </w:r>
    </w:p>
    <w:p w14:paraId="24C57976">
      <w:pPr>
        <w:pStyle w:val="58"/>
        <w:ind w:firstLine="420"/>
      </w:pPr>
    </w:p>
    <w:p w14:paraId="2B86E08C">
      <w:pPr>
        <w:pStyle w:val="58"/>
        <w:ind w:firstLine="420"/>
      </w:pPr>
    </w:p>
    <w:p w14:paraId="7CC43BA2">
      <w:pPr>
        <w:pStyle w:val="58"/>
        <w:ind w:firstLine="420"/>
      </w:pPr>
    </w:p>
    <w:p w14:paraId="373CD211">
      <w:pPr>
        <w:pStyle w:val="58"/>
        <w:ind w:firstLine="420"/>
        <w:jc w:val="center"/>
      </w:pPr>
      <w:r>
        <w:rPr>
          <w:rFonts w:ascii="Times New Roman"/>
        </w:rPr>
        <w:t>————————————————</w:t>
      </w:r>
    </w:p>
    <w:sectPr>
      <w:headerReference r:id="rId14" w:type="default"/>
      <w:headerReference r:id="rId15" w:type="even"/>
      <w:footerReference r:id="rId1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CAC45">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023C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B193">
    <w:pPr>
      <w:pStyle w:val="54"/>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6A762">
    <w:pPr>
      <w:pStyle w:val="17"/>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9237">
    <w:pPr>
      <w:pStyle w:val="17"/>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48070">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D648070">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A18A">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A5326">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DE28">
    <w:pPr>
      <w:pStyle w:val="63"/>
    </w:pPr>
    <w:r>
      <w:fldChar w:fldCharType="begin"/>
    </w:r>
    <w:r>
      <w:instrText xml:space="preserve"> STYLEREF  标准文件_文件编号  \* MERGEFORMAT </w:instrText>
    </w:r>
    <w:r>
      <w:fldChar w:fldCharType="separate"/>
    </w:r>
    <w:r>
      <w:t>T/CIAD XXXX—2026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04D77">
    <w:pPr>
      <w:pStyle w:val="18"/>
      <w:jc w:val="right"/>
    </w:pPr>
    <w:r>
      <w:fldChar w:fldCharType="begin"/>
    </w:r>
    <w:r>
      <w:instrText xml:space="preserve"> STYLEREF  标准文件_文件编号  \* MERGEFORMAT </w:instrText>
    </w:r>
    <w:r>
      <w:fldChar w:fldCharType="separate"/>
    </w:r>
    <w:r>
      <w:t>T/CIAD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4308D">
    <w:pPr>
      <w:pStyle w:val="18"/>
      <w:jc w:val="righ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T/CIAD XXXX—2026</w:t>
    </w:r>
    <w:r>
      <w:rPr>
        <w:rFonts w:hint="eastAsia" w:ascii="黑体" w:hAnsi="黑体" w:eastAsia="黑体" w:cs="黑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2156">
    <w:pPr>
      <w:pStyle w:val="18"/>
      <w:jc w:val="right"/>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T/CIAD XXXX—2026</w:t>
    </w:r>
    <w:r>
      <w:rPr>
        <w:rFonts w:ascii="黑体" w:hAnsi="黑体" w:eastAsia="黑体"/>
        <w:sz w:val="21"/>
        <w:szCs w:val="2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EEA1C">
    <w:pPr>
      <w:pStyle w:val="18"/>
      <w:jc w:val="lef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T/CIAD XXXX—2026</w:t>
    </w:r>
    <w:r>
      <w:rPr>
        <w:rFonts w:ascii="黑体" w:hAnsi="黑体" w:eastAsia="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05B1A"/>
    <w:multiLevelType w:val="multilevel"/>
    <w:tmpl w:val="80405B1A"/>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4EF7631"/>
    <w:multiLevelType w:val="multilevel"/>
    <w:tmpl w:val="94EF763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97F04E85"/>
    <w:multiLevelType w:val="multilevel"/>
    <w:tmpl w:val="97F04E8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E937BBD9"/>
    <w:multiLevelType w:val="multilevel"/>
    <w:tmpl w:val="E937BBD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5">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A33CC98"/>
    <w:multiLevelType w:val="multilevel"/>
    <w:tmpl w:val="0A33CC9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5">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2CD864CF"/>
    <w:multiLevelType w:val="multilevel"/>
    <w:tmpl w:val="2CD864C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42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default" w:ascii="黑体" w:eastAsia="黑体"/>
        <w:b w:val="0"/>
        <w:i w:val="0"/>
        <w:color w:val="auto"/>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3"/>
  </w:num>
  <w:num w:numId="3">
    <w:abstractNumId w:val="10"/>
  </w:num>
  <w:num w:numId="4">
    <w:abstractNumId w:val="29"/>
  </w:num>
  <w:num w:numId="5">
    <w:abstractNumId w:val="24"/>
  </w:num>
  <w:num w:numId="6">
    <w:abstractNumId w:val="19"/>
  </w:num>
  <w:num w:numId="7">
    <w:abstractNumId w:val="13"/>
  </w:num>
  <w:num w:numId="8">
    <w:abstractNumId w:val="7"/>
  </w:num>
  <w:num w:numId="9">
    <w:abstractNumId w:val="14"/>
  </w:num>
  <w:num w:numId="10">
    <w:abstractNumId w:val="22"/>
  </w:num>
  <w:num w:numId="11">
    <w:abstractNumId w:val="31"/>
  </w:num>
  <w:num w:numId="12">
    <w:abstractNumId w:val="17"/>
  </w:num>
  <w:num w:numId="13">
    <w:abstractNumId w:val="18"/>
  </w:num>
  <w:num w:numId="14">
    <w:abstractNumId w:val="12"/>
  </w:num>
  <w:num w:numId="15">
    <w:abstractNumId w:val="25"/>
  </w:num>
  <w:num w:numId="16">
    <w:abstractNumId w:val="27"/>
  </w:num>
  <w:num w:numId="17">
    <w:abstractNumId w:val="23"/>
  </w:num>
  <w:num w:numId="18">
    <w:abstractNumId w:val="35"/>
  </w:num>
  <w:num w:numId="19">
    <w:abstractNumId w:val="21"/>
  </w:num>
  <w:num w:numId="20">
    <w:abstractNumId w:val="5"/>
  </w:num>
  <w:num w:numId="21">
    <w:abstractNumId w:val="15"/>
  </w:num>
  <w:num w:numId="22">
    <w:abstractNumId w:val="36"/>
  </w:num>
  <w:num w:numId="23">
    <w:abstractNumId w:val="26"/>
  </w:num>
  <w:num w:numId="24">
    <w:abstractNumId w:val="11"/>
  </w:num>
  <w:num w:numId="25">
    <w:abstractNumId w:val="32"/>
  </w:num>
  <w:num w:numId="26">
    <w:abstractNumId w:val="34"/>
  </w:num>
  <w:num w:numId="27">
    <w:abstractNumId w:val="6"/>
  </w:num>
  <w:num w:numId="28">
    <w:abstractNumId w:val="9"/>
  </w:num>
  <w:num w:numId="29">
    <w:abstractNumId w:val="20"/>
  </w:num>
  <w:num w:numId="30">
    <w:abstractNumId w:val="30"/>
  </w:num>
  <w:num w:numId="31">
    <w:abstractNumId w:val="28"/>
  </w:num>
  <w:num w:numId="32">
    <w:abstractNumId w:val="3"/>
  </w:num>
  <w:num w:numId="33">
    <w:abstractNumId w:val="1"/>
  </w:num>
  <w:num w:numId="34">
    <w:abstractNumId w:val="2"/>
  </w:num>
  <w:num w:numId="35">
    <w:abstractNumId w:val="16"/>
  </w:num>
  <w:num w:numId="36">
    <w:abstractNumId w:val="8"/>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3NzgxYTdkYTQ4NzQ1YTg0YWRmYjM4MzNiOTcwYTAifQ=="/>
    <w:docVar w:name="KSO_WPS_MARK_KEY" w:val="51772e09-fd8a-4a46-bfe7-e642f1b7cc47"/>
  </w:docVars>
  <w:rsids>
    <w:rsidRoot w:val="00172A27"/>
    <w:rsid w:val="0000040A"/>
    <w:rsid w:val="00000A94"/>
    <w:rsid w:val="00001972"/>
    <w:rsid w:val="00001D9A"/>
    <w:rsid w:val="00005622"/>
    <w:rsid w:val="00007B3A"/>
    <w:rsid w:val="000107E0"/>
    <w:rsid w:val="00011FDE"/>
    <w:rsid w:val="00012FFD"/>
    <w:rsid w:val="00014162"/>
    <w:rsid w:val="00014340"/>
    <w:rsid w:val="00016A9C"/>
    <w:rsid w:val="00022184"/>
    <w:rsid w:val="00022762"/>
    <w:rsid w:val="000238E0"/>
    <w:rsid w:val="000249DB"/>
    <w:rsid w:val="0002595E"/>
    <w:rsid w:val="00025E83"/>
    <w:rsid w:val="000273F3"/>
    <w:rsid w:val="000303C3"/>
    <w:rsid w:val="000331D3"/>
    <w:rsid w:val="000346A5"/>
    <w:rsid w:val="000359C3"/>
    <w:rsid w:val="00035A7D"/>
    <w:rsid w:val="000365ED"/>
    <w:rsid w:val="0004249A"/>
    <w:rsid w:val="00043144"/>
    <w:rsid w:val="00043282"/>
    <w:rsid w:val="00044286"/>
    <w:rsid w:val="0004607A"/>
    <w:rsid w:val="00047F28"/>
    <w:rsid w:val="000503AA"/>
    <w:rsid w:val="000506A1"/>
    <w:rsid w:val="000515DD"/>
    <w:rsid w:val="0005265A"/>
    <w:rsid w:val="000539DD"/>
    <w:rsid w:val="00053BD3"/>
    <w:rsid w:val="000542E3"/>
    <w:rsid w:val="00054AD2"/>
    <w:rsid w:val="000556ED"/>
    <w:rsid w:val="00055FE2"/>
    <w:rsid w:val="0005616F"/>
    <w:rsid w:val="00057BE6"/>
    <w:rsid w:val="00060C2E"/>
    <w:rsid w:val="00060C6A"/>
    <w:rsid w:val="00061033"/>
    <w:rsid w:val="000619E9"/>
    <w:rsid w:val="00061CA5"/>
    <w:rsid w:val="000622D4"/>
    <w:rsid w:val="000629FE"/>
    <w:rsid w:val="0006357D"/>
    <w:rsid w:val="00067F1E"/>
    <w:rsid w:val="00071CC0"/>
    <w:rsid w:val="00071CFC"/>
    <w:rsid w:val="00073C8C"/>
    <w:rsid w:val="000749E3"/>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6FC7"/>
    <w:rsid w:val="00097346"/>
    <w:rsid w:val="000A0B60"/>
    <w:rsid w:val="000A0EB8"/>
    <w:rsid w:val="000A19FC"/>
    <w:rsid w:val="000A1BFC"/>
    <w:rsid w:val="000A296B"/>
    <w:rsid w:val="000A340B"/>
    <w:rsid w:val="000A7311"/>
    <w:rsid w:val="000A7DA0"/>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5C47"/>
    <w:rsid w:val="000E6C5B"/>
    <w:rsid w:val="000E6FD7"/>
    <w:rsid w:val="000E7144"/>
    <w:rsid w:val="000F06E1"/>
    <w:rsid w:val="000F0E3C"/>
    <w:rsid w:val="000F19D5"/>
    <w:rsid w:val="000F4050"/>
    <w:rsid w:val="000F4AEA"/>
    <w:rsid w:val="000F67E9"/>
    <w:rsid w:val="00104926"/>
    <w:rsid w:val="00105E01"/>
    <w:rsid w:val="00112550"/>
    <w:rsid w:val="00113B1E"/>
    <w:rsid w:val="0011711C"/>
    <w:rsid w:val="00124E4F"/>
    <w:rsid w:val="001260B7"/>
    <w:rsid w:val="001265CB"/>
    <w:rsid w:val="001321C6"/>
    <w:rsid w:val="001325C4"/>
    <w:rsid w:val="00133010"/>
    <w:rsid w:val="001338EE"/>
    <w:rsid w:val="00133AAE"/>
    <w:rsid w:val="00134326"/>
    <w:rsid w:val="00135323"/>
    <w:rsid w:val="001356C4"/>
    <w:rsid w:val="00137565"/>
    <w:rsid w:val="00141114"/>
    <w:rsid w:val="00142969"/>
    <w:rsid w:val="001446C2"/>
    <w:rsid w:val="001457E7"/>
    <w:rsid w:val="00145D9D"/>
    <w:rsid w:val="00146388"/>
    <w:rsid w:val="00146C6A"/>
    <w:rsid w:val="00147115"/>
    <w:rsid w:val="00151087"/>
    <w:rsid w:val="001529E5"/>
    <w:rsid w:val="00152FB3"/>
    <w:rsid w:val="00153C7E"/>
    <w:rsid w:val="00153F56"/>
    <w:rsid w:val="001546D7"/>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9EE"/>
    <w:rsid w:val="00172A27"/>
    <w:rsid w:val="0017340B"/>
    <w:rsid w:val="00173FB1"/>
    <w:rsid w:val="00174A5F"/>
    <w:rsid w:val="00176CC7"/>
    <w:rsid w:val="00176DFD"/>
    <w:rsid w:val="001852C9"/>
    <w:rsid w:val="00187A0B"/>
    <w:rsid w:val="00190087"/>
    <w:rsid w:val="00190E7D"/>
    <w:rsid w:val="001913C4"/>
    <w:rsid w:val="0019348F"/>
    <w:rsid w:val="00193A07"/>
    <w:rsid w:val="00194C95"/>
    <w:rsid w:val="00195C00"/>
    <w:rsid w:val="00195C34"/>
    <w:rsid w:val="00196EF5"/>
    <w:rsid w:val="001A066B"/>
    <w:rsid w:val="001A1A53"/>
    <w:rsid w:val="001A234A"/>
    <w:rsid w:val="001A4716"/>
    <w:rsid w:val="001A4CF3"/>
    <w:rsid w:val="001A6696"/>
    <w:rsid w:val="001B06E8"/>
    <w:rsid w:val="001B4140"/>
    <w:rsid w:val="001B71D0"/>
    <w:rsid w:val="001B71EE"/>
    <w:rsid w:val="001B76CE"/>
    <w:rsid w:val="001C04A8"/>
    <w:rsid w:val="001C2C03"/>
    <w:rsid w:val="001C42F7"/>
    <w:rsid w:val="001C49E5"/>
    <w:rsid w:val="001C680C"/>
    <w:rsid w:val="001C7FEA"/>
    <w:rsid w:val="001D0499"/>
    <w:rsid w:val="001D0BBE"/>
    <w:rsid w:val="001D0ED4"/>
    <w:rsid w:val="001D212F"/>
    <w:rsid w:val="001D2290"/>
    <w:rsid w:val="001D29D7"/>
    <w:rsid w:val="001D2DE7"/>
    <w:rsid w:val="001D411C"/>
    <w:rsid w:val="001D4206"/>
    <w:rsid w:val="001D5D1E"/>
    <w:rsid w:val="001D5F42"/>
    <w:rsid w:val="001E1B6A"/>
    <w:rsid w:val="001E2484"/>
    <w:rsid w:val="001E2736"/>
    <w:rsid w:val="001E3CC4"/>
    <w:rsid w:val="001E4264"/>
    <w:rsid w:val="001E4882"/>
    <w:rsid w:val="001E6297"/>
    <w:rsid w:val="001E647B"/>
    <w:rsid w:val="001E73AB"/>
    <w:rsid w:val="001E78BC"/>
    <w:rsid w:val="001F092D"/>
    <w:rsid w:val="001F143A"/>
    <w:rsid w:val="001F1605"/>
    <w:rsid w:val="001F2508"/>
    <w:rsid w:val="001F26D7"/>
    <w:rsid w:val="001F4816"/>
    <w:rsid w:val="001F69B4"/>
    <w:rsid w:val="001F77C7"/>
    <w:rsid w:val="001F79FE"/>
    <w:rsid w:val="00200183"/>
    <w:rsid w:val="00200333"/>
    <w:rsid w:val="0020107D"/>
    <w:rsid w:val="00202AA4"/>
    <w:rsid w:val="002031F7"/>
    <w:rsid w:val="002040E6"/>
    <w:rsid w:val="002047A0"/>
    <w:rsid w:val="0020527B"/>
    <w:rsid w:val="00205F2C"/>
    <w:rsid w:val="00206937"/>
    <w:rsid w:val="00210B15"/>
    <w:rsid w:val="002142EA"/>
    <w:rsid w:val="00215ADD"/>
    <w:rsid w:val="002204BB"/>
    <w:rsid w:val="00221B79"/>
    <w:rsid w:val="00221C6B"/>
    <w:rsid w:val="00223FEC"/>
    <w:rsid w:val="002253A1"/>
    <w:rsid w:val="00225CF8"/>
    <w:rsid w:val="0022794E"/>
    <w:rsid w:val="00233D64"/>
    <w:rsid w:val="0023482A"/>
    <w:rsid w:val="002359CB"/>
    <w:rsid w:val="00243130"/>
    <w:rsid w:val="00243540"/>
    <w:rsid w:val="00243D00"/>
    <w:rsid w:val="0024497B"/>
    <w:rsid w:val="00244B1B"/>
    <w:rsid w:val="0024515B"/>
    <w:rsid w:val="0024539E"/>
    <w:rsid w:val="00246021"/>
    <w:rsid w:val="0024666E"/>
    <w:rsid w:val="00247C06"/>
    <w:rsid w:val="00247F52"/>
    <w:rsid w:val="00250B25"/>
    <w:rsid w:val="00250BBE"/>
    <w:rsid w:val="002515C2"/>
    <w:rsid w:val="0025194F"/>
    <w:rsid w:val="002601F7"/>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B9D"/>
    <w:rsid w:val="00292BAB"/>
    <w:rsid w:val="00292D60"/>
    <w:rsid w:val="00293B30"/>
    <w:rsid w:val="00294959"/>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829"/>
    <w:rsid w:val="002A7F44"/>
    <w:rsid w:val="002B0C40"/>
    <w:rsid w:val="002B1966"/>
    <w:rsid w:val="002B1DA8"/>
    <w:rsid w:val="002B4508"/>
    <w:rsid w:val="002B4E3F"/>
    <w:rsid w:val="002B5779"/>
    <w:rsid w:val="002B6923"/>
    <w:rsid w:val="002B7332"/>
    <w:rsid w:val="002B7F51"/>
    <w:rsid w:val="002C09E7"/>
    <w:rsid w:val="002C1E06"/>
    <w:rsid w:val="002C3F07"/>
    <w:rsid w:val="002C4449"/>
    <w:rsid w:val="002C5278"/>
    <w:rsid w:val="002C7EBB"/>
    <w:rsid w:val="002D06C1"/>
    <w:rsid w:val="002D3162"/>
    <w:rsid w:val="002D42B5"/>
    <w:rsid w:val="002D4F1A"/>
    <w:rsid w:val="002D6EC6"/>
    <w:rsid w:val="002D79AC"/>
    <w:rsid w:val="002E039D"/>
    <w:rsid w:val="002E2FB0"/>
    <w:rsid w:val="002E4D5A"/>
    <w:rsid w:val="002E6326"/>
    <w:rsid w:val="002F30E0"/>
    <w:rsid w:val="002F35E4"/>
    <w:rsid w:val="002F3730"/>
    <w:rsid w:val="002F38E1"/>
    <w:rsid w:val="002F664E"/>
    <w:rsid w:val="002F7AF6"/>
    <w:rsid w:val="00300E63"/>
    <w:rsid w:val="00302F5F"/>
    <w:rsid w:val="0030441D"/>
    <w:rsid w:val="00306063"/>
    <w:rsid w:val="0031118A"/>
    <w:rsid w:val="00312929"/>
    <w:rsid w:val="00313B85"/>
    <w:rsid w:val="00317988"/>
    <w:rsid w:val="003221B4"/>
    <w:rsid w:val="0032258D"/>
    <w:rsid w:val="00322E62"/>
    <w:rsid w:val="00324D13"/>
    <w:rsid w:val="00324EDD"/>
    <w:rsid w:val="00325542"/>
    <w:rsid w:val="003331E4"/>
    <w:rsid w:val="00336C64"/>
    <w:rsid w:val="00337081"/>
    <w:rsid w:val="00337162"/>
    <w:rsid w:val="0034194F"/>
    <w:rsid w:val="00344605"/>
    <w:rsid w:val="003474AA"/>
    <w:rsid w:val="00350D1D"/>
    <w:rsid w:val="00352C83"/>
    <w:rsid w:val="00352F1A"/>
    <w:rsid w:val="00354999"/>
    <w:rsid w:val="0036107C"/>
    <w:rsid w:val="003615D2"/>
    <w:rsid w:val="0036429C"/>
    <w:rsid w:val="00364A53"/>
    <w:rsid w:val="00364D8F"/>
    <w:rsid w:val="003654CB"/>
    <w:rsid w:val="00365AA9"/>
    <w:rsid w:val="00365F86"/>
    <w:rsid w:val="00365F87"/>
    <w:rsid w:val="00366814"/>
    <w:rsid w:val="00366E89"/>
    <w:rsid w:val="003705F4"/>
    <w:rsid w:val="00370D58"/>
    <w:rsid w:val="00371316"/>
    <w:rsid w:val="00373DC0"/>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1E8"/>
    <w:rsid w:val="003974EB"/>
    <w:rsid w:val="00397CC5"/>
    <w:rsid w:val="003A11D1"/>
    <w:rsid w:val="003A1582"/>
    <w:rsid w:val="003A3D9C"/>
    <w:rsid w:val="003A4077"/>
    <w:rsid w:val="003A4AA7"/>
    <w:rsid w:val="003B09AD"/>
    <w:rsid w:val="003B1F18"/>
    <w:rsid w:val="003B5BF0"/>
    <w:rsid w:val="003B60BF"/>
    <w:rsid w:val="003B6BE3"/>
    <w:rsid w:val="003B6E8C"/>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10D"/>
    <w:rsid w:val="00401400"/>
    <w:rsid w:val="00404869"/>
    <w:rsid w:val="00405884"/>
    <w:rsid w:val="00407D39"/>
    <w:rsid w:val="0041477A"/>
    <w:rsid w:val="004167A3"/>
    <w:rsid w:val="00432DAA"/>
    <w:rsid w:val="00434305"/>
    <w:rsid w:val="00434F46"/>
    <w:rsid w:val="00435DF7"/>
    <w:rsid w:val="0043741A"/>
    <w:rsid w:val="0044083F"/>
    <w:rsid w:val="00441AE7"/>
    <w:rsid w:val="00444B0C"/>
    <w:rsid w:val="00445574"/>
    <w:rsid w:val="004467FB"/>
    <w:rsid w:val="004528E9"/>
    <w:rsid w:val="00452D6B"/>
    <w:rsid w:val="004535C3"/>
    <w:rsid w:val="00454484"/>
    <w:rsid w:val="0045517B"/>
    <w:rsid w:val="00463B77"/>
    <w:rsid w:val="00463C7B"/>
    <w:rsid w:val="00463FF2"/>
    <w:rsid w:val="004644A6"/>
    <w:rsid w:val="004659BD"/>
    <w:rsid w:val="00470775"/>
    <w:rsid w:val="00472B8C"/>
    <w:rsid w:val="004746B1"/>
    <w:rsid w:val="0047583F"/>
    <w:rsid w:val="00475DE8"/>
    <w:rsid w:val="00481283"/>
    <w:rsid w:val="00481C44"/>
    <w:rsid w:val="00484936"/>
    <w:rsid w:val="00485C89"/>
    <w:rsid w:val="00486BE3"/>
    <w:rsid w:val="004905E4"/>
    <w:rsid w:val="00490A89"/>
    <w:rsid w:val="00490AB4"/>
    <w:rsid w:val="00491FBB"/>
    <w:rsid w:val="00492F02"/>
    <w:rsid w:val="004939AE"/>
    <w:rsid w:val="004A048B"/>
    <w:rsid w:val="004A12DF"/>
    <w:rsid w:val="004A1BA8"/>
    <w:rsid w:val="004A3A0B"/>
    <w:rsid w:val="004A4B57"/>
    <w:rsid w:val="004A63FA"/>
    <w:rsid w:val="004A6A3D"/>
    <w:rsid w:val="004B0272"/>
    <w:rsid w:val="004B24C9"/>
    <w:rsid w:val="004B2701"/>
    <w:rsid w:val="004B2E1B"/>
    <w:rsid w:val="004B3AA8"/>
    <w:rsid w:val="004B3E93"/>
    <w:rsid w:val="004C1FBC"/>
    <w:rsid w:val="004C25A2"/>
    <w:rsid w:val="004C3F1D"/>
    <w:rsid w:val="004C458D"/>
    <w:rsid w:val="004C5D49"/>
    <w:rsid w:val="004C654C"/>
    <w:rsid w:val="004C7556"/>
    <w:rsid w:val="004C7E8B"/>
    <w:rsid w:val="004C7E9D"/>
    <w:rsid w:val="004C7F67"/>
    <w:rsid w:val="004D076D"/>
    <w:rsid w:val="004D0EF1"/>
    <w:rsid w:val="004D2253"/>
    <w:rsid w:val="004D4406"/>
    <w:rsid w:val="004D6899"/>
    <w:rsid w:val="004D7C42"/>
    <w:rsid w:val="004E0465"/>
    <w:rsid w:val="004E127B"/>
    <w:rsid w:val="004E1C0A"/>
    <w:rsid w:val="004E30C5"/>
    <w:rsid w:val="004E4AA5"/>
    <w:rsid w:val="004E4AEE"/>
    <w:rsid w:val="004E59E3"/>
    <w:rsid w:val="004E67C0"/>
    <w:rsid w:val="004F1218"/>
    <w:rsid w:val="004F391A"/>
    <w:rsid w:val="004F3CFB"/>
    <w:rsid w:val="004F6456"/>
    <w:rsid w:val="004F696E"/>
    <w:rsid w:val="004F6C71"/>
    <w:rsid w:val="00501139"/>
    <w:rsid w:val="0050363E"/>
    <w:rsid w:val="005039BC"/>
    <w:rsid w:val="005043BB"/>
    <w:rsid w:val="00504A3D"/>
    <w:rsid w:val="00505767"/>
    <w:rsid w:val="0050638A"/>
    <w:rsid w:val="005073F0"/>
    <w:rsid w:val="00507E8B"/>
    <w:rsid w:val="00510A7B"/>
    <w:rsid w:val="0051257E"/>
    <w:rsid w:val="00512F6E"/>
    <w:rsid w:val="00513038"/>
    <w:rsid w:val="00514174"/>
    <w:rsid w:val="00516088"/>
    <w:rsid w:val="00516B0B"/>
    <w:rsid w:val="005220EC"/>
    <w:rsid w:val="00523872"/>
    <w:rsid w:val="00523F95"/>
    <w:rsid w:val="00524D65"/>
    <w:rsid w:val="0052576C"/>
    <w:rsid w:val="00525B16"/>
    <w:rsid w:val="00526FA4"/>
    <w:rsid w:val="00532470"/>
    <w:rsid w:val="00533D04"/>
    <w:rsid w:val="005342BD"/>
    <w:rsid w:val="00534804"/>
    <w:rsid w:val="00534BDF"/>
    <w:rsid w:val="005354EA"/>
    <w:rsid w:val="0053585F"/>
    <w:rsid w:val="00535EC4"/>
    <w:rsid w:val="00535ED9"/>
    <w:rsid w:val="0053692B"/>
    <w:rsid w:val="00537C28"/>
    <w:rsid w:val="00541853"/>
    <w:rsid w:val="00543BDA"/>
    <w:rsid w:val="005441CC"/>
    <w:rsid w:val="005479DA"/>
    <w:rsid w:val="00547BCC"/>
    <w:rsid w:val="0055013B"/>
    <w:rsid w:val="00551F6F"/>
    <w:rsid w:val="00555044"/>
    <w:rsid w:val="00556820"/>
    <w:rsid w:val="00556EDB"/>
    <w:rsid w:val="0055745D"/>
    <w:rsid w:val="00561475"/>
    <w:rsid w:val="00561673"/>
    <w:rsid w:val="00562308"/>
    <w:rsid w:val="0056487B"/>
    <w:rsid w:val="00564FB9"/>
    <w:rsid w:val="00570557"/>
    <w:rsid w:val="00571C46"/>
    <w:rsid w:val="00573371"/>
    <w:rsid w:val="00573D9E"/>
    <w:rsid w:val="00575235"/>
    <w:rsid w:val="005801E3"/>
    <w:rsid w:val="005807DC"/>
    <w:rsid w:val="00581802"/>
    <w:rsid w:val="005836A8"/>
    <w:rsid w:val="0058409C"/>
    <w:rsid w:val="005841C2"/>
    <w:rsid w:val="00584262"/>
    <w:rsid w:val="00586630"/>
    <w:rsid w:val="00587ADD"/>
    <w:rsid w:val="00593A49"/>
    <w:rsid w:val="00596160"/>
    <w:rsid w:val="005966E2"/>
    <w:rsid w:val="00597007"/>
    <w:rsid w:val="005A0966"/>
    <w:rsid w:val="005A11B7"/>
    <w:rsid w:val="005A260B"/>
    <w:rsid w:val="005A4A1B"/>
    <w:rsid w:val="005A56D7"/>
    <w:rsid w:val="005A7830"/>
    <w:rsid w:val="005A7FCE"/>
    <w:rsid w:val="005B0F3F"/>
    <w:rsid w:val="005B191C"/>
    <w:rsid w:val="005B4903"/>
    <w:rsid w:val="005B51CE"/>
    <w:rsid w:val="005B5885"/>
    <w:rsid w:val="005B5CD7"/>
    <w:rsid w:val="005B6CF6"/>
    <w:rsid w:val="005B7422"/>
    <w:rsid w:val="005C088A"/>
    <w:rsid w:val="005C29B8"/>
    <w:rsid w:val="005C5F21"/>
    <w:rsid w:val="005C7156"/>
    <w:rsid w:val="005D0C75"/>
    <w:rsid w:val="005D4171"/>
    <w:rsid w:val="005D5AC9"/>
    <w:rsid w:val="005D5D4E"/>
    <w:rsid w:val="005D6A95"/>
    <w:rsid w:val="005D6B2C"/>
    <w:rsid w:val="005D6D9C"/>
    <w:rsid w:val="005E0C5B"/>
    <w:rsid w:val="005E2335"/>
    <w:rsid w:val="005E34CA"/>
    <w:rsid w:val="005E3C18"/>
    <w:rsid w:val="005E4250"/>
    <w:rsid w:val="005E6812"/>
    <w:rsid w:val="005E7881"/>
    <w:rsid w:val="005E78E0"/>
    <w:rsid w:val="005F0D9C"/>
    <w:rsid w:val="005F284E"/>
    <w:rsid w:val="006015CE"/>
    <w:rsid w:val="00602F8A"/>
    <w:rsid w:val="00604784"/>
    <w:rsid w:val="00606419"/>
    <w:rsid w:val="00607D29"/>
    <w:rsid w:val="00612952"/>
    <w:rsid w:val="006143AB"/>
    <w:rsid w:val="00614CC1"/>
    <w:rsid w:val="00615A9D"/>
    <w:rsid w:val="00616BD0"/>
    <w:rsid w:val="00617387"/>
    <w:rsid w:val="006205D6"/>
    <w:rsid w:val="006252D8"/>
    <w:rsid w:val="006259BC"/>
    <w:rsid w:val="006260A0"/>
    <w:rsid w:val="0062636B"/>
    <w:rsid w:val="00632182"/>
    <w:rsid w:val="00632AE0"/>
    <w:rsid w:val="00633C17"/>
    <w:rsid w:val="00634D9E"/>
    <w:rsid w:val="00636E3E"/>
    <w:rsid w:val="006379F7"/>
    <w:rsid w:val="00637E4D"/>
    <w:rsid w:val="00640620"/>
    <w:rsid w:val="00641A1F"/>
    <w:rsid w:val="00645904"/>
    <w:rsid w:val="006514DC"/>
    <w:rsid w:val="00651ACB"/>
    <w:rsid w:val="00651C47"/>
    <w:rsid w:val="00652AB2"/>
    <w:rsid w:val="00653FED"/>
    <w:rsid w:val="00654EC0"/>
    <w:rsid w:val="0065525B"/>
    <w:rsid w:val="00655D4F"/>
    <w:rsid w:val="00656D29"/>
    <w:rsid w:val="006640E5"/>
    <w:rsid w:val="006646F1"/>
    <w:rsid w:val="00664929"/>
    <w:rsid w:val="00664F62"/>
    <w:rsid w:val="006655E1"/>
    <w:rsid w:val="00665BAD"/>
    <w:rsid w:val="00666493"/>
    <w:rsid w:val="00670115"/>
    <w:rsid w:val="00672060"/>
    <w:rsid w:val="00672BFD"/>
    <w:rsid w:val="00675481"/>
    <w:rsid w:val="006770F4"/>
    <w:rsid w:val="00677A84"/>
    <w:rsid w:val="0068026D"/>
    <w:rsid w:val="00680A27"/>
    <w:rsid w:val="006816A4"/>
    <w:rsid w:val="006819B8"/>
    <w:rsid w:val="006828EF"/>
    <w:rsid w:val="006840A6"/>
    <w:rsid w:val="006850CD"/>
    <w:rsid w:val="00685AAB"/>
    <w:rsid w:val="00692B2D"/>
    <w:rsid w:val="00693962"/>
    <w:rsid w:val="0069418E"/>
    <w:rsid w:val="006A04D7"/>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B42"/>
    <w:rsid w:val="006D3E96"/>
    <w:rsid w:val="006D4515"/>
    <w:rsid w:val="006D4BB1"/>
    <w:rsid w:val="006D6593"/>
    <w:rsid w:val="006E775C"/>
    <w:rsid w:val="006F03A8"/>
    <w:rsid w:val="006F28A3"/>
    <w:rsid w:val="006F2ACA"/>
    <w:rsid w:val="006F2ADC"/>
    <w:rsid w:val="006F2BFE"/>
    <w:rsid w:val="006F31E9"/>
    <w:rsid w:val="006F6284"/>
    <w:rsid w:val="007002C5"/>
    <w:rsid w:val="00704387"/>
    <w:rsid w:val="00707669"/>
    <w:rsid w:val="00711692"/>
    <w:rsid w:val="00711CBA"/>
    <w:rsid w:val="00711FB5"/>
    <w:rsid w:val="00712A01"/>
    <w:rsid w:val="00713062"/>
    <w:rsid w:val="00714F58"/>
    <w:rsid w:val="00722FBF"/>
    <w:rsid w:val="00722FC2"/>
    <w:rsid w:val="00724E1B"/>
    <w:rsid w:val="00725949"/>
    <w:rsid w:val="00727FA2"/>
    <w:rsid w:val="00732078"/>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196"/>
    <w:rsid w:val="007501A8"/>
    <w:rsid w:val="00750D61"/>
    <w:rsid w:val="00750EE1"/>
    <w:rsid w:val="00752B4D"/>
    <w:rsid w:val="00755402"/>
    <w:rsid w:val="00756B26"/>
    <w:rsid w:val="00756EDF"/>
    <w:rsid w:val="007600E3"/>
    <w:rsid w:val="00762AE5"/>
    <w:rsid w:val="00765C43"/>
    <w:rsid w:val="00765EFB"/>
    <w:rsid w:val="007671CA"/>
    <w:rsid w:val="00767C61"/>
    <w:rsid w:val="0077008A"/>
    <w:rsid w:val="007706D3"/>
    <w:rsid w:val="0077087F"/>
    <w:rsid w:val="00771B68"/>
    <w:rsid w:val="00773C1F"/>
    <w:rsid w:val="00774DA4"/>
    <w:rsid w:val="00776599"/>
    <w:rsid w:val="00781071"/>
    <w:rsid w:val="0078114B"/>
    <w:rsid w:val="00781DD2"/>
    <w:rsid w:val="00783ECF"/>
    <w:rsid w:val="0078413A"/>
    <w:rsid w:val="007959E8"/>
    <w:rsid w:val="00795E9C"/>
    <w:rsid w:val="007A0521"/>
    <w:rsid w:val="007A091B"/>
    <w:rsid w:val="007A2E12"/>
    <w:rsid w:val="007A3475"/>
    <w:rsid w:val="007A41C8"/>
    <w:rsid w:val="007A54CE"/>
    <w:rsid w:val="007A5D3A"/>
    <w:rsid w:val="007A6FD9"/>
    <w:rsid w:val="007A7FFA"/>
    <w:rsid w:val="007B04EB"/>
    <w:rsid w:val="007B0D4F"/>
    <w:rsid w:val="007B57C3"/>
    <w:rsid w:val="007B5A3D"/>
    <w:rsid w:val="007B5B95"/>
    <w:rsid w:val="007B6032"/>
    <w:rsid w:val="007B6481"/>
    <w:rsid w:val="007B68EA"/>
    <w:rsid w:val="007B7453"/>
    <w:rsid w:val="007C0F2D"/>
    <w:rsid w:val="007C2D89"/>
    <w:rsid w:val="007C4593"/>
    <w:rsid w:val="007C5309"/>
    <w:rsid w:val="007C5527"/>
    <w:rsid w:val="007C6069"/>
    <w:rsid w:val="007D06C4"/>
    <w:rsid w:val="007D1352"/>
    <w:rsid w:val="007D1736"/>
    <w:rsid w:val="007D2508"/>
    <w:rsid w:val="007D346A"/>
    <w:rsid w:val="007D6518"/>
    <w:rsid w:val="007D73AD"/>
    <w:rsid w:val="007D76BD"/>
    <w:rsid w:val="007E0BF1"/>
    <w:rsid w:val="007E5015"/>
    <w:rsid w:val="007E680A"/>
    <w:rsid w:val="007F0ED8"/>
    <w:rsid w:val="007F0F63"/>
    <w:rsid w:val="007F75CE"/>
    <w:rsid w:val="008013A4"/>
    <w:rsid w:val="008027CE"/>
    <w:rsid w:val="00802F42"/>
    <w:rsid w:val="00804383"/>
    <w:rsid w:val="00804BB7"/>
    <w:rsid w:val="00804D41"/>
    <w:rsid w:val="00805F37"/>
    <w:rsid w:val="00810257"/>
    <w:rsid w:val="008104F5"/>
    <w:rsid w:val="00811072"/>
    <w:rsid w:val="00811369"/>
    <w:rsid w:val="0081213F"/>
    <w:rsid w:val="00815419"/>
    <w:rsid w:val="008163C8"/>
    <w:rsid w:val="008164A1"/>
    <w:rsid w:val="00816C31"/>
    <w:rsid w:val="00817325"/>
    <w:rsid w:val="008209E6"/>
    <w:rsid w:val="00821D19"/>
    <w:rsid w:val="00823303"/>
    <w:rsid w:val="008233B2"/>
    <w:rsid w:val="00823A9F"/>
    <w:rsid w:val="00823C85"/>
    <w:rsid w:val="00825138"/>
    <w:rsid w:val="008269DD"/>
    <w:rsid w:val="00826A85"/>
    <w:rsid w:val="00830621"/>
    <w:rsid w:val="00830850"/>
    <w:rsid w:val="0083348C"/>
    <w:rsid w:val="008357FF"/>
    <w:rsid w:val="008373D3"/>
    <w:rsid w:val="00840617"/>
    <w:rsid w:val="00840F84"/>
    <w:rsid w:val="00842A47"/>
    <w:rsid w:val="00843C13"/>
    <w:rsid w:val="00843DEF"/>
    <w:rsid w:val="008454F8"/>
    <w:rsid w:val="0085173A"/>
    <w:rsid w:val="0085318C"/>
    <w:rsid w:val="008603CE"/>
    <w:rsid w:val="00861B7B"/>
    <w:rsid w:val="008620FC"/>
    <w:rsid w:val="008627A5"/>
    <w:rsid w:val="00863E05"/>
    <w:rsid w:val="00865ACA"/>
    <w:rsid w:val="00865D28"/>
    <w:rsid w:val="00865F85"/>
    <w:rsid w:val="00867C10"/>
    <w:rsid w:val="00870439"/>
    <w:rsid w:val="00870DA1"/>
    <w:rsid w:val="00883910"/>
    <w:rsid w:val="00883F93"/>
    <w:rsid w:val="00884DB3"/>
    <w:rsid w:val="00885A9D"/>
    <w:rsid w:val="00885F8D"/>
    <w:rsid w:val="008864F6"/>
    <w:rsid w:val="008870EE"/>
    <w:rsid w:val="0089049D"/>
    <w:rsid w:val="008928C9"/>
    <w:rsid w:val="008930CB"/>
    <w:rsid w:val="00893649"/>
    <w:rsid w:val="008938DC"/>
    <w:rsid w:val="00893FD1"/>
    <w:rsid w:val="00894836"/>
    <w:rsid w:val="00895172"/>
    <w:rsid w:val="00895680"/>
    <w:rsid w:val="00896DFF"/>
    <w:rsid w:val="0089762C"/>
    <w:rsid w:val="008A173B"/>
    <w:rsid w:val="008A1893"/>
    <w:rsid w:val="008A4835"/>
    <w:rsid w:val="008A57E6"/>
    <w:rsid w:val="008A6726"/>
    <w:rsid w:val="008A6F81"/>
    <w:rsid w:val="008A769A"/>
    <w:rsid w:val="008B0C9C"/>
    <w:rsid w:val="008B166D"/>
    <w:rsid w:val="008B17F4"/>
    <w:rsid w:val="008B3615"/>
    <w:rsid w:val="008B4AC4"/>
    <w:rsid w:val="008B50C8"/>
    <w:rsid w:val="008B5281"/>
    <w:rsid w:val="008B7E05"/>
    <w:rsid w:val="008C1797"/>
    <w:rsid w:val="008C219C"/>
    <w:rsid w:val="008C277F"/>
    <w:rsid w:val="008C475E"/>
    <w:rsid w:val="008C5721"/>
    <w:rsid w:val="008C619A"/>
    <w:rsid w:val="008D0CE8"/>
    <w:rsid w:val="008D2D1D"/>
    <w:rsid w:val="008D453D"/>
    <w:rsid w:val="008D4EE8"/>
    <w:rsid w:val="008D53AD"/>
    <w:rsid w:val="008D562B"/>
    <w:rsid w:val="008D5733"/>
    <w:rsid w:val="008D622B"/>
    <w:rsid w:val="008D666C"/>
    <w:rsid w:val="008D7B54"/>
    <w:rsid w:val="008E0C9D"/>
    <w:rsid w:val="008E1648"/>
    <w:rsid w:val="008E1B3E"/>
    <w:rsid w:val="008E2319"/>
    <w:rsid w:val="008E3921"/>
    <w:rsid w:val="008E4BB6"/>
    <w:rsid w:val="008E5518"/>
    <w:rsid w:val="008E6A84"/>
    <w:rsid w:val="008F0732"/>
    <w:rsid w:val="008F0CDC"/>
    <w:rsid w:val="008F17A3"/>
    <w:rsid w:val="008F1ED3"/>
    <w:rsid w:val="008F4C29"/>
    <w:rsid w:val="008F70BD"/>
    <w:rsid w:val="008F788F"/>
    <w:rsid w:val="008F7EA2"/>
    <w:rsid w:val="00902722"/>
    <w:rsid w:val="009027BC"/>
    <w:rsid w:val="009062E6"/>
    <w:rsid w:val="00906786"/>
    <w:rsid w:val="00911BE5"/>
    <w:rsid w:val="00913CA9"/>
    <w:rsid w:val="009145AE"/>
    <w:rsid w:val="009146CE"/>
    <w:rsid w:val="00914CA7"/>
    <w:rsid w:val="00915C3E"/>
    <w:rsid w:val="009161A8"/>
    <w:rsid w:val="0092422A"/>
    <w:rsid w:val="009245AE"/>
    <w:rsid w:val="009245F5"/>
    <w:rsid w:val="009249EC"/>
    <w:rsid w:val="00925332"/>
    <w:rsid w:val="00926384"/>
    <w:rsid w:val="009273B3"/>
    <w:rsid w:val="009305B5"/>
    <w:rsid w:val="00931476"/>
    <w:rsid w:val="009378DD"/>
    <w:rsid w:val="009429D5"/>
    <w:rsid w:val="00942BF1"/>
    <w:rsid w:val="00945180"/>
    <w:rsid w:val="00945428"/>
    <w:rsid w:val="00945BA0"/>
    <w:rsid w:val="0094607B"/>
    <w:rsid w:val="00953604"/>
    <w:rsid w:val="0095496B"/>
    <w:rsid w:val="00955264"/>
    <w:rsid w:val="009578AE"/>
    <w:rsid w:val="00960F1E"/>
    <w:rsid w:val="009610DC"/>
    <w:rsid w:val="00961490"/>
    <w:rsid w:val="0096381A"/>
    <w:rsid w:val="00965E04"/>
    <w:rsid w:val="009674AD"/>
    <w:rsid w:val="00970CDC"/>
    <w:rsid w:val="0097118A"/>
    <w:rsid w:val="00975727"/>
    <w:rsid w:val="00975D66"/>
    <w:rsid w:val="00977010"/>
    <w:rsid w:val="009776DA"/>
    <w:rsid w:val="00977D02"/>
    <w:rsid w:val="00977FF9"/>
    <w:rsid w:val="009809BB"/>
    <w:rsid w:val="0098364B"/>
    <w:rsid w:val="00990387"/>
    <w:rsid w:val="009908A3"/>
    <w:rsid w:val="009911AF"/>
    <w:rsid w:val="00991875"/>
    <w:rsid w:val="00991F92"/>
    <w:rsid w:val="00992985"/>
    <w:rsid w:val="00993889"/>
    <w:rsid w:val="0099551B"/>
    <w:rsid w:val="00996BD2"/>
    <w:rsid w:val="00996BE5"/>
    <w:rsid w:val="00996ED7"/>
    <w:rsid w:val="00997BF1"/>
    <w:rsid w:val="009A089C"/>
    <w:rsid w:val="009A118E"/>
    <w:rsid w:val="009A21CD"/>
    <w:rsid w:val="009A278C"/>
    <w:rsid w:val="009A2BC2"/>
    <w:rsid w:val="009A42C1"/>
    <w:rsid w:val="009A5429"/>
    <w:rsid w:val="009A5857"/>
    <w:rsid w:val="009A72AD"/>
    <w:rsid w:val="009B09E0"/>
    <w:rsid w:val="009B0BC5"/>
    <w:rsid w:val="009B1247"/>
    <w:rsid w:val="009B31AF"/>
    <w:rsid w:val="009B6007"/>
    <w:rsid w:val="009B6029"/>
    <w:rsid w:val="009B6971"/>
    <w:rsid w:val="009C27F1"/>
    <w:rsid w:val="009C3152"/>
    <w:rsid w:val="009C3257"/>
    <w:rsid w:val="009C4CFA"/>
    <w:rsid w:val="009C5070"/>
    <w:rsid w:val="009D112C"/>
    <w:rsid w:val="009D1385"/>
    <w:rsid w:val="009D1FBA"/>
    <w:rsid w:val="009D47FA"/>
    <w:rsid w:val="009D4C5B"/>
    <w:rsid w:val="009D50D2"/>
    <w:rsid w:val="009D6BCA"/>
    <w:rsid w:val="009E0F62"/>
    <w:rsid w:val="009E4792"/>
    <w:rsid w:val="009E4A58"/>
    <w:rsid w:val="009E5A2D"/>
    <w:rsid w:val="009E5AB2"/>
    <w:rsid w:val="009E6219"/>
    <w:rsid w:val="009F03B3"/>
    <w:rsid w:val="009F4FC6"/>
    <w:rsid w:val="009F77A4"/>
    <w:rsid w:val="009F7953"/>
    <w:rsid w:val="00A0096C"/>
    <w:rsid w:val="00A01757"/>
    <w:rsid w:val="00A028C0"/>
    <w:rsid w:val="00A02BAE"/>
    <w:rsid w:val="00A055A0"/>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8F2"/>
    <w:rsid w:val="00A4006C"/>
    <w:rsid w:val="00A40091"/>
    <w:rsid w:val="00A4030F"/>
    <w:rsid w:val="00A41C79"/>
    <w:rsid w:val="00A41CB5"/>
    <w:rsid w:val="00A42CDF"/>
    <w:rsid w:val="00A4452E"/>
    <w:rsid w:val="00A4472C"/>
    <w:rsid w:val="00A44E69"/>
    <w:rsid w:val="00A4661E"/>
    <w:rsid w:val="00A537F4"/>
    <w:rsid w:val="00A55BD6"/>
    <w:rsid w:val="00A55D50"/>
    <w:rsid w:val="00A57142"/>
    <w:rsid w:val="00A648CD"/>
    <w:rsid w:val="00A6537A"/>
    <w:rsid w:val="00A67866"/>
    <w:rsid w:val="00A67EB3"/>
    <w:rsid w:val="00A70B07"/>
    <w:rsid w:val="00A723F8"/>
    <w:rsid w:val="00A77CCB"/>
    <w:rsid w:val="00A82935"/>
    <w:rsid w:val="00A82F53"/>
    <w:rsid w:val="00A83D8D"/>
    <w:rsid w:val="00A8446B"/>
    <w:rsid w:val="00A8473F"/>
    <w:rsid w:val="00A862D6"/>
    <w:rsid w:val="00A8715E"/>
    <w:rsid w:val="00A9295B"/>
    <w:rsid w:val="00A93B09"/>
    <w:rsid w:val="00A946B6"/>
    <w:rsid w:val="00A952D7"/>
    <w:rsid w:val="00A95A9A"/>
    <w:rsid w:val="00A95CB1"/>
    <w:rsid w:val="00A963F7"/>
    <w:rsid w:val="00A96AD8"/>
    <w:rsid w:val="00AA052C"/>
    <w:rsid w:val="00AA1E45"/>
    <w:rsid w:val="00AA3CEC"/>
    <w:rsid w:val="00AA4286"/>
    <w:rsid w:val="00AA456B"/>
    <w:rsid w:val="00AA57F5"/>
    <w:rsid w:val="00AA5BF2"/>
    <w:rsid w:val="00AA672E"/>
    <w:rsid w:val="00AA6EC9"/>
    <w:rsid w:val="00AB6309"/>
    <w:rsid w:val="00AB6C5F"/>
    <w:rsid w:val="00AB7129"/>
    <w:rsid w:val="00AC27A6"/>
    <w:rsid w:val="00AC2CD2"/>
    <w:rsid w:val="00AC30F7"/>
    <w:rsid w:val="00AC3A5A"/>
    <w:rsid w:val="00AC4D95"/>
    <w:rsid w:val="00AC5DF4"/>
    <w:rsid w:val="00AD0AEF"/>
    <w:rsid w:val="00AD0D50"/>
    <w:rsid w:val="00AD11B7"/>
    <w:rsid w:val="00AD1A94"/>
    <w:rsid w:val="00AD1C05"/>
    <w:rsid w:val="00AD23E7"/>
    <w:rsid w:val="00AD4126"/>
    <w:rsid w:val="00AD421C"/>
    <w:rsid w:val="00AD44FA"/>
    <w:rsid w:val="00AE070A"/>
    <w:rsid w:val="00AE07A0"/>
    <w:rsid w:val="00AE101C"/>
    <w:rsid w:val="00AE2A69"/>
    <w:rsid w:val="00AE37E5"/>
    <w:rsid w:val="00AE5EB4"/>
    <w:rsid w:val="00AF0C18"/>
    <w:rsid w:val="00AF47C5"/>
    <w:rsid w:val="00AF5398"/>
    <w:rsid w:val="00B03FE6"/>
    <w:rsid w:val="00B049AF"/>
    <w:rsid w:val="00B07242"/>
    <w:rsid w:val="00B10534"/>
    <w:rsid w:val="00B113DB"/>
    <w:rsid w:val="00B11D8A"/>
    <w:rsid w:val="00B12981"/>
    <w:rsid w:val="00B147DD"/>
    <w:rsid w:val="00B152E2"/>
    <w:rsid w:val="00B156FD"/>
    <w:rsid w:val="00B21F61"/>
    <w:rsid w:val="00B2562A"/>
    <w:rsid w:val="00B261F1"/>
    <w:rsid w:val="00B265BC"/>
    <w:rsid w:val="00B316FF"/>
    <w:rsid w:val="00B31FB1"/>
    <w:rsid w:val="00B33952"/>
    <w:rsid w:val="00B33C5E"/>
    <w:rsid w:val="00B342F4"/>
    <w:rsid w:val="00B34369"/>
    <w:rsid w:val="00B34DC2"/>
    <w:rsid w:val="00B35C75"/>
    <w:rsid w:val="00B378E5"/>
    <w:rsid w:val="00B4346D"/>
    <w:rsid w:val="00B440F4"/>
    <w:rsid w:val="00B447A5"/>
    <w:rsid w:val="00B44D09"/>
    <w:rsid w:val="00B4654C"/>
    <w:rsid w:val="00B47293"/>
    <w:rsid w:val="00B50E50"/>
    <w:rsid w:val="00B52120"/>
    <w:rsid w:val="00B52F36"/>
    <w:rsid w:val="00B52FF9"/>
    <w:rsid w:val="00B53C85"/>
    <w:rsid w:val="00B54ABC"/>
    <w:rsid w:val="00B561ED"/>
    <w:rsid w:val="00B56FBE"/>
    <w:rsid w:val="00B60ACF"/>
    <w:rsid w:val="00B61590"/>
    <w:rsid w:val="00B62B58"/>
    <w:rsid w:val="00B62DFA"/>
    <w:rsid w:val="00B65149"/>
    <w:rsid w:val="00B66567"/>
    <w:rsid w:val="00B66F52"/>
    <w:rsid w:val="00B66FE5"/>
    <w:rsid w:val="00B72880"/>
    <w:rsid w:val="00B758BF"/>
    <w:rsid w:val="00B76409"/>
    <w:rsid w:val="00B77EC8"/>
    <w:rsid w:val="00B827A6"/>
    <w:rsid w:val="00B831CE"/>
    <w:rsid w:val="00B83FA0"/>
    <w:rsid w:val="00B86677"/>
    <w:rsid w:val="00B87131"/>
    <w:rsid w:val="00B915BC"/>
    <w:rsid w:val="00B939B1"/>
    <w:rsid w:val="00B96D40"/>
    <w:rsid w:val="00B97386"/>
    <w:rsid w:val="00BA263B"/>
    <w:rsid w:val="00BA42B2"/>
    <w:rsid w:val="00BA58D4"/>
    <w:rsid w:val="00BA5B9E"/>
    <w:rsid w:val="00BA6BD6"/>
    <w:rsid w:val="00BA7C9A"/>
    <w:rsid w:val="00BA7CA7"/>
    <w:rsid w:val="00BB1B3E"/>
    <w:rsid w:val="00BB5F8F"/>
    <w:rsid w:val="00BB657A"/>
    <w:rsid w:val="00BC1A4E"/>
    <w:rsid w:val="00BC1EAB"/>
    <w:rsid w:val="00BC52D3"/>
    <w:rsid w:val="00BC5DC7"/>
    <w:rsid w:val="00BC6B8B"/>
    <w:rsid w:val="00BC73D8"/>
    <w:rsid w:val="00BD240B"/>
    <w:rsid w:val="00BD2CF1"/>
    <w:rsid w:val="00BD2F56"/>
    <w:rsid w:val="00BD52D7"/>
    <w:rsid w:val="00BD5AD2"/>
    <w:rsid w:val="00BE22F3"/>
    <w:rsid w:val="00BE5B52"/>
    <w:rsid w:val="00BE7B8D"/>
    <w:rsid w:val="00BF0993"/>
    <w:rsid w:val="00BF10A9"/>
    <w:rsid w:val="00BF1703"/>
    <w:rsid w:val="00BF231C"/>
    <w:rsid w:val="00BF51E5"/>
    <w:rsid w:val="00BF74A6"/>
    <w:rsid w:val="00BF7512"/>
    <w:rsid w:val="00C013AD"/>
    <w:rsid w:val="00C04904"/>
    <w:rsid w:val="00C056B3"/>
    <w:rsid w:val="00C103E5"/>
    <w:rsid w:val="00C13319"/>
    <w:rsid w:val="00C13EE9"/>
    <w:rsid w:val="00C20910"/>
    <w:rsid w:val="00C21540"/>
    <w:rsid w:val="00C21906"/>
    <w:rsid w:val="00C21BFA"/>
    <w:rsid w:val="00C24C8D"/>
    <w:rsid w:val="00C25FE2"/>
    <w:rsid w:val="00C26B53"/>
    <w:rsid w:val="00C279B2"/>
    <w:rsid w:val="00C33E50"/>
    <w:rsid w:val="00C34C20"/>
    <w:rsid w:val="00C35211"/>
    <w:rsid w:val="00C35A3E"/>
    <w:rsid w:val="00C3609B"/>
    <w:rsid w:val="00C42130"/>
    <w:rsid w:val="00C423A4"/>
    <w:rsid w:val="00C423E3"/>
    <w:rsid w:val="00C43636"/>
    <w:rsid w:val="00C44BF5"/>
    <w:rsid w:val="00C521D6"/>
    <w:rsid w:val="00C55232"/>
    <w:rsid w:val="00C553A4"/>
    <w:rsid w:val="00C55A06"/>
    <w:rsid w:val="00C55D03"/>
    <w:rsid w:val="00C601BC"/>
    <w:rsid w:val="00C6329F"/>
    <w:rsid w:val="00C63340"/>
    <w:rsid w:val="00C643F9"/>
    <w:rsid w:val="00C64E95"/>
    <w:rsid w:val="00C6664C"/>
    <w:rsid w:val="00C67C52"/>
    <w:rsid w:val="00C71372"/>
    <w:rsid w:val="00C72410"/>
    <w:rsid w:val="00C7287F"/>
    <w:rsid w:val="00C80CB8"/>
    <w:rsid w:val="00C819F8"/>
    <w:rsid w:val="00C8248C"/>
    <w:rsid w:val="00C84E33"/>
    <w:rsid w:val="00C85DF0"/>
    <w:rsid w:val="00C86D6F"/>
    <w:rsid w:val="00C905FC"/>
    <w:rsid w:val="00C92D03"/>
    <w:rsid w:val="00C9319C"/>
    <w:rsid w:val="00C9435D"/>
    <w:rsid w:val="00C94DF2"/>
    <w:rsid w:val="00C95921"/>
    <w:rsid w:val="00C96741"/>
    <w:rsid w:val="00CA2D1B"/>
    <w:rsid w:val="00CA375D"/>
    <w:rsid w:val="00CA662A"/>
    <w:rsid w:val="00CA7AFD"/>
    <w:rsid w:val="00CA7C3C"/>
    <w:rsid w:val="00CB0189"/>
    <w:rsid w:val="00CB0BA2"/>
    <w:rsid w:val="00CB0C2B"/>
    <w:rsid w:val="00CB1A42"/>
    <w:rsid w:val="00CB1B0C"/>
    <w:rsid w:val="00CB2C0B"/>
    <w:rsid w:val="00CB517D"/>
    <w:rsid w:val="00CB6341"/>
    <w:rsid w:val="00CC038D"/>
    <w:rsid w:val="00CC08DB"/>
    <w:rsid w:val="00CC0FBC"/>
    <w:rsid w:val="00CC3218"/>
    <w:rsid w:val="00CC39FF"/>
    <w:rsid w:val="00CC3C2F"/>
    <w:rsid w:val="00CC4ABD"/>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30B"/>
    <w:rsid w:val="00CF048A"/>
    <w:rsid w:val="00CF0536"/>
    <w:rsid w:val="00CF155A"/>
    <w:rsid w:val="00CF2947"/>
    <w:rsid w:val="00CF53FB"/>
    <w:rsid w:val="00CF686F"/>
    <w:rsid w:val="00CF6E60"/>
    <w:rsid w:val="00CF7BCA"/>
    <w:rsid w:val="00CF7F7F"/>
    <w:rsid w:val="00D008FD"/>
    <w:rsid w:val="00D0321C"/>
    <w:rsid w:val="00D035EC"/>
    <w:rsid w:val="00D06AB1"/>
    <w:rsid w:val="00D06FC1"/>
    <w:rsid w:val="00D072ED"/>
    <w:rsid w:val="00D07A16"/>
    <w:rsid w:val="00D1067E"/>
    <w:rsid w:val="00D10CB3"/>
    <w:rsid w:val="00D10F50"/>
    <w:rsid w:val="00D11272"/>
    <w:rsid w:val="00D126F5"/>
    <w:rsid w:val="00D1489E"/>
    <w:rsid w:val="00D20737"/>
    <w:rsid w:val="00D21E81"/>
    <w:rsid w:val="00D223DE"/>
    <w:rsid w:val="00D25E37"/>
    <w:rsid w:val="00D2661A"/>
    <w:rsid w:val="00D27582"/>
    <w:rsid w:val="00D27EC4"/>
    <w:rsid w:val="00D305B5"/>
    <w:rsid w:val="00D32719"/>
    <w:rsid w:val="00D33333"/>
    <w:rsid w:val="00D34413"/>
    <w:rsid w:val="00D352A2"/>
    <w:rsid w:val="00D4162B"/>
    <w:rsid w:val="00D41C7B"/>
    <w:rsid w:val="00D4514F"/>
    <w:rsid w:val="00D451E2"/>
    <w:rsid w:val="00D45E89"/>
    <w:rsid w:val="00D45E8D"/>
    <w:rsid w:val="00D466AE"/>
    <w:rsid w:val="00D4734F"/>
    <w:rsid w:val="00D51644"/>
    <w:rsid w:val="00D5179E"/>
    <w:rsid w:val="00D51BF3"/>
    <w:rsid w:val="00D6549B"/>
    <w:rsid w:val="00D66846"/>
    <w:rsid w:val="00D675FB"/>
    <w:rsid w:val="00D71F25"/>
    <w:rsid w:val="00D72A9C"/>
    <w:rsid w:val="00D77031"/>
    <w:rsid w:val="00D8465C"/>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5C53"/>
    <w:rsid w:val="00DA64F8"/>
    <w:rsid w:val="00DA6C15"/>
    <w:rsid w:val="00DB0258"/>
    <w:rsid w:val="00DB0C34"/>
    <w:rsid w:val="00DB38EE"/>
    <w:rsid w:val="00DB3EBD"/>
    <w:rsid w:val="00DB40AF"/>
    <w:rsid w:val="00DB498B"/>
    <w:rsid w:val="00DB66CA"/>
    <w:rsid w:val="00DB6BCA"/>
    <w:rsid w:val="00DB6F54"/>
    <w:rsid w:val="00DB73F7"/>
    <w:rsid w:val="00DC0321"/>
    <w:rsid w:val="00DC3067"/>
    <w:rsid w:val="00DC370B"/>
    <w:rsid w:val="00DC5B90"/>
    <w:rsid w:val="00DC5F17"/>
    <w:rsid w:val="00DD00FF"/>
    <w:rsid w:val="00DD0619"/>
    <w:rsid w:val="00DD07FB"/>
    <w:rsid w:val="00DD25C6"/>
    <w:rsid w:val="00DD4FE5"/>
    <w:rsid w:val="00DD54B0"/>
    <w:rsid w:val="00DD57EE"/>
    <w:rsid w:val="00DD5CF1"/>
    <w:rsid w:val="00DD69F8"/>
    <w:rsid w:val="00DD6BCC"/>
    <w:rsid w:val="00DE0A4B"/>
    <w:rsid w:val="00DE2410"/>
    <w:rsid w:val="00DE2939"/>
    <w:rsid w:val="00DE6331"/>
    <w:rsid w:val="00DE6E81"/>
    <w:rsid w:val="00DE703F"/>
    <w:rsid w:val="00DE7595"/>
    <w:rsid w:val="00DF0911"/>
    <w:rsid w:val="00DF14BB"/>
    <w:rsid w:val="00DF1961"/>
    <w:rsid w:val="00DF29C7"/>
    <w:rsid w:val="00DF44DE"/>
    <w:rsid w:val="00DF4F8F"/>
    <w:rsid w:val="00DF5A78"/>
    <w:rsid w:val="00E01138"/>
    <w:rsid w:val="00E02DFB"/>
    <w:rsid w:val="00E030F9"/>
    <w:rsid w:val="00E0311A"/>
    <w:rsid w:val="00E03138"/>
    <w:rsid w:val="00E06404"/>
    <w:rsid w:val="00E11A85"/>
    <w:rsid w:val="00E12495"/>
    <w:rsid w:val="00E13486"/>
    <w:rsid w:val="00E15CCD"/>
    <w:rsid w:val="00E202EF"/>
    <w:rsid w:val="00E210B5"/>
    <w:rsid w:val="00E2552F"/>
    <w:rsid w:val="00E3137A"/>
    <w:rsid w:val="00E322A6"/>
    <w:rsid w:val="00E32CCF"/>
    <w:rsid w:val="00E34A98"/>
    <w:rsid w:val="00E35D1E"/>
    <w:rsid w:val="00E364F9"/>
    <w:rsid w:val="00E365FA"/>
    <w:rsid w:val="00E36789"/>
    <w:rsid w:val="00E44A83"/>
    <w:rsid w:val="00E46C18"/>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D16"/>
    <w:rsid w:val="00E70F92"/>
    <w:rsid w:val="00E74313"/>
    <w:rsid w:val="00E74C54"/>
    <w:rsid w:val="00E76534"/>
    <w:rsid w:val="00E77A03"/>
    <w:rsid w:val="00E822E8"/>
    <w:rsid w:val="00E82554"/>
    <w:rsid w:val="00E825F1"/>
    <w:rsid w:val="00E82606"/>
    <w:rsid w:val="00E831C1"/>
    <w:rsid w:val="00E846C8"/>
    <w:rsid w:val="00E84957"/>
    <w:rsid w:val="00E84A55"/>
    <w:rsid w:val="00E857D4"/>
    <w:rsid w:val="00E85BFF"/>
    <w:rsid w:val="00E87D31"/>
    <w:rsid w:val="00E90391"/>
    <w:rsid w:val="00E906C2"/>
    <w:rsid w:val="00E9311F"/>
    <w:rsid w:val="00E934D1"/>
    <w:rsid w:val="00E94AF0"/>
    <w:rsid w:val="00E95D13"/>
    <w:rsid w:val="00E95DD3"/>
    <w:rsid w:val="00E963BD"/>
    <w:rsid w:val="00E969D5"/>
    <w:rsid w:val="00EA4A66"/>
    <w:rsid w:val="00EA58D1"/>
    <w:rsid w:val="00EA61BC"/>
    <w:rsid w:val="00EA681A"/>
    <w:rsid w:val="00EA735B"/>
    <w:rsid w:val="00EB1E69"/>
    <w:rsid w:val="00EB2086"/>
    <w:rsid w:val="00EB31ED"/>
    <w:rsid w:val="00EB5EDF"/>
    <w:rsid w:val="00EB60FE"/>
    <w:rsid w:val="00EB70B6"/>
    <w:rsid w:val="00EB7231"/>
    <w:rsid w:val="00EB74DB"/>
    <w:rsid w:val="00EC0D8D"/>
    <w:rsid w:val="00EC5359"/>
    <w:rsid w:val="00EC562A"/>
    <w:rsid w:val="00ED0599"/>
    <w:rsid w:val="00ED067A"/>
    <w:rsid w:val="00ED2B50"/>
    <w:rsid w:val="00EE0350"/>
    <w:rsid w:val="00EE0719"/>
    <w:rsid w:val="00EE0E80"/>
    <w:rsid w:val="00EE33EA"/>
    <w:rsid w:val="00EE613F"/>
    <w:rsid w:val="00EE7295"/>
    <w:rsid w:val="00EE7869"/>
    <w:rsid w:val="00EF054A"/>
    <w:rsid w:val="00EF16FF"/>
    <w:rsid w:val="00EF3235"/>
    <w:rsid w:val="00EF7E72"/>
    <w:rsid w:val="00F06225"/>
    <w:rsid w:val="00F06D37"/>
    <w:rsid w:val="00F07B9D"/>
    <w:rsid w:val="00F11586"/>
    <w:rsid w:val="00F1183B"/>
    <w:rsid w:val="00F11C9F"/>
    <w:rsid w:val="00F12263"/>
    <w:rsid w:val="00F1409D"/>
    <w:rsid w:val="00F14214"/>
    <w:rsid w:val="00F157A9"/>
    <w:rsid w:val="00F16F00"/>
    <w:rsid w:val="00F1759E"/>
    <w:rsid w:val="00F211EF"/>
    <w:rsid w:val="00F25BB6"/>
    <w:rsid w:val="00F26B7E"/>
    <w:rsid w:val="00F27A3B"/>
    <w:rsid w:val="00F31814"/>
    <w:rsid w:val="00F32780"/>
    <w:rsid w:val="00F33817"/>
    <w:rsid w:val="00F41B94"/>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5A5C"/>
    <w:rsid w:val="00F86D87"/>
    <w:rsid w:val="00F9108B"/>
    <w:rsid w:val="00F91349"/>
    <w:rsid w:val="00F93A8A"/>
    <w:rsid w:val="00F94D25"/>
    <w:rsid w:val="00F95248"/>
    <w:rsid w:val="00F956A9"/>
    <w:rsid w:val="00F963ED"/>
    <w:rsid w:val="00F966CF"/>
    <w:rsid w:val="00F96CAE"/>
    <w:rsid w:val="00F97C99"/>
    <w:rsid w:val="00FA26CC"/>
    <w:rsid w:val="00FA3493"/>
    <w:rsid w:val="00FA4D62"/>
    <w:rsid w:val="00FA662D"/>
    <w:rsid w:val="00FA73B1"/>
    <w:rsid w:val="00FB0CB9"/>
    <w:rsid w:val="00FB1529"/>
    <w:rsid w:val="00FB231D"/>
    <w:rsid w:val="00FB45F1"/>
    <w:rsid w:val="00FB4A72"/>
    <w:rsid w:val="00FB54E8"/>
    <w:rsid w:val="00FB62F5"/>
    <w:rsid w:val="00FB6ED5"/>
    <w:rsid w:val="00FB7054"/>
    <w:rsid w:val="00FC17B7"/>
    <w:rsid w:val="00FC2CB7"/>
    <w:rsid w:val="00FC4090"/>
    <w:rsid w:val="00FC55B4"/>
    <w:rsid w:val="00FC64C8"/>
    <w:rsid w:val="00FD00E6"/>
    <w:rsid w:val="00FD09A1"/>
    <w:rsid w:val="00FD0DA2"/>
    <w:rsid w:val="00FD2A7C"/>
    <w:rsid w:val="00FD59EB"/>
    <w:rsid w:val="00FD7299"/>
    <w:rsid w:val="00FE177E"/>
    <w:rsid w:val="00FE1FBE"/>
    <w:rsid w:val="00FE2EB8"/>
    <w:rsid w:val="00FE3901"/>
    <w:rsid w:val="00FE39D3"/>
    <w:rsid w:val="00FE4BCE"/>
    <w:rsid w:val="00FE54AE"/>
    <w:rsid w:val="00FE576A"/>
    <w:rsid w:val="00FE7E79"/>
    <w:rsid w:val="00FF3E7D"/>
    <w:rsid w:val="00FF5B99"/>
    <w:rsid w:val="00FF7140"/>
    <w:rsid w:val="00FF730C"/>
    <w:rsid w:val="00FF73F4"/>
    <w:rsid w:val="00FF7CE4"/>
    <w:rsid w:val="00FF7E39"/>
    <w:rsid w:val="010158D6"/>
    <w:rsid w:val="010230CD"/>
    <w:rsid w:val="01064C9A"/>
    <w:rsid w:val="01066A48"/>
    <w:rsid w:val="010A3DC7"/>
    <w:rsid w:val="010A6538"/>
    <w:rsid w:val="011473B7"/>
    <w:rsid w:val="0121443A"/>
    <w:rsid w:val="01253372"/>
    <w:rsid w:val="012A0989"/>
    <w:rsid w:val="012C2953"/>
    <w:rsid w:val="01324950"/>
    <w:rsid w:val="0132783D"/>
    <w:rsid w:val="013730A5"/>
    <w:rsid w:val="01395070"/>
    <w:rsid w:val="013C06BC"/>
    <w:rsid w:val="013E4434"/>
    <w:rsid w:val="01437C9C"/>
    <w:rsid w:val="0147153B"/>
    <w:rsid w:val="015679D0"/>
    <w:rsid w:val="015754F6"/>
    <w:rsid w:val="016C2D4F"/>
    <w:rsid w:val="0171642D"/>
    <w:rsid w:val="01722330"/>
    <w:rsid w:val="018C3B2B"/>
    <w:rsid w:val="019404F8"/>
    <w:rsid w:val="01971FDF"/>
    <w:rsid w:val="01995B0E"/>
    <w:rsid w:val="01AC5842"/>
    <w:rsid w:val="01AD5116"/>
    <w:rsid w:val="01AF5332"/>
    <w:rsid w:val="01B42948"/>
    <w:rsid w:val="01BD7A4F"/>
    <w:rsid w:val="01C04E49"/>
    <w:rsid w:val="01C25065"/>
    <w:rsid w:val="01C43C76"/>
    <w:rsid w:val="01D27F7A"/>
    <w:rsid w:val="01D408F4"/>
    <w:rsid w:val="01D5594B"/>
    <w:rsid w:val="01DB1C83"/>
    <w:rsid w:val="01DF2118"/>
    <w:rsid w:val="01F0558F"/>
    <w:rsid w:val="01F62F61"/>
    <w:rsid w:val="01F753C4"/>
    <w:rsid w:val="01FA65AD"/>
    <w:rsid w:val="01FB2325"/>
    <w:rsid w:val="02041109"/>
    <w:rsid w:val="02072A78"/>
    <w:rsid w:val="02102315"/>
    <w:rsid w:val="02141580"/>
    <w:rsid w:val="02163E9F"/>
    <w:rsid w:val="022E26FA"/>
    <w:rsid w:val="02313F99"/>
    <w:rsid w:val="02322A9A"/>
    <w:rsid w:val="023D293E"/>
    <w:rsid w:val="02471C19"/>
    <w:rsid w:val="02564D10"/>
    <w:rsid w:val="0256755B"/>
    <w:rsid w:val="02580FFA"/>
    <w:rsid w:val="02581525"/>
    <w:rsid w:val="025A28E7"/>
    <w:rsid w:val="02691984"/>
    <w:rsid w:val="02704AC1"/>
    <w:rsid w:val="02761061"/>
    <w:rsid w:val="02781BC8"/>
    <w:rsid w:val="02785724"/>
    <w:rsid w:val="027A149C"/>
    <w:rsid w:val="027F790B"/>
    <w:rsid w:val="028265A2"/>
    <w:rsid w:val="02866093"/>
    <w:rsid w:val="028916DF"/>
    <w:rsid w:val="028B18FB"/>
    <w:rsid w:val="028D7421"/>
    <w:rsid w:val="028E3199"/>
    <w:rsid w:val="029A1B3E"/>
    <w:rsid w:val="02A4121E"/>
    <w:rsid w:val="02B50726"/>
    <w:rsid w:val="02BD2550"/>
    <w:rsid w:val="02BF23FC"/>
    <w:rsid w:val="02BF390E"/>
    <w:rsid w:val="02D432A2"/>
    <w:rsid w:val="02D768EE"/>
    <w:rsid w:val="02DA4630"/>
    <w:rsid w:val="02E1776D"/>
    <w:rsid w:val="02E5725D"/>
    <w:rsid w:val="02E62FD5"/>
    <w:rsid w:val="02E828A9"/>
    <w:rsid w:val="02EB4148"/>
    <w:rsid w:val="02F97B00"/>
    <w:rsid w:val="02FE20CD"/>
    <w:rsid w:val="02FF7BF3"/>
    <w:rsid w:val="0305345B"/>
    <w:rsid w:val="03092820"/>
    <w:rsid w:val="03103BAE"/>
    <w:rsid w:val="03157416"/>
    <w:rsid w:val="03181340"/>
    <w:rsid w:val="031E276F"/>
    <w:rsid w:val="03215DBB"/>
    <w:rsid w:val="03231B33"/>
    <w:rsid w:val="032F1310"/>
    <w:rsid w:val="03323B24"/>
    <w:rsid w:val="03393105"/>
    <w:rsid w:val="03463A74"/>
    <w:rsid w:val="034A70C0"/>
    <w:rsid w:val="034F22CF"/>
    <w:rsid w:val="035A307B"/>
    <w:rsid w:val="035E2B6B"/>
    <w:rsid w:val="035F40DD"/>
    <w:rsid w:val="036A1510"/>
    <w:rsid w:val="036F3E2C"/>
    <w:rsid w:val="037113F3"/>
    <w:rsid w:val="037203C5"/>
    <w:rsid w:val="0374238F"/>
    <w:rsid w:val="03764359"/>
    <w:rsid w:val="0385459C"/>
    <w:rsid w:val="03892F81"/>
    <w:rsid w:val="038A2115"/>
    <w:rsid w:val="039D18E6"/>
    <w:rsid w:val="03A03184"/>
    <w:rsid w:val="03A111D4"/>
    <w:rsid w:val="03A32C74"/>
    <w:rsid w:val="03B252AB"/>
    <w:rsid w:val="03C249D5"/>
    <w:rsid w:val="03CA0201"/>
    <w:rsid w:val="03CA1FAF"/>
    <w:rsid w:val="03CE1C3B"/>
    <w:rsid w:val="03D60954"/>
    <w:rsid w:val="03DF1EFE"/>
    <w:rsid w:val="03E77D65"/>
    <w:rsid w:val="03F359AA"/>
    <w:rsid w:val="03F4527E"/>
    <w:rsid w:val="03F4702C"/>
    <w:rsid w:val="03F964E6"/>
    <w:rsid w:val="03FB660C"/>
    <w:rsid w:val="03FD05D6"/>
    <w:rsid w:val="04061DC1"/>
    <w:rsid w:val="040C6A6B"/>
    <w:rsid w:val="041476CE"/>
    <w:rsid w:val="04155920"/>
    <w:rsid w:val="041A1188"/>
    <w:rsid w:val="041A2BF4"/>
    <w:rsid w:val="042246B3"/>
    <w:rsid w:val="042A6EF2"/>
    <w:rsid w:val="042F62B6"/>
    <w:rsid w:val="0430275A"/>
    <w:rsid w:val="0433224A"/>
    <w:rsid w:val="04333FF8"/>
    <w:rsid w:val="04351B1E"/>
    <w:rsid w:val="0438617D"/>
    <w:rsid w:val="043F0BEF"/>
    <w:rsid w:val="046139A0"/>
    <w:rsid w:val="046362A4"/>
    <w:rsid w:val="046C12B8"/>
    <w:rsid w:val="046E7963"/>
    <w:rsid w:val="047343F5"/>
    <w:rsid w:val="04771B65"/>
    <w:rsid w:val="047775AF"/>
    <w:rsid w:val="047A39D5"/>
    <w:rsid w:val="047B10DF"/>
    <w:rsid w:val="04842AA6"/>
    <w:rsid w:val="048605CC"/>
    <w:rsid w:val="04903A62"/>
    <w:rsid w:val="049802FF"/>
    <w:rsid w:val="04983E5B"/>
    <w:rsid w:val="049A7BD3"/>
    <w:rsid w:val="049B5269"/>
    <w:rsid w:val="049C7DEF"/>
    <w:rsid w:val="04B14F1D"/>
    <w:rsid w:val="04B213C1"/>
    <w:rsid w:val="04B50314"/>
    <w:rsid w:val="04BC3026"/>
    <w:rsid w:val="04BD1B14"/>
    <w:rsid w:val="04C82992"/>
    <w:rsid w:val="04CF3267"/>
    <w:rsid w:val="04DA4474"/>
    <w:rsid w:val="04DC643E"/>
    <w:rsid w:val="04E15802"/>
    <w:rsid w:val="04E43544"/>
    <w:rsid w:val="04E672BC"/>
    <w:rsid w:val="04F03C97"/>
    <w:rsid w:val="04F512AE"/>
    <w:rsid w:val="04F73278"/>
    <w:rsid w:val="04F96FF0"/>
    <w:rsid w:val="04FE63B4"/>
    <w:rsid w:val="05017C52"/>
    <w:rsid w:val="050339CA"/>
    <w:rsid w:val="050414F1"/>
    <w:rsid w:val="05045994"/>
    <w:rsid w:val="05055969"/>
    <w:rsid w:val="0506170D"/>
    <w:rsid w:val="05104339"/>
    <w:rsid w:val="051060E7"/>
    <w:rsid w:val="051200B1"/>
    <w:rsid w:val="05173E06"/>
    <w:rsid w:val="051C2CDE"/>
    <w:rsid w:val="051E0804"/>
    <w:rsid w:val="05230CD1"/>
    <w:rsid w:val="0523406D"/>
    <w:rsid w:val="052676B9"/>
    <w:rsid w:val="052B1173"/>
    <w:rsid w:val="052E509C"/>
    <w:rsid w:val="052E656D"/>
    <w:rsid w:val="05322502"/>
    <w:rsid w:val="053242B0"/>
    <w:rsid w:val="05340028"/>
    <w:rsid w:val="05350AAD"/>
    <w:rsid w:val="0539563E"/>
    <w:rsid w:val="053C512E"/>
    <w:rsid w:val="053E7324"/>
    <w:rsid w:val="05425958"/>
    <w:rsid w:val="05465FAD"/>
    <w:rsid w:val="054933A7"/>
    <w:rsid w:val="054C00A5"/>
    <w:rsid w:val="054F3EAE"/>
    <w:rsid w:val="05542478"/>
    <w:rsid w:val="0560357F"/>
    <w:rsid w:val="05663F59"/>
    <w:rsid w:val="05687CD1"/>
    <w:rsid w:val="056B5638"/>
    <w:rsid w:val="058B74F4"/>
    <w:rsid w:val="05946D18"/>
    <w:rsid w:val="05972365"/>
    <w:rsid w:val="05AB7BBE"/>
    <w:rsid w:val="05AC22B4"/>
    <w:rsid w:val="05B253F0"/>
    <w:rsid w:val="05B922DB"/>
    <w:rsid w:val="05BE3D95"/>
    <w:rsid w:val="05CB200E"/>
    <w:rsid w:val="05D01759"/>
    <w:rsid w:val="05DE61E6"/>
    <w:rsid w:val="05E732EC"/>
    <w:rsid w:val="05F42ECA"/>
    <w:rsid w:val="05FE4391"/>
    <w:rsid w:val="06007F0A"/>
    <w:rsid w:val="06023C82"/>
    <w:rsid w:val="060317A8"/>
    <w:rsid w:val="06085010"/>
    <w:rsid w:val="060D2627"/>
    <w:rsid w:val="0611099D"/>
    <w:rsid w:val="06142B33"/>
    <w:rsid w:val="0616772D"/>
    <w:rsid w:val="061834A6"/>
    <w:rsid w:val="061A5470"/>
    <w:rsid w:val="06207654"/>
    <w:rsid w:val="062B17DE"/>
    <w:rsid w:val="062C6F51"/>
    <w:rsid w:val="063127B9"/>
    <w:rsid w:val="06314567"/>
    <w:rsid w:val="063D115E"/>
    <w:rsid w:val="063D4CBA"/>
    <w:rsid w:val="06426774"/>
    <w:rsid w:val="06451DC1"/>
    <w:rsid w:val="06456265"/>
    <w:rsid w:val="06475B39"/>
    <w:rsid w:val="0651554D"/>
    <w:rsid w:val="065546FA"/>
    <w:rsid w:val="066A1827"/>
    <w:rsid w:val="066C1A43"/>
    <w:rsid w:val="066E7569"/>
    <w:rsid w:val="066F10F6"/>
    <w:rsid w:val="06732DD2"/>
    <w:rsid w:val="06743FA2"/>
    <w:rsid w:val="067B3A34"/>
    <w:rsid w:val="067D155B"/>
    <w:rsid w:val="068C5C42"/>
    <w:rsid w:val="069106D7"/>
    <w:rsid w:val="069A035E"/>
    <w:rsid w:val="069C40D7"/>
    <w:rsid w:val="06A216BB"/>
    <w:rsid w:val="06A54C8F"/>
    <w:rsid w:val="06A87133"/>
    <w:rsid w:val="06AD663B"/>
    <w:rsid w:val="06AE5BB8"/>
    <w:rsid w:val="06B331CE"/>
    <w:rsid w:val="06BA27AF"/>
    <w:rsid w:val="06BD5DFB"/>
    <w:rsid w:val="06BF5C79"/>
    <w:rsid w:val="06C07699"/>
    <w:rsid w:val="06C62F02"/>
    <w:rsid w:val="06CB49BC"/>
    <w:rsid w:val="06CB676A"/>
    <w:rsid w:val="06CE0008"/>
    <w:rsid w:val="06D870D9"/>
    <w:rsid w:val="06E23AB3"/>
    <w:rsid w:val="06ED51DA"/>
    <w:rsid w:val="06F3181D"/>
    <w:rsid w:val="06F7755F"/>
    <w:rsid w:val="06FF6413"/>
    <w:rsid w:val="07047ECE"/>
    <w:rsid w:val="07070CE0"/>
    <w:rsid w:val="070E48A8"/>
    <w:rsid w:val="071C134F"/>
    <w:rsid w:val="07287718"/>
    <w:rsid w:val="073164AC"/>
    <w:rsid w:val="07316C79"/>
    <w:rsid w:val="073836D3"/>
    <w:rsid w:val="07391925"/>
    <w:rsid w:val="073F2CB4"/>
    <w:rsid w:val="07481B68"/>
    <w:rsid w:val="074D3623"/>
    <w:rsid w:val="074D53D1"/>
    <w:rsid w:val="074F739B"/>
    <w:rsid w:val="07504EC1"/>
    <w:rsid w:val="07506C6F"/>
    <w:rsid w:val="07506F71"/>
    <w:rsid w:val="07530298"/>
    <w:rsid w:val="07554285"/>
    <w:rsid w:val="075A7AEE"/>
    <w:rsid w:val="076B3AA9"/>
    <w:rsid w:val="076D7821"/>
    <w:rsid w:val="0775167C"/>
    <w:rsid w:val="07777D92"/>
    <w:rsid w:val="07783EDF"/>
    <w:rsid w:val="0781507A"/>
    <w:rsid w:val="078354CD"/>
    <w:rsid w:val="07860F6D"/>
    <w:rsid w:val="078801B7"/>
    <w:rsid w:val="078A03D3"/>
    <w:rsid w:val="078D7EC3"/>
    <w:rsid w:val="079052BE"/>
    <w:rsid w:val="07920686"/>
    <w:rsid w:val="07A80859"/>
    <w:rsid w:val="07AF5133"/>
    <w:rsid w:val="07B1124B"/>
    <w:rsid w:val="07BC2556"/>
    <w:rsid w:val="07BC2AC8"/>
    <w:rsid w:val="07C1191B"/>
    <w:rsid w:val="07C546D6"/>
    <w:rsid w:val="07C733D5"/>
    <w:rsid w:val="07C86D9E"/>
    <w:rsid w:val="07CC279A"/>
    <w:rsid w:val="07CC56E3"/>
    <w:rsid w:val="07D16002"/>
    <w:rsid w:val="07D21D7A"/>
    <w:rsid w:val="07DB478B"/>
    <w:rsid w:val="07DE071F"/>
    <w:rsid w:val="07E51AAD"/>
    <w:rsid w:val="07F044FE"/>
    <w:rsid w:val="07F41CF0"/>
    <w:rsid w:val="07F65A68"/>
    <w:rsid w:val="07FB28F9"/>
    <w:rsid w:val="07FE5FBE"/>
    <w:rsid w:val="08033CE1"/>
    <w:rsid w:val="08041656"/>
    <w:rsid w:val="080812F8"/>
    <w:rsid w:val="0808622A"/>
    <w:rsid w:val="080A09AC"/>
    <w:rsid w:val="080C603B"/>
    <w:rsid w:val="080D4B60"/>
    <w:rsid w:val="08163052"/>
    <w:rsid w:val="08191757"/>
    <w:rsid w:val="081B54CF"/>
    <w:rsid w:val="08204893"/>
    <w:rsid w:val="082425D6"/>
    <w:rsid w:val="08251EAA"/>
    <w:rsid w:val="08316AA1"/>
    <w:rsid w:val="083640B7"/>
    <w:rsid w:val="083A378F"/>
    <w:rsid w:val="084E1401"/>
    <w:rsid w:val="084F6F27"/>
    <w:rsid w:val="08581167"/>
    <w:rsid w:val="085E70A3"/>
    <w:rsid w:val="086329D2"/>
    <w:rsid w:val="08687FE8"/>
    <w:rsid w:val="08693742"/>
    <w:rsid w:val="086C7AD9"/>
    <w:rsid w:val="086E1AA3"/>
    <w:rsid w:val="08716E9D"/>
    <w:rsid w:val="08766BA9"/>
    <w:rsid w:val="087D74A9"/>
    <w:rsid w:val="08803584"/>
    <w:rsid w:val="08891FDF"/>
    <w:rsid w:val="088C3CD7"/>
    <w:rsid w:val="088E5CA1"/>
    <w:rsid w:val="08955281"/>
    <w:rsid w:val="0898267C"/>
    <w:rsid w:val="08A2799E"/>
    <w:rsid w:val="08A54D99"/>
    <w:rsid w:val="08A56AED"/>
    <w:rsid w:val="08A6123D"/>
    <w:rsid w:val="08AA02A2"/>
    <w:rsid w:val="08AA4C4F"/>
    <w:rsid w:val="08AA4E14"/>
    <w:rsid w:val="08AE00F1"/>
    <w:rsid w:val="08B5322E"/>
    <w:rsid w:val="08BC0A60"/>
    <w:rsid w:val="08BC746A"/>
    <w:rsid w:val="08C214A6"/>
    <w:rsid w:val="08C72F61"/>
    <w:rsid w:val="08CC67C9"/>
    <w:rsid w:val="08D12032"/>
    <w:rsid w:val="08D37B58"/>
    <w:rsid w:val="08DF474E"/>
    <w:rsid w:val="08E60CCD"/>
    <w:rsid w:val="08E64883"/>
    <w:rsid w:val="08E73603"/>
    <w:rsid w:val="08E91129"/>
    <w:rsid w:val="08EE6740"/>
    <w:rsid w:val="08F5187C"/>
    <w:rsid w:val="08F57ACE"/>
    <w:rsid w:val="08F8136C"/>
    <w:rsid w:val="08F85810"/>
    <w:rsid w:val="09016173"/>
    <w:rsid w:val="09075A53"/>
    <w:rsid w:val="090B5543"/>
    <w:rsid w:val="090C438D"/>
    <w:rsid w:val="09110259"/>
    <w:rsid w:val="0913264A"/>
    <w:rsid w:val="091E5277"/>
    <w:rsid w:val="09242161"/>
    <w:rsid w:val="092959CA"/>
    <w:rsid w:val="092C7268"/>
    <w:rsid w:val="092F692D"/>
    <w:rsid w:val="094654D0"/>
    <w:rsid w:val="09475E50"/>
    <w:rsid w:val="094E1652"/>
    <w:rsid w:val="094F63F6"/>
    <w:rsid w:val="09510A7C"/>
    <w:rsid w:val="09594501"/>
    <w:rsid w:val="095A2027"/>
    <w:rsid w:val="095F3199"/>
    <w:rsid w:val="096609CC"/>
    <w:rsid w:val="096D3B08"/>
    <w:rsid w:val="09780AE4"/>
    <w:rsid w:val="0978425B"/>
    <w:rsid w:val="097A4477"/>
    <w:rsid w:val="097A7FD3"/>
    <w:rsid w:val="097C1F9D"/>
    <w:rsid w:val="097F383C"/>
    <w:rsid w:val="09821FA3"/>
    <w:rsid w:val="09840E52"/>
    <w:rsid w:val="098D434F"/>
    <w:rsid w:val="099217C1"/>
    <w:rsid w:val="09937C7F"/>
    <w:rsid w:val="09976DD7"/>
    <w:rsid w:val="099B68C7"/>
    <w:rsid w:val="099E3CC2"/>
    <w:rsid w:val="09A339CE"/>
    <w:rsid w:val="09A709DD"/>
    <w:rsid w:val="09A92667"/>
    <w:rsid w:val="09AB63DF"/>
    <w:rsid w:val="09B53A60"/>
    <w:rsid w:val="09B63701"/>
    <w:rsid w:val="09BB0D18"/>
    <w:rsid w:val="09BC683E"/>
    <w:rsid w:val="09BF1E8A"/>
    <w:rsid w:val="09C2312B"/>
    <w:rsid w:val="09CF031F"/>
    <w:rsid w:val="09D26061"/>
    <w:rsid w:val="09DB3168"/>
    <w:rsid w:val="09DF2CCA"/>
    <w:rsid w:val="09E244F6"/>
    <w:rsid w:val="09E638BB"/>
    <w:rsid w:val="09E816CA"/>
    <w:rsid w:val="09EC7123"/>
    <w:rsid w:val="09F14739"/>
    <w:rsid w:val="09F44ED9"/>
    <w:rsid w:val="09F63AFE"/>
    <w:rsid w:val="09F71624"/>
    <w:rsid w:val="09F74AE2"/>
    <w:rsid w:val="09F91840"/>
    <w:rsid w:val="09FA032F"/>
    <w:rsid w:val="09FA3227"/>
    <w:rsid w:val="09FE29B2"/>
    <w:rsid w:val="0A014251"/>
    <w:rsid w:val="0A03621B"/>
    <w:rsid w:val="0A037FC9"/>
    <w:rsid w:val="0A067AB9"/>
    <w:rsid w:val="0A07341F"/>
    <w:rsid w:val="0A073F5D"/>
    <w:rsid w:val="0A0C77D9"/>
    <w:rsid w:val="0A1204DF"/>
    <w:rsid w:val="0A283998"/>
    <w:rsid w:val="0A2D3298"/>
    <w:rsid w:val="0A326B00"/>
    <w:rsid w:val="0A3665F0"/>
    <w:rsid w:val="0A38348D"/>
    <w:rsid w:val="0A3960E0"/>
    <w:rsid w:val="0A3A1A2C"/>
    <w:rsid w:val="0A3D48EC"/>
    <w:rsid w:val="0A3E680D"/>
    <w:rsid w:val="0A410AF1"/>
    <w:rsid w:val="0A424F95"/>
    <w:rsid w:val="0A430D0D"/>
    <w:rsid w:val="0A4C5E14"/>
    <w:rsid w:val="0A534598"/>
    <w:rsid w:val="0A546366"/>
    <w:rsid w:val="0A5C592B"/>
    <w:rsid w:val="0A5F5B47"/>
    <w:rsid w:val="0A6842D0"/>
    <w:rsid w:val="0A735F3E"/>
    <w:rsid w:val="0A786C09"/>
    <w:rsid w:val="0A79028B"/>
    <w:rsid w:val="0A7B2255"/>
    <w:rsid w:val="0A8455AD"/>
    <w:rsid w:val="0A8921FE"/>
    <w:rsid w:val="0A9241D5"/>
    <w:rsid w:val="0A943317"/>
    <w:rsid w:val="0A960E3D"/>
    <w:rsid w:val="0A9D041D"/>
    <w:rsid w:val="0A9D666F"/>
    <w:rsid w:val="0A9F5D59"/>
    <w:rsid w:val="0AA7304A"/>
    <w:rsid w:val="0AA90B70"/>
    <w:rsid w:val="0AAA2B3A"/>
    <w:rsid w:val="0AB2170F"/>
    <w:rsid w:val="0AB319EF"/>
    <w:rsid w:val="0AB3379D"/>
    <w:rsid w:val="0AB47515"/>
    <w:rsid w:val="0ABE04E4"/>
    <w:rsid w:val="0AC459AA"/>
    <w:rsid w:val="0AD007F3"/>
    <w:rsid w:val="0AD43A34"/>
    <w:rsid w:val="0AD57BB7"/>
    <w:rsid w:val="0AD61B81"/>
    <w:rsid w:val="0ADB0F46"/>
    <w:rsid w:val="0ADD5B52"/>
    <w:rsid w:val="0AE368F8"/>
    <w:rsid w:val="0AF330A5"/>
    <w:rsid w:val="0AF67B2D"/>
    <w:rsid w:val="0AF95865"/>
    <w:rsid w:val="0AFA13CC"/>
    <w:rsid w:val="0B0009AC"/>
    <w:rsid w:val="0B0264D2"/>
    <w:rsid w:val="0B04049C"/>
    <w:rsid w:val="0B04224A"/>
    <w:rsid w:val="0B065FC2"/>
    <w:rsid w:val="0B0B182B"/>
    <w:rsid w:val="0B0E2C09"/>
    <w:rsid w:val="0B187AA4"/>
    <w:rsid w:val="0B1D330C"/>
    <w:rsid w:val="0B212DFC"/>
    <w:rsid w:val="0B24469B"/>
    <w:rsid w:val="0B2806EF"/>
    <w:rsid w:val="0B2B5A29"/>
    <w:rsid w:val="0B3274BF"/>
    <w:rsid w:val="0B330D82"/>
    <w:rsid w:val="0B3A3EBE"/>
    <w:rsid w:val="0B3A5C6C"/>
    <w:rsid w:val="0B495EAF"/>
    <w:rsid w:val="0B4C599F"/>
    <w:rsid w:val="0B642CE9"/>
    <w:rsid w:val="0B657E93"/>
    <w:rsid w:val="0B696551"/>
    <w:rsid w:val="0B6B051B"/>
    <w:rsid w:val="0B7078E0"/>
    <w:rsid w:val="0B792C38"/>
    <w:rsid w:val="0B7A42BB"/>
    <w:rsid w:val="0B8060B7"/>
    <w:rsid w:val="0B84338B"/>
    <w:rsid w:val="0B872C7C"/>
    <w:rsid w:val="0B896BF3"/>
    <w:rsid w:val="0B8B20C9"/>
    <w:rsid w:val="0B8D2240"/>
    <w:rsid w:val="0B8D770B"/>
    <w:rsid w:val="0B971310"/>
    <w:rsid w:val="0B996E37"/>
    <w:rsid w:val="0B9E269F"/>
    <w:rsid w:val="0BA108EF"/>
    <w:rsid w:val="0BA34222"/>
    <w:rsid w:val="0BA8707A"/>
    <w:rsid w:val="0BAC3809"/>
    <w:rsid w:val="0BAE21B6"/>
    <w:rsid w:val="0BB00343"/>
    <w:rsid w:val="0BB73761"/>
    <w:rsid w:val="0BB84DE3"/>
    <w:rsid w:val="0BB951AF"/>
    <w:rsid w:val="0BBE064B"/>
    <w:rsid w:val="0BC419DA"/>
    <w:rsid w:val="0BCB1F6A"/>
    <w:rsid w:val="0BE0715B"/>
    <w:rsid w:val="0BE43E2A"/>
    <w:rsid w:val="0BED2CDE"/>
    <w:rsid w:val="0BF422BF"/>
    <w:rsid w:val="0BF72948"/>
    <w:rsid w:val="0BFC1173"/>
    <w:rsid w:val="0BFE4EEC"/>
    <w:rsid w:val="0BFF2A12"/>
    <w:rsid w:val="0C040028"/>
    <w:rsid w:val="0C05627A"/>
    <w:rsid w:val="0C083ED4"/>
    <w:rsid w:val="0C0D512F"/>
    <w:rsid w:val="0C0E7CC4"/>
    <w:rsid w:val="0C1110C3"/>
    <w:rsid w:val="0C1666D9"/>
    <w:rsid w:val="0C1E7B2F"/>
    <w:rsid w:val="0C201306"/>
    <w:rsid w:val="0C210BDA"/>
    <w:rsid w:val="0C2506CA"/>
    <w:rsid w:val="0C314310"/>
    <w:rsid w:val="0C3152C1"/>
    <w:rsid w:val="0C3C74AF"/>
    <w:rsid w:val="0C41302A"/>
    <w:rsid w:val="0C4348A2"/>
    <w:rsid w:val="0C476893"/>
    <w:rsid w:val="0C4D4F79"/>
    <w:rsid w:val="0C50611C"/>
    <w:rsid w:val="0C5114BF"/>
    <w:rsid w:val="0C517711"/>
    <w:rsid w:val="0C601702"/>
    <w:rsid w:val="0C6A2581"/>
    <w:rsid w:val="0C6F1945"/>
    <w:rsid w:val="0C71390F"/>
    <w:rsid w:val="0C743400"/>
    <w:rsid w:val="0C746EAB"/>
    <w:rsid w:val="0C7B6D21"/>
    <w:rsid w:val="0C8A2C23"/>
    <w:rsid w:val="0C914845"/>
    <w:rsid w:val="0C917B0E"/>
    <w:rsid w:val="0C923886"/>
    <w:rsid w:val="0C945850"/>
    <w:rsid w:val="0C945F8F"/>
    <w:rsid w:val="0C965124"/>
    <w:rsid w:val="0C9D1071"/>
    <w:rsid w:val="0CAA5073"/>
    <w:rsid w:val="0CB67574"/>
    <w:rsid w:val="0CB70557"/>
    <w:rsid w:val="0CB97065"/>
    <w:rsid w:val="0CBB2DDD"/>
    <w:rsid w:val="0CBE2417"/>
    <w:rsid w:val="0CC003F3"/>
    <w:rsid w:val="0CC06645"/>
    <w:rsid w:val="0CCC6D98"/>
    <w:rsid w:val="0CCE0D62"/>
    <w:rsid w:val="0CD10852"/>
    <w:rsid w:val="0CD24B49"/>
    <w:rsid w:val="0CD56AC8"/>
    <w:rsid w:val="0CDF2F6F"/>
    <w:rsid w:val="0CE02843"/>
    <w:rsid w:val="0CE57E5A"/>
    <w:rsid w:val="0CEE72D8"/>
    <w:rsid w:val="0CF14A50"/>
    <w:rsid w:val="0CFE2CC9"/>
    <w:rsid w:val="0D006A41"/>
    <w:rsid w:val="0D0522AA"/>
    <w:rsid w:val="0D0A78C0"/>
    <w:rsid w:val="0D171E03"/>
    <w:rsid w:val="0D18022F"/>
    <w:rsid w:val="0D1B1ACD"/>
    <w:rsid w:val="0D1D5845"/>
    <w:rsid w:val="0D272220"/>
    <w:rsid w:val="0D306F57"/>
    <w:rsid w:val="0D31309F"/>
    <w:rsid w:val="0D330BC5"/>
    <w:rsid w:val="0D332A9A"/>
    <w:rsid w:val="0D352B8F"/>
    <w:rsid w:val="0D3A63F7"/>
    <w:rsid w:val="0D3B7F63"/>
    <w:rsid w:val="0D3D1A44"/>
    <w:rsid w:val="0D411534"/>
    <w:rsid w:val="0D447276"/>
    <w:rsid w:val="0D4728C2"/>
    <w:rsid w:val="0D474670"/>
    <w:rsid w:val="0D4C7ED9"/>
    <w:rsid w:val="0D4E3C51"/>
    <w:rsid w:val="0D553231"/>
    <w:rsid w:val="0D5E3267"/>
    <w:rsid w:val="0D692839"/>
    <w:rsid w:val="0D6C40D7"/>
    <w:rsid w:val="0D7336B7"/>
    <w:rsid w:val="0D791CFB"/>
    <w:rsid w:val="0D814026"/>
    <w:rsid w:val="0D8C6527"/>
    <w:rsid w:val="0D904269"/>
    <w:rsid w:val="0D961154"/>
    <w:rsid w:val="0D9755F8"/>
    <w:rsid w:val="0D9B051A"/>
    <w:rsid w:val="0DAE2941"/>
    <w:rsid w:val="0DAF15FD"/>
    <w:rsid w:val="0DB0341A"/>
    <w:rsid w:val="0DB717F6"/>
    <w:rsid w:val="0DBE2B84"/>
    <w:rsid w:val="0DC21F49"/>
    <w:rsid w:val="0DCD2DC7"/>
    <w:rsid w:val="0DD04666"/>
    <w:rsid w:val="0DD423A8"/>
    <w:rsid w:val="0DDD6D83"/>
    <w:rsid w:val="0DE6032D"/>
    <w:rsid w:val="0DED5218"/>
    <w:rsid w:val="0E0367E9"/>
    <w:rsid w:val="0E0535BB"/>
    <w:rsid w:val="0E0554FA"/>
    <w:rsid w:val="0E0802A4"/>
    <w:rsid w:val="0E1327A4"/>
    <w:rsid w:val="0E184557"/>
    <w:rsid w:val="0E1E0456"/>
    <w:rsid w:val="0E233E50"/>
    <w:rsid w:val="0E2350DD"/>
    <w:rsid w:val="0E2A646C"/>
    <w:rsid w:val="0E2C21E4"/>
    <w:rsid w:val="0E2C4653"/>
    <w:rsid w:val="0E2C554F"/>
    <w:rsid w:val="0E2D36D6"/>
    <w:rsid w:val="0E320E7D"/>
    <w:rsid w:val="0E344BF5"/>
    <w:rsid w:val="0E372937"/>
    <w:rsid w:val="0E3B2427"/>
    <w:rsid w:val="0E3E5A73"/>
    <w:rsid w:val="0E407A3D"/>
    <w:rsid w:val="0E4B1F3E"/>
    <w:rsid w:val="0E4D3F08"/>
    <w:rsid w:val="0E4E38FA"/>
    <w:rsid w:val="0E5378BC"/>
    <w:rsid w:val="0E59465B"/>
    <w:rsid w:val="0E5A06C7"/>
    <w:rsid w:val="0E6052E1"/>
    <w:rsid w:val="0E625C06"/>
    <w:rsid w:val="0E7019A5"/>
    <w:rsid w:val="0E763912"/>
    <w:rsid w:val="0E772D33"/>
    <w:rsid w:val="0E7E0566"/>
    <w:rsid w:val="0E8A0CB9"/>
    <w:rsid w:val="0E8A3A31"/>
    <w:rsid w:val="0E8D122A"/>
    <w:rsid w:val="0E8D2557"/>
    <w:rsid w:val="0E9135EB"/>
    <w:rsid w:val="0E975183"/>
    <w:rsid w:val="0EA24C71"/>
    <w:rsid w:val="0EA33B28"/>
    <w:rsid w:val="0EB45D35"/>
    <w:rsid w:val="0EB6385C"/>
    <w:rsid w:val="0EB83A78"/>
    <w:rsid w:val="0EC0292C"/>
    <w:rsid w:val="0EC95C85"/>
    <w:rsid w:val="0EC95E16"/>
    <w:rsid w:val="0ECE2A8A"/>
    <w:rsid w:val="0ED168E7"/>
    <w:rsid w:val="0ED91C40"/>
    <w:rsid w:val="0EDB1514"/>
    <w:rsid w:val="0EDD528C"/>
    <w:rsid w:val="0EE24651"/>
    <w:rsid w:val="0EEA79A9"/>
    <w:rsid w:val="0EF12AE6"/>
    <w:rsid w:val="0EF3685E"/>
    <w:rsid w:val="0EF42E46"/>
    <w:rsid w:val="0EFC750E"/>
    <w:rsid w:val="0F00541F"/>
    <w:rsid w:val="0F0071CD"/>
    <w:rsid w:val="0F032819"/>
    <w:rsid w:val="0F037D8A"/>
    <w:rsid w:val="0F0A1DF9"/>
    <w:rsid w:val="0F0F7410"/>
    <w:rsid w:val="0F103009"/>
    <w:rsid w:val="0F1B2A26"/>
    <w:rsid w:val="0F1D7D7F"/>
    <w:rsid w:val="0F1F3AF7"/>
    <w:rsid w:val="0F242EBB"/>
    <w:rsid w:val="0F284C16"/>
    <w:rsid w:val="0F2A5FF8"/>
    <w:rsid w:val="0F2E7896"/>
    <w:rsid w:val="0F307AB2"/>
    <w:rsid w:val="0F31764C"/>
    <w:rsid w:val="0F3330FE"/>
    <w:rsid w:val="0F467307"/>
    <w:rsid w:val="0F490B74"/>
    <w:rsid w:val="0F5512C6"/>
    <w:rsid w:val="0F577F03"/>
    <w:rsid w:val="0F66390F"/>
    <w:rsid w:val="0F692FC4"/>
    <w:rsid w:val="0F6A2898"/>
    <w:rsid w:val="0F6C4862"/>
    <w:rsid w:val="0F735BF1"/>
    <w:rsid w:val="0F7756E1"/>
    <w:rsid w:val="0F78188D"/>
    <w:rsid w:val="0F7A6F7F"/>
    <w:rsid w:val="0F7E1158"/>
    <w:rsid w:val="0F7F6343"/>
    <w:rsid w:val="0F815DA9"/>
    <w:rsid w:val="0F912288"/>
    <w:rsid w:val="0F917E25"/>
    <w:rsid w:val="0F943740"/>
    <w:rsid w:val="0FA61B22"/>
    <w:rsid w:val="0FA77648"/>
    <w:rsid w:val="0FB029A1"/>
    <w:rsid w:val="0FB26719"/>
    <w:rsid w:val="0FBE25DD"/>
    <w:rsid w:val="0FBE3179"/>
    <w:rsid w:val="0FC30926"/>
    <w:rsid w:val="0FCA3416"/>
    <w:rsid w:val="0FD22917"/>
    <w:rsid w:val="0FD348E1"/>
    <w:rsid w:val="0FD3668F"/>
    <w:rsid w:val="0FD541B5"/>
    <w:rsid w:val="0FDD12BC"/>
    <w:rsid w:val="0FDE15F5"/>
    <w:rsid w:val="0FE4264A"/>
    <w:rsid w:val="0FE91A0F"/>
    <w:rsid w:val="0FEB39D9"/>
    <w:rsid w:val="0FF24D67"/>
    <w:rsid w:val="0FF7237E"/>
    <w:rsid w:val="0FF94348"/>
    <w:rsid w:val="0FFA00C0"/>
    <w:rsid w:val="0FFA3C1C"/>
    <w:rsid w:val="0FFC5BE6"/>
    <w:rsid w:val="10014FAA"/>
    <w:rsid w:val="10022AD1"/>
    <w:rsid w:val="100F6DEB"/>
    <w:rsid w:val="101051ED"/>
    <w:rsid w:val="101056DE"/>
    <w:rsid w:val="101A7722"/>
    <w:rsid w:val="101C0036"/>
    <w:rsid w:val="10202503"/>
    <w:rsid w:val="10257C82"/>
    <w:rsid w:val="10262C63"/>
    <w:rsid w:val="102B64CB"/>
    <w:rsid w:val="10371319"/>
    <w:rsid w:val="103F3D25"/>
    <w:rsid w:val="104F21BA"/>
    <w:rsid w:val="10563548"/>
    <w:rsid w:val="105772C0"/>
    <w:rsid w:val="106043C7"/>
    <w:rsid w:val="106317C1"/>
    <w:rsid w:val="1066305F"/>
    <w:rsid w:val="106A2B50"/>
    <w:rsid w:val="10771710"/>
    <w:rsid w:val="107855C8"/>
    <w:rsid w:val="107F5BC6"/>
    <w:rsid w:val="10861954"/>
    <w:rsid w:val="108D4A90"/>
    <w:rsid w:val="109202F8"/>
    <w:rsid w:val="109B71AD"/>
    <w:rsid w:val="10A971AF"/>
    <w:rsid w:val="10B14C22"/>
    <w:rsid w:val="10B262A5"/>
    <w:rsid w:val="10B62239"/>
    <w:rsid w:val="10BB33AB"/>
    <w:rsid w:val="10BB738B"/>
    <w:rsid w:val="10BE2E9B"/>
    <w:rsid w:val="10C77FA2"/>
    <w:rsid w:val="10D26947"/>
    <w:rsid w:val="10D66437"/>
    <w:rsid w:val="10DB3A4D"/>
    <w:rsid w:val="10DE52EC"/>
    <w:rsid w:val="10E24DDC"/>
    <w:rsid w:val="10E32902"/>
    <w:rsid w:val="10ED552F"/>
    <w:rsid w:val="10F93ED3"/>
    <w:rsid w:val="10FD39C4"/>
    <w:rsid w:val="110034B4"/>
    <w:rsid w:val="11026712"/>
    <w:rsid w:val="11032FA4"/>
    <w:rsid w:val="1114617F"/>
    <w:rsid w:val="11146D72"/>
    <w:rsid w:val="11182726"/>
    <w:rsid w:val="111B209C"/>
    <w:rsid w:val="11252F1A"/>
    <w:rsid w:val="11254CC9"/>
    <w:rsid w:val="112F176A"/>
    <w:rsid w:val="112F6066"/>
    <w:rsid w:val="113814EF"/>
    <w:rsid w:val="114333A1"/>
    <w:rsid w:val="11567578"/>
    <w:rsid w:val="11567B18"/>
    <w:rsid w:val="115E5FAF"/>
    <w:rsid w:val="116003F7"/>
    <w:rsid w:val="116C28F7"/>
    <w:rsid w:val="116E6670"/>
    <w:rsid w:val="117417AC"/>
    <w:rsid w:val="117619C8"/>
    <w:rsid w:val="11763776"/>
    <w:rsid w:val="11821F46"/>
    <w:rsid w:val="11834139"/>
    <w:rsid w:val="118440E5"/>
    <w:rsid w:val="118916FB"/>
    <w:rsid w:val="11904838"/>
    <w:rsid w:val="11A622AD"/>
    <w:rsid w:val="11A958FA"/>
    <w:rsid w:val="11A976A8"/>
    <w:rsid w:val="11AB78C4"/>
    <w:rsid w:val="11AC7198"/>
    <w:rsid w:val="11AD363C"/>
    <w:rsid w:val="11AE1162"/>
    <w:rsid w:val="11AE2F4A"/>
    <w:rsid w:val="11B61DC5"/>
    <w:rsid w:val="11BA18B5"/>
    <w:rsid w:val="11C40985"/>
    <w:rsid w:val="11CA6E77"/>
    <w:rsid w:val="11CC3396"/>
    <w:rsid w:val="11CF4BC5"/>
    <w:rsid w:val="11D32976"/>
    <w:rsid w:val="11DD55A3"/>
    <w:rsid w:val="11E06E41"/>
    <w:rsid w:val="11E46932"/>
    <w:rsid w:val="11E57B67"/>
    <w:rsid w:val="11E608FC"/>
    <w:rsid w:val="11F272A1"/>
    <w:rsid w:val="11F6491F"/>
    <w:rsid w:val="11F74311"/>
    <w:rsid w:val="11FA7F03"/>
    <w:rsid w:val="11FF551A"/>
    <w:rsid w:val="12046F80"/>
    <w:rsid w:val="12062D4C"/>
    <w:rsid w:val="12064AFA"/>
    <w:rsid w:val="12103BCB"/>
    <w:rsid w:val="121511E1"/>
    <w:rsid w:val="12170AB5"/>
    <w:rsid w:val="12192A7F"/>
    <w:rsid w:val="121E0096"/>
    <w:rsid w:val="12211934"/>
    <w:rsid w:val="122B4561"/>
    <w:rsid w:val="123A11DE"/>
    <w:rsid w:val="124E6A14"/>
    <w:rsid w:val="12502219"/>
    <w:rsid w:val="12510C99"/>
    <w:rsid w:val="125A3098"/>
    <w:rsid w:val="125E4936"/>
    <w:rsid w:val="12641821"/>
    <w:rsid w:val="127203E1"/>
    <w:rsid w:val="127777A6"/>
    <w:rsid w:val="127B54E8"/>
    <w:rsid w:val="127F2C4F"/>
    <w:rsid w:val="12865C3B"/>
    <w:rsid w:val="128A572B"/>
    <w:rsid w:val="128D0D77"/>
    <w:rsid w:val="12900868"/>
    <w:rsid w:val="12994B48"/>
    <w:rsid w:val="12A00F70"/>
    <w:rsid w:val="12A143E4"/>
    <w:rsid w:val="12AA36D7"/>
    <w:rsid w:val="12AF0CEE"/>
    <w:rsid w:val="12AF5192"/>
    <w:rsid w:val="12B207DE"/>
    <w:rsid w:val="12B66520"/>
    <w:rsid w:val="12B77767"/>
    <w:rsid w:val="12B96010"/>
    <w:rsid w:val="12BE53D5"/>
    <w:rsid w:val="12C2254C"/>
    <w:rsid w:val="12C404E4"/>
    <w:rsid w:val="12CB42BB"/>
    <w:rsid w:val="12CD73C6"/>
    <w:rsid w:val="12D12DDD"/>
    <w:rsid w:val="12D270D2"/>
    <w:rsid w:val="12D40754"/>
    <w:rsid w:val="12D60970"/>
    <w:rsid w:val="12E60B70"/>
    <w:rsid w:val="12EA7F78"/>
    <w:rsid w:val="12ED1BFE"/>
    <w:rsid w:val="12EF1A32"/>
    <w:rsid w:val="12EF558E"/>
    <w:rsid w:val="12F75244"/>
    <w:rsid w:val="13001549"/>
    <w:rsid w:val="130538AF"/>
    <w:rsid w:val="1308350B"/>
    <w:rsid w:val="13141499"/>
    <w:rsid w:val="1324792E"/>
    <w:rsid w:val="132643C5"/>
    <w:rsid w:val="132A2A6A"/>
    <w:rsid w:val="132E5BB0"/>
    <w:rsid w:val="132F28D0"/>
    <w:rsid w:val="13345697"/>
    <w:rsid w:val="13410292"/>
    <w:rsid w:val="13467FED"/>
    <w:rsid w:val="13545D39"/>
    <w:rsid w:val="135D699C"/>
    <w:rsid w:val="1360594A"/>
    <w:rsid w:val="13620456"/>
    <w:rsid w:val="13655850"/>
    <w:rsid w:val="136D21E3"/>
    <w:rsid w:val="13710699"/>
    <w:rsid w:val="137141F5"/>
    <w:rsid w:val="13743CE5"/>
    <w:rsid w:val="13765CAF"/>
    <w:rsid w:val="137A57A0"/>
    <w:rsid w:val="137B1518"/>
    <w:rsid w:val="137E6CE1"/>
    <w:rsid w:val="137F2DB6"/>
    <w:rsid w:val="13861B64"/>
    <w:rsid w:val="13906D71"/>
    <w:rsid w:val="139132E8"/>
    <w:rsid w:val="139B5716"/>
    <w:rsid w:val="139B74C4"/>
    <w:rsid w:val="139F6FB4"/>
    <w:rsid w:val="13B127AE"/>
    <w:rsid w:val="13BE3B38"/>
    <w:rsid w:val="13C20EF5"/>
    <w:rsid w:val="13C407C9"/>
    <w:rsid w:val="13C53142"/>
    <w:rsid w:val="13C54541"/>
    <w:rsid w:val="13C62793"/>
    <w:rsid w:val="13CB5FFB"/>
    <w:rsid w:val="13CE1647"/>
    <w:rsid w:val="13D824C6"/>
    <w:rsid w:val="13DD2CE2"/>
    <w:rsid w:val="13E250F3"/>
    <w:rsid w:val="13E72709"/>
    <w:rsid w:val="13EF7DF0"/>
    <w:rsid w:val="13FF5CA5"/>
    <w:rsid w:val="14027543"/>
    <w:rsid w:val="140B289C"/>
    <w:rsid w:val="141253D8"/>
    <w:rsid w:val="141259D8"/>
    <w:rsid w:val="14164D9C"/>
    <w:rsid w:val="141D437D"/>
    <w:rsid w:val="142034CA"/>
    <w:rsid w:val="1424395D"/>
    <w:rsid w:val="14357918"/>
    <w:rsid w:val="143D2059"/>
    <w:rsid w:val="14411E19"/>
    <w:rsid w:val="14412BB5"/>
    <w:rsid w:val="14531B4D"/>
    <w:rsid w:val="14535FF1"/>
    <w:rsid w:val="145853B5"/>
    <w:rsid w:val="14593607"/>
    <w:rsid w:val="145D3474"/>
    <w:rsid w:val="145F04F1"/>
    <w:rsid w:val="1461070D"/>
    <w:rsid w:val="147321EF"/>
    <w:rsid w:val="147541B9"/>
    <w:rsid w:val="14770888"/>
    <w:rsid w:val="1478624B"/>
    <w:rsid w:val="14885D40"/>
    <w:rsid w:val="14887A48"/>
    <w:rsid w:val="148D1503"/>
    <w:rsid w:val="14922675"/>
    <w:rsid w:val="14935A24"/>
    <w:rsid w:val="1494463F"/>
    <w:rsid w:val="1497412F"/>
    <w:rsid w:val="14A32AD4"/>
    <w:rsid w:val="14B20F69"/>
    <w:rsid w:val="14B52807"/>
    <w:rsid w:val="14B7743D"/>
    <w:rsid w:val="14BE790E"/>
    <w:rsid w:val="14C3007C"/>
    <w:rsid w:val="14C61346"/>
    <w:rsid w:val="14C64A14"/>
    <w:rsid w:val="14CD5DA3"/>
    <w:rsid w:val="14D62EA9"/>
    <w:rsid w:val="14D7277E"/>
    <w:rsid w:val="14EA24B1"/>
    <w:rsid w:val="14EE29A9"/>
    <w:rsid w:val="14EF1875"/>
    <w:rsid w:val="14F7697C"/>
    <w:rsid w:val="14F84AF8"/>
    <w:rsid w:val="14F96B98"/>
    <w:rsid w:val="14FE7D0A"/>
    <w:rsid w:val="15082937"/>
    <w:rsid w:val="150A66AF"/>
    <w:rsid w:val="15154C72"/>
    <w:rsid w:val="15175270"/>
    <w:rsid w:val="151A266A"/>
    <w:rsid w:val="151D13FC"/>
    <w:rsid w:val="15204125"/>
    <w:rsid w:val="152501C9"/>
    <w:rsid w:val="152C2AC9"/>
    <w:rsid w:val="152F25BA"/>
    <w:rsid w:val="152F4368"/>
    <w:rsid w:val="15323E58"/>
    <w:rsid w:val="1537146E"/>
    <w:rsid w:val="15396F94"/>
    <w:rsid w:val="153C0833"/>
    <w:rsid w:val="15406575"/>
    <w:rsid w:val="15472D06"/>
    <w:rsid w:val="15565D98"/>
    <w:rsid w:val="15634011"/>
    <w:rsid w:val="15677277"/>
    <w:rsid w:val="156A434C"/>
    <w:rsid w:val="156D25B9"/>
    <w:rsid w:val="15713DA7"/>
    <w:rsid w:val="15747FCD"/>
    <w:rsid w:val="157955E3"/>
    <w:rsid w:val="158521DA"/>
    <w:rsid w:val="15877D00"/>
    <w:rsid w:val="158C17BA"/>
    <w:rsid w:val="158C5316"/>
    <w:rsid w:val="158C593F"/>
    <w:rsid w:val="158D108E"/>
    <w:rsid w:val="158E72E0"/>
    <w:rsid w:val="159B19FD"/>
    <w:rsid w:val="159C52A2"/>
    <w:rsid w:val="15A20D98"/>
    <w:rsid w:val="15AA3754"/>
    <w:rsid w:val="15B34F99"/>
    <w:rsid w:val="15B8610B"/>
    <w:rsid w:val="15BB3E4D"/>
    <w:rsid w:val="15C03212"/>
    <w:rsid w:val="15C50828"/>
    <w:rsid w:val="15C75E2E"/>
    <w:rsid w:val="15D171CD"/>
    <w:rsid w:val="15D46CBD"/>
    <w:rsid w:val="15DB629E"/>
    <w:rsid w:val="15E16DE2"/>
    <w:rsid w:val="15E93026"/>
    <w:rsid w:val="15E96C0C"/>
    <w:rsid w:val="15EC04AB"/>
    <w:rsid w:val="15EC5FB9"/>
    <w:rsid w:val="15F0692C"/>
    <w:rsid w:val="15F15AC1"/>
    <w:rsid w:val="15F35395"/>
    <w:rsid w:val="15F555B1"/>
    <w:rsid w:val="15FA6724"/>
    <w:rsid w:val="15FB4961"/>
    <w:rsid w:val="16021A7C"/>
    <w:rsid w:val="16024CD6"/>
    <w:rsid w:val="16027CCE"/>
    <w:rsid w:val="160E02B8"/>
    <w:rsid w:val="160E6673"/>
    <w:rsid w:val="16157A01"/>
    <w:rsid w:val="161E0A1B"/>
    <w:rsid w:val="161F262E"/>
    <w:rsid w:val="161F43DC"/>
    <w:rsid w:val="162437A1"/>
    <w:rsid w:val="162639BD"/>
    <w:rsid w:val="1629525B"/>
    <w:rsid w:val="16297009"/>
    <w:rsid w:val="162D2654"/>
    <w:rsid w:val="1638549E"/>
    <w:rsid w:val="163D2AB4"/>
    <w:rsid w:val="16404216"/>
    <w:rsid w:val="16442095"/>
    <w:rsid w:val="164D1225"/>
    <w:rsid w:val="164E4CC1"/>
    <w:rsid w:val="1653052A"/>
    <w:rsid w:val="165322D8"/>
    <w:rsid w:val="165B2F3A"/>
    <w:rsid w:val="166444E5"/>
    <w:rsid w:val="16700EFD"/>
    <w:rsid w:val="1672275E"/>
    <w:rsid w:val="167364D6"/>
    <w:rsid w:val="16775FC6"/>
    <w:rsid w:val="167A7865"/>
    <w:rsid w:val="167C182F"/>
    <w:rsid w:val="16802DC5"/>
    <w:rsid w:val="168406E3"/>
    <w:rsid w:val="169F376F"/>
    <w:rsid w:val="16A36DBB"/>
    <w:rsid w:val="16A83E9A"/>
    <w:rsid w:val="16A843D2"/>
    <w:rsid w:val="16AA639C"/>
    <w:rsid w:val="16AD19E8"/>
    <w:rsid w:val="16BC5986"/>
    <w:rsid w:val="16C02BC6"/>
    <w:rsid w:val="16D32075"/>
    <w:rsid w:val="16D847EC"/>
    <w:rsid w:val="16E64EFA"/>
    <w:rsid w:val="16E92EAB"/>
    <w:rsid w:val="16EB0762"/>
    <w:rsid w:val="170830C2"/>
    <w:rsid w:val="170F4451"/>
    <w:rsid w:val="17147CB9"/>
    <w:rsid w:val="1715758D"/>
    <w:rsid w:val="171B0366"/>
    <w:rsid w:val="1720040C"/>
    <w:rsid w:val="1735378C"/>
    <w:rsid w:val="174315AD"/>
    <w:rsid w:val="17471E3D"/>
    <w:rsid w:val="174B2FAF"/>
    <w:rsid w:val="174F2A9F"/>
    <w:rsid w:val="17545551"/>
    <w:rsid w:val="17552345"/>
    <w:rsid w:val="17563E2E"/>
    <w:rsid w:val="175B1444"/>
    <w:rsid w:val="176127D3"/>
    <w:rsid w:val="1768590F"/>
    <w:rsid w:val="17752C9A"/>
    <w:rsid w:val="17793FC0"/>
    <w:rsid w:val="177E3384"/>
    <w:rsid w:val="17856F0F"/>
    <w:rsid w:val="17872239"/>
    <w:rsid w:val="17967879"/>
    <w:rsid w:val="179B3DA5"/>
    <w:rsid w:val="179B5CE4"/>
    <w:rsid w:val="17A10E21"/>
    <w:rsid w:val="17A27073"/>
    <w:rsid w:val="17A4103D"/>
    <w:rsid w:val="17A76437"/>
    <w:rsid w:val="17AD5A18"/>
    <w:rsid w:val="17AE0868"/>
    <w:rsid w:val="17BB0135"/>
    <w:rsid w:val="17C76AD9"/>
    <w:rsid w:val="17CA0EC3"/>
    <w:rsid w:val="17D15BAA"/>
    <w:rsid w:val="17D52505"/>
    <w:rsid w:val="17D7387E"/>
    <w:rsid w:val="17E05DED"/>
    <w:rsid w:val="17EC1FFD"/>
    <w:rsid w:val="17EC6540"/>
    <w:rsid w:val="17ED1553"/>
    <w:rsid w:val="17F453F5"/>
    <w:rsid w:val="18027B12"/>
    <w:rsid w:val="1803764E"/>
    <w:rsid w:val="18075128"/>
    <w:rsid w:val="180A4C18"/>
    <w:rsid w:val="180C6B02"/>
    <w:rsid w:val="180F2AE1"/>
    <w:rsid w:val="181141F9"/>
    <w:rsid w:val="18147845"/>
    <w:rsid w:val="18187335"/>
    <w:rsid w:val="18194E5B"/>
    <w:rsid w:val="181D7F4A"/>
    <w:rsid w:val="182201B4"/>
    <w:rsid w:val="1824217E"/>
    <w:rsid w:val="182757CA"/>
    <w:rsid w:val="18291542"/>
    <w:rsid w:val="18335F1D"/>
    <w:rsid w:val="183A54CF"/>
    <w:rsid w:val="183A54FD"/>
    <w:rsid w:val="184064C6"/>
    <w:rsid w:val="1844012A"/>
    <w:rsid w:val="184E2D57"/>
    <w:rsid w:val="18534811"/>
    <w:rsid w:val="185365BF"/>
    <w:rsid w:val="18610CDC"/>
    <w:rsid w:val="18616F2E"/>
    <w:rsid w:val="18622CA6"/>
    <w:rsid w:val="18623F20"/>
    <w:rsid w:val="18664544"/>
    <w:rsid w:val="18694035"/>
    <w:rsid w:val="18697B91"/>
    <w:rsid w:val="186E33F9"/>
    <w:rsid w:val="18714C97"/>
    <w:rsid w:val="18773984"/>
    <w:rsid w:val="187C78C4"/>
    <w:rsid w:val="18820C52"/>
    <w:rsid w:val="188500F1"/>
    <w:rsid w:val="18891FE1"/>
    <w:rsid w:val="188E5849"/>
    <w:rsid w:val="188F715A"/>
    <w:rsid w:val="189015C1"/>
    <w:rsid w:val="189270E7"/>
    <w:rsid w:val="189664AC"/>
    <w:rsid w:val="189E3CDE"/>
    <w:rsid w:val="189F1804"/>
    <w:rsid w:val="18BE1FCB"/>
    <w:rsid w:val="18C80D5B"/>
    <w:rsid w:val="18CE20EA"/>
    <w:rsid w:val="18CE5C46"/>
    <w:rsid w:val="18D07C10"/>
    <w:rsid w:val="18D224FE"/>
    <w:rsid w:val="18D72D4C"/>
    <w:rsid w:val="18E15979"/>
    <w:rsid w:val="18E67433"/>
    <w:rsid w:val="18E84F59"/>
    <w:rsid w:val="18ED4079"/>
    <w:rsid w:val="18F03E0E"/>
    <w:rsid w:val="18F733EE"/>
    <w:rsid w:val="190D676E"/>
    <w:rsid w:val="1912647A"/>
    <w:rsid w:val="191E6BCD"/>
    <w:rsid w:val="19237145"/>
    <w:rsid w:val="192561AE"/>
    <w:rsid w:val="192A37C4"/>
    <w:rsid w:val="1932488C"/>
    <w:rsid w:val="19346C3C"/>
    <w:rsid w:val="194128BC"/>
    <w:rsid w:val="19434886"/>
    <w:rsid w:val="194505FE"/>
    <w:rsid w:val="194B491A"/>
    <w:rsid w:val="194D300E"/>
    <w:rsid w:val="19524AC9"/>
    <w:rsid w:val="195F5203"/>
    <w:rsid w:val="19687E48"/>
    <w:rsid w:val="196D1903"/>
    <w:rsid w:val="19726F19"/>
    <w:rsid w:val="19744A3F"/>
    <w:rsid w:val="197502AF"/>
    <w:rsid w:val="197B401F"/>
    <w:rsid w:val="197C1B46"/>
    <w:rsid w:val="19820044"/>
    <w:rsid w:val="19831126"/>
    <w:rsid w:val="19851A82"/>
    <w:rsid w:val="198729C4"/>
    <w:rsid w:val="1988673C"/>
    <w:rsid w:val="198945B7"/>
    <w:rsid w:val="19935AE9"/>
    <w:rsid w:val="199C1742"/>
    <w:rsid w:val="199E1ABC"/>
    <w:rsid w:val="19A215AC"/>
    <w:rsid w:val="19A370D2"/>
    <w:rsid w:val="19AF1F1B"/>
    <w:rsid w:val="19B65058"/>
    <w:rsid w:val="19BC1F42"/>
    <w:rsid w:val="19C332D1"/>
    <w:rsid w:val="19C72DC1"/>
    <w:rsid w:val="19C84D8B"/>
    <w:rsid w:val="19D57177"/>
    <w:rsid w:val="19D86DEE"/>
    <w:rsid w:val="19E75211"/>
    <w:rsid w:val="19F3005A"/>
    <w:rsid w:val="19F90A68"/>
    <w:rsid w:val="19FB6F0E"/>
    <w:rsid w:val="19FD3F8E"/>
    <w:rsid w:val="1A116EA2"/>
    <w:rsid w:val="1A141D7E"/>
    <w:rsid w:val="1A147FD0"/>
    <w:rsid w:val="1A17021F"/>
    <w:rsid w:val="1A174755"/>
    <w:rsid w:val="1A18361C"/>
    <w:rsid w:val="1A197394"/>
    <w:rsid w:val="1A253F8B"/>
    <w:rsid w:val="1A2E4BEE"/>
    <w:rsid w:val="1A300A91"/>
    <w:rsid w:val="1A361CF4"/>
    <w:rsid w:val="1A3F504D"/>
    <w:rsid w:val="1A41539A"/>
    <w:rsid w:val="1A456D73"/>
    <w:rsid w:val="1A5605E9"/>
    <w:rsid w:val="1A5D1977"/>
    <w:rsid w:val="1A5D3725"/>
    <w:rsid w:val="1A5D54D3"/>
    <w:rsid w:val="1A681208"/>
    <w:rsid w:val="1A693E78"/>
    <w:rsid w:val="1A6A6BF8"/>
    <w:rsid w:val="1A7647E7"/>
    <w:rsid w:val="1A766183"/>
    <w:rsid w:val="1A78055F"/>
    <w:rsid w:val="1A7B13B5"/>
    <w:rsid w:val="1A7D269C"/>
    <w:rsid w:val="1A7D7923"/>
    <w:rsid w:val="1A8B2040"/>
    <w:rsid w:val="1A8C60A2"/>
    <w:rsid w:val="1A8E38DF"/>
    <w:rsid w:val="1A9829AF"/>
    <w:rsid w:val="1A9A2283"/>
    <w:rsid w:val="1A9C424D"/>
    <w:rsid w:val="1A9D2818"/>
    <w:rsid w:val="1A9D6217"/>
    <w:rsid w:val="1AA17AB6"/>
    <w:rsid w:val="1AA255DC"/>
    <w:rsid w:val="1AA509F7"/>
    <w:rsid w:val="1AB1581F"/>
    <w:rsid w:val="1AB772D9"/>
    <w:rsid w:val="1ABC044C"/>
    <w:rsid w:val="1AC83294"/>
    <w:rsid w:val="1ACC3C39"/>
    <w:rsid w:val="1ACD2659"/>
    <w:rsid w:val="1AD8273C"/>
    <w:rsid w:val="1ADC0AEE"/>
    <w:rsid w:val="1ADF413A"/>
    <w:rsid w:val="1AE259D8"/>
    <w:rsid w:val="1AE6371B"/>
    <w:rsid w:val="1AE87493"/>
    <w:rsid w:val="1AEA48C2"/>
    <w:rsid w:val="1AF84F97"/>
    <w:rsid w:val="1AFD2812"/>
    <w:rsid w:val="1B065B6B"/>
    <w:rsid w:val="1B075976"/>
    <w:rsid w:val="1B0975B8"/>
    <w:rsid w:val="1B0E4A1F"/>
    <w:rsid w:val="1B171B26"/>
    <w:rsid w:val="1B183D2A"/>
    <w:rsid w:val="1B1868FB"/>
    <w:rsid w:val="1B210BF7"/>
    <w:rsid w:val="1B26620D"/>
    <w:rsid w:val="1B2B3823"/>
    <w:rsid w:val="1B2D759B"/>
    <w:rsid w:val="1B326960"/>
    <w:rsid w:val="1B373F76"/>
    <w:rsid w:val="1B391A9C"/>
    <w:rsid w:val="1B4346C9"/>
    <w:rsid w:val="1B495A57"/>
    <w:rsid w:val="1B506DE6"/>
    <w:rsid w:val="1B590390"/>
    <w:rsid w:val="1B5C39DD"/>
    <w:rsid w:val="1B632FBD"/>
    <w:rsid w:val="1B6805D3"/>
    <w:rsid w:val="1B6A434C"/>
    <w:rsid w:val="1B6C0EE8"/>
    <w:rsid w:val="1B6F650B"/>
    <w:rsid w:val="1B721452"/>
    <w:rsid w:val="1B7900EB"/>
    <w:rsid w:val="1B803B6F"/>
    <w:rsid w:val="1B813443"/>
    <w:rsid w:val="1B83540D"/>
    <w:rsid w:val="1B851185"/>
    <w:rsid w:val="1B854CE1"/>
    <w:rsid w:val="1B970EB9"/>
    <w:rsid w:val="1B9E3FF5"/>
    <w:rsid w:val="1BA07D6D"/>
    <w:rsid w:val="1BA36ACA"/>
    <w:rsid w:val="1BA80BC2"/>
    <w:rsid w:val="1BAA0BEC"/>
    <w:rsid w:val="1BAB2117"/>
    <w:rsid w:val="1BAB226E"/>
    <w:rsid w:val="1BAF48EB"/>
    <w:rsid w:val="1BB04D0E"/>
    <w:rsid w:val="1BB43819"/>
    <w:rsid w:val="1BBD091F"/>
    <w:rsid w:val="1BBE01F3"/>
    <w:rsid w:val="1BC17CE4"/>
    <w:rsid w:val="1BC3580A"/>
    <w:rsid w:val="1BC63F3A"/>
    <w:rsid w:val="1BCD0437"/>
    <w:rsid w:val="1BD47A17"/>
    <w:rsid w:val="1BD72146"/>
    <w:rsid w:val="1BDD7243"/>
    <w:rsid w:val="1BE91714"/>
    <w:rsid w:val="1BEA548C"/>
    <w:rsid w:val="1BF006D9"/>
    <w:rsid w:val="1BF319CB"/>
    <w:rsid w:val="1BF80778"/>
    <w:rsid w:val="1C0227D6"/>
    <w:rsid w:val="1C093B64"/>
    <w:rsid w:val="1C0E117B"/>
    <w:rsid w:val="1C146065"/>
    <w:rsid w:val="1C1B73F4"/>
    <w:rsid w:val="1C1C4F1A"/>
    <w:rsid w:val="1C202C5C"/>
    <w:rsid w:val="1C267B32"/>
    <w:rsid w:val="1C2838BF"/>
    <w:rsid w:val="1C306FEC"/>
    <w:rsid w:val="1C3244EA"/>
    <w:rsid w:val="1C330BE1"/>
    <w:rsid w:val="1C393D1E"/>
    <w:rsid w:val="1C4032FE"/>
    <w:rsid w:val="1C424981"/>
    <w:rsid w:val="1C444B9D"/>
    <w:rsid w:val="1C44694B"/>
    <w:rsid w:val="1C4E1577"/>
    <w:rsid w:val="1C552DB2"/>
    <w:rsid w:val="1C5F3784"/>
    <w:rsid w:val="1C5F5D64"/>
    <w:rsid w:val="1C6E39C8"/>
    <w:rsid w:val="1C790574"/>
    <w:rsid w:val="1C7B268B"/>
    <w:rsid w:val="1C80194D"/>
    <w:rsid w:val="1C844F99"/>
    <w:rsid w:val="1C850D11"/>
    <w:rsid w:val="1C890801"/>
    <w:rsid w:val="1C8925AF"/>
    <w:rsid w:val="1C8B122A"/>
    <w:rsid w:val="1C8E5E18"/>
    <w:rsid w:val="1C913B5A"/>
    <w:rsid w:val="1C974769"/>
    <w:rsid w:val="1C9B0535"/>
    <w:rsid w:val="1C9F6277"/>
    <w:rsid w:val="1CA653B3"/>
    <w:rsid w:val="1CA67605"/>
    <w:rsid w:val="1CA70679"/>
    <w:rsid w:val="1CA7512B"/>
    <w:rsid w:val="1CB3587E"/>
    <w:rsid w:val="1CBD66FD"/>
    <w:rsid w:val="1CC45CDD"/>
    <w:rsid w:val="1CCB0E1A"/>
    <w:rsid w:val="1CCF7CB8"/>
    <w:rsid w:val="1CD04682"/>
    <w:rsid w:val="1CD31A7D"/>
    <w:rsid w:val="1CDB6B83"/>
    <w:rsid w:val="1CDD0B4D"/>
    <w:rsid w:val="1CDD6D9F"/>
    <w:rsid w:val="1CE15268"/>
    <w:rsid w:val="1CF10155"/>
    <w:rsid w:val="1CF163A7"/>
    <w:rsid w:val="1CF814E3"/>
    <w:rsid w:val="1CFC5477"/>
    <w:rsid w:val="1D007F39"/>
    <w:rsid w:val="1D027794"/>
    <w:rsid w:val="1D047E88"/>
    <w:rsid w:val="1D187DD7"/>
    <w:rsid w:val="1D197650"/>
    <w:rsid w:val="1D1E53EE"/>
    <w:rsid w:val="1D207523"/>
    <w:rsid w:val="1D214BEF"/>
    <w:rsid w:val="1D291FE4"/>
    <w:rsid w:val="1D344C11"/>
    <w:rsid w:val="1D492D8E"/>
    <w:rsid w:val="1D52644A"/>
    <w:rsid w:val="1D556936"/>
    <w:rsid w:val="1D5801D4"/>
    <w:rsid w:val="1D5D0701"/>
    <w:rsid w:val="1D5F1562"/>
    <w:rsid w:val="1D670577"/>
    <w:rsid w:val="1D6848BB"/>
    <w:rsid w:val="1D734218"/>
    <w:rsid w:val="1D76522A"/>
    <w:rsid w:val="1D7F1C04"/>
    <w:rsid w:val="1D8B05A9"/>
    <w:rsid w:val="1D8D2573"/>
    <w:rsid w:val="1D902354"/>
    <w:rsid w:val="1D9473CA"/>
    <w:rsid w:val="1D963FF9"/>
    <w:rsid w:val="1D9A259A"/>
    <w:rsid w:val="1D9E066F"/>
    <w:rsid w:val="1D9F5E03"/>
    <w:rsid w:val="1DA96801"/>
    <w:rsid w:val="1DB23D88"/>
    <w:rsid w:val="1DB7314C"/>
    <w:rsid w:val="1DB95116"/>
    <w:rsid w:val="1DBB0E8E"/>
    <w:rsid w:val="1DBC69B5"/>
    <w:rsid w:val="1DC064A5"/>
    <w:rsid w:val="1DC55869"/>
    <w:rsid w:val="1DC6338F"/>
    <w:rsid w:val="1DC67833"/>
    <w:rsid w:val="1DC85359"/>
    <w:rsid w:val="1DCA10D2"/>
    <w:rsid w:val="1DCF493A"/>
    <w:rsid w:val="1DD41F50"/>
    <w:rsid w:val="1DD71A40"/>
    <w:rsid w:val="1DD849C1"/>
    <w:rsid w:val="1DE101C9"/>
    <w:rsid w:val="1DE63A32"/>
    <w:rsid w:val="1DE87F9E"/>
    <w:rsid w:val="1DED3012"/>
    <w:rsid w:val="1DF37014"/>
    <w:rsid w:val="1DFD14A7"/>
    <w:rsid w:val="1E01086B"/>
    <w:rsid w:val="1E016615"/>
    <w:rsid w:val="1E094CF0"/>
    <w:rsid w:val="1E0D5462"/>
    <w:rsid w:val="1E116D00"/>
    <w:rsid w:val="1E1C7453"/>
    <w:rsid w:val="1E205195"/>
    <w:rsid w:val="1E236A34"/>
    <w:rsid w:val="1E2702D2"/>
    <w:rsid w:val="1E2D7DCC"/>
    <w:rsid w:val="1E396257"/>
    <w:rsid w:val="1E44197A"/>
    <w:rsid w:val="1E477E9B"/>
    <w:rsid w:val="1E4C5F8A"/>
    <w:rsid w:val="1E4F7829"/>
    <w:rsid w:val="1E557950"/>
    <w:rsid w:val="1E592455"/>
    <w:rsid w:val="1E671B6C"/>
    <w:rsid w:val="1E696B3C"/>
    <w:rsid w:val="1E6A4663"/>
    <w:rsid w:val="1E6E5F01"/>
    <w:rsid w:val="1E74728F"/>
    <w:rsid w:val="1E894AE9"/>
    <w:rsid w:val="1E8A0861"/>
    <w:rsid w:val="1E8C3E9D"/>
    <w:rsid w:val="1E8F7C25"/>
    <w:rsid w:val="1E90231B"/>
    <w:rsid w:val="1E94465C"/>
    <w:rsid w:val="1E957931"/>
    <w:rsid w:val="1E9E4585"/>
    <w:rsid w:val="1EB12291"/>
    <w:rsid w:val="1EB458DE"/>
    <w:rsid w:val="1EB83620"/>
    <w:rsid w:val="1EBF4F16"/>
    <w:rsid w:val="1EC21DA9"/>
    <w:rsid w:val="1EC57AEB"/>
    <w:rsid w:val="1ECA3253"/>
    <w:rsid w:val="1ED65854"/>
    <w:rsid w:val="1EE12B77"/>
    <w:rsid w:val="1EE44415"/>
    <w:rsid w:val="1EEA3E98"/>
    <w:rsid w:val="1EF74148"/>
    <w:rsid w:val="1EF81C6E"/>
    <w:rsid w:val="1EF83A1C"/>
    <w:rsid w:val="1EFB6A73"/>
    <w:rsid w:val="1EFF2FFD"/>
    <w:rsid w:val="1EFF4DAB"/>
    <w:rsid w:val="1F0C74C8"/>
    <w:rsid w:val="1F0E1492"/>
    <w:rsid w:val="1F1620F4"/>
    <w:rsid w:val="1F190772"/>
    <w:rsid w:val="1F1C595D"/>
    <w:rsid w:val="1F204D21"/>
    <w:rsid w:val="1F2111C5"/>
    <w:rsid w:val="1F282554"/>
    <w:rsid w:val="1F2B5BA0"/>
    <w:rsid w:val="1F2E38E2"/>
    <w:rsid w:val="1F334045"/>
    <w:rsid w:val="1F413615"/>
    <w:rsid w:val="1F4153C3"/>
    <w:rsid w:val="1F52137F"/>
    <w:rsid w:val="1F536EA5"/>
    <w:rsid w:val="1F5C21FD"/>
    <w:rsid w:val="1F5E2740"/>
    <w:rsid w:val="1F617814"/>
    <w:rsid w:val="1F6A0589"/>
    <w:rsid w:val="1F736175"/>
    <w:rsid w:val="1F7B0539"/>
    <w:rsid w:val="1F7C0BD3"/>
    <w:rsid w:val="1F917194"/>
    <w:rsid w:val="1F9C7ED3"/>
    <w:rsid w:val="1F9E2816"/>
    <w:rsid w:val="1FA15E62"/>
    <w:rsid w:val="1FA67583"/>
    <w:rsid w:val="1FA75836"/>
    <w:rsid w:val="1FA871F0"/>
    <w:rsid w:val="1FB922C3"/>
    <w:rsid w:val="1FBA5176"/>
    <w:rsid w:val="1FBE6A14"/>
    <w:rsid w:val="1FD06747"/>
    <w:rsid w:val="1FD840FD"/>
    <w:rsid w:val="1FE309C8"/>
    <w:rsid w:val="1FE346CD"/>
    <w:rsid w:val="1FE43FA1"/>
    <w:rsid w:val="1FE745E4"/>
    <w:rsid w:val="1FED554B"/>
    <w:rsid w:val="1FF37DF9"/>
    <w:rsid w:val="1FF93EF0"/>
    <w:rsid w:val="1FFE32B4"/>
    <w:rsid w:val="20032CFE"/>
    <w:rsid w:val="200A5653"/>
    <w:rsid w:val="200F101E"/>
    <w:rsid w:val="20120B0E"/>
    <w:rsid w:val="20144886"/>
    <w:rsid w:val="201541EA"/>
    <w:rsid w:val="201725C8"/>
    <w:rsid w:val="20177779"/>
    <w:rsid w:val="201B3E66"/>
    <w:rsid w:val="20280331"/>
    <w:rsid w:val="2028051C"/>
    <w:rsid w:val="202F7912"/>
    <w:rsid w:val="20337402"/>
    <w:rsid w:val="20353D7F"/>
    <w:rsid w:val="203767C6"/>
    <w:rsid w:val="203D202F"/>
    <w:rsid w:val="20436F19"/>
    <w:rsid w:val="205630F0"/>
    <w:rsid w:val="205C7FDB"/>
    <w:rsid w:val="205D447F"/>
    <w:rsid w:val="205E1FA5"/>
    <w:rsid w:val="20601879"/>
    <w:rsid w:val="20621A95"/>
    <w:rsid w:val="20684BD2"/>
    <w:rsid w:val="206C6470"/>
    <w:rsid w:val="20711CD8"/>
    <w:rsid w:val="20766C71"/>
    <w:rsid w:val="20895DCF"/>
    <w:rsid w:val="20922EC5"/>
    <w:rsid w:val="209416FD"/>
    <w:rsid w:val="2096173F"/>
    <w:rsid w:val="20971013"/>
    <w:rsid w:val="20A35C0A"/>
    <w:rsid w:val="20A57BD4"/>
    <w:rsid w:val="20A83220"/>
    <w:rsid w:val="20A976C4"/>
    <w:rsid w:val="20B16579"/>
    <w:rsid w:val="20C27542"/>
    <w:rsid w:val="20C462AC"/>
    <w:rsid w:val="20C5756B"/>
    <w:rsid w:val="20CE712B"/>
    <w:rsid w:val="20D12777"/>
    <w:rsid w:val="20DA787E"/>
    <w:rsid w:val="20DC77ED"/>
    <w:rsid w:val="20E031BE"/>
    <w:rsid w:val="20E406FC"/>
    <w:rsid w:val="20EF0E4F"/>
    <w:rsid w:val="20EF2BFD"/>
    <w:rsid w:val="21042B4C"/>
    <w:rsid w:val="21143B39"/>
    <w:rsid w:val="21162880"/>
    <w:rsid w:val="211D3C0E"/>
    <w:rsid w:val="211D58FB"/>
    <w:rsid w:val="21205B7B"/>
    <w:rsid w:val="21224D81"/>
    <w:rsid w:val="21262AC3"/>
    <w:rsid w:val="2129479D"/>
    <w:rsid w:val="212C5BFF"/>
    <w:rsid w:val="21303322"/>
    <w:rsid w:val="213276BA"/>
    <w:rsid w:val="21350F58"/>
    <w:rsid w:val="213827F6"/>
    <w:rsid w:val="213B4094"/>
    <w:rsid w:val="213B5E42"/>
    <w:rsid w:val="213D605E"/>
    <w:rsid w:val="21426D35"/>
    <w:rsid w:val="21466CC1"/>
    <w:rsid w:val="21472A39"/>
    <w:rsid w:val="21521B0A"/>
    <w:rsid w:val="21582E98"/>
    <w:rsid w:val="215F7D83"/>
    <w:rsid w:val="21627873"/>
    <w:rsid w:val="216929AF"/>
    <w:rsid w:val="21703D3E"/>
    <w:rsid w:val="21867A05"/>
    <w:rsid w:val="218B0B78"/>
    <w:rsid w:val="21904EF3"/>
    <w:rsid w:val="2190549D"/>
    <w:rsid w:val="2192111C"/>
    <w:rsid w:val="219A700D"/>
    <w:rsid w:val="21A34C20"/>
    <w:rsid w:val="21A8797C"/>
    <w:rsid w:val="21AD6D40"/>
    <w:rsid w:val="21AF0D0A"/>
    <w:rsid w:val="21BC3427"/>
    <w:rsid w:val="21BC51D5"/>
    <w:rsid w:val="21BE66C5"/>
    <w:rsid w:val="21C61BB0"/>
    <w:rsid w:val="21C83B7A"/>
    <w:rsid w:val="21CD73E2"/>
    <w:rsid w:val="21D21292"/>
    <w:rsid w:val="21D36836"/>
    <w:rsid w:val="21D4251F"/>
    <w:rsid w:val="21D56297"/>
    <w:rsid w:val="21D84004"/>
    <w:rsid w:val="21DA1AFF"/>
    <w:rsid w:val="21E04E8C"/>
    <w:rsid w:val="21E93AF0"/>
    <w:rsid w:val="21ED1832"/>
    <w:rsid w:val="21ED538F"/>
    <w:rsid w:val="21F229A5"/>
    <w:rsid w:val="21FC7CC7"/>
    <w:rsid w:val="21FE57EE"/>
    <w:rsid w:val="22005534"/>
    <w:rsid w:val="2201708C"/>
    <w:rsid w:val="220770D0"/>
    <w:rsid w:val="220A4192"/>
    <w:rsid w:val="220B0B21"/>
    <w:rsid w:val="220B1CB9"/>
    <w:rsid w:val="220B7F0B"/>
    <w:rsid w:val="2212736A"/>
    <w:rsid w:val="22140B6D"/>
    <w:rsid w:val="22153965"/>
    <w:rsid w:val="22192627"/>
    <w:rsid w:val="221C5C74"/>
    <w:rsid w:val="221E19EC"/>
    <w:rsid w:val="222075E8"/>
    <w:rsid w:val="22252D7A"/>
    <w:rsid w:val="22280ABD"/>
    <w:rsid w:val="222B4109"/>
    <w:rsid w:val="222F59A7"/>
    <w:rsid w:val="22317971"/>
    <w:rsid w:val="22387D8C"/>
    <w:rsid w:val="223E3E3C"/>
    <w:rsid w:val="224C6605"/>
    <w:rsid w:val="224F1BA5"/>
    <w:rsid w:val="225278E7"/>
    <w:rsid w:val="22561186"/>
    <w:rsid w:val="22592A24"/>
    <w:rsid w:val="225B49EE"/>
    <w:rsid w:val="225B739B"/>
    <w:rsid w:val="225E003A"/>
    <w:rsid w:val="22621177"/>
    <w:rsid w:val="2264745D"/>
    <w:rsid w:val="226C6BFB"/>
    <w:rsid w:val="226D707F"/>
    <w:rsid w:val="226E2973"/>
    <w:rsid w:val="226F0499"/>
    <w:rsid w:val="22714212"/>
    <w:rsid w:val="22715FC0"/>
    <w:rsid w:val="22717D6E"/>
    <w:rsid w:val="22723AE6"/>
    <w:rsid w:val="2277734E"/>
    <w:rsid w:val="228201CD"/>
    <w:rsid w:val="228C4BA7"/>
    <w:rsid w:val="228F4698"/>
    <w:rsid w:val="229254B9"/>
    <w:rsid w:val="229D666F"/>
    <w:rsid w:val="22A2261D"/>
    <w:rsid w:val="22A5210D"/>
    <w:rsid w:val="22A76605"/>
    <w:rsid w:val="22AF0896"/>
    <w:rsid w:val="22C5455D"/>
    <w:rsid w:val="22C77C89"/>
    <w:rsid w:val="22CB58FB"/>
    <w:rsid w:val="22CC036B"/>
    <w:rsid w:val="22CF4739"/>
    <w:rsid w:val="22D16A5E"/>
    <w:rsid w:val="22D70C0B"/>
    <w:rsid w:val="22E04EF3"/>
    <w:rsid w:val="22E449E3"/>
    <w:rsid w:val="22EF3388"/>
    <w:rsid w:val="22F015DA"/>
    <w:rsid w:val="22F4099F"/>
    <w:rsid w:val="22F4274D"/>
    <w:rsid w:val="22F63C21"/>
    <w:rsid w:val="22F97417"/>
    <w:rsid w:val="22FD3CF7"/>
    <w:rsid w:val="230063DC"/>
    <w:rsid w:val="23011D9A"/>
    <w:rsid w:val="230961F8"/>
    <w:rsid w:val="230E1A60"/>
    <w:rsid w:val="230F0CBA"/>
    <w:rsid w:val="23147F1E"/>
    <w:rsid w:val="231D6147"/>
    <w:rsid w:val="23231566"/>
    <w:rsid w:val="233139A1"/>
    <w:rsid w:val="233157B8"/>
    <w:rsid w:val="23325B7C"/>
    <w:rsid w:val="233A0AA7"/>
    <w:rsid w:val="233C481F"/>
    <w:rsid w:val="23445482"/>
    <w:rsid w:val="23447230"/>
    <w:rsid w:val="23503E27"/>
    <w:rsid w:val="23563407"/>
    <w:rsid w:val="23571659"/>
    <w:rsid w:val="235D02F2"/>
    <w:rsid w:val="2361564E"/>
    <w:rsid w:val="23621DAC"/>
    <w:rsid w:val="237A70F6"/>
    <w:rsid w:val="237D0994"/>
    <w:rsid w:val="238561A8"/>
    <w:rsid w:val="23887A65"/>
    <w:rsid w:val="238910E7"/>
    <w:rsid w:val="238F4A20"/>
    <w:rsid w:val="239006C7"/>
    <w:rsid w:val="23A203FB"/>
    <w:rsid w:val="23A208C4"/>
    <w:rsid w:val="23A221A9"/>
    <w:rsid w:val="23A777BF"/>
    <w:rsid w:val="23AD74CB"/>
    <w:rsid w:val="23B51EDC"/>
    <w:rsid w:val="23BA1BE8"/>
    <w:rsid w:val="23C6233B"/>
    <w:rsid w:val="23D22A8E"/>
    <w:rsid w:val="23DC56BB"/>
    <w:rsid w:val="23EB16FF"/>
    <w:rsid w:val="23F23130"/>
    <w:rsid w:val="23F30C56"/>
    <w:rsid w:val="23F549CE"/>
    <w:rsid w:val="23F724F4"/>
    <w:rsid w:val="23F8626D"/>
    <w:rsid w:val="23FA1FE5"/>
    <w:rsid w:val="24003A9F"/>
    <w:rsid w:val="24042E63"/>
    <w:rsid w:val="2406098A"/>
    <w:rsid w:val="240864B0"/>
    <w:rsid w:val="240A3547"/>
    <w:rsid w:val="24105E4A"/>
    <w:rsid w:val="24134E54"/>
    <w:rsid w:val="24150BCD"/>
    <w:rsid w:val="241F1A4B"/>
    <w:rsid w:val="242B03F0"/>
    <w:rsid w:val="242D4168"/>
    <w:rsid w:val="24333C8C"/>
    <w:rsid w:val="243472A5"/>
    <w:rsid w:val="2446522A"/>
    <w:rsid w:val="244871F4"/>
    <w:rsid w:val="24561911"/>
    <w:rsid w:val="245623F1"/>
    <w:rsid w:val="245C4A4D"/>
    <w:rsid w:val="24637B8A"/>
    <w:rsid w:val="246B4C91"/>
    <w:rsid w:val="246B6A3F"/>
    <w:rsid w:val="246C2EE2"/>
    <w:rsid w:val="246F29D3"/>
    <w:rsid w:val="247104F9"/>
    <w:rsid w:val="2477022E"/>
    <w:rsid w:val="248024EA"/>
    <w:rsid w:val="24855D52"/>
    <w:rsid w:val="24883A94"/>
    <w:rsid w:val="248875F1"/>
    <w:rsid w:val="249266C1"/>
    <w:rsid w:val="24973CD7"/>
    <w:rsid w:val="249C309C"/>
    <w:rsid w:val="249E0BC2"/>
    <w:rsid w:val="24AF2DCF"/>
    <w:rsid w:val="24B06F90"/>
    <w:rsid w:val="24B2529A"/>
    <w:rsid w:val="24B30B11"/>
    <w:rsid w:val="24BC729A"/>
    <w:rsid w:val="24BE4D5C"/>
    <w:rsid w:val="24C83E91"/>
    <w:rsid w:val="24C9264A"/>
    <w:rsid w:val="24CD14A7"/>
    <w:rsid w:val="24D32F62"/>
    <w:rsid w:val="24D942F0"/>
    <w:rsid w:val="24DA68EE"/>
    <w:rsid w:val="24E03FCF"/>
    <w:rsid w:val="24E0567E"/>
    <w:rsid w:val="24E20169"/>
    <w:rsid w:val="24E76A0D"/>
    <w:rsid w:val="24E862E1"/>
    <w:rsid w:val="24E964E8"/>
    <w:rsid w:val="24EC5DD1"/>
    <w:rsid w:val="24EF141E"/>
    <w:rsid w:val="24F350DC"/>
    <w:rsid w:val="24F40CF4"/>
    <w:rsid w:val="24FD7FDE"/>
    <w:rsid w:val="25004B0F"/>
    <w:rsid w:val="2504136D"/>
    <w:rsid w:val="25072C0B"/>
    <w:rsid w:val="250B2F76"/>
    <w:rsid w:val="250E5D48"/>
    <w:rsid w:val="250F002D"/>
    <w:rsid w:val="251315B0"/>
    <w:rsid w:val="25180851"/>
    <w:rsid w:val="25184E18"/>
    <w:rsid w:val="251D3E5E"/>
    <w:rsid w:val="251D6CAE"/>
    <w:rsid w:val="25213E48"/>
    <w:rsid w:val="25226C62"/>
    <w:rsid w:val="25243F0A"/>
    <w:rsid w:val="252512E3"/>
    <w:rsid w:val="25284930"/>
    <w:rsid w:val="252A68FA"/>
    <w:rsid w:val="252F1A95"/>
    <w:rsid w:val="2530507E"/>
    <w:rsid w:val="25331C52"/>
    <w:rsid w:val="253357AE"/>
    <w:rsid w:val="2533755C"/>
    <w:rsid w:val="253634F0"/>
    <w:rsid w:val="25423C43"/>
    <w:rsid w:val="25444028"/>
    <w:rsid w:val="254A0D4A"/>
    <w:rsid w:val="254F010E"/>
    <w:rsid w:val="255319AC"/>
    <w:rsid w:val="25545725"/>
    <w:rsid w:val="25555909"/>
    <w:rsid w:val="255A7F9C"/>
    <w:rsid w:val="255B6AB3"/>
    <w:rsid w:val="255F65A3"/>
    <w:rsid w:val="256242E5"/>
    <w:rsid w:val="25670CAF"/>
    <w:rsid w:val="25677D1E"/>
    <w:rsid w:val="25695674"/>
    <w:rsid w:val="256F255E"/>
    <w:rsid w:val="25722260"/>
    <w:rsid w:val="25777D91"/>
    <w:rsid w:val="257C53A7"/>
    <w:rsid w:val="257F09F3"/>
    <w:rsid w:val="258630B3"/>
    <w:rsid w:val="25870104"/>
    <w:rsid w:val="25893620"/>
    <w:rsid w:val="258A1146"/>
    <w:rsid w:val="258C3110"/>
    <w:rsid w:val="259721E1"/>
    <w:rsid w:val="25981AB5"/>
    <w:rsid w:val="25A71CF8"/>
    <w:rsid w:val="25A95A70"/>
    <w:rsid w:val="25B83F05"/>
    <w:rsid w:val="25B85CB3"/>
    <w:rsid w:val="25BD32CA"/>
    <w:rsid w:val="25C5530F"/>
    <w:rsid w:val="25CB1E8B"/>
    <w:rsid w:val="25DA2D03"/>
    <w:rsid w:val="25DB28FA"/>
    <w:rsid w:val="25DF1492"/>
    <w:rsid w:val="25DF76E4"/>
    <w:rsid w:val="25E44CFA"/>
    <w:rsid w:val="25EC38E4"/>
    <w:rsid w:val="25F53506"/>
    <w:rsid w:val="2606448B"/>
    <w:rsid w:val="261202F6"/>
    <w:rsid w:val="26190E48"/>
    <w:rsid w:val="26192BF6"/>
    <w:rsid w:val="261A76E2"/>
    <w:rsid w:val="261C26E6"/>
    <w:rsid w:val="26245763"/>
    <w:rsid w:val="26265313"/>
    <w:rsid w:val="26284BE7"/>
    <w:rsid w:val="26296BB1"/>
    <w:rsid w:val="263E318C"/>
    <w:rsid w:val="26431A21"/>
    <w:rsid w:val="264A7253"/>
    <w:rsid w:val="264B6B28"/>
    <w:rsid w:val="265C2AE3"/>
    <w:rsid w:val="265E47F0"/>
    <w:rsid w:val="265E685B"/>
    <w:rsid w:val="26630315"/>
    <w:rsid w:val="266D2F42"/>
    <w:rsid w:val="266D6A9E"/>
    <w:rsid w:val="2670658E"/>
    <w:rsid w:val="267267AA"/>
    <w:rsid w:val="267402F9"/>
    <w:rsid w:val="267442D0"/>
    <w:rsid w:val="2677273A"/>
    <w:rsid w:val="267B5127"/>
    <w:rsid w:val="267E3DC9"/>
    <w:rsid w:val="267F67D1"/>
    <w:rsid w:val="26876DC7"/>
    <w:rsid w:val="268838D8"/>
    <w:rsid w:val="268A7650"/>
    <w:rsid w:val="268C786C"/>
    <w:rsid w:val="268D5392"/>
    <w:rsid w:val="268D7140"/>
    <w:rsid w:val="269009DE"/>
    <w:rsid w:val="26977FBF"/>
    <w:rsid w:val="26A5092E"/>
    <w:rsid w:val="26A5448A"/>
    <w:rsid w:val="26A60202"/>
    <w:rsid w:val="26A76454"/>
    <w:rsid w:val="26AA1AA0"/>
    <w:rsid w:val="26AD333E"/>
    <w:rsid w:val="26B75F6B"/>
    <w:rsid w:val="26CC5EBA"/>
    <w:rsid w:val="26D11723"/>
    <w:rsid w:val="26D27249"/>
    <w:rsid w:val="26D90649"/>
    <w:rsid w:val="26DB02BF"/>
    <w:rsid w:val="26E74AA2"/>
    <w:rsid w:val="26ED7BDF"/>
    <w:rsid w:val="26F40F6D"/>
    <w:rsid w:val="26FC7E22"/>
    <w:rsid w:val="27003DB6"/>
    <w:rsid w:val="27005B64"/>
    <w:rsid w:val="270311B0"/>
    <w:rsid w:val="2708223A"/>
    <w:rsid w:val="27084A19"/>
    <w:rsid w:val="270D0281"/>
    <w:rsid w:val="270F224B"/>
    <w:rsid w:val="27111B1F"/>
    <w:rsid w:val="27117A20"/>
    <w:rsid w:val="27124E5F"/>
    <w:rsid w:val="27127645"/>
    <w:rsid w:val="27135897"/>
    <w:rsid w:val="271E248E"/>
    <w:rsid w:val="271E5FEA"/>
    <w:rsid w:val="27233601"/>
    <w:rsid w:val="2729330D"/>
    <w:rsid w:val="272C4BAB"/>
    <w:rsid w:val="272D604D"/>
    <w:rsid w:val="272E51CD"/>
    <w:rsid w:val="273121C1"/>
    <w:rsid w:val="27361586"/>
    <w:rsid w:val="27363334"/>
    <w:rsid w:val="273D51DD"/>
    <w:rsid w:val="273F43C8"/>
    <w:rsid w:val="273F4F5F"/>
    <w:rsid w:val="27402404"/>
    <w:rsid w:val="27483067"/>
    <w:rsid w:val="274A6DDF"/>
    <w:rsid w:val="275163C0"/>
    <w:rsid w:val="275E288B"/>
    <w:rsid w:val="27623B80"/>
    <w:rsid w:val="2769195B"/>
    <w:rsid w:val="276A20B8"/>
    <w:rsid w:val="276E6F72"/>
    <w:rsid w:val="276F4A98"/>
    <w:rsid w:val="27736336"/>
    <w:rsid w:val="2776083F"/>
    <w:rsid w:val="277B168E"/>
    <w:rsid w:val="277C2A42"/>
    <w:rsid w:val="277F117F"/>
    <w:rsid w:val="277F4CDB"/>
    <w:rsid w:val="27856069"/>
    <w:rsid w:val="278D305D"/>
    <w:rsid w:val="279544FE"/>
    <w:rsid w:val="279D1605"/>
    <w:rsid w:val="27A04C51"/>
    <w:rsid w:val="27A6495D"/>
    <w:rsid w:val="27AE3812"/>
    <w:rsid w:val="27AE55C0"/>
    <w:rsid w:val="27B9249A"/>
    <w:rsid w:val="27BC13F2"/>
    <w:rsid w:val="27C2106B"/>
    <w:rsid w:val="27CF036C"/>
    <w:rsid w:val="27D25752"/>
    <w:rsid w:val="27D35027"/>
    <w:rsid w:val="27D72D69"/>
    <w:rsid w:val="27D8088F"/>
    <w:rsid w:val="27D8263D"/>
    <w:rsid w:val="27DF1C1D"/>
    <w:rsid w:val="27EB6814"/>
    <w:rsid w:val="27EE00B2"/>
    <w:rsid w:val="27F54F9D"/>
    <w:rsid w:val="27FA0805"/>
    <w:rsid w:val="27FA79AE"/>
    <w:rsid w:val="28002AB0"/>
    <w:rsid w:val="280451E0"/>
    <w:rsid w:val="280B47C0"/>
    <w:rsid w:val="280D678A"/>
    <w:rsid w:val="280E605F"/>
    <w:rsid w:val="281210C5"/>
    <w:rsid w:val="28123DA1"/>
    <w:rsid w:val="281E19EA"/>
    <w:rsid w:val="2826784C"/>
    <w:rsid w:val="283261F1"/>
    <w:rsid w:val="28445F24"/>
    <w:rsid w:val="284F5C96"/>
    <w:rsid w:val="285C326E"/>
    <w:rsid w:val="285E0D94"/>
    <w:rsid w:val="28620159"/>
    <w:rsid w:val="28650375"/>
    <w:rsid w:val="286914E7"/>
    <w:rsid w:val="286946EB"/>
    <w:rsid w:val="286F11F3"/>
    <w:rsid w:val="28732366"/>
    <w:rsid w:val="287560DE"/>
    <w:rsid w:val="287B7B98"/>
    <w:rsid w:val="287F6D76"/>
    <w:rsid w:val="288051AE"/>
    <w:rsid w:val="28814A83"/>
    <w:rsid w:val="288527C5"/>
    <w:rsid w:val="288B71E0"/>
    <w:rsid w:val="2891635B"/>
    <w:rsid w:val="28924EE2"/>
    <w:rsid w:val="28942A08"/>
    <w:rsid w:val="289607B9"/>
    <w:rsid w:val="28983C59"/>
    <w:rsid w:val="289B3D96"/>
    <w:rsid w:val="289D1D2D"/>
    <w:rsid w:val="28A864B3"/>
    <w:rsid w:val="28AF35C6"/>
    <w:rsid w:val="28B07116"/>
    <w:rsid w:val="28B27332"/>
    <w:rsid w:val="28B44E58"/>
    <w:rsid w:val="28B5297E"/>
    <w:rsid w:val="28B92DFE"/>
    <w:rsid w:val="28BE1833"/>
    <w:rsid w:val="28C055AB"/>
    <w:rsid w:val="28C36E49"/>
    <w:rsid w:val="28C572F7"/>
    <w:rsid w:val="28CD1A76"/>
    <w:rsid w:val="28CD6E8D"/>
    <w:rsid w:val="28D15A0A"/>
    <w:rsid w:val="28D9041B"/>
    <w:rsid w:val="28DD7B11"/>
    <w:rsid w:val="28DE3B3A"/>
    <w:rsid w:val="28E03E9F"/>
    <w:rsid w:val="28E165D7"/>
    <w:rsid w:val="28E60D8A"/>
    <w:rsid w:val="28E63D4C"/>
    <w:rsid w:val="28F25980"/>
    <w:rsid w:val="28F56613"/>
    <w:rsid w:val="28FC235B"/>
    <w:rsid w:val="2903193C"/>
    <w:rsid w:val="290A0F1C"/>
    <w:rsid w:val="290C6A42"/>
    <w:rsid w:val="290D27BA"/>
    <w:rsid w:val="290D4568"/>
    <w:rsid w:val="290F02E0"/>
    <w:rsid w:val="291807B8"/>
    <w:rsid w:val="291853E7"/>
    <w:rsid w:val="292A336C"/>
    <w:rsid w:val="292C2C40"/>
    <w:rsid w:val="2932391A"/>
    <w:rsid w:val="293D4E4D"/>
    <w:rsid w:val="293E2974"/>
    <w:rsid w:val="29424EDD"/>
    <w:rsid w:val="294F4B81"/>
    <w:rsid w:val="295959FF"/>
    <w:rsid w:val="295A0810"/>
    <w:rsid w:val="29622B06"/>
    <w:rsid w:val="2964062C"/>
    <w:rsid w:val="2965324A"/>
    <w:rsid w:val="296E14AB"/>
    <w:rsid w:val="29714AF7"/>
    <w:rsid w:val="29763EBB"/>
    <w:rsid w:val="29785E86"/>
    <w:rsid w:val="29802F8C"/>
    <w:rsid w:val="29804D3A"/>
    <w:rsid w:val="29824F56"/>
    <w:rsid w:val="298473B4"/>
    <w:rsid w:val="2987256D"/>
    <w:rsid w:val="29891E41"/>
    <w:rsid w:val="298A77B7"/>
    <w:rsid w:val="298C7B83"/>
    <w:rsid w:val="299B6018"/>
    <w:rsid w:val="299D58EC"/>
    <w:rsid w:val="29A273A6"/>
    <w:rsid w:val="29A46C7B"/>
    <w:rsid w:val="29A924E3"/>
    <w:rsid w:val="29AC3D81"/>
    <w:rsid w:val="29B33362"/>
    <w:rsid w:val="29BB3FC4"/>
    <w:rsid w:val="29BD337A"/>
    <w:rsid w:val="29C015DB"/>
    <w:rsid w:val="29C94933"/>
    <w:rsid w:val="29CA4207"/>
    <w:rsid w:val="29CC4423"/>
    <w:rsid w:val="29D11A3A"/>
    <w:rsid w:val="29E057D9"/>
    <w:rsid w:val="29E259F5"/>
    <w:rsid w:val="29E277A3"/>
    <w:rsid w:val="29F23E8A"/>
    <w:rsid w:val="29F319B0"/>
    <w:rsid w:val="29F51284"/>
    <w:rsid w:val="29FB4DC3"/>
    <w:rsid w:val="2A010565"/>
    <w:rsid w:val="2A0C65CE"/>
    <w:rsid w:val="2A0D0CC4"/>
    <w:rsid w:val="2A1C0F07"/>
    <w:rsid w:val="2A261D85"/>
    <w:rsid w:val="2A351FC9"/>
    <w:rsid w:val="2A353D77"/>
    <w:rsid w:val="2A375D41"/>
    <w:rsid w:val="2A3E0181"/>
    <w:rsid w:val="2A465F84"/>
    <w:rsid w:val="2A524929"/>
    <w:rsid w:val="2A573CED"/>
    <w:rsid w:val="2A5F2BA2"/>
    <w:rsid w:val="2A64465C"/>
    <w:rsid w:val="2A64640A"/>
    <w:rsid w:val="2A662960"/>
    <w:rsid w:val="2A6B7798"/>
    <w:rsid w:val="2A7A3E7F"/>
    <w:rsid w:val="2A7F2E23"/>
    <w:rsid w:val="2A866380"/>
    <w:rsid w:val="2A9860B3"/>
    <w:rsid w:val="2A9F5694"/>
    <w:rsid w:val="2A9F6AE3"/>
    <w:rsid w:val="2AA034EF"/>
    <w:rsid w:val="2AA170D3"/>
    <w:rsid w:val="2ABB0720"/>
    <w:rsid w:val="2ABC0BDC"/>
    <w:rsid w:val="2ABC7FF4"/>
    <w:rsid w:val="2AC652BE"/>
    <w:rsid w:val="2AC86999"/>
    <w:rsid w:val="2AD27817"/>
    <w:rsid w:val="2AD417E1"/>
    <w:rsid w:val="2AD510B6"/>
    <w:rsid w:val="2AD64354"/>
    <w:rsid w:val="2AD74AC9"/>
    <w:rsid w:val="2AD90BA6"/>
    <w:rsid w:val="2ADB7F4F"/>
    <w:rsid w:val="2AE337D3"/>
    <w:rsid w:val="2AEA4B61"/>
    <w:rsid w:val="2AFB6D6E"/>
    <w:rsid w:val="2AFC6642"/>
    <w:rsid w:val="2AFD492E"/>
    <w:rsid w:val="2AFF7274"/>
    <w:rsid w:val="2B0025D7"/>
    <w:rsid w:val="2B05199B"/>
    <w:rsid w:val="2B0C4E32"/>
    <w:rsid w:val="2B0F6376"/>
    <w:rsid w:val="2B110340"/>
    <w:rsid w:val="2B12230A"/>
    <w:rsid w:val="2B125E66"/>
    <w:rsid w:val="2B17347C"/>
    <w:rsid w:val="2B1C6CE5"/>
    <w:rsid w:val="2B204A27"/>
    <w:rsid w:val="2B2362C5"/>
    <w:rsid w:val="2B261911"/>
    <w:rsid w:val="2B267CB0"/>
    <w:rsid w:val="2B286BBF"/>
    <w:rsid w:val="2B2D2CA0"/>
    <w:rsid w:val="2B2D4A4E"/>
    <w:rsid w:val="2B3136D7"/>
    <w:rsid w:val="2B373B1E"/>
    <w:rsid w:val="2B4104F9"/>
    <w:rsid w:val="2B487ADA"/>
    <w:rsid w:val="2B4A7790"/>
    <w:rsid w:val="2B4C75CA"/>
    <w:rsid w:val="2B4E2C5C"/>
    <w:rsid w:val="2B4F2C16"/>
    <w:rsid w:val="2B4F2EB5"/>
    <w:rsid w:val="2B522706"/>
    <w:rsid w:val="2B5446D0"/>
    <w:rsid w:val="2B591CE7"/>
    <w:rsid w:val="2B5C4CE7"/>
    <w:rsid w:val="2B632B65"/>
    <w:rsid w:val="2B6425F3"/>
    <w:rsid w:val="2B6A7A50"/>
    <w:rsid w:val="2B6C7E70"/>
    <w:rsid w:val="2B6F24D2"/>
    <w:rsid w:val="2B7037A1"/>
    <w:rsid w:val="2B717030"/>
    <w:rsid w:val="2B794137"/>
    <w:rsid w:val="2B822FEC"/>
    <w:rsid w:val="2B8548E5"/>
    <w:rsid w:val="2B8C5C18"/>
    <w:rsid w:val="2B960845"/>
    <w:rsid w:val="2B990B27"/>
    <w:rsid w:val="2B9B22FF"/>
    <w:rsid w:val="2B9D6D23"/>
    <w:rsid w:val="2BA2368E"/>
    <w:rsid w:val="2BA34A4E"/>
    <w:rsid w:val="2BAD2740"/>
    <w:rsid w:val="2BB563D7"/>
    <w:rsid w:val="2BC058B3"/>
    <w:rsid w:val="2BC37160"/>
    <w:rsid w:val="2BC52E78"/>
    <w:rsid w:val="2BC904DE"/>
    <w:rsid w:val="2BD22280"/>
    <w:rsid w:val="2BE4499D"/>
    <w:rsid w:val="2BEA293F"/>
    <w:rsid w:val="2BEC4909"/>
    <w:rsid w:val="2BEC66B7"/>
    <w:rsid w:val="2BF35C97"/>
    <w:rsid w:val="2C016606"/>
    <w:rsid w:val="2C043A01"/>
    <w:rsid w:val="2C1A1476"/>
    <w:rsid w:val="2C271DE5"/>
    <w:rsid w:val="2C2940C8"/>
    <w:rsid w:val="2C29790B"/>
    <w:rsid w:val="2C2C11A9"/>
    <w:rsid w:val="2C3167C0"/>
    <w:rsid w:val="2C351E0C"/>
    <w:rsid w:val="2C3536F7"/>
    <w:rsid w:val="2C3B319A"/>
    <w:rsid w:val="2C3F712F"/>
    <w:rsid w:val="2C536736"/>
    <w:rsid w:val="2C550700"/>
    <w:rsid w:val="2C556723"/>
    <w:rsid w:val="2C5801F0"/>
    <w:rsid w:val="2C5B4B91"/>
    <w:rsid w:val="2C602ECD"/>
    <w:rsid w:val="2C6B1CD2"/>
    <w:rsid w:val="2C6E17C2"/>
    <w:rsid w:val="2C6E531E"/>
    <w:rsid w:val="2C736DD8"/>
    <w:rsid w:val="2C770676"/>
    <w:rsid w:val="2C8F1485"/>
    <w:rsid w:val="2C954FA0"/>
    <w:rsid w:val="2C994A91"/>
    <w:rsid w:val="2CAB0320"/>
    <w:rsid w:val="2CB31912"/>
    <w:rsid w:val="2CBA5700"/>
    <w:rsid w:val="2CBB7EBD"/>
    <w:rsid w:val="2CBC42DB"/>
    <w:rsid w:val="2CBD2FBE"/>
    <w:rsid w:val="2CBE62A5"/>
    <w:rsid w:val="2CC002B3"/>
    <w:rsid w:val="2CC47634"/>
    <w:rsid w:val="2CCD473A"/>
    <w:rsid w:val="2CCE400E"/>
    <w:rsid w:val="2CCF04B2"/>
    <w:rsid w:val="2CD258AD"/>
    <w:rsid w:val="2CD9476B"/>
    <w:rsid w:val="2CE37ABA"/>
    <w:rsid w:val="2CE61358"/>
    <w:rsid w:val="2CE8602F"/>
    <w:rsid w:val="2CEE0760"/>
    <w:rsid w:val="2CF25F4F"/>
    <w:rsid w:val="2D016192"/>
    <w:rsid w:val="2D037899"/>
    <w:rsid w:val="2D0458FD"/>
    <w:rsid w:val="2D0B7011"/>
    <w:rsid w:val="2D1063D5"/>
    <w:rsid w:val="2D117054"/>
    <w:rsid w:val="2D145EC5"/>
    <w:rsid w:val="2D177764"/>
    <w:rsid w:val="2D2325AC"/>
    <w:rsid w:val="2D263F2B"/>
    <w:rsid w:val="2D27751E"/>
    <w:rsid w:val="2D2A393B"/>
    <w:rsid w:val="2D2D51D9"/>
    <w:rsid w:val="2D340315"/>
    <w:rsid w:val="2D346567"/>
    <w:rsid w:val="2D3E1194"/>
    <w:rsid w:val="2D515EDF"/>
    <w:rsid w:val="2D5704A8"/>
    <w:rsid w:val="2D574004"/>
    <w:rsid w:val="2D5B7F98"/>
    <w:rsid w:val="2D662499"/>
    <w:rsid w:val="2D685C7F"/>
    <w:rsid w:val="2D713318"/>
    <w:rsid w:val="2D7E3C87"/>
    <w:rsid w:val="2D8079FF"/>
    <w:rsid w:val="2D831E43"/>
    <w:rsid w:val="2D86600E"/>
    <w:rsid w:val="2D8748E9"/>
    <w:rsid w:val="2D8A262B"/>
    <w:rsid w:val="2D8B5A96"/>
    <w:rsid w:val="2D8C1F00"/>
    <w:rsid w:val="2D945258"/>
    <w:rsid w:val="2D990AC0"/>
    <w:rsid w:val="2DA03BFD"/>
    <w:rsid w:val="2DA113FB"/>
    <w:rsid w:val="2DA37249"/>
    <w:rsid w:val="2DA51213"/>
    <w:rsid w:val="2DBA01FC"/>
    <w:rsid w:val="2DBB16CD"/>
    <w:rsid w:val="2DC84F02"/>
    <w:rsid w:val="2DC86CB0"/>
    <w:rsid w:val="2DD438A6"/>
    <w:rsid w:val="2DD9710F"/>
    <w:rsid w:val="2DE13BC4"/>
    <w:rsid w:val="2DE41D3C"/>
    <w:rsid w:val="2DEB5E7E"/>
    <w:rsid w:val="2DF87595"/>
    <w:rsid w:val="2DFD4BAB"/>
    <w:rsid w:val="2E0423DE"/>
    <w:rsid w:val="2E057F04"/>
    <w:rsid w:val="2E0C3040"/>
    <w:rsid w:val="2E183793"/>
    <w:rsid w:val="2E1F2D74"/>
    <w:rsid w:val="2E2D08CB"/>
    <w:rsid w:val="2E2E1209"/>
    <w:rsid w:val="2E312AA7"/>
    <w:rsid w:val="2E3600BD"/>
    <w:rsid w:val="2E383E35"/>
    <w:rsid w:val="2E3A195C"/>
    <w:rsid w:val="2E3F51C4"/>
    <w:rsid w:val="2E402CEA"/>
    <w:rsid w:val="2E424CB4"/>
    <w:rsid w:val="2E445064"/>
    <w:rsid w:val="2E4853D7"/>
    <w:rsid w:val="2E4E18AB"/>
    <w:rsid w:val="2E56250D"/>
    <w:rsid w:val="2E5A1FFE"/>
    <w:rsid w:val="2E5D564A"/>
    <w:rsid w:val="2E67296D"/>
    <w:rsid w:val="2E6764C9"/>
    <w:rsid w:val="2E7110F5"/>
    <w:rsid w:val="2E7D5CEC"/>
    <w:rsid w:val="2E8F0C1E"/>
    <w:rsid w:val="2E9279E9"/>
    <w:rsid w:val="2E9C2616"/>
    <w:rsid w:val="2E9D638E"/>
    <w:rsid w:val="2EA43279"/>
    <w:rsid w:val="2EA85955"/>
    <w:rsid w:val="2EA9088F"/>
    <w:rsid w:val="2EAB2859"/>
    <w:rsid w:val="2EBD347A"/>
    <w:rsid w:val="2EBF6305"/>
    <w:rsid w:val="2EC1270E"/>
    <w:rsid w:val="2EC324E6"/>
    <w:rsid w:val="2ED3590C"/>
    <w:rsid w:val="2ED718A0"/>
    <w:rsid w:val="2EDC6583"/>
    <w:rsid w:val="2EE361B6"/>
    <w:rsid w:val="2EE5473F"/>
    <w:rsid w:val="2EE756D5"/>
    <w:rsid w:val="2EEB6E83"/>
    <w:rsid w:val="2EF44200"/>
    <w:rsid w:val="2EF97A69"/>
    <w:rsid w:val="2EFF4953"/>
    <w:rsid w:val="2F0106CB"/>
    <w:rsid w:val="2F034443"/>
    <w:rsid w:val="2F041F69"/>
    <w:rsid w:val="2F095763"/>
    <w:rsid w:val="2F1523C9"/>
    <w:rsid w:val="2F195A15"/>
    <w:rsid w:val="2F1F6DA3"/>
    <w:rsid w:val="2F212B1B"/>
    <w:rsid w:val="2F234AE5"/>
    <w:rsid w:val="2F260132"/>
    <w:rsid w:val="2F280708"/>
    <w:rsid w:val="2F283EAA"/>
    <w:rsid w:val="2F2A5E74"/>
    <w:rsid w:val="2F2C1F2D"/>
    <w:rsid w:val="2F2C6D71"/>
    <w:rsid w:val="2F35048F"/>
    <w:rsid w:val="2F35161A"/>
    <w:rsid w:val="2F3E36CD"/>
    <w:rsid w:val="2F427E68"/>
    <w:rsid w:val="2F4A3E20"/>
    <w:rsid w:val="2F4B1946"/>
    <w:rsid w:val="2F511653"/>
    <w:rsid w:val="2F53767E"/>
    <w:rsid w:val="2F5A3133"/>
    <w:rsid w:val="2F650C5A"/>
    <w:rsid w:val="2F666780"/>
    <w:rsid w:val="2F6C023B"/>
    <w:rsid w:val="2F6D4AAF"/>
    <w:rsid w:val="2F732410"/>
    <w:rsid w:val="2F741ED4"/>
    <w:rsid w:val="2F77098D"/>
    <w:rsid w:val="2F807842"/>
    <w:rsid w:val="2F8462B2"/>
    <w:rsid w:val="2F880DEC"/>
    <w:rsid w:val="2FA13217"/>
    <w:rsid w:val="2FA3717B"/>
    <w:rsid w:val="2FAD0853"/>
    <w:rsid w:val="2FAF45CB"/>
    <w:rsid w:val="2FAF6379"/>
    <w:rsid w:val="2FBE036A"/>
    <w:rsid w:val="2FC05B15"/>
    <w:rsid w:val="2FC3235B"/>
    <w:rsid w:val="2FC5794B"/>
    <w:rsid w:val="2FD60716"/>
    <w:rsid w:val="2FE079BA"/>
    <w:rsid w:val="2FE57FED"/>
    <w:rsid w:val="2FF26187"/>
    <w:rsid w:val="2FF6503A"/>
    <w:rsid w:val="2FFE4C0B"/>
    <w:rsid w:val="30071D11"/>
    <w:rsid w:val="300F0BC6"/>
    <w:rsid w:val="30110DE2"/>
    <w:rsid w:val="3012466B"/>
    <w:rsid w:val="30224D9D"/>
    <w:rsid w:val="30240B15"/>
    <w:rsid w:val="302A266C"/>
    <w:rsid w:val="3034062C"/>
    <w:rsid w:val="303B5E5F"/>
    <w:rsid w:val="303D3985"/>
    <w:rsid w:val="30422D49"/>
    <w:rsid w:val="30440464"/>
    <w:rsid w:val="30466CDD"/>
    <w:rsid w:val="304765B2"/>
    <w:rsid w:val="3049232A"/>
    <w:rsid w:val="30542A7D"/>
    <w:rsid w:val="30556F21"/>
    <w:rsid w:val="305A4537"/>
    <w:rsid w:val="30640F12"/>
    <w:rsid w:val="30656A38"/>
    <w:rsid w:val="306E1044"/>
    <w:rsid w:val="30731155"/>
    <w:rsid w:val="30760C45"/>
    <w:rsid w:val="3082583C"/>
    <w:rsid w:val="30872AC8"/>
    <w:rsid w:val="30872E52"/>
    <w:rsid w:val="308A649E"/>
    <w:rsid w:val="308B5380"/>
    <w:rsid w:val="3091155F"/>
    <w:rsid w:val="30915A7F"/>
    <w:rsid w:val="309335A5"/>
    <w:rsid w:val="30A05CC2"/>
    <w:rsid w:val="30A471F6"/>
    <w:rsid w:val="30A9726C"/>
    <w:rsid w:val="30AA08EF"/>
    <w:rsid w:val="30AF197E"/>
    <w:rsid w:val="30B11C7D"/>
    <w:rsid w:val="30B56F17"/>
    <w:rsid w:val="30B654E5"/>
    <w:rsid w:val="30B8300C"/>
    <w:rsid w:val="30BE33DD"/>
    <w:rsid w:val="30C23098"/>
    <w:rsid w:val="30C419B0"/>
    <w:rsid w:val="30CE0301"/>
    <w:rsid w:val="30D00355"/>
    <w:rsid w:val="30D2231F"/>
    <w:rsid w:val="30D342E9"/>
    <w:rsid w:val="30E402A4"/>
    <w:rsid w:val="30E42053"/>
    <w:rsid w:val="30EF0D7B"/>
    <w:rsid w:val="30F44BED"/>
    <w:rsid w:val="30F85AFE"/>
    <w:rsid w:val="30F93D50"/>
    <w:rsid w:val="30FF6E8C"/>
    <w:rsid w:val="310F577B"/>
    <w:rsid w:val="3115045E"/>
    <w:rsid w:val="31157DBC"/>
    <w:rsid w:val="31164EE4"/>
    <w:rsid w:val="31181CFC"/>
    <w:rsid w:val="311A02DC"/>
    <w:rsid w:val="311C7A3E"/>
    <w:rsid w:val="311D7312"/>
    <w:rsid w:val="312468F3"/>
    <w:rsid w:val="31295CB7"/>
    <w:rsid w:val="312B5ED3"/>
    <w:rsid w:val="31354267"/>
    <w:rsid w:val="314B3E80"/>
    <w:rsid w:val="31563479"/>
    <w:rsid w:val="31570344"/>
    <w:rsid w:val="315947EF"/>
    <w:rsid w:val="31605B7D"/>
    <w:rsid w:val="31647841"/>
    <w:rsid w:val="31653193"/>
    <w:rsid w:val="3166515D"/>
    <w:rsid w:val="31682FBA"/>
    <w:rsid w:val="317038E6"/>
    <w:rsid w:val="317433D6"/>
    <w:rsid w:val="31745184"/>
    <w:rsid w:val="31864EB8"/>
    <w:rsid w:val="318A0E4C"/>
    <w:rsid w:val="318D4498"/>
    <w:rsid w:val="318E2C8A"/>
    <w:rsid w:val="3192385D"/>
    <w:rsid w:val="3195334D"/>
    <w:rsid w:val="31966E79"/>
    <w:rsid w:val="319C0B7F"/>
    <w:rsid w:val="319C566C"/>
    <w:rsid w:val="319D5866"/>
    <w:rsid w:val="319E48F7"/>
    <w:rsid w:val="31A459D2"/>
    <w:rsid w:val="31A939D7"/>
    <w:rsid w:val="31AB491E"/>
    <w:rsid w:val="31AD68E8"/>
    <w:rsid w:val="31B00187"/>
    <w:rsid w:val="31B77767"/>
    <w:rsid w:val="31B96B65"/>
    <w:rsid w:val="31C12394"/>
    <w:rsid w:val="31C14142"/>
    <w:rsid w:val="31C854D0"/>
    <w:rsid w:val="31CB6D6E"/>
    <w:rsid w:val="31CD40BC"/>
    <w:rsid w:val="31D010A8"/>
    <w:rsid w:val="31D125D7"/>
    <w:rsid w:val="31D16A7B"/>
    <w:rsid w:val="31D2634F"/>
    <w:rsid w:val="31DB16A7"/>
    <w:rsid w:val="31DD5420"/>
    <w:rsid w:val="31E22A36"/>
    <w:rsid w:val="31EF6F01"/>
    <w:rsid w:val="31F2254D"/>
    <w:rsid w:val="320254D5"/>
    <w:rsid w:val="32056724"/>
    <w:rsid w:val="32081D71"/>
    <w:rsid w:val="320A500F"/>
    <w:rsid w:val="321921D0"/>
    <w:rsid w:val="321D581C"/>
    <w:rsid w:val="3220530C"/>
    <w:rsid w:val="322748ED"/>
    <w:rsid w:val="32332E35"/>
    <w:rsid w:val="3236068C"/>
    <w:rsid w:val="323D431C"/>
    <w:rsid w:val="323D4DDE"/>
    <w:rsid w:val="32401088"/>
    <w:rsid w:val="324059AE"/>
    <w:rsid w:val="32427031"/>
    <w:rsid w:val="32432DA9"/>
    <w:rsid w:val="32560D2E"/>
    <w:rsid w:val="32586854"/>
    <w:rsid w:val="325925CC"/>
    <w:rsid w:val="325F4087"/>
    <w:rsid w:val="3263684F"/>
    <w:rsid w:val="32672F3B"/>
    <w:rsid w:val="3268644D"/>
    <w:rsid w:val="327411B4"/>
    <w:rsid w:val="327B69E7"/>
    <w:rsid w:val="327D62BB"/>
    <w:rsid w:val="327F44ED"/>
    <w:rsid w:val="32821B23"/>
    <w:rsid w:val="32847649"/>
    <w:rsid w:val="32935ADE"/>
    <w:rsid w:val="32942076"/>
    <w:rsid w:val="32990C1B"/>
    <w:rsid w:val="32A777DC"/>
    <w:rsid w:val="32A85982"/>
    <w:rsid w:val="32AC6BA0"/>
    <w:rsid w:val="32B1065A"/>
    <w:rsid w:val="32B53CA7"/>
    <w:rsid w:val="32C4213C"/>
    <w:rsid w:val="32CB171C"/>
    <w:rsid w:val="32CB6D37"/>
    <w:rsid w:val="32CC7242"/>
    <w:rsid w:val="32D305D1"/>
    <w:rsid w:val="32E26A66"/>
    <w:rsid w:val="32E53E60"/>
    <w:rsid w:val="32F56799"/>
    <w:rsid w:val="33030EB6"/>
    <w:rsid w:val="330864CC"/>
    <w:rsid w:val="330E33B7"/>
    <w:rsid w:val="331A7FAD"/>
    <w:rsid w:val="331C6A1E"/>
    <w:rsid w:val="332130EA"/>
    <w:rsid w:val="332807D1"/>
    <w:rsid w:val="332901F1"/>
    <w:rsid w:val="332A3DEB"/>
    <w:rsid w:val="332B5D17"/>
    <w:rsid w:val="333C7F24"/>
    <w:rsid w:val="334119DE"/>
    <w:rsid w:val="33466FF4"/>
    <w:rsid w:val="33550FE6"/>
    <w:rsid w:val="33590AD6"/>
    <w:rsid w:val="335A2AA0"/>
    <w:rsid w:val="33684649"/>
    <w:rsid w:val="33721B98"/>
    <w:rsid w:val="33723946"/>
    <w:rsid w:val="33744468"/>
    <w:rsid w:val="337C2A16"/>
    <w:rsid w:val="337C6572"/>
    <w:rsid w:val="33837901"/>
    <w:rsid w:val="338C391E"/>
    <w:rsid w:val="3397678E"/>
    <w:rsid w:val="3397718F"/>
    <w:rsid w:val="33977850"/>
    <w:rsid w:val="33A27A2F"/>
    <w:rsid w:val="33A31D51"/>
    <w:rsid w:val="33A61841"/>
    <w:rsid w:val="33AA7583"/>
    <w:rsid w:val="33B0737B"/>
    <w:rsid w:val="33B45D0C"/>
    <w:rsid w:val="33BA52ED"/>
    <w:rsid w:val="33BC72B7"/>
    <w:rsid w:val="33C323F3"/>
    <w:rsid w:val="33C63C91"/>
    <w:rsid w:val="33CB12A8"/>
    <w:rsid w:val="33CF6FEA"/>
    <w:rsid w:val="33D41F2E"/>
    <w:rsid w:val="33DF4656"/>
    <w:rsid w:val="33EF31E8"/>
    <w:rsid w:val="340A0022"/>
    <w:rsid w:val="34126ED7"/>
    <w:rsid w:val="341449FD"/>
    <w:rsid w:val="34180991"/>
    <w:rsid w:val="341964B7"/>
    <w:rsid w:val="341B4D8B"/>
    <w:rsid w:val="3422536C"/>
    <w:rsid w:val="34232E92"/>
    <w:rsid w:val="342643A9"/>
    <w:rsid w:val="34264730"/>
    <w:rsid w:val="34272982"/>
    <w:rsid w:val="3434509F"/>
    <w:rsid w:val="34384B8F"/>
    <w:rsid w:val="34496D9C"/>
    <w:rsid w:val="344D4B67"/>
    <w:rsid w:val="344D6161"/>
    <w:rsid w:val="344F012B"/>
    <w:rsid w:val="34504C29"/>
    <w:rsid w:val="345E3ECA"/>
    <w:rsid w:val="346040E6"/>
    <w:rsid w:val="346049CA"/>
    <w:rsid w:val="34684D49"/>
    <w:rsid w:val="346911EC"/>
    <w:rsid w:val="347100A1"/>
    <w:rsid w:val="34845AD1"/>
    <w:rsid w:val="34847DD4"/>
    <w:rsid w:val="34853B4C"/>
    <w:rsid w:val="34876910"/>
    <w:rsid w:val="3498562E"/>
    <w:rsid w:val="349C35B5"/>
    <w:rsid w:val="34A246FE"/>
    <w:rsid w:val="34AD1BA4"/>
    <w:rsid w:val="34B1049E"/>
    <w:rsid w:val="34B85CD0"/>
    <w:rsid w:val="34C46423"/>
    <w:rsid w:val="34C824F8"/>
    <w:rsid w:val="34CB5A03"/>
    <w:rsid w:val="34CE1050"/>
    <w:rsid w:val="34CF028F"/>
    <w:rsid w:val="34D02A59"/>
    <w:rsid w:val="34D50630"/>
    <w:rsid w:val="34E23828"/>
    <w:rsid w:val="34E268A9"/>
    <w:rsid w:val="34E46AC5"/>
    <w:rsid w:val="34E84094"/>
    <w:rsid w:val="34EE7F06"/>
    <w:rsid w:val="34F52A80"/>
    <w:rsid w:val="35030C9C"/>
    <w:rsid w:val="35042CC3"/>
    <w:rsid w:val="35044A71"/>
    <w:rsid w:val="35092088"/>
    <w:rsid w:val="350C7DCA"/>
    <w:rsid w:val="351729F7"/>
    <w:rsid w:val="351B1DBB"/>
    <w:rsid w:val="351D1FD7"/>
    <w:rsid w:val="3522139B"/>
    <w:rsid w:val="35246EC1"/>
    <w:rsid w:val="352513F0"/>
    <w:rsid w:val="35260E8C"/>
    <w:rsid w:val="352B0250"/>
    <w:rsid w:val="352C3FC8"/>
    <w:rsid w:val="352D7140"/>
    <w:rsid w:val="352E1AEE"/>
    <w:rsid w:val="352E7D40"/>
    <w:rsid w:val="353E4427"/>
    <w:rsid w:val="35472BB0"/>
    <w:rsid w:val="35635C3C"/>
    <w:rsid w:val="35655E05"/>
    <w:rsid w:val="356A7A0C"/>
    <w:rsid w:val="356E45E1"/>
    <w:rsid w:val="35700359"/>
    <w:rsid w:val="35747E49"/>
    <w:rsid w:val="358074E7"/>
    <w:rsid w:val="35847960"/>
    <w:rsid w:val="358838F4"/>
    <w:rsid w:val="358F36E9"/>
    <w:rsid w:val="35904557"/>
    <w:rsid w:val="35A2023C"/>
    <w:rsid w:val="35A77DEC"/>
    <w:rsid w:val="35A87AF3"/>
    <w:rsid w:val="35AB4A90"/>
    <w:rsid w:val="35BA3291"/>
    <w:rsid w:val="35BA7826"/>
    <w:rsid w:val="35C50B5F"/>
    <w:rsid w:val="35CB558F"/>
    <w:rsid w:val="35CC2657"/>
    <w:rsid w:val="35D24B6F"/>
    <w:rsid w:val="35D46B3A"/>
    <w:rsid w:val="35D579E0"/>
    <w:rsid w:val="35E0728C"/>
    <w:rsid w:val="35E30B2B"/>
    <w:rsid w:val="35E84393"/>
    <w:rsid w:val="35F42D38"/>
    <w:rsid w:val="35FC1BEC"/>
    <w:rsid w:val="3600792F"/>
    <w:rsid w:val="36136064"/>
    <w:rsid w:val="361707D4"/>
    <w:rsid w:val="361B7E26"/>
    <w:rsid w:val="36201D7F"/>
    <w:rsid w:val="36246037"/>
    <w:rsid w:val="36257DF1"/>
    <w:rsid w:val="36260A17"/>
    <w:rsid w:val="3627310D"/>
    <w:rsid w:val="362D1DA6"/>
    <w:rsid w:val="362F5C25"/>
    <w:rsid w:val="36370E76"/>
    <w:rsid w:val="363B0967"/>
    <w:rsid w:val="363D46DF"/>
    <w:rsid w:val="36401AD9"/>
    <w:rsid w:val="36462E68"/>
    <w:rsid w:val="364A0BAA"/>
    <w:rsid w:val="364A2958"/>
    <w:rsid w:val="364A6DFC"/>
    <w:rsid w:val="364F7F6E"/>
    <w:rsid w:val="365C1350"/>
    <w:rsid w:val="36626903"/>
    <w:rsid w:val="366652B8"/>
    <w:rsid w:val="36693C9B"/>
    <w:rsid w:val="367F55E7"/>
    <w:rsid w:val="367F6029"/>
    <w:rsid w:val="36806379"/>
    <w:rsid w:val="3684230E"/>
    <w:rsid w:val="36941E25"/>
    <w:rsid w:val="36963DEF"/>
    <w:rsid w:val="369938DF"/>
    <w:rsid w:val="369E0EF6"/>
    <w:rsid w:val="36A4475E"/>
    <w:rsid w:val="36AA1648"/>
    <w:rsid w:val="36AE1139"/>
    <w:rsid w:val="36B424C7"/>
    <w:rsid w:val="36B81FB7"/>
    <w:rsid w:val="36B85B13"/>
    <w:rsid w:val="36BD5820"/>
    <w:rsid w:val="36CE17DB"/>
    <w:rsid w:val="36D05553"/>
    <w:rsid w:val="36D36DF1"/>
    <w:rsid w:val="36DA7EC6"/>
    <w:rsid w:val="36DB2974"/>
    <w:rsid w:val="36DC6F99"/>
    <w:rsid w:val="36E5185A"/>
    <w:rsid w:val="36E66E38"/>
    <w:rsid w:val="36E83F1F"/>
    <w:rsid w:val="36E903C3"/>
    <w:rsid w:val="36EC4350"/>
    <w:rsid w:val="36EE59D9"/>
    <w:rsid w:val="36F4004D"/>
    <w:rsid w:val="36F90B4A"/>
    <w:rsid w:val="36FD3E6E"/>
    <w:rsid w:val="36FD5C56"/>
    <w:rsid w:val="37031C33"/>
    <w:rsid w:val="370A0339"/>
    <w:rsid w:val="37103BA1"/>
    <w:rsid w:val="37114C9C"/>
    <w:rsid w:val="371371EE"/>
    <w:rsid w:val="371B42F4"/>
    <w:rsid w:val="37214898"/>
    <w:rsid w:val="3724764D"/>
    <w:rsid w:val="37253E2A"/>
    <w:rsid w:val="37265326"/>
    <w:rsid w:val="373830F8"/>
    <w:rsid w:val="374E0226"/>
    <w:rsid w:val="3756210A"/>
    <w:rsid w:val="37573DB4"/>
    <w:rsid w:val="375872F6"/>
    <w:rsid w:val="37684629"/>
    <w:rsid w:val="37734130"/>
    <w:rsid w:val="37797999"/>
    <w:rsid w:val="3784633D"/>
    <w:rsid w:val="378620B5"/>
    <w:rsid w:val="378679C0"/>
    <w:rsid w:val="379540A7"/>
    <w:rsid w:val="37A4253C"/>
    <w:rsid w:val="37A83712"/>
    <w:rsid w:val="37AB5678"/>
    <w:rsid w:val="37AD13F0"/>
    <w:rsid w:val="37B409D1"/>
    <w:rsid w:val="37B46572"/>
    <w:rsid w:val="37C329C2"/>
    <w:rsid w:val="37C4498C"/>
    <w:rsid w:val="37C91FA2"/>
    <w:rsid w:val="37CB7AC8"/>
    <w:rsid w:val="37CD0314"/>
    <w:rsid w:val="37CD3840"/>
    <w:rsid w:val="37D07256"/>
    <w:rsid w:val="37DD6F85"/>
    <w:rsid w:val="37DF3574"/>
    <w:rsid w:val="37E077D4"/>
    <w:rsid w:val="37E1553E"/>
    <w:rsid w:val="37E33064"/>
    <w:rsid w:val="37EB4955"/>
    <w:rsid w:val="37F012DD"/>
    <w:rsid w:val="37F214F9"/>
    <w:rsid w:val="37F45271"/>
    <w:rsid w:val="37F75AC9"/>
    <w:rsid w:val="380134EA"/>
    <w:rsid w:val="38020B1E"/>
    <w:rsid w:val="380A0A0C"/>
    <w:rsid w:val="380E6EAB"/>
    <w:rsid w:val="3810197F"/>
    <w:rsid w:val="381416A8"/>
    <w:rsid w:val="38163439"/>
    <w:rsid w:val="38196A86"/>
    <w:rsid w:val="381C47C8"/>
    <w:rsid w:val="38353194"/>
    <w:rsid w:val="3837624F"/>
    <w:rsid w:val="38390ED6"/>
    <w:rsid w:val="38397128"/>
    <w:rsid w:val="383B4C4E"/>
    <w:rsid w:val="383E029A"/>
    <w:rsid w:val="383E64EC"/>
    <w:rsid w:val="385A3182"/>
    <w:rsid w:val="385E6B8E"/>
    <w:rsid w:val="38685317"/>
    <w:rsid w:val="38697F39"/>
    <w:rsid w:val="386A108F"/>
    <w:rsid w:val="386B12D1"/>
    <w:rsid w:val="387737AC"/>
    <w:rsid w:val="38797524"/>
    <w:rsid w:val="387E0FDF"/>
    <w:rsid w:val="3885411B"/>
    <w:rsid w:val="388760E5"/>
    <w:rsid w:val="38897C33"/>
    <w:rsid w:val="38934A8A"/>
    <w:rsid w:val="38995E18"/>
    <w:rsid w:val="38A00F55"/>
    <w:rsid w:val="38A071A7"/>
    <w:rsid w:val="38A327F3"/>
    <w:rsid w:val="38AF73EA"/>
    <w:rsid w:val="38B13162"/>
    <w:rsid w:val="38B35BDE"/>
    <w:rsid w:val="38B8629F"/>
    <w:rsid w:val="38B92017"/>
    <w:rsid w:val="38B95B73"/>
    <w:rsid w:val="38BD38B5"/>
    <w:rsid w:val="38C2711D"/>
    <w:rsid w:val="38C509BB"/>
    <w:rsid w:val="38C764E2"/>
    <w:rsid w:val="38C904AC"/>
    <w:rsid w:val="38CD7870"/>
    <w:rsid w:val="38D05A22"/>
    <w:rsid w:val="38D32489"/>
    <w:rsid w:val="38D62BC9"/>
    <w:rsid w:val="38D94467"/>
    <w:rsid w:val="38DE382B"/>
    <w:rsid w:val="38DF7CCF"/>
    <w:rsid w:val="38E2156D"/>
    <w:rsid w:val="38E56968"/>
    <w:rsid w:val="38E96465"/>
    <w:rsid w:val="38F604E8"/>
    <w:rsid w:val="38F93D38"/>
    <w:rsid w:val="390414E4"/>
    <w:rsid w:val="39094D4C"/>
    <w:rsid w:val="3914549F"/>
    <w:rsid w:val="39184F8F"/>
    <w:rsid w:val="391D07F7"/>
    <w:rsid w:val="39207605"/>
    <w:rsid w:val="39224D6F"/>
    <w:rsid w:val="392456E2"/>
    <w:rsid w:val="392A5822"/>
    <w:rsid w:val="39347784"/>
    <w:rsid w:val="393D2C48"/>
    <w:rsid w:val="39423DBA"/>
    <w:rsid w:val="394B7113"/>
    <w:rsid w:val="394C2E8B"/>
    <w:rsid w:val="394E09B1"/>
    <w:rsid w:val="39565AB7"/>
    <w:rsid w:val="395A55A8"/>
    <w:rsid w:val="395F2BBE"/>
    <w:rsid w:val="396401D4"/>
    <w:rsid w:val="3968695E"/>
    <w:rsid w:val="396C0E37"/>
    <w:rsid w:val="396C5791"/>
    <w:rsid w:val="39773A5A"/>
    <w:rsid w:val="397D3044"/>
    <w:rsid w:val="3982065B"/>
    <w:rsid w:val="398E5251"/>
    <w:rsid w:val="3991089E"/>
    <w:rsid w:val="39916AF0"/>
    <w:rsid w:val="3995213C"/>
    <w:rsid w:val="39952687"/>
    <w:rsid w:val="39965EB4"/>
    <w:rsid w:val="39A131D7"/>
    <w:rsid w:val="39A22AAB"/>
    <w:rsid w:val="39AA291D"/>
    <w:rsid w:val="39B60304"/>
    <w:rsid w:val="39C3314D"/>
    <w:rsid w:val="39CD7B28"/>
    <w:rsid w:val="39D753EB"/>
    <w:rsid w:val="39D76BF8"/>
    <w:rsid w:val="39D771DD"/>
    <w:rsid w:val="39DC5FBD"/>
    <w:rsid w:val="39DE7F87"/>
    <w:rsid w:val="39DF785B"/>
    <w:rsid w:val="39E15381"/>
    <w:rsid w:val="39E74AF9"/>
    <w:rsid w:val="39EB6200"/>
    <w:rsid w:val="39EC3D26"/>
    <w:rsid w:val="39EE5CF0"/>
    <w:rsid w:val="39F054BC"/>
    <w:rsid w:val="39F50E2C"/>
    <w:rsid w:val="39FA28E7"/>
    <w:rsid w:val="3A0379ED"/>
    <w:rsid w:val="3A092B2A"/>
    <w:rsid w:val="3A0B20C4"/>
    <w:rsid w:val="3A0D43C8"/>
    <w:rsid w:val="3A157488"/>
    <w:rsid w:val="3A247119"/>
    <w:rsid w:val="3A2B2AA0"/>
    <w:rsid w:val="3A3000B7"/>
    <w:rsid w:val="3A322081"/>
    <w:rsid w:val="3A377697"/>
    <w:rsid w:val="3A3B7187"/>
    <w:rsid w:val="3A3C2EFF"/>
    <w:rsid w:val="3A3D40D8"/>
    <w:rsid w:val="3A461648"/>
    <w:rsid w:val="3A502507"/>
    <w:rsid w:val="3A654204"/>
    <w:rsid w:val="3A685AA2"/>
    <w:rsid w:val="3A687850"/>
    <w:rsid w:val="3A695377"/>
    <w:rsid w:val="3A6F2B19"/>
    <w:rsid w:val="3A706705"/>
    <w:rsid w:val="3A797CAF"/>
    <w:rsid w:val="3A801D52"/>
    <w:rsid w:val="3A804B9A"/>
    <w:rsid w:val="3A8328DC"/>
    <w:rsid w:val="3A83468A"/>
    <w:rsid w:val="3A886145"/>
    <w:rsid w:val="3A9B780B"/>
    <w:rsid w:val="3A9C399E"/>
    <w:rsid w:val="3A9E14C4"/>
    <w:rsid w:val="3AA3716D"/>
    <w:rsid w:val="3AA840F1"/>
    <w:rsid w:val="3AB26D1E"/>
    <w:rsid w:val="3AB331C1"/>
    <w:rsid w:val="3AB418E5"/>
    <w:rsid w:val="3AB61099"/>
    <w:rsid w:val="3AB807D8"/>
    <w:rsid w:val="3AC3717D"/>
    <w:rsid w:val="3AD1189A"/>
    <w:rsid w:val="3AD35612"/>
    <w:rsid w:val="3AD42F2E"/>
    <w:rsid w:val="3AD44EE6"/>
    <w:rsid w:val="3ADC09E6"/>
    <w:rsid w:val="3ADE3FB6"/>
    <w:rsid w:val="3AE0388B"/>
    <w:rsid w:val="3AEE244B"/>
    <w:rsid w:val="3AF85078"/>
    <w:rsid w:val="3B0C4680"/>
    <w:rsid w:val="3B0F23C2"/>
    <w:rsid w:val="3B143534"/>
    <w:rsid w:val="3B163750"/>
    <w:rsid w:val="3B1B2B15"/>
    <w:rsid w:val="3B2319C9"/>
    <w:rsid w:val="3B245E6D"/>
    <w:rsid w:val="3B2B6549"/>
    <w:rsid w:val="3B2C2F74"/>
    <w:rsid w:val="3B2D45F6"/>
    <w:rsid w:val="3B310ECA"/>
    <w:rsid w:val="3B345984"/>
    <w:rsid w:val="3B385475"/>
    <w:rsid w:val="3B3B4F65"/>
    <w:rsid w:val="3B3E520B"/>
    <w:rsid w:val="3B3F2CA7"/>
    <w:rsid w:val="3B4007CD"/>
    <w:rsid w:val="3B400D02"/>
    <w:rsid w:val="3B424545"/>
    <w:rsid w:val="3B443E1A"/>
    <w:rsid w:val="3B4B164C"/>
    <w:rsid w:val="3B4E6A46"/>
    <w:rsid w:val="3B4F0A10"/>
    <w:rsid w:val="3B506C62"/>
    <w:rsid w:val="3B512103"/>
    <w:rsid w:val="3B541086"/>
    <w:rsid w:val="3B561D9F"/>
    <w:rsid w:val="3B585B17"/>
    <w:rsid w:val="3B5B5607"/>
    <w:rsid w:val="3B5F50F7"/>
    <w:rsid w:val="3B653F56"/>
    <w:rsid w:val="3B660234"/>
    <w:rsid w:val="3B697D24"/>
    <w:rsid w:val="3B6C5E70"/>
    <w:rsid w:val="3B786BBA"/>
    <w:rsid w:val="3B7E3B9C"/>
    <w:rsid w:val="3B800BCA"/>
    <w:rsid w:val="3B817D3C"/>
    <w:rsid w:val="3B842468"/>
    <w:rsid w:val="3B854432"/>
    <w:rsid w:val="3B865098"/>
    <w:rsid w:val="3B8701AA"/>
    <w:rsid w:val="3B893F22"/>
    <w:rsid w:val="3B8A37F6"/>
    <w:rsid w:val="3B8C3A12"/>
    <w:rsid w:val="3B8C57C0"/>
    <w:rsid w:val="3B975968"/>
    <w:rsid w:val="3B9A7EDD"/>
    <w:rsid w:val="3B9C3C56"/>
    <w:rsid w:val="3B9D79CE"/>
    <w:rsid w:val="3BA1126C"/>
    <w:rsid w:val="3BA66882"/>
    <w:rsid w:val="3BAC7C11"/>
    <w:rsid w:val="3BAE0DF9"/>
    <w:rsid w:val="3BAE7806"/>
    <w:rsid w:val="3BB0325D"/>
    <w:rsid w:val="3BB645EB"/>
    <w:rsid w:val="3BC9468F"/>
    <w:rsid w:val="3BD3519D"/>
    <w:rsid w:val="3BD57167"/>
    <w:rsid w:val="3BDD14DC"/>
    <w:rsid w:val="3BE53831"/>
    <w:rsid w:val="3BE92C13"/>
    <w:rsid w:val="3BEE1FD7"/>
    <w:rsid w:val="3BF515B8"/>
    <w:rsid w:val="3C033335"/>
    <w:rsid w:val="3C0D06AF"/>
    <w:rsid w:val="3C0D6901"/>
    <w:rsid w:val="3C191058"/>
    <w:rsid w:val="3C1F4887"/>
    <w:rsid w:val="3C2123AD"/>
    <w:rsid w:val="3C2350EA"/>
    <w:rsid w:val="3C300842"/>
    <w:rsid w:val="3C320116"/>
    <w:rsid w:val="3C327705"/>
    <w:rsid w:val="3C356086"/>
    <w:rsid w:val="3C3D6ABB"/>
    <w:rsid w:val="3C410359"/>
    <w:rsid w:val="3C4542ED"/>
    <w:rsid w:val="3C461E13"/>
    <w:rsid w:val="3C4A424B"/>
    <w:rsid w:val="3C4D31A2"/>
    <w:rsid w:val="3C562EF0"/>
    <w:rsid w:val="3C5A766D"/>
    <w:rsid w:val="3C664263"/>
    <w:rsid w:val="3C667DC0"/>
    <w:rsid w:val="3C6B3628"/>
    <w:rsid w:val="3C706E90"/>
    <w:rsid w:val="3C734772"/>
    <w:rsid w:val="3C793F97"/>
    <w:rsid w:val="3C796CB5"/>
    <w:rsid w:val="3C7B7749"/>
    <w:rsid w:val="3C7E15AD"/>
    <w:rsid w:val="3C860462"/>
    <w:rsid w:val="3C890AAE"/>
    <w:rsid w:val="3C9159BE"/>
    <w:rsid w:val="3C942B7F"/>
    <w:rsid w:val="3C95322C"/>
    <w:rsid w:val="3C9645CC"/>
    <w:rsid w:val="3C964B49"/>
    <w:rsid w:val="3C991F43"/>
    <w:rsid w:val="3C9C7C85"/>
    <w:rsid w:val="3C9E2725"/>
    <w:rsid w:val="3CA01523"/>
    <w:rsid w:val="3CA26A26"/>
    <w:rsid w:val="3CA628B2"/>
    <w:rsid w:val="3CAA23A2"/>
    <w:rsid w:val="3CB66F99"/>
    <w:rsid w:val="3CB82FDB"/>
    <w:rsid w:val="3CBA4554"/>
    <w:rsid w:val="3CC52D38"/>
    <w:rsid w:val="3CD411CD"/>
    <w:rsid w:val="3CD45671"/>
    <w:rsid w:val="3CD613E9"/>
    <w:rsid w:val="3CD92C87"/>
    <w:rsid w:val="3CDE1CFD"/>
    <w:rsid w:val="3CE31410"/>
    <w:rsid w:val="3CEC4769"/>
    <w:rsid w:val="3CEF60ED"/>
    <w:rsid w:val="3CF41DDE"/>
    <w:rsid w:val="3CF46D1B"/>
    <w:rsid w:val="3CF67395"/>
    <w:rsid w:val="3CFE449C"/>
    <w:rsid w:val="3CFE624A"/>
    <w:rsid w:val="3D023F8C"/>
    <w:rsid w:val="3D0A362A"/>
    <w:rsid w:val="3D0C4E0B"/>
    <w:rsid w:val="3D0C6BB9"/>
    <w:rsid w:val="3D106407"/>
    <w:rsid w:val="3D136199"/>
    <w:rsid w:val="3D1837B0"/>
    <w:rsid w:val="3D1D2B74"/>
    <w:rsid w:val="3D22462E"/>
    <w:rsid w:val="3D253674"/>
    <w:rsid w:val="3D265522"/>
    <w:rsid w:val="3D2A34E3"/>
    <w:rsid w:val="3D2D6B2F"/>
    <w:rsid w:val="3D363C36"/>
    <w:rsid w:val="3D3B749E"/>
    <w:rsid w:val="3D430101"/>
    <w:rsid w:val="3D4D2D2E"/>
    <w:rsid w:val="3D4E71D1"/>
    <w:rsid w:val="3D5045E3"/>
    <w:rsid w:val="3D527C28"/>
    <w:rsid w:val="3D583BAC"/>
    <w:rsid w:val="3D6267D9"/>
    <w:rsid w:val="3D6E1F06"/>
    <w:rsid w:val="3D7604D6"/>
    <w:rsid w:val="3D7B789B"/>
    <w:rsid w:val="3D7F6A3A"/>
    <w:rsid w:val="3D804EB1"/>
    <w:rsid w:val="3D8250CD"/>
    <w:rsid w:val="3D8A5D30"/>
    <w:rsid w:val="3D8A6929"/>
    <w:rsid w:val="3D8C5F4C"/>
    <w:rsid w:val="3D8E75CE"/>
    <w:rsid w:val="3D8F1791"/>
    <w:rsid w:val="3D960B78"/>
    <w:rsid w:val="3D971852"/>
    <w:rsid w:val="3D9B618F"/>
    <w:rsid w:val="3DA05553"/>
    <w:rsid w:val="3DA6700D"/>
    <w:rsid w:val="3DB01C3A"/>
    <w:rsid w:val="3DBA6615"/>
    <w:rsid w:val="3DC70D32"/>
    <w:rsid w:val="3DCC00F6"/>
    <w:rsid w:val="3DCE530E"/>
    <w:rsid w:val="3DD31485"/>
    <w:rsid w:val="3DEB2C72"/>
    <w:rsid w:val="3DEC2546"/>
    <w:rsid w:val="3DEE08F9"/>
    <w:rsid w:val="3DEF1A76"/>
    <w:rsid w:val="3DF71617"/>
    <w:rsid w:val="3DFE0FBD"/>
    <w:rsid w:val="3E006F42"/>
    <w:rsid w:val="3E010233"/>
    <w:rsid w:val="3E0930F8"/>
    <w:rsid w:val="3E0B71A4"/>
    <w:rsid w:val="3E0F4C03"/>
    <w:rsid w:val="3E104487"/>
    <w:rsid w:val="3E104C39"/>
    <w:rsid w:val="3E1D18A1"/>
    <w:rsid w:val="3E1E266B"/>
    <w:rsid w:val="3E2241BA"/>
    <w:rsid w:val="3E23065E"/>
    <w:rsid w:val="3E265A58"/>
    <w:rsid w:val="3E292CC6"/>
    <w:rsid w:val="3E2D328B"/>
    <w:rsid w:val="3E3208A1"/>
    <w:rsid w:val="3E522CF1"/>
    <w:rsid w:val="3E5240FE"/>
    <w:rsid w:val="3E530817"/>
    <w:rsid w:val="3E532416"/>
    <w:rsid w:val="3E570308"/>
    <w:rsid w:val="3E573E64"/>
    <w:rsid w:val="3E595E2E"/>
    <w:rsid w:val="3E622809"/>
    <w:rsid w:val="3E630A5B"/>
    <w:rsid w:val="3E6E73FF"/>
    <w:rsid w:val="3E7358B0"/>
    <w:rsid w:val="3E740EBA"/>
    <w:rsid w:val="3E863D64"/>
    <w:rsid w:val="3E894239"/>
    <w:rsid w:val="3E9003D2"/>
    <w:rsid w:val="3E9528DF"/>
    <w:rsid w:val="3E9C21BE"/>
    <w:rsid w:val="3E9C3F6D"/>
    <w:rsid w:val="3EAD7F28"/>
    <w:rsid w:val="3EAE40E4"/>
    <w:rsid w:val="3EAF2F70"/>
    <w:rsid w:val="3EB70DA6"/>
    <w:rsid w:val="3EBC016B"/>
    <w:rsid w:val="3EBE2135"/>
    <w:rsid w:val="3EBE3EE3"/>
    <w:rsid w:val="3EBF4D71"/>
    <w:rsid w:val="3EC82FB3"/>
    <w:rsid w:val="3ECA0ADA"/>
    <w:rsid w:val="3ECF4342"/>
    <w:rsid w:val="3ECF6D22"/>
    <w:rsid w:val="3ED23E32"/>
    <w:rsid w:val="3ED82DBD"/>
    <w:rsid w:val="3EDE27D7"/>
    <w:rsid w:val="3EDF3E59"/>
    <w:rsid w:val="3EE020AB"/>
    <w:rsid w:val="3EE33949"/>
    <w:rsid w:val="3EEA2F2A"/>
    <w:rsid w:val="3EEB719B"/>
    <w:rsid w:val="3EF232A9"/>
    <w:rsid w:val="3EF6072B"/>
    <w:rsid w:val="3F073ADC"/>
    <w:rsid w:val="3F0833B0"/>
    <w:rsid w:val="3F161F71"/>
    <w:rsid w:val="3F2301EA"/>
    <w:rsid w:val="3F2B709E"/>
    <w:rsid w:val="3F32667F"/>
    <w:rsid w:val="3F340649"/>
    <w:rsid w:val="3F375A43"/>
    <w:rsid w:val="3F3C14E6"/>
    <w:rsid w:val="3F3E3276"/>
    <w:rsid w:val="3F406FEE"/>
    <w:rsid w:val="3F4151A9"/>
    <w:rsid w:val="3F4D5267"/>
    <w:rsid w:val="3F4D7F93"/>
    <w:rsid w:val="3F512FA9"/>
    <w:rsid w:val="3F520ACF"/>
    <w:rsid w:val="3F584337"/>
    <w:rsid w:val="3F584C01"/>
    <w:rsid w:val="3F591E5E"/>
    <w:rsid w:val="3F5A279E"/>
    <w:rsid w:val="3F6031EC"/>
    <w:rsid w:val="3F610640"/>
    <w:rsid w:val="3F61406F"/>
    <w:rsid w:val="3F6532BD"/>
    <w:rsid w:val="3F6C7DE3"/>
    <w:rsid w:val="3F7B1DD4"/>
    <w:rsid w:val="3F98264D"/>
    <w:rsid w:val="3F9B4224"/>
    <w:rsid w:val="3F9C0F60"/>
    <w:rsid w:val="3FA255B3"/>
    <w:rsid w:val="3FA27361"/>
    <w:rsid w:val="3FA70E1B"/>
    <w:rsid w:val="3FA94B93"/>
    <w:rsid w:val="3FB13A48"/>
    <w:rsid w:val="3FB452E6"/>
    <w:rsid w:val="3FC574F3"/>
    <w:rsid w:val="3FD414E4"/>
    <w:rsid w:val="3FD634AE"/>
    <w:rsid w:val="3FD85478"/>
    <w:rsid w:val="3FDA518F"/>
    <w:rsid w:val="3FDF4418"/>
    <w:rsid w:val="3FEE15E1"/>
    <w:rsid w:val="3FF1653A"/>
    <w:rsid w:val="3FF676AC"/>
    <w:rsid w:val="3FF757CB"/>
    <w:rsid w:val="3FFF2A05"/>
    <w:rsid w:val="4004001B"/>
    <w:rsid w:val="400973E0"/>
    <w:rsid w:val="40112738"/>
    <w:rsid w:val="4012098A"/>
    <w:rsid w:val="401D2E8B"/>
    <w:rsid w:val="40354679"/>
    <w:rsid w:val="40356427"/>
    <w:rsid w:val="40363F4D"/>
    <w:rsid w:val="40367FE1"/>
    <w:rsid w:val="40413553"/>
    <w:rsid w:val="40442098"/>
    <w:rsid w:val="404B17A6"/>
    <w:rsid w:val="405575E4"/>
    <w:rsid w:val="405631EE"/>
    <w:rsid w:val="405C39B3"/>
    <w:rsid w:val="405D597D"/>
    <w:rsid w:val="406356BE"/>
    <w:rsid w:val="40662A84"/>
    <w:rsid w:val="40664832"/>
    <w:rsid w:val="406C0479"/>
    <w:rsid w:val="406E36E7"/>
    <w:rsid w:val="40711152"/>
    <w:rsid w:val="407231D7"/>
    <w:rsid w:val="4077335C"/>
    <w:rsid w:val="40776A3F"/>
    <w:rsid w:val="407A1155"/>
    <w:rsid w:val="407F76A2"/>
    <w:rsid w:val="4081166C"/>
    <w:rsid w:val="40833636"/>
    <w:rsid w:val="40860A30"/>
    <w:rsid w:val="408B6047"/>
    <w:rsid w:val="409D5D7A"/>
    <w:rsid w:val="409E3FCC"/>
    <w:rsid w:val="409E5184"/>
    <w:rsid w:val="409F1AF2"/>
    <w:rsid w:val="40A11D0E"/>
    <w:rsid w:val="40A35A86"/>
    <w:rsid w:val="40A50042"/>
    <w:rsid w:val="40AB340D"/>
    <w:rsid w:val="40B97058"/>
    <w:rsid w:val="40BA19D8"/>
    <w:rsid w:val="40C357E1"/>
    <w:rsid w:val="40C652D1"/>
    <w:rsid w:val="40CC1EAF"/>
    <w:rsid w:val="40CF687B"/>
    <w:rsid w:val="40D07EFD"/>
    <w:rsid w:val="40D43E92"/>
    <w:rsid w:val="40DA6FCE"/>
    <w:rsid w:val="40DE086C"/>
    <w:rsid w:val="40DE261A"/>
    <w:rsid w:val="40DF0F2E"/>
    <w:rsid w:val="40E340D5"/>
    <w:rsid w:val="40E35E83"/>
    <w:rsid w:val="40E439A9"/>
    <w:rsid w:val="40EA035E"/>
    <w:rsid w:val="40F24318"/>
    <w:rsid w:val="40F956A6"/>
    <w:rsid w:val="410F0A26"/>
    <w:rsid w:val="41173D7E"/>
    <w:rsid w:val="4139769D"/>
    <w:rsid w:val="413D1A37"/>
    <w:rsid w:val="41452699"/>
    <w:rsid w:val="41474664"/>
    <w:rsid w:val="41562AF9"/>
    <w:rsid w:val="415671A8"/>
    <w:rsid w:val="415E375B"/>
    <w:rsid w:val="41653AC2"/>
    <w:rsid w:val="416E5152"/>
    <w:rsid w:val="417348DF"/>
    <w:rsid w:val="417402E7"/>
    <w:rsid w:val="41827323"/>
    <w:rsid w:val="419319BE"/>
    <w:rsid w:val="41967399"/>
    <w:rsid w:val="41986C6D"/>
    <w:rsid w:val="419E1DAA"/>
    <w:rsid w:val="41A25D3E"/>
    <w:rsid w:val="41A43864"/>
    <w:rsid w:val="41A5138A"/>
    <w:rsid w:val="41A76EB0"/>
    <w:rsid w:val="41AF045B"/>
    <w:rsid w:val="41B617E9"/>
    <w:rsid w:val="41B96BE3"/>
    <w:rsid w:val="41C45CB4"/>
    <w:rsid w:val="41CA0DF1"/>
    <w:rsid w:val="41D13F2D"/>
    <w:rsid w:val="41D35EF7"/>
    <w:rsid w:val="41DA7286"/>
    <w:rsid w:val="41DF489C"/>
    <w:rsid w:val="41EE0F83"/>
    <w:rsid w:val="41F45E6E"/>
    <w:rsid w:val="41F67E38"/>
    <w:rsid w:val="41FB544E"/>
    <w:rsid w:val="41FD11C6"/>
    <w:rsid w:val="41FD4D22"/>
    <w:rsid w:val="41FF6CEC"/>
    <w:rsid w:val="42002A64"/>
    <w:rsid w:val="42010CB6"/>
    <w:rsid w:val="421107CE"/>
    <w:rsid w:val="42116A20"/>
    <w:rsid w:val="42165DE4"/>
    <w:rsid w:val="42237BAC"/>
    <w:rsid w:val="42295B17"/>
    <w:rsid w:val="422B7AE1"/>
    <w:rsid w:val="4233451A"/>
    <w:rsid w:val="42360234"/>
    <w:rsid w:val="42397786"/>
    <w:rsid w:val="42411C0E"/>
    <w:rsid w:val="4242307D"/>
    <w:rsid w:val="424602AB"/>
    <w:rsid w:val="4246491B"/>
    <w:rsid w:val="42476C3F"/>
    <w:rsid w:val="424B55BC"/>
    <w:rsid w:val="424C1A46"/>
    <w:rsid w:val="424D403C"/>
    <w:rsid w:val="425A0117"/>
    <w:rsid w:val="425D1C65"/>
    <w:rsid w:val="42611755"/>
    <w:rsid w:val="42660B19"/>
    <w:rsid w:val="42674816"/>
    <w:rsid w:val="427242C0"/>
    <w:rsid w:val="42731488"/>
    <w:rsid w:val="42772D26"/>
    <w:rsid w:val="427A6373"/>
    <w:rsid w:val="427B0805"/>
    <w:rsid w:val="427B0A6F"/>
    <w:rsid w:val="42843695"/>
    <w:rsid w:val="428B4A24"/>
    <w:rsid w:val="428E1E1E"/>
    <w:rsid w:val="42937435"/>
    <w:rsid w:val="429513FF"/>
    <w:rsid w:val="429C278D"/>
    <w:rsid w:val="42A258CA"/>
    <w:rsid w:val="42A904ED"/>
    <w:rsid w:val="42AB6E74"/>
    <w:rsid w:val="42B06238"/>
    <w:rsid w:val="42B20202"/>
    <w:rsid w:val="42B46777"/>
    <w:rsid w:val="42B51AA1"/>
    <w:rsid w:val="42B850ED"/>
    <w:rsid w:val="42BC6B8F"/>
    <w:rsid w:val="42BD2703"/>
    <w:rsid w:val="42BE0955"/>
    <w:rsid w:val="42C23826"/>
    <w:rsid w:val="42C910A8"/>
    <w:rsid w:val="42D31F27"/>
    <w:rsid w:val="42D33CD5"/>
    <w:rsid w:val="42DD6902"/>
    <w:rsid w:val="42DE0FF8"/>
    <w:rsid w:val="42F5572A"/>
    <w:rsid w:val="42FB3958"/>
    <w:rsid w:val="43052D35"/>
    <w:rsid w:val="430805D0"/>
    <w:rsid w:val="430B7913"/>
    <w:rsid w:val="430D5439"/>
    <w:rsid w:val="4315253F"/>
    <w:rsid w:val="43157F81"/>
    <w:rsid w:val="4318693A"/>
    <w:rsid w:val="43193D3C"/>
    <w:rsid w:val="431E02ED"/>
    <w:rsid w:val="432509D4"/>
    <w:rsid w:val="43260F24"/>
    <w:rsid w:val="432A08FD"/>
    <w:rsid w:val="43382AB1"/>
    <w:rsid w:val="43486471"/>
    <w:rsid w:val="434C41B3"/>
    <w:rsid w:val="435412BA"/>
    <w:rsid w:val="43686B13"/>
    <w:rsid w:val="436F39FE"/>
    <w:rsid w:val="43741014"/>
    <w:rsid w:val="43756E8F"/>
    <w:rsid w:val="43792ACE"/>
    <w:rsid w:val="437C1635"/>
    <w:rsid w:val="437C436D"/>
    <w:rsid w:val="437D457A"/>
    <w:rsid w:val="43803E5D"/>
    <w:rsid w:val="43811983"/>
    <w:rsid w:val="43880DE7"/>
    <w:rsid w:val="438C0A54"/>
    <w:rsid w:val="438F22F2"/>
    <w:rsid w:val="439478BC"/>
    <w:rsid w:val="43947908"/>
    <w:rsid w:val="43955EE6"/>
    <w:rsid w:val="43996CCD"/>
    <w:rsid w:val="43A4765F"/>
    <w:rsid w:val="43A713E9"/>
    <w:rsid w:val="43AC6A00"/>
    <w:rsid w:val="43B104BA"/>
    <w:rsid w:val="43B41D58"/>
    <w:rsid w:val="43B465FE"/>
    <w:rsid w:val="43C401ED"/>
    <w:rsid w:val="43C57AC2"/>
    <w:rsid w:val="43CC52F4"/>
    <w:rsid w:val="43D052C3"/>
    <w:rsid w:val="43D11130"/>
    <w:rsid w:val="43DE0B83"/>
    <w:rsid w:val="43DF5653"/>
    <w:rsid w:val="43E9149E"/>
    <w:rsid w:val="43EB2968"/>
    <w:rsid w:val="43EB5B0B"/>
    <w:rsid w:val="43EF5CE0"/>
    <w:rsid w:val="43F565F9"/>
    <w:rsid w:val="43F860E9"/>
    <w:rsid w:val="43F91594"/>
    <w:rsid w:val="4403125D"/>
    <w:rsid w:val="44095C00"/>
    <w:rsid w:val="440F51E1"/>
    <w:rsid w:val="440F762E"/>
    <w:rsid w:val="441E6A74"/>
    <w:rsid w:val="442347E8"/>
    <w:rsid w:val="442742D8"/>
    <w:rsid w:val="44290050"/>
    <w:rsid w:val="442962A2"/>
    <w:rsid w:val="4436276D"/>
    <w:rsid w:val="44386D5E"/>
    <w:rsid w:val="443B20A2"/>
    <w:rsid w:val="443B7D84"/>
    <w:rsid w:val="44426CAB"/>
    <w:rsid w:val="444B2806"/>
    <w:rsid w:val="444E530F"/>
    <w:rsid w:val="444E5D09"/>
    <w:rsid w:val="44557675"/>
    <w:rsid w:val="44590106"/>
    <w:rsid w:val="445C6678"/>
    <w:rsid w:val="445F1CC4"/>
    <w:rsid w:val="446479D4"/>
    <w:rsid w:val="44663053"/>
    <w:rsid w:val="4467501D"/>
    <w:rsid w:val="446A2417"/>
    <w:rsid w:val="446C7202"/>
    <w:rsid w:val="4473751E"/>
    <w:rsid w:val="44780FD8"/>
    <w:rsid w:val="447D039C"/>
    <w:rsid w:val="448C05DF"/>
    <w:rsid w:val="448E4357"/>
    <w:rsid w:val="449776B0"/>
    <w:rsid w:val="449E4289"/>
    <w:rsid w:val="44A14CB2"/>
    <w:rsid w:val="44A74027"/>
    <w:rsid w:val="44A973E3"/>
    <w:rsid w:val="44C91833"/>
    <w:rsid w:val="44D2693A"/>
    <w:rsid w:val="44D42A00"/>
    <w:rsid w:val="44D501D8"/>
    <w:rsid w:val="44D523E6"/>
    <w:rsid w:val="44D62BB8"/>
    <w:rsid w:val="44DA759D"/>
    <w:rsid w:val="44E52F1E"/>
    <w:rsid w:val="44E73A68"/>
    <w:rsid w:val="44EB3558"/>
    <w:rsid w:val="44EE0237"/>
    <w:rsid w:val="44F227B7"/>
    <w:rsid w:val="44FD479A"/>
    <w:rsid w:val="4508185C"/>
    <w:rsid w:val="45120AE5"/>
    <w:rsid w:val="451767A9"/>
    <w:rsid w:val="451C0790"/>
    <w:rsid w:val="45260A34"/>
    <w:rsid w:val="45265990"/>
    <w:rsid w:val="452A1AEE"/>
    <w:rsid w:val="453054C5"/>
    <w:rsid w:val="45306DB4"/>
    <w:rsid w:val="4531026C"/>
    <w:rsid w:val="45336CAD"/>
    <w:rsid w:val="453942C3"/>
    <w:rsid w:val="453E7B2C"/>
    <w:rsid w:val="4541586E"/>
    <w:rsid w:val="45543180"/>
    <w:rsid w:val="455E7AEC"/>
    <w:rsid w:val="45603F46"/>
    <w:rsid w:val="456450B8"/>
    <w:rsid w:val="457B2B2E"/>
    <w:rsid w:val="458657E5"/>
    <w:rsid w:val="458B7F8D"/>
    <w:rsid w:val="458D2861"/>
    <w:rsid w:val="458D460F"/>
    <w:rsid w:val="458F359B"/>
    <w:rsid w:val="45912351"/>
    <w:rsid w:val="459935B0"/>
    <w:rsid w:val="459E1E59"/>
    <w:rsid w:val="459E6B91"/>
    <w:rsid w:val="45A32084"/>
    <w:rsid w:val="45A643E1"/>
    <w:rsid w:val="45A831F7"/>
    <w:rsid w:val="45AF7C5C"/>
    <w:rsid w:val="45B259BE"/>
    <w:rsid w:val="45C53268"/>
    <w:rsid w:val="45C85647"/>
    <w:rsid w:val="45CD7101"/>
    <w:rsid w:val="45DD6E08"/>
    <w:rsid w:val="45EA7CB3"/>
    <w:rsid w:val="45F4468E"/>
    <w:rsid w:val="45F621B4"/>
    <w:rsid w:val="45FF0D12"/>
    <w:rsid w:val="46072188"/>
    <w:rsid w:val="46072613"/>
    <w:rsid w:val="460A3EB2"/>
    <w:rsid w:val="460C19D8"/>
    <w:rsid w:val="46115240"/>
    <w:rsid w:val="46184820"/>
    <w:rsid w:val="46207231"/>
    <w:rsid w:val="462705C0"/>
    <w:rsid w:val="46284749"/>
    <w:rsid w:val="4629380A"/>
    <w:rsid w:val="463334C2"/>
    <w:rsid w:val="46380A1F"/>
    <w:rsid w:val="463B406B"/>
    <w:rsid w:val="463D6035"/>
    <w:rsid w:val="463F14D1"/>
    <w:rsid w:val="464225C9"/>
    <w:rsid w:val="46476EB4"/>
    <w:rsid w:val="46492C2C"/>
    <w:rsid w:val="464C44CA"/>
    <w:rsid w:val="465B470D"/>
    <w:rsid w:val="465D172D"/>
    <w:rsid w:val="465D66D7"/>
    <w:rsid w:val="46601D24"/>
    <w:rsid w:val="466C06C8"/>
    <w:rsid w:val="46737CA9"/>
    <w:rsid w:val="467F21AA"/>
    <w:rsid w:val="46853538"/>
    <w:rsid w:val="468679DC"/>
    <w:rsid w:val="46943CE9"/>
    <w:rsid w:val="4695585D"/>
    <w:rsid w:val="469623E1"/>
    <w:rsid w:val="46994B65"/>
    <w:rsid w:val="469A3487"/>
    <w:rsid w:val="46A2058E"/>
    <w:rsid w:val="46A75BA4"/>
    <w:rsid w:val="46AA4476"/>
    <w:rsid w:val="46C140A0"/>
    <w:rsid w:val="46C2478C"/>
    <w:rsid w:val="46C43137"/>
    <w:rsid w:val="46C6602A"/>
    <w:rsid w:val="46CC73B9"/>
    <w:rsid w:val="46D06EA9"/>
    <w:rsid w:val="46D149CF"/>
    <w:rsid w:val="46DA1AD6"/>
    <w:rsid w:val="46E12E64"/>
    <w:rsid w:val="46E22739"/>
    <w:rsid w:val="46E26BDC"/>
    <w:rsid w:val="46E858BC"/>
    <w:rsid w:val="46E97F6B"/>
    <w:rsid w:val="46EB5A91"/>
    <w:rsid w:val="46EB783F"/>
    <w:rsid w:val="46EC3681"/>
    <w:rsid w:val="46FA357B"/>
    <w:rsid w:val="47024B89"/>
    <w:rsid w:val="47044DA5"/>
    <w:rsid w:val="47060B1D"/>
    <w:rsid w:val="47086643"/>
    <w:rsid w:val="47095F17"/>
    <w:rsid w:val="470F7F74"/>
    <w:rsid w:val="471B71B3"/>
    <w:rsid w:val="471F2BC0"/>
    <w:rsid w:val="4728770B"/>
    <w:rsid w:val="472E3BD0"/>
    <w:rsid w:val="473E02B7"/>
    <w:rsid w:val="474358CD"/>
    <w:rsid w:val="474606F2"/>
    <w:rsid w:val="47466DA8"/>
    <w:rsid w:val="4746716B"/>
    <w:rsid w:val="474E6020"/>
    <w:rsid w:val="47523D62"/>
    <w:rsid w:val="47541888"/>
    <w:rsid w:val="47571378"/>
    <w:rsid w:val="47573126"/>
    <w:rsid w:val="475861C1"/>
    <w:rsid w:val="475950F1"/>
    <w:rsid w:val="47622D6A"/>
    <w:rsid w:val="47637175"/>
    <w:rsid w:val="47685334"/>
    <w:rsid w:val="4771787B"/>
    <w:rsid w:val="47787D1B"/>
    <w:rsid w:val="477912EF"/>
    <w:rsid w:val="478A34FC"/>
    <w:rsid w:val="478B1022"/>
    <w:rsid w:val="478C02B5"/>
    <w:rsid w:val="478E04F1"/>
    <w:rsid w:val="47971775"/>
    <w:rsid w:val="479E3801"/>
    <w:rsid w:val="479E48B1"/>
    <w:rsid w:val="47A67C0A"/>
    <w:rsid w:val="47A81166"/>
    <w:rsid w:val="47B10A89"/>
    <w:rsid w:val="47B2035D"/>
    <w:rsid w:val="47B73BC5"/>
    <w:rsid w:val="47B749B2"/>
    <w:rsid w:val="47BC567F"/>
    <w:rsid w:val="47C22C96"/>
    <w:rsid w:val="47C54534"/>
    <w:rsid w:val="47C87B80"/>
    <w:rsid w:val="47CB141F"/>
    <w:rsid w:val="47CB7671"/>
    <w:rsid w:val="47D0373F"/>
    <w:rsid w:val="47D06A35"/>
    <w:rsid w:val="47D227AD"/>
    <w:rsid w:val="47D23DB4"/>
    <w:rsid w:val="47D429C9"/>
    <w:rsid w:val="47D97FDF"/>
    <w:rsid w:val="47E250E6"/>
    <w:rsid w:val="47E656C9"/>
    <w:rsid w:val="47EA7AF7"/>
    <w:rsid w:val="47EF7803"/>
    <w:rsid w:val="47F210A1"/>
    <w:rsid w:val="47F44E19"/>
    <w:rsid w:val="47F96FE2"/>
    <w:rsid w:val="47FE7A46"/>
    <w:rsid w:val="47FF02E4"/>
    <w:rsid w:val="4800556C"/>
    <w:rsid w:val="4800731A"/>
    <w:rsid w:val="480A0199"/>
    <w:rsid w:val="480D5F7C"/>
    <w:rsid w:val="48142DC6"/>
    <w:rsid w:val="48147269"/>
    <w:rsid w:val="481728B6"/>
    <w:rsid w:val="481821E3"/>
    <w:rsid w:val="48221986"/>
    <w:rsid w:val="48254FD3"/>
    <w:rsid w:val="48287F2D"/>
    <w:rsid w:val="482E21C6"/>
    <w:rsid w:val="482E75BC"/>
    <w:rsid w:val="483416BA"/>
    <w:rsid w:val="483671E0"/>
    <w:rsid w:val="4839282C"/>
    <w:rsid w:val="483B0352"/>
    <w:rsid w:val="483E069D"/>
    <w:rsid w:val="48442155"/>
    <w:rsid w:val="4846543F"/>
    <w:rsid w:val="484F02A2"/>
    <w:rsid w:val="48527864"/>
    <w:rsid w:val="48580F04"/>
    <w:rsid w:val="48587156"/>
    <w:rsid w:val="485A1120"/>
    <w:rsid w:val="485B09F4"/>
    <w:rsid w:val="486A6E89"/>
    <w:rsid w:val="486C49B0"/>
    <w:rsid w:val="487B1097"/>
    <w:rsid w:val="487D4E0F"/>
    <w:rsid w:val="487D6BBD"/>
    <w:rsid w:val="488066AD"/>
    <w:rsid w:val="48853CC3"/>
    <w:rsid w:val="488937B4"/>
    <w:rsid w:val="48895562"/>
    <w:rsid w:val="48912668"/>
    <w:rsid w:val="489363E0"/>
    <w:rsid w:val="489F2FD7"/>
    <w:rsid w:val="48A24875"/>
    <w:rsid w:val="48A403DE"/>
    <w:rsid w:val="48AA1734"/>
    <w:rsid w:val="48AC236C"/>
    <w:rsid w:val="48B451E2"/>
    <w:rsid w:val="48B56357"/>
    <w:rsid w:val="48B64ED7"/>
    <w:rsid w:val="48BD345D"/>
    <w:rsid w:val="48BD3916"/>
    <w:rsid w:val="48CB5B7A"/>
    <w:rsid w:val="48CC7259"/>
    <w:rsid w:val="48D367DD"/>
    <w:rsid w:val="48D71DCF"/>
    <w:rsid w:val="48D83DF3"/>
    <w:rsid w:val="48D8709A"/>
    <w:rsid w:val="48DD58AD"/>
    <w:rsid w:val="48E42798"/>
    <w:rsid w:val="48E96000"/>
    <w:rsid w:val="48EE3617"/>
    <w:rsid w:val="48F0738F"/>
    <w:rsid w:val="48F7696F"/>
    <w:rsid w:val="48F826E7"/>
    <w:rsid w:val="48F92892"/>
    <w:rsid w:val="48FE2C52"/>
    <w:rsid w:val="490711ED"/>
    <w:rsid w:val="49093746"/>
    <w:rsid w:val="490E5A67"/>
    <w:rsid w:val="4910652A"/>
    <w:rsid w:val="49143AC3"/>
    <w:rsid w:val="49156307"/>
    <w:rsid w:val="492B486B"/>
    <w:rsid w:val="493059DD"/>
    <w:rsid w:val="493279A7"/>
    <w:rsid w:val="49344461"/>
    <w:rsid w:val="49416A65"/>
    <w:rsid w:val="49507E2D"/>
    <w:rsid w:val="49557C12"/>
    <w:rsid w:val="495711BC"/>
    <w:rsid w:val="495F09A8"/>
    <w:rsid w:val="4961347E"/>
    <w:rsid w:val="4968786D"/>
    <w:rsid w:val="497203D3"/>
    <w:rsid w:val="49836455"/>
    <w:rsid w:val="498875C7"/>
    <w:rsid w:val="498A77E3"/>
    <w:rsid w:val="498C265E"/>
    <w:rsid w:val="49943B56"/>
    <w:rsid w:val="499A72FA"/>
    <w:rsid w:val="499E503D"/>
    <w:rsid w:val="49B54164"/>
    <w:rsid w:val="49BC1967"/>
    <w:rsid w:val="49BE123B"/>
    <w:rsid w:val="49C47EAA"/>
    <w:rsid w:val="49CD5922"/>
    <w:rsid w:val="49CD76D0"/>
    <w:rsid w:val="49DC5B65"/>
    <w:rsid w:val="49E07403"/>
    <w:rsid w:val="49E14F29"/>
    <w:rsid w:val="49E669E4"/>
    <w:rsid w:val="49E959C6"/>
    <w:rsid w:val="49EB5DA8"/>
    <w:rsid w:val="49FB270E"/>
    <w:rsid w:val="49FB423D"/>
    <w:rsid w:val="49FE1F7F"/>
    <w:rsid w:val="4A001853"/>
    <w:rsid w:val="4A111CB3"/>
    <w:rsid w:val="4A15325D"/>
    <w:rsid w:val="4A174DEF"/>
    <w:rsid w:val="4A1E5D5C"/>
    <w:rsid w:val="4A2F3EE7"/>
    <w:rsid w:val="4A331C29"/>
    <w:rsid w:val="4A3B0ADD"/>
    <w:rsid w:val="4A421E6C"/>
    <w:rsid w:val="4A443E36"/>
    <w:rsid w:val="4A4554B8"/>
    <w:rsid w:val="4A5120AF"/>
    <w:rsid w:val="4A606796"/>
    <w:rsid w:val="4A6A13C3"/>
    <w:rsid w:val="4A6D118D"/>
    <w:rsid w:val="4A720527"/>
    <w:rsid w:val="4A720D61"/>
    <w:rsid w:val="4A7B35D0"/>
    <w:rsid w:val="4A8561FD"/>
    <w:rsid w:val="4A8A3813"/>
    <w:rsid w:val="4A9326C8"/>
    <w:rsid w:val="4AA76173"/>
    <w:rsid w:val="4AA82E5E"/>
    <w:rsid w:val="4AAA7A11"/>
    <w:rsid w:val="4AAD305D"/>
    <w:rsid w:val="4AAE5753"/>
    <w:rsid w:val="4AB97C54"/>
    <w:rsid w:val="4ABF63CA"/>
    <w:rsid w:val="4AC05487"/>
    <w:rsid w:val="4AC46D25"/>
    <w:rsid w:val="4AD056CA"/>
    <w:rsid w:val="4AD34FE5"/>
    <w:rsid w:val="4AD44C97"/>
    <w:rsid w:val="4AD827D0"/>
    <w:rsid w:val="4ADD7DE7"/>
    <w:rsid w:val="4AE03433"/>
    <w:rsid w:val="4AE20F59"/>
    <w:rsid w:val="4AE44CD1"/>
    <w:rsid w:val="4AE7656F"/>
    <w:rsid w:val="4AE97BDA"/>
    <w:rsid w:val="4AEE78FE"/>
    <w:rsid w:val="4AF64A04"/>
    <w:rsid w:val="4AF84C20"/>
    <w:rsid w:val="4AFA2747"/>
    <w:rsid w:val="4AFA44F5"/>
    <w:rsid w:val="4AFD3FE5"/>
    <w:rsid w:val="4B054C48"/>
    <w:rsid w:val="4B0709C0"/>
    <w:rsid w:val="4B092B5E"/>
    <w:rsid w:val="4B0C5FD6"/>
    <w:rsid w:val="4B1747FF"/>
    <w:rsid w:val="4B2A1C59"/>
    <w:rsid w:val="4B307F16"/>
    <w:rsid w:val="4B313C8F"/>
    <w:rsid w:val="4B315A3D"/>
    <w:rsid w:val="4B316836"/>
    <w:rsid w:val="4B3612A5"/>
    <w:rsid w:val="4B3A2B43"/>
    <w:rsid w:val="4B475260"/>
    <w:rsid w:val="4B4B5880"/>
    <w:rsid w:val="4B4C0AC8"/>
    <w:rsid w:val="4B553E21"/>
    <w:rsid w:val="4B562FD7"/>
    <w:rsid w:val="4B5C0362"/>
    <w:rsid w:val="4B647B6C"/>
    <w:rsid w:val="4B700C5B"/>
    <w:rsid w:val="4B726781"/>
    <w:rsid w:val="4B7859A5"/>
    <w:rsid w:val="4B79502C"/>
    <w:rsid w:val="4B7F49FA"/>
    <w:rsid w:val="4B8A5790"/>
    <w:rsid w:val="4B9009B5"/>
    <w:rsid w:val="4BA44460"/>
    <w:rsid w:val="4BAF5159"/>
    <w:rsid w:val="4BB23021"/>
    <w:rsid w:val="4BB40B47"/>
    <w:rsid w:val="4BB548C0"/>
    <w:rsid w:val="4BC468B1"/>
    <w:rsid w:val="4BC6087B"/>
    <w:rsid w:val="4BC82845"/>
    <w:rsid w:val="4BC9320E"/>
    <w:rsid w:val="4BCB0138"/>
    <w:rsid w:val="4BCF38FB"/>
    <w:rsid w:val="4BCF3BD3"/>
    <w:rsid w:val="4BD16C3D"/>
    <w:rsid w:val="4BD50ABE"/>
    <w:rsid w:val="4BDA60D4"/>
    <w:rsid w:val="4BDB7219"/>
    <w:rsid w:val="4BDD6CE9"/>
    <w:rsid w:val="4BDE7972"/>
    <w:rsid w:val="4BF3217F"/>
    <w:rsid w:val="4BFA22D2"/>
    <w:rsid w:val="4BFC429C"/>
    <w:rsid w:val="4C017B05"/>
    <w:rsid w:val="4C06511B"/>
    <w:rsid w:val="4C0A0767"/>
    <w:rsid w:val="4C0D0258"/>
    <w:rsid w:val="4C0D46FC"/>
    <w:rsid w:val="4C1930A0"/>
    <w:rsid w:val="4C196BFC"/>
    <w:rsid w:val="4C29737A"/>
    <w:rsid w:val="4C2A705C"/>
    <w:rsid w:val="4C2C2DD4"/>
    <w:rsid w:val="4C2C4B82"/>
    <w:rsid w:val="4C2D4456"/>
    <w:rsid w:val="4C371778"/>
    <w:rsid w:val="4C39104D"/>
    <w:rsid w:val="4C392DFB"/>
    <w:rsid w:val="4C3A6B73"/>
    <w:rsid w:val="4C4355DD"/>
    <w:rsid w:val="4C481290"/>
    <w:rsid w:val="4C485734"/>
    <w:rsid w:val="4C4B338E"/>
    <w:rsid w:val="4C4C5224"/>
    <w:rsid w:val="4C545E87"/>
    <w:rsid w:val="4C547C35"/>
    <w:rsid w:val="4C5B0FC3"/>
    <w:rsid w:val="4C5B7215"/>
    <w:rsid w:val="4C5D11DF"/>
    <w:rsid w:val="4C60482B"/>
    <w:rsid w:val="4C6205A3"/>
    <w:rsid w:val="4C6450A2"/>
    <w:rsid w:val="4C6B4F7E"/>
    <w:rsid w:val="4C793B3F"/>
    <w:rsid w:val="4C7D362F"/>
    <w:rsid w:val="4C7E4CB1"/>
    <w:rsid w:val="4C8C3872"/>
    <w:rsid w:val="4C95594A"/>
    <w:rsid w:val="4C96024D"/>
    <w:rsid w:val="4C995F8F"/>
    <w:rsid w:val="4C9E5354"/>
    <w:rsid w:val="4CA2091B"/>
    <w:rsid w:val="4CA87F80"/>
    <w:rsid w:val="4CA93410"/>
    <w:rsid w:val="4CA961D2"/>
    <w:rsid w:val="4CAF7561"/>
    <w:rsid w:val="4CB3320A"/>
    <w:rsid w:val="4CBD7ED0"/>
    <w:rsid w:val="4CBF59F6"/>
    <w:rsid w:val="4CC0351C"/>
    <w:rsid w:val="4CC72AFC"/>
    <w:rsid w:val="4CCC3C6F"/>
    <w:rsid w:val="4CCE3E8B"/>
    <w:rsid w:val="4CD9638C"/>
    <w:rsid w:val="4CE10AA7"/>
    <w:rsid w:val="4CEE1E37"/>
    <w:rsid w:val="4CF04251"/>
    <w:rsid w:val="4CF82CB6"/>
    <w:rsid w:val="4CFB7FDE"/>
    <w:rsid w:val="4D025E99"/>
    <w:rsid w:val="4D035C4F"/>
    <w:rsid w:val="4D0F5B39"/>
    <w:rsid w:val="4D144003"/>
    <w:rsid w:val="4D1473C4"/>
    <w:rsid w:val="4D221AE1"/>
    <w:rsid w:val="4D2B4E39"/>
    <w:rsid w:val="4D3637DE"/>
    <w:rsid w:val="4D36393F"/>
    <w:rsid w:val="4D374611"/>
    <w:rsid w:val="4D3B1D7F"/>
    <w:rsid w:val="4D4128AF"/>
    <w:rsid w:val="4D423F31"/>
    <w:rsid w:val="4D442C62"/>
    <w:rsid w:val="4D50664E"/>
    <w:rsid w:val="4D53613E"/>
    <w:rsid w:val="4D537EEC"/>
    <w:rsid w:val="4D5A3970"/>
    <w:rsid w:val="4D5A7618"/>
    <w:rsid w:val="4D6358FA"/>
    <w:rsid w:val="4D6550F2"/>
    <w:rsid w:val="4D662315"/>
    <w:rsid w:val="4D696D12"/>
    <w:rsid w:val="4D6D36A4"/>
    <w:rsid w:val="4D6E34CC"/>
    <w:rsid w:val="4D7367E0"/>
    <w:rsid w:val="4D77007F"/>
    <w:rsid w:val="4D8A3570"/>
    <w:rsid w:val="4D93478D"/>
    <w:rsid w:val="4DAE5A6A"/>
    <w:rsid w:val="4DB82445"/>
    <w:rsid w:val="4DB94823"/>
    <w:rsid w:val="4DBE5CAD"/>
    <w:rsid w:val="4DBF1A26"/>
    <w:rsid w:val="4DC96400"/>
    <w:rsid w:val="4DCD4142"/>
    <w:rsid w:val="4DCD7C9F"/>
    <w:rsid w:val="4DD43DBB"/>
    <w:rsid w:val="4DD51249"/>
    <w:rsid w:val="4DE33966"/>
    <w:rsid w:val="4DE66FB2"/>
    <w:rsid w:val="4DFA0CB0"/>
    <w:rsid w:val="4DFF0074"/>
    <w:rsid w:val="4DFF1E22"/>
    <w:rsid w:val="4E08517B"/>
    <w:rsid w:val="4E094A4F"/>
    <w:rsid w:val="4E0B6A19"/>
    <w:rsid w:val="4E0D09E3"/>
    <w:rsid w:val="4E0F475B"/>
    <w:rsid w:val="4E1B4559"/>
    <w:rsid w:val="4E1B617E"/>
    <w:rsid w:val="4E232905"/>
    <w:rsid w:val="4E243AAC"/>
    <w:rsid w:val="4E356A8A"/>
    <w:rsid w:val="4E375A60"/>
    <w:rsid w:val="4E3A10AC"/>
    <w:rsid w:val="4E3C6BD2"/>
    <w:rsid w:val="4E45007C"/>
    <w:rsid w:val="4E451F2B"/>
    <w:rsid w:val="4E485577"/>
    <w:rsid w:val="4E4F6905"/>
    <w:rsid w:val="4E54216E"/>
    <w:rsid w:val="4E546612"/>
    <w:rsid w:val="4E5F765F"/>
    <w:rsid w:val="4E616639"/>
    <w:rsid w:val="4E65437B"/>
    <w:rsid w:val="4E6A7BE3"/>
    <w:rsid w:val="4E6C395B"/>
    <w:rsid w:val="4E6D3230"/>
    <w:rsid w:val="4E6D7288"/>
    <w:rsid w:val="4E6F51FA"/>
    <w:rsid w:val="4E74327E"/>
    <w:rsid w:val="4E74636C"/>
    <w:rsid w:val="4E7505EB"/>
    <w:rsid w:val="4E79167E"/>
    <w:rsid w:val="4E7C16C5"/>
    <w:rsid w:val="4E832A53"/>
    <w:rsid w:val="4E92429C"/>
    <w:rsid w:val="4E946A0E"/>
    <w:rsid w:val="4E9B1B4B"/>
    <w:rsid w:val="4EA31A34"/>
    <w:rsid w:val="4EA84268"/>
    <w:rsid w:val="4EAA4484"/>
    <w:rsid w:val="4EAF1A9A"/>
    <w:rsid w:val="4EAF3848"/>
    <w:rsid w:val="4EB33338"/>
    <w:rsid w:val="4EB62E28"/>
    <w:rsid w:val="4EB64BD7"/>
    <w:rsid w:val="4EBE1CDD"/>
    <w:rsid w:val="4EC63D8E"/>
    <w:rsid w:val="4ECA3C30"/>
    <w:rsid w:val="4ED432AF"/>
    <w:rsid w:val="4ED908C5"/>
    <w:rsid w:val="4EE85483"/>
    <w:rsid w:val="4EF120B3"/>
    <w:rsid w:val="4EF61477"/>
    <w:rsid w:val="4EF63225"/>
    <w:rsid w:val="4EF676C9"/>
    <w:rsid w:val="4EF70D4B"/>
    <w:rsid w:val="4EF92D15"/>
    <w:rsid w:val="4F021BCA"/>
    <w:rsid w:val="4F0B353D"/>
    <w:rsid w:val="4F1730C6"/>
    <w:rsid w:val="4F251D5C"/>
    <w:rsid w:val="4F2705FD"/>
    <w:rsid w:val="4F2935FA"/>
    <w:rsid w:val="4F2F145C"/>
    <w:rsid w:val="4F4031C1"/>
    <w:rsid w:val="4F455F5A"/>
    <w:rsid w:val="4F457D08"/>
    <w:rsid w:val="4F4C553B"/>
    <w:rsid w:val="4F4E4E0F"/>
    <w:rsid w:val="4F512B51"/>
    <w:rsid w:val="4F532425"/>
    <w:rsid w:val="4F536408"/>
    <w:rsid w:val="4F555643"/>
    <w:rsid w:val="4F644633"/>
    <w:rsid w:val="4F6463E1"/>
    <w:rsid w:val="4F6939F7"/>
    <w:rsid w:val="4F6A776F"/>
    <w:rsid w:val="4F6E54B1"/>
    <w:rsid w:val="4F714FA1"/>
    <w:rsid w:val="4F735A3E"/>
    <w:rsid w:val="4F786330"/>
    <w:rsid w:val="4F787048"/>
    <w:rsid w:val="4F7C1829"/>
    <w:rsid w:val="4F7C7F67"/>
    <w:rsid w:val="4F7F146C"/>
    <w:rsid w:val="4F7F321A"/>
    <w:rsid w:val="4F7F5B21"/>
    <w:rsid w:val="4F813436"/>
    <w:rsid w:val="4F8624A9"/>
    <w:rsid w:val="4F8847C5"/>
    <w:rsid w:val="4F8A350E"/>
    <w:rsid w:val="4F8B16E7"/>
    <w:rsid w:val="4F9D5D96"/>
    <w:rsid w:val="4F9D711A"/>
    <w:rsid w:val="4FA64C4B"/>
    <w:rsid w:val="4FAF48D8"/>
    <w:rsid w:val="4FB54E8E"/>
    <w:rsid w:val="4FB82BD0"/>
    <w:rsid w:val="4FBA06F6"/>
    <w:rsid w:val="4FBB7FCB"/>
    <w:rsid w:val="4FBD41F0"/>
    <w:rsid w:val="4FC1669B"/>
    <w:rsid w:val="4FCE5F50"/>
    <w:rsid w:val="4FDF63AF"/>
    <w:rsid w:val="4FED6DF9"/>
    <w:rsid w:val="4FEF697B"/>
    <w:rsid w:val="4FF21C3E"/>
    <w:rsid w:val="4FF534DD"/>
    <w:rsid w:val="4FFC0D0F"/>
    <w:rsid w:val="4FFC2ABD"/>
    <w:rsid w:val="50002C9D"/>
    <w:rsid w:val="500B2D00"/>
    <w:rsid w:val="500E27F0"/>
    <w:rsid w:val="501A61F2"/>
    <w:rsid w:val="501F0559"/>
    <w:rsid w:val="501F5E04"/>
    <w:rsid w:val="501F67AB"/>
    <w:rsid w:val="50212524"/>
    <w:rsid w:val="50243DC2"/>
    <w:rsid w:val="50250266"/>
    <w:rsid w:val="50265D8C"/>
    <w:rsid w:val="502D0EC8"/>
    <w:rsid w:val="502D2C76"/>
    <w:rsid w:val="50306C0B"/>
    <w:rsid w:val="5032028D"/>
    <w:rsid w:val="50355FCF"/>
    <w:rsid w:val="50362CDE"/>
    <w:rsid w:val="5038161B"/>
    <w:rsid w:val="503C735D"/>
    <w:rsid w:val="503E1327"/>
    <w:rsid w:val="503F29AA"/>
    <w:rsid w:val="5043249A"/>
    <w:rsid w:val="50544866"/>
    <w:rsid w:val="50557B99"/>
    <w:rsid w:val="50566671"/>
    <w:rsid w:val="5060304C"/>
    <w:rsid w:val="506863A4"/>
    <w:rsid w:val="506A3ECB"/>
    <w:rsid w:val="507A1C34"/>
    <w:rsid w:val="507B24EE"/>
    <w:rsid w:val="508036EE"/>
    <w:rsid w:val="50850D04"/>
    <w:rsid w:val="50852AB2"/>
    <w:rsid w:val="50874B8A"/>
    <w:rsid w:val="508F3931"/>
    <w:rsid w:val="50A43C01"/>
    <w:rsid w:val="50A62A29"/>
    <w:rsid w:val="50A81E66"/>
    <w:rsid w:val="50AC472B"/>
    <w:rsid w:val="50AF2C3B"/>
    <w:rsid w:val="50B45146"/>
    <w:rsid w:val="50B67110"/>
    <w:rsid w:val="50C07F8E"/>
    <w:rsid w:val="50C17863"/>
    <w:rsid w:val="50CD4459"/>
    <w:rsid w:val="50CD6207"/>
    <w:rsid w:val="50CF5EEA"/>
    <w:rsid w:val="50D15CF8"/>
    <w:rsid w:val="50D91050"/>
    <w:rsid w:val="50EA73C4"/>
    <w:rsid w:val="50EA7DBE"/>
    <w:rsid w:val="50F54D7D"/>
    <w:rsid w:val="50F639B0"/>
    <w:rsid w:val="50FB4B23"/>
    <w:rsid w:val="51053BF3"/>
    <w:rsid w:val="5107796B"/>
    <w:rsid w:val="51092950"/>
    <w:rsid w:val="510B7F1B"/>
    <w:rsid w:val="510C6D30"/>
    <w:rsid w:val="51112598"/>
    <w:rsid w:val="51196C41"/>
    <w:rsid w:val="51241B8B"/>
    <w:rsid w:val="5126501D"/>
    <w:rsid w:val="51273B6A"/>
    <w:rsid w:val="512E314A"/>
    <w:rsid w:val="513034BD"/>
    <w:rsid w:val="51385D77"/>
    <w:rsid w:val="51387B25"/>
    <w:rsid w:val="513B13C3"/>
    <w:rsid w:val="51422751"/>
    <w:rsid w:val="51491D32"/>
    <w:rsid w:val="514F3590"/>
    <w:rsid w:val="5150297B"/>
    <w:rsid w:val="515801C7"/>
    <w:rsid w:val="51583D23"/>
    <w:rsid w:val="515B6DB3"/>
    <w:rsid w:val="516369D5"/>
    <w:rsid w:val="51741B9B"/>
    <w:rsid w:val="51791EEB"/>
    <w:rsid w:val="517C4B19"/>
    <w:rsid w:val="5181332E"/>
    <w:rsid w:val="51840FBC"/>
    <w:rsid w:val="51842D6A"/>
    <w:rsid w:val="51852C0A"/>
    <w:rsid w:val="518B234A"/>
    <w:rsid w:val="518C60C3"/>
    <w:rsid w:val="51905BB3"/>
    <w:rsid w:val="519311FF"/>
    <w:rsid w:val="51A21442"/>
    <w:rsid w:val="51A54E85"/>
    <w:rsid w:val="51AE6039"/>
    <w:rsid w:val="51B80C66"/>
    <w:rsid w:val="51BB633A"/>
    <w:rsid w:val="51BC4CC0"/>
    <w:rsid w:val="51C27D36"/>
    <w:rsid w:val="51C4334A"/>
    <w:rsid w:val="51C615D4"/>
    <w:rsid w:val="51C77E64"/>
    <w:rsid w:val="51DF2696"/>
    <w:rsid w:val="51E97071"/>
    <w:rsid w:val="51F36142"/>
    <w:rsid w:val="51F53C68"/>
    <w:rsid w:val="51F837D1"/>
    <w:rsid w:val="51F92CC3"/>
    <w:rsid w:val="51FA01B9"/>
    <w:rsid w:val="51FD48CA"/>
    <w:rsid w:val="52020133"/>
    <w:rsid w:val="52075749"/>
    <w:rsid w:val="520774F7"/>
    <w:rsid w:val="5208399B"/>
    <w:rsid w:val="520862C2"/>
    <w:rsid w:val="520914C1"/>
    <w:rsid w:val="520C2D5F"/>
    <w:rsid w:val="52171E30"/>
    <w:rsid w:val="521B6D15"/>
    <w:rsid w:val="52285DEB"/>
    <w:rsid w:val="522D3402"/>
    <w:rsid w:val="52302EF2"/>
    <w:rsid w:val="52304CA0"/>
    <w:rsid w:val="5231580C"/>
    <w:rsid w:val="52416669"/>
    <w:rsid w:val="524938D2"/>
    <w:rsid w:val="524B7D2C"/>
    <w:rsid w:val="524E4B3C"/>
    <w:rsid w:val="524E5317"/>
    <w:rsid w:val="52516C3A"/>
    <w:rsid w:val="5251776E"/>
    <w:rsid w:val="52536928"/>
    <w:rsid w:val="526D6DED"/>
    <w:rsid w:val="52742DDF"/>
    <w:rsid w:val="52756B57"/>
    <w:rsid w:val="527903F5"/>
    <w:rsid w:val="52852AF5"/>
    <w:rsid w:val="52862B12"/>
    <w:rsid w:val="5298570C"/>
    <w:rsid w:val="529E1C09"/>
    <w:rsid w:val="52A03BD4"/>
    <w:rsid w:val="52A1794C"/>
    <w:rsid w:val="52A31916"/>
    <w:rsid w:val="52A82A88"/>
    <w:rsid w:val="52A86F2C"/>
    <w:rsid w:val="52B256B5"/>
    <w:rsid w:val="52B61649"/>
    <w:rsid w:val="52C2392B"/>
    <w:rsid w:val="52D10231"/>
    <w:rsid w:val="52D73DB9"/>
    <w:rsid w:val="52D95337"/>
    <w:rsid w:val="52EB0BC7"/>
    <w:rsid w:val="52EC6168"/>
    <w:rsid w:val="52EF06B7"/>
    <w:rsid w:val="52F1442F"/>
    <w:rsid w:val="52F43F1F"/>
    <w:rsid w:val="52F757BE"/>
    <w:rsid w:val="52F91536"/>
    <w:rsid w:val="52F932E4"/>
    <w:rsid w:val="52FC2DD4"/>
    <w:rsid w:val="52FE6B4C"/>
    <w:rsid w:val="530523E9"/>
    <w:rsid w:val="530A3743"/>
    <w:rsid w:val="53103BE1"/>
    <w:rsid w:val="531613D5"/>
    <w:rsid w:val="53316F22"/>
    <w:rsid w:val="533858B5"/>
    <w:rsid w:val="533B7DA0"/>
    <w:rsid w:val="533D17CB"/>
    <w:rsid w:val="533D58C6"/>
    <w:rsid w:val="533E33EC"/>
    <w:rsid w:val="534053B7"/>
    <w:rsid w:val="534E7AD3"/>
    <w:rsid w:val="535E583D"/>
    <w:rsid w:val="53607807"/>
    <w:rsid w:val="53672943"/>
    <w:rsid w:val="536E3CD2"/>
    <w:rsid w:val="53740BBC"/>
    <w:rsid w:val="5382152B"/>
    <w:rsid w:val="53824AD0"/>
    <w:rsid w:val="53852DC9"/>
    <w:rsid w:val="538708F0"/>
    <w:rsid w:val="538C5F06"/>
    <w:rsid w:val="5394300C"/>
    <w:rsid w:val="53961CCD"/>
    <w:rsid w:val="53986FA1"/>
    <w:rsid w:val="53A05E55"/>
    <w:rsid w:val="53A53E42"/>
    <w:rsid w:val="53A72D40"/>
    <w:rsid w:val="53AD7BDA"/>
    <w:rsid w:val="53B316E5"/>
    <w:rsid w:val="53B60EF4"/>
    <w:rsid w:val="53BC2C8F"/>
    <w:rsid w:val="53C733E2"/>
    <w:rsid w:val="53C75190"/>
    <w:rsid w:val="53C90F08"/>
    <w:rsid w:val="53C9715A"/>
    <w:rsid w:val="53CC6C4A"/>
    <w:rsid w:val="53D004E8"/>
    <w:rsid w:val="53D5512C"/>
    <w:rsid w:val="53D578AD"/>
    <w:rsid w:val="53E1261D"/>
    <w:rsid w:val="53E43F94"/>
    <w:rsid w:val="53E61ABA"/>
    <w:rsid w:val="53F046E7"/>
    <w:rsid w:val="53F341D7"/>
    <w:rsid w:val="53F35EC6"/>
    <w:rsid w:val="53F35F85"/>
    <w:rsid w:val="53F71F19"/>
    <w:rsid w:val="53F8359B"/>
    <w:rsid w:val="53FA37B7"/>
    <w:rsid w:val="5402266C"/>
    <w:rsid w:val="54040192"/>
    <w:rsid w:val="54063F5A"/>
    <w:rsid w:val="54085ED4"/>
    <w:rsid w:val="540A350F"/>
    <w:rsid w:val="54102FDB"/>
    <w:rsid w:val="54104D89"/>
    <w:rsid w:val="54174EDF"/>
    <w:rsid w:val="542425E2"/>
    <w:rsid w:val="54295E4B"/>
    <w:rsid w:val="542D593B"/>
    <w:rsid w:val="542E16B3"/>
    <w:rsid w:val="54330A77"/>
    <w:rsid w:val="54360404"/>
    <w:rsid w:val="54370568"/>
    <w:rsid w:val="543F40EB"/>
    <w:rsid w:val="54446ACD"/>
    <w:rsid w:val="54484523"/>
    <w:rsid w:val="5455279C"/>
    <w:rsid w:val="54574766"/>
    <w:rsid w:val="545C3BEF"/>
    <w:rsid w:val="546155E5"/>
    <w:rsid w:val="546D5D37"/>
    <w:rsid w:val="546E7D01"/>
    <w:rsid w:val="54754273"/>
    <w:rsid w:val="54776BB6"/>
    <w:rsid w:val="5483555B"/>
    <w:rsid w:val="548968E9"/>
    <w:rsid w:val="548B1262"/>
    <w:rsid w:val="548E5CAE"/>
    <w:rsid w:val="549A0AF6"/>
    <w:rsid w:val="54A76A67"/>
    <w:rsid w:val="54AF6350"/>
    <w:rsid w:val="54B020C8"/>
    <w:rsid w:val="54B24092"/>
    <w:rsid w:val="54B27BEE"/>
    <w:rsid w:val="54B375AD"/>
    <w:rsid w:val="54B43966"/>
    <w:rsid w:val="54B5148C"/>
    <w:rsid w:val="54B55930"/>
    <w:rsid w:val="54BE6593"/>
    <w:rsid w:val="54C31DFB"/>
    <w:rsid w:val="54C811C0"/>
    <w:rsid w:val="54CA318A"/>
    <w:rsid w:val="54CA3B23"/>
    <w:rsid w:val="54E9053C"/>
    <w:rsid w:val="54EA19CC"/>
    <w:rsid w:val="54EA7E60"/>
    <w:rsid w:val="54F601F4"/>
    <w:rsid w:val="54F975CB"/>
    <w:rsid w:val="5507618C"/>
    <w:rsid w:val="55164621"/>
    <w:rsid w:val="5525408D"/>
    <w:rsid w:val="55277EAD"/>
    <w:rsid w:val="552D54C7"/>
    <w:rsid w:val="552F56E3"/>
    <w:rsid w:val="552F7491"/>
    <w:rsid w:val="55322ADD"/>
    <w:rsid w:val="553700F3"/>
    <w:rsid w:val="553D3E45"/>
    <w:rsid w:val="553E6CA6"/>
    <w:rsid w:val="55450A62"/>
    <w:rsid w:val="554B0B92"/>
    <w:rsid w:val="555C7B5A"/>
    <w:rsid w:val="555E7D76"/>
    <w:rsid w:val="55627866"/>
    <w:rsid w:val="556A04C9"/>
    <w:rsid w:val="5572737D"/>
    <w:rsid w:val="55735625"/>
    <w:rsid w:val="557430F6"/>
    <w:rsid w:val="55745E6F"/>
    <w:rsid w:val="55747599"/>
    <w:rsid w:val="557C1FAA"/>
    <w:rsid w:val="557C66F9"/>
    <w:rsid w:val="558F1CDD"/>
    <w:rsid w:val="559317CE"/>
    <w:rsid w:val="55935C72"/>
    <w:rsid w:val="55937A20"/>
    <w:rsid w:val="55967510"/>
    <w:rsid w:val="55990DAE"/>
    <w:rsid w:val="559A6552"/>
    <w:rsid w:val="559E63C4"/>
    <w:rsid w:val="55A0038E"/>
    <w:rsid w:val="55A7171D"/>
    <w:rsid w:val="55AE6607"/>
    <w:rsid w:val="55AF05D2"/>
    <w:rsid w:val="55AF34BB"/>
    <w:rsid w:val="55BA31FE"/>
    <w:rsid w:val="55BD684B"/>
    <w:rsid w:val="55D83684"/>
    <w:rsid w:val="55D911AB"/>
    <w:rsid w:val="55E069DD"/>
    <w:rsid w:val="55E262B1"/>
    <w:rsid w:val="55E53FF3"/>
    <w:rsid w:val="55E72D6A"/>
    <w:rsid w:val="55E93AE3"/>
    <w:rsid w:val="55EC0491"/>
    <w:rsid w:val="55EC7379"/>
    <w:rsid w:val="55EE4C56"/>
    <w:rsid w:val="55FB55C5"/>
    <w:rsid w:val="56024BA5"/>
    <w:rsid w:val="56076719"/>
    <w:rsid w:val="560B1CAC"/>
    <w:rsid w:val="560E354A"/>
    <w:rsid w:val="56132907"/>
    <w:rsid w:val="562B40AB"/>
    <w:rsid w:val="562C39D0"/>
    <w:rsid w:val="563C1E65"/>
    <w:rsid w:val="563D138D"/>
    <w:rsid w:val="5640122A"/>
    <w:rsid w:val="564927D4"/>
    <w:rsid w:val="564D5B0B"/>
    <w:rsid w:val="565371AF"/>
    <w:rsid w:val="56551179"/>
    <w:rsid w:val="56555E2E"/>
    <w:rsid w:val="56570A4D"/>
    <w:rsid w:val="565A22EB"/>
    <w:rsid w:val="565D3039"/>
    <w:rsid w:val="56644F18"/>
    <w:rsid w:val="566556CB"/>
    <w:rsid w:val="566E3FE9"/>
    <w:rsid w:val="567C670C"/>
    <w:rsid w:val="568440E5"/>
    <w:rsid w:val="568850AA"/>
    <w:rsid w:val="56963A64"/>
    <w:rsid w:val="569F0646"/>
    <w:rsid w:val="56AD68BF"/>
    <w:rsid w:val="56B440F1"/>
    <w:rsid w:val="56C97471"/>
    <w:rsid w:val="56CF59E9"/>
    <w:rsid w:val="56D025AE"/>
    <w:rsid w:val="56D0674C"/>
    <w:rsid w:val="56D227CA"/>
    <w:rsid w:val="56DC53F6"/>
    <w:rsid w:val="56E85B49"/>
    <w:rsid w:val="56ED7603"/>
    <w:rsid w:val="56F269C8"/>
    <w:rsid w:val="56F73FDE"/>
    <w:rsid w:val="56FE711B"/>
    <w:rsid w:val="56FF6098"/>
    <w:rsid w:val="570B7A8A"/>
    <w:rsid w:val="57120E18"/>
    <w:rsid w:val="571501D3"/>
    <w:rsid w:val="571526B6"/>
    <w:rsid w:val="571E55B1"/>
    <w:rsid w:val="5726041F"/>
    <w:rsid w:val="57284198"/>
    <w:rsid w:val="5730129E"/>
    <w:rsid w:val="573B036F"/>
    <w:rsid w:val="57452F9B"/>
    <w:rsid w:val="5748483A"/>
    <w:rsid w:val="574F3E1A"/>
    <w:rsid w:val="57511940"/>
    <w:rsid w:val="57513011"/>
    <w:rsid w:val="57521214"/>
    <w:rsid w:val="575431DF"/>
    <w:rsid w:val="575E5E0B"/>
    <w:rsid w:val="57743881"/>
    <w:rsid w:val="57754172"/>
    <w:rsid w:val="577B7DD2"/>
    <w:rsid w:val="57825F9E"/>
    <w:rsid w:val="57833AC4"/>
    <w:rsid w:val="578E4942"/>
    <w:rsid w:val="579B2BBB"/>
    <w:rsid w:val="579B331A"/>
    <w:rsid w:val="57A001D2"/>
    <w:rsid w:val="57AF6667"/>
    <w:rsid w:val="57B91A6F"/>
    <w:rsid w:val="57BC2B32"/>
    <w:rsid w:val="57C6377C"/>
    <w:rsid w:val="57CA34A1"/>
    <w:rsid w:val="57D60F99"/>
    <w:rsid w:val="57DA7B88"/>
    <w:rsid w:val="57DE6F4C"/>
    <w:rsid w:val="57E16AA6"/>
    <w:rsid w:val="57E5652D"/>
    <w:rsid w:val="57EA769F"/>
    <w:rsid w:val="57F236EF"/>
    <w:rsid w:val="57FA1966"/>
    <w:rsid w:val="57FB365A"/>
    <w:rsid w:val="57FF75EE"/>
    <w:rsid w:val="580469B3"/>
    <w:rsid w:val="580C3AB9"/>
    <w:rsid w:val="580E15DF"/>
    <w:rsid w:val="581110D0"/>
    <w:rsid w:val="58206AF8"/>
    <w:rsid w:val="58240E03"/>
    <w:rsid w:val="58242BB1"/>
    <w:rsid w:val="58247055"/>
    <w:rsid w:val="582B2191"/>
    <w:rsid w:val="582C02C6"/>
    <w:rsid w:val="583059FA"/>
    <w:rsid w:val="583152CE"/>
    <w:rsid w:val="58492617"/>
    <w:rsid w:val="584D23EC"/>
    <w:rsid w:val="58580AAD"/>
    <w:rsid w:val="585C67EF"/>
    <w:rsid w:val="585D4315"/>
    <w:rsid w:val="585F1E3B"/>
    <w:rsid w:val="58627B7D"/>
    <w:rsid w:val="58660B1F"/>
    <w:rsid w:val="58690F0C"/>
    <w:rsid w:val="5875165E"/>
    <w:rsid w:val="5875340D"/>
    <w:rsid w:val="587D1DB6"/>
    <w:rsid w:val="587D49B7"/>
    <w:rsid w:val="587E443A"/>
    <w:rsid w:val="587F6039"/>
    <w:rsid w:val="5886561A"/>
    <w:rsid w:val="58871D81"/>
    <w:rsid w:val="58977827"/>
    <w:rsid w:val="5898534D"/>
    <w:rsid w:val="58B24661"/>
    <w:rsid w:val="58BB0610"/>
    <w:rsid w:val="58BD4EAA"/>
    <w:rsid w:val="58C10FEA"/>
    <w:rsid w:val="58C3426C"/>
    <w:rsid w:val="58C6010C"/>
    <w:rsid w:val="58CB74D0"/>
    <w:rsid w:val="58D75E75"/>
    <w:rsid w:val="58E660B8"/>
    <w:rsid w:val="58E862D4"/>
    <w:rsid w:val="58EA204C"/>
    <w:rsid w:val="58ED7447"/>
    <w:rsid w:val="58EE1C65"/>
    <w:rsid w:val="59011144"/>
    <w:rsid w:val="59017396"/>
    <w:rsid w:val="59103135"/>
    <w:rsid w:val="59115444"/>
    <w:rsid w:val="59123351"/>
    <w:rsid w:val="5916669A"/>
    <w:rsid w:val="591946E0"/>
    <w:rsid w:val="591A2206"/>
    <w:rsid w:val="591C1ADA"/>
    <w:rsid w:val="591F15CA"/>
    <w:rsid w:val="592117E6"/>
    <w:rsid w:val="59266DFD"/>
    <w:rsid w:val="592B204C"/>
    <w:rsid w:val="592D018B"/>
    <w:rsid w:val="592D3CE7"/>
    <w:rsid w:val="592F1427"/>
    <w:rsid w:val="59340E43"/>
    <w:rsid w:val="593B28A8"/>
    <w:rsid w:val="593C217C"/>
    <w:rsid w:val="59423504"/>
    <w:rsid w:val="5943175D"/>
    <w:rsid w:val="59441031"/>
    <w:rsid w:val="59471FD4"/>
    <w:rsid w:val="594A6647"/>
    <w:rsid w:val="594D25DB"/>
    <w:rsid w:val="5954396A"/>
    <w:rsid w:val="595B0854"/>
    <w:rsid w:val="59611BE3"/>
    <w:rsid w:val="59676172"/>
    <w:rsid w:val="59684D1F"/>
    <w:rsid w:val="596A6CE9"/>
    <w:rsid w:val="59715F35"/>
    <w:rsid w:val="59761A20"/>
    <w:rsid w:val="5979517E"/>
    <w:rsid w:val="597E40F8"/>
    <w:rsid w:val="59800C64"/>
    <w:rsid w:val="598061BF"/>
    <w:rsid w:val="59861649"/>
    <w:rsid w:val="598F04FE"/>
    <w:rsid w:val="59981AA8"/>
    <w:rsid w:val="59A26483"/>
    <w:rsid w:val="59B30690"/>
    <w:rsid w:val="59B47F65"/>
    <w:rsid w:val="59BC506B"/>
    <w:rsid w:val="59C06909"/>
    <w:rsid w:val="59C409A7"/>
    <w:rsid w:val="59C53DD7"/>
    <w:rsid w:val="59CC281A"/>
    <w:rsid w:val="59D42791"/>
    <w:rsid w:val="59D46859"/>
    <w:rsid w:val="59DB7BE7"/>
    <w:rsid w:val="59EA607C"/>
    <w:rsid w:val="59F10A08"/>
    <w:rsid w:val="59FD7B5D"/>
    <w:rsid w:val="5A025174"/>
    <w:rsid w:val="5A04713E"/>
    <w:rsid w:val="5A0E5D14"/>
    <w:rsid w:val="5A146C55"/>
    <w:rsid w:val="5A1530F9"/>
    <w:rsid w:val="5A1629CD"/>
    <w:rsid w:val="5A166E71"/>
    <w:rsid w:val="5A1B4488"/>
    <w:rsid w:val="5A20384C"/>
    <w:rsid w:val="5A236E98"/>
    <w:rsid w:val="5A2908C9"/>
    <w:rsid w:val="5A2A4F1C"/>
    <w:rsid w:val="5A344EA3"/>
    <w:rsid w:val="5A382944"/>
    <w:rsid w:val="5A422B6B"/>
    <w:rsid w:val="5A4532B2"/>
    <w:rsid w:val="5A455061"/>
    <w:rsid w:val="5A461504"/>
    <w:rsid w:val="5A470DD9"/>
    <w:rsid w:val="5A4C4641"/>
    <w:rsid w:val="5A572253"/>
    <w:rsid w:val="5A5F25C6"/>
    <w:rsid w:val="5A673229"/>
    <w:rsid w:val="5A6776CD"/>
    <w:rsid w:val="5A70032F"/>
    <w:rsid w:val="5A707529"/>
    <w:rsid w:val="5A753B98"/>
    <w:rsid w:val="5A785436"/>
    <w:rsid w:val="5A7871D5"/>
    <w:rsid w:val="5A8042EB"/>
    <w:rsid w:val="5A813D7F"/>
    <w:rsid w:val="5A867B53"/>
    <w:rsid w:val="5A875679"/>
    <w:rsid w:val="5A8913F1"/>
    <w:rsid w:val="5A895D66"/>
    <w:rsid w:val="5A8B33BB"/>
    <w:rsid w:val="5A8D7133"/>
    <w:rsid w:val="5A9C1D5C"/>
    <w:rsid w:val="5A9D4E9D"/>
    <w:rsid w:val="5AA11C28"/>
    <w:rsid w:val="5AA1673B"/>
    <w:rsid w:val="5AA4733F"/>
    <w:rsid w:val="5AAB1367"/>
    <w:rsid w:val="5AB26B9A"/>
    <w:rsid w:val="5AB779FE"/>
    <w:rsid w:val="5ABF3065"/>
    <w:rsid w:val="5AC5005A"/>
    <w:rsid w:val="5ACE32A8"/>
    <w:rsid w:val="5AD20FEA"/>
    <w:rsid w:val="5AD52888"/>
    <w:rsid w:val="5AD65DED"/>
    <w:rsid w:val="5ADA0928"/>
    <w:rsid w:val="5AE1122D"/>
    <w:rsid w:val="5AE170BA"/>
    <w:rsid w:val="5AE96334"/>
    <w:rsid w:val="5AEE74A6"/>
    <w:rsid w:val="5B044F1C"/>
    <w:rsid w:val="5B0B2477"/>
    <w:rsid w:val="5B101B12"/>
    <w:rsid w:val="5B2829B8"/>
    <w:rsid w:val="5B310781"/>
    <w:rsid w:val="5B3A6B8F"/>
    <w:rsid w:val="5B413A7A"/>
    <w:rsid w:val="5B433C96"/>
    <w:rsid w:val="5B44356A"/>
    <w:rsid w:val="5B445318"/>
    <w:rsid w:val="5B461090"/>
    <w:rsid w:val="5B490B80"/>
    <w:rsid w:val="5B4D4841"/>
    <w:rsid w:val="5B595267"/>
    <w:rsid w:val="5B5A2D8E"/>
    <w:rsid w:val="5B5C4D58"/>
    <w:rsid w:val="5B5C7251"/>
    <w:rsid w:val="5B61236E"/>
    <w:rsid w:val="5B631C42"/>
    <w:rsid w:val="5B647768"/>
    <w:rsid w:val="5B6C2124"/>
    <w:rsid w:val="5B6D0D13"/>
    <w:rsid w:val="5B714AE5"/>
    <w:rsid w:val="5B765E19"/>
    <w:rsid w:val="5B7756EE"/>
    <w:rsid w:val="5B8027F4"/>
    <w:rsid w:val="5B835E40"/>
    <w:rsid w:val="5B8B1199"/>
    <w:rsid w:val="5B8D4F11"/>
    <w:rsid w:val="5B914A01"/>
    <w:rsid w:val="5B977B3E"/>
    <w:rsid w:val="5B983FD5"/>
    <w:rsid w:val="5B9938B6"/>
    <w:rsid w:val="5B995664"/>
    <w:rsid w:val="5B9C00DD"/>
    <w:rsid w:val="5BA02688"/>
    <w:rsid w:val="5BA04C44"/>
    <w:rsid w:val="5BA74018"/>
    <w:rsid w:val="5BA858A7"/>
    <w:rsid w:val="5BAF4E87"/>
    <w:rsid w:val="5BAF6C35"/>
    <w:rsid w:val="5BB24978"/>
    <w:rsid w:val="5BB71F8E"/>
    <w:rsid w:val="5BBB115B"/>
    <w:rsid w:val="5BBE5B9D"/>
    <w:rsid w:val="5BC326E1"/>
    <w:rsid w:val="5BC8419B"/>
    <w:rsid w:val="5BCC3C8B"/>
    <w:rsid w:val="5BCD355F"/>
    <w:rsid w:val="5BD57A5E"/>
    <w:rsid w:val="5BD60666"/>
    <w:rsid w:val="5BE03293"/>
    <w:rsid w:val="5BE03C4D"/>
    <w:rsid w:val="5BE34B31"/>
    <w:rsid w:val="5BE56AFB"/>
    <w:rsid w:val="5BEA2363"/>
    <w:rsid w:val="5BEB6AF9"/>
    <w:rsid w:val="5BEC60DC"/>
    <w:rsid w:val="5BF84A80"/>
    <w:rsid w:val="5BF925A6"/>
    <w:rsid w:val="5C02145B"/>
    <w:rsid w:val="5C05719D"/>
    <w:rsid w:val="5C074CC3"/>
    <w:rsid w:val="5C0A47B4"/>
    <w:rsid w:val="5C0A6499"/>
    <w:rsid w:val="5C0E6052"/>
    <w:rsid w:val="5C142F3C"/>
    <w:rsid w:val="5C163158"/>
    <w:rsid w:val="5C166CB5"/>
    <w:rsid w:val="5C1B251D"/>
    <w:rsid w:val="5C1D44E7"/>
    <w:rsid w:val="5C1F17B5"/>
    <w:rsid w:val="5C2018E1"/>
    <w:rsid w:val="5C3D6937"/>
    <w:rsid w:val="5C3F26AF"/>
    <w:rsid w:val="5C404F75"/>
    <w:rsid w:val="5C425CFC"/>
    <w:rsid w:val="5C473E4D"/>
    <w:rsid w:val="5C4C74DD"/>
    <w:rsid w:val="5C537F09"/>
    <w:rsid w:val="5C58107B"/>
    <w:rsid w:val="5C5B500F"/>
    <w:rsid w:val="5C5F68AD"/>
    <w:rsid w:val="5C606182"/>
    <w:rsid w:val="5C642116"/>
    <w:rsid w:val="5C6C116D"/>
    <w:rsid w:val="5C6E4D42"/>
    <w:rsid w:val="5C704B01"/>
    <w:rsid w:val="5C724561"/>
    <w:rsid w:val="5C732359"/>
    <w:rsid w:val="5C74517D"/>
    <w:rsid w:val="5C7A5495"/>
    <w:rsid w:val="5C7B55A1"/>
    <w:rsid w:val="5C7B7828"/>
    <w:rsid w:val="5C7D4F86"/>
    <w:rsid w:val="5C8005D2"/>
    <w:rsid w:val="5C87468A"/>
    <w:rsid w:val="5C89392A"/>
    <w:rsid w:val="5C8979EA"/>
    <w:rsid w:val="5C8B76A2"/>
    <w:rsid w:val="5C8C4460"/>
    <w:rsid w:val="5C9168AB"/>
    <w:rsid w:val="5C97697E"/>
    <w:rsid w:val="5C9A1694"/>
    <w:rsid w:val="5C9B19C2"/>
    <w:rsid w:val="5CA11C62"/>
    <w:rsid w:val="5CA16EC6"/>
    <w:rsid w:val="5CAC7619"/>
    <w:rsid w:val="5CB00EB7"/>
    <w:rsid w:val="5CB77558"/>
    <w:rsid w:val="5CBD5382"/>
    <w:rsid w:val="5CBF559E"/>
    <w:rsid w:val="5CCE3A33"/>
    <w:rsid w:val="5CD1707F"/>
    <w:rsid w:val="5CD62F36"/>
    <w:rsid w:val="5CE96177"/>
    <w:rsid w:val="5CEB1EEF"/>
    <w:rsid w:val="5CEB6393"/>
    <w:rsid w:val="5CF05758"/>
    <w:rsid w:val="5CF96FBB"/>
    <w:rsid w:val="5CFC40FC"/>
    <w:rsid w:val="5D02548B"/>
    <w:rsid w:val="5D04115A"/>
    <w:rsid w:val="5D041624"/>
    <w:rsid w:val="5D054B89"/>
    <w:rsid w:val="5D094A6B"/>
    <w:rsid w:val="5D0A075D"/>
    <w:rsid w:val="5D0B07E3"/>
    <w:rsid w:val="5D0B1BED"/>
    <w:rsid w:val="5D0B2F19"/>
    <w:rsid w:val="5D1256CE"/>
    <w:rsid w:val="5D137698"/>
    <w:rsid w:val="5D1D53E3"/>
    <w:rsid w:val="5D1F7DEB"/>
    <w:rsid w:val="5D2148DF"/>
    <w:rsid w:val="5D215911"/>
    <w:rsid w:val="5D2B49E2"/>
    <w:rsid w:val="5D327B1E"/>
    <w:rsid w:val="5D3715D8"/>
    <w:rsid w:val="5D3A4CF9"/>
    <w:rsid w:val="5D3F048D"/>
    <w:rsid w:val="5D4B5084"/>
    <w:rsid w:val="5D5460E9"/>
    <w:rsid w:val="5D5F468B"/>
    <w:rsid w:val="5D601473"/>
    <w:rsid w:val="5D6121B1"/>
    <w:rsid w:val="5D6241D9"/>
    <w:rsid w:val="5D6879E4"/>
    <w:rsid w:val="5D691457"/>
    <w:rsid w:val="5D6D4FFA"/>
    <w:rsid w:val="5D7243BE"/>
    <w:rsid w:val="5D755C5D"/>
    <w:rsid w:val="5D7E2D63"/>
    <w:rsid w:val="5D8307A7"/>
    <w:rsid w:val="5D883BE2"/>
    <w:rsid w:val="5D8E0ACA"/>
    <w:rsid w:val="5D921815"/>
    <w:rsid w:val="5D945B97"/>
    <w:rsid w:val="5DA0717E"/>
    <w:rsid w:val="5DA27BC8"/>
    <w:rsid w:val="5DA327CA"/>
    <w:rsid w:val="5DA622BA"/>
    <w:rsid w:val="5DB93D9B"/>
    <w:rsid w:val="5DCC7F73"/>
    <w:rsid w:val="5DCF1811"/>
    <w:rsid w:val="5DD40BD5"/>
    <w:rsid w:val="5DD45079"/>
    <w:rsid w:val="5DD5494D"/>
    <w:rsid w:val="5DDC3F2E"/>
    <w:rsid w:val="5DE040E1"/>
    <w:rsid w:val="5DE10FFA"/>
    <w:rsid w:val="5DE66B5A"/>
    <w:rsid w:val="5DE80B25"/>
    <w:rsid w:val="5DEA21A7"/>
    <w:rsid w:val="5DED7EE9"/>
    <w:rsid w:val="5DEE398E"/>
    <w:rsid w:val="5DF23751"/>
    <w:rsid w:val="5DF47470"/>
    <w:rsid w:val="5E086AD1"/>
    <w:rsid w:val="5E0A45F7"/>
    <w:rsid w:val="5E0F60B1"/>
    <w:rsid w:val="5E1611EE"/>
    <w:rsid w:val="5E1C257C"/>
    <w:rsid w:val="5E2558D5"/>
    <w:rsid w:val="5E2733FB"/>
    <w:rsid w:val="5E28682B"/>
    <w:rsid w:val="5E3704ED"/>
    <w:rsid w:val="5E420235"/>
    <w:rsid w:val="5E4A0E97"/>
    <w:rsid w:val="5E4F4700"/>
    <w:rsid w:val="5E59732C"/>
    <w:rsid w:val="5E5B12F6"/>
    <w:rsid w:val="5E5B413C"/>
    <w:rsid w:val="5E5E779A"/>
    <w:rsid w:val="5E6636FF"/>
    <w:rsid w:val="5E6957C1"/>
    <w:rsid w:val="5E6C65C9"/>
    <w:rsid w:val="5E6C7060"/>
    <w:rsid w:val="5E783E0E"/>
    <w:rsid w:val="5E7A79CF"/>
    <w:rsid w:val="5E802B0B"/>
    <w:rsid w:val="5E8343A9"/>
    <w:rsid w:val="5E8412B9"/>
    <w:rsid w:val="5E895E64"/>
    <w:rsid w:val="5E8B7AB8"/>
    <w:rsid w:val="5E8D26AE"/>
    <w:rsid w:val="5E9D36BD"/>
    <w:rsid w:val="5EB01642"/>
    <w:rsid w:val="5EB21D38"/>
    <w:rsid w:val="5EB27472"/>
    <w:rsid w:val="5EBB7FE7"/>
    <w:rsid w:val="5EBF7084"/>
    <w:rsid w:val="5EC46E9C"/>
    <w:rsid w:val="5EC727A1"/>
    <w:rsid w:val="5ED13367"/>
    <w:rsid w:val="5ED54C05"/>
    <w:rsid w:val="5EDA0F45"/>
    <w:rsid w:val="5EE906B0"/>
    <w:rsid w:val="5EEA5E68"/>
    <w:rsid w:val="5EF17565"/>
    <w:rsid w:val="5EF86B45"/>
    <w:rsid w:val="5EFA5435"/>
    <w:rsid w:val="5EFF7ED4"/>
    <w:rsid w:val="5F0E6369"/>
    <w:rsid w:val="5F1C0A86"/>
    <w:rsid w:val="5F1F67B4"/>
    <w:rsid w:val="5F2B2A77"/>
    <w:rsid w:val="5F322057"/>
    <w:rsid w:val="5F337B7D"/>
    <w:rsid w:val="5F3758C0"/>
    <w:rsid w:val="5F3E6C4E"/>
    <w:rsid w:val="5F3F4774"/>
    <w:rsid w:val="5F441D8B"/>
    <w:rsid w:val="5F4A3D74"/>
    <w:rsid w:val="5F4B4EC7"/>
    <w:rsid w:val="5F4E2C09"/>
    <w:rsid w:val="5F62178D"/>
    <w:rsid w:val="5F6D12E1"/>
    <w:rsid w:val="5F6D7533"/>
    <w:rsid w:val="5F6E5059"/>
    <w:rsid w:val="5F7408C2"/>
    <w:rsid w:val="5F7A39FE"/>
    <w:rsid w:val="5F7E34EF"/>
    <w:rsid w:val="5F7F7267"/>
    <w:rsid w:val="5F8421A1"/>
    <w:rsid w:val="5F84662B"/>
    <w:rsid w:val="5F85487D"/>
    <w:rsid w:val="5F887EC9"/>
    <w:rsid w:val="5F891DBB"/>
    <w:rsid w:val="5F8D3732"/>
    <w:rsid w:val="5F950838"/>
    <w:rsid w:val="5F9C672F"/>
    <w:rsid w:val="5F9E149B"/>
    <w:rsid w:val="5FA42829"/>
    <w:rsid w:val="5FA6729F"/>
    <w:rsid w:val="5FAF36A8"/>
    <w:rsid w:val="5FBE7D8F"/>
    <w:rsid w:val="5FC133DB"/>
    <w:rsid w:val="5FC609F2"/>
    <w:rsid w:val="5FCD6357"/>
    <w:rsid w:val="5FD41360"/>
    <w:rsid w:val="5FE01AB3"/>
    <w:rsid w:val="5FE81B27"/>
    <w:rsid w:val="5FE86BBA"/>
    <w:rsid w:val="5FEC1938"/>
    <w:rsid w:val="5FF11F12"/>
    <w:rsid w:val="5FFE018B"/>
    <w:rsid w:val="5FFE0F82"/>
    <w:rsid w:val="60046C01"/>
    <w:rsid w:val="600734E4"/>
    <w:rsid w:val="6008725C"/>
    <w:rsid w:val="600F05EB"/>
    <w:rsid w:val="60114363"/>
    <w:rsid w:val="602045A6"/>
    <w:rsid w:val="60243CC7"/>
    <w:rsid w:val="602A0F80"/>
    <w:rsid w:val="602D6CC3"/>
    <w:rsid w:val="60327E35"/>
    <w:rsid w:val="60332DE0"/>
    <w:rsid w:val="60335C18"/>
    <w:rsid w:val="60343BAD"/>
    <w:rsid w:val="603A003B"/>
    <w:rsid w:val="603A1E29"/>
    <w:rsid w:val="603D5158"/>
    <w:rsid w:val="603F0748"/>
    <w:rsid w:val="604364E6"/>
    <w:rsid w:val="6045400C"/>
    <w:rsid w:val="60477D84"/>
    <w:rsid w:val="605424A1"/>
    <w:rsid w:val="60543202"/>
    <w:rsid w:val="60563B24"/>
    <w:rsid w:val="60566219"/>
    <w:rsid w:val="60667058"/>
    <w:rsid w:val="6068709D"/>
    <w:rsid w:val="606C77EB"/>
    <w:rsid w:val="6074044E"/>
    <w:rsid w:val="6078146D"/>
    <w:rsid w:val="607B17DC"/>
    <w:rsid w:val="607D37A6"/>
    <w:rsid w:val="60805044"/>
    <w:rsid w:val="60966616"/>
    <w:rsid w:val="609A6548"/>
    <w:rsid w:val="60A246D9"/>
    <w:rsid w:val="60A8015D"/>
    <w:rsid w:val="60C16966"/>
    <w:rsid w:val="60C2740B"/>
    <w:rsid w:val="60C30678"/>
    <w:rsid w:val="60C56EFB"/>
    <w:rsid w:val="60C70AD5"/>
    <w:rsid w:val="60CF6FE8"/>
    <w:rsid w:val="60D13AF2"/>
    <w:rsid w:val="60D3786A"/>
    <w:rsid w:val="60D55390"/>
    <w:rsid w:val="60DE4400"/>
    <w:rsid w:val="60E455D3"/>
    <w:rsid w:val="60E94998"/>
    <w:rsid w:val="60EA7FE0"/>
    <w:rsid w:val="60EE1FAE"/>
    <w:rsid w:val="60F1503F"/>
    <w:rsid w:val="60F31CBA"/>
    <w:rsid w:val="60F577E0"/>
    <w:rsid w:val="60FB0B6F"/>
    <w:rsid w:val="61005BAB"/>
    <w:rsid w:val="61025A59"/>
    <w:rsid w:val="61073070"/>
    <w:rsid w:val="610E2650"/>
    <w:rsid w:val="611063C8"/>
    <w:rsid w:val="61137C66"/>
    <w:rsid w:val="61181721"/>
    <w:rsid w:val="61183852"/>
    <w:rsid w:val="611F4533"/>
    <w:rsid w:val="61237025"/>
    <w:rsid w:val="613100ED"/>
    <w:rsid w:val="613320B7"/>
    <w:rsid w:val="61357BDD"/>
    <w:rsid w:val="613C48DF"/>
    <w:rsid w:val="613D4CE3"/>
    <w:rsid w:val="6142679E"/>
    <w:rsid w:val="614F5D83"/>
    <w:rsid w:val="615269E1"/>
    <w:rsid w:val="61587D6F"/>
    <w:rsid w:val="615A3A4C"/>
    <w:rsid w:val="615C0811"/>
    <w:rsid w:val="615C160D"/>
    <w:rsid w:val="615F2EAC"/>
    <w:rsid w:val="61690053"/>
    <w:rsid w:val="616E7593"/>
    <w:rsid w:val="61730705"/>
    <w:rsid w:val="61775E62"/>
    <w:rsid w:val="617D1584"/>
    <w:rsid w:val="61880654"/>
    <w:rsid w:val="618D5C6B"/>
    <w:rsid w:val="619C1A0A"/>
    <w:rsid w:val="619E1C26"/>
    <w:rsid w:val="619F73C4"/>
    <w:rsid w:val="61AC2CD1"/>
    <w:rsid w:val="61B256D1"/>
    <w:rsid w:val="61BF394A"/>
    <w:rsid w:val="61CE3B8D"/>
    <w:rsid w:val="61D5316E"/>
    <w:rsid w:val="61D746FA"/>
    <w:rsid w:val="61DA565F"/>
    <w:rsid w:val="61DD42C8"/>
    <w:rsid w:val="61EA275C"/>
    <w:rsid w:val="61ED04B8"/>
    <w:rsid w:val="61F47A98"/>
    <w:rsid w:val="61F71336"/>
    <w:rsid w:val="61F96E5C"/>
    <w:rsid w:val="620379EE"/>
    <w:rsid w:val="62053A53"/>
    <w:rsid w:val="620C3034"/>
    <w:rsid w:val="620E61D9"/>
    <w:rsid w:val="621023F8"/>
    <w:rsid w:val="6219421A"/>
    <w:rsid w:val="621A5025"/>
    <w:rsid w:val="621B7440"/>
    <w:rsid w:val="622265B3"/>
    <w:rsid w:val="62326812"/>
    <w:rsid w:val="62373E29"/>
    <w:rsid w:val="62377985"/>
    <w:rsid w:val="623954AB"/>
    <w:rsid w:val="623B7475"/>
    <w:rsid w:val="62404A8B"/>
    <w:rsid w:val="624A590A"/>
    <w:rsid w:val="624B30B0"/>
    <w:rsid w:val="624C43BB"/>
    <w:rsid w:val="624D71A8"/>
    <w:rsid w:val="625D388F"/>
    <w:rsid w:val="625E7607"/>
    <w:rsid w:val="62634C1E"/>
    <w:rsid w:val="62744735"/>
    <w:rsid w:val="627B2053"/>
    <w:rsid w:val="627C5292"/>
    <w:rsid w:val="628801E0"/>
    <w:rsid w:val="62886432"/>
    <w:rsid w:val="628C58E4"/>
    <w:rsid w:val="628D13F3"/>
    <w:rsid w:val="628D3A49"/>
    <w:rsid w:val="62917095"/>
    <w:rsid w:val="6292105F"/>
    <w:rsid w:val="6295025A"/>
    <w:rsid w:val="62970423"/>
    <w:rsid w:val="629D0130"/>
    <w:rsid w:val="62A768B8"/>
    <w:rsid w:val="62B47227"/>
    <w:rsid w:val="62BB2364"/>
    <w:rsid w:val="62BC7E8A"/>
    <w:rsid w:val="62BD432E"/>
    <w:rsid w:val="62C456BC"/>
    <w:rsid w:val="62C55BF8"/>
    <w:rsid w:val="62D022B3"/>
    <w:rsid w:val="62D53E20"/>
    <w:rsid w:val="62DD14A5"/>
    <w:rsid w:val="62DE6052"/>
    <w:rsid w:val="62E01DCA"/>
    <w:rsid w:val="62E53885"/>
    <w:rsid w:val="62E63110"/>
    <w:rsid w:val="62F31AFE"/>
    <w:rsid w:val="62F85366"/>
    <w:rsid w:val="62FB30A8"/>
    <w:rsid w:val="62FC6DD3"/>
    <w:rsid w:val="632223E3"/>
    <w:rsid w:val="632A3916"/>
    <w:rsid w:val="632B573B"/>
    <w:rsid w:val="632C14B3"/>
    <w:rsid w:val="632E6FDA"/>
    <w:rsid w:val="63311DA0"/>
    <w:rsid w:val="63367C3C"/>
    <w:rsid w:val="634C3904"/>
    <w:rsid w:val="63585E05"/>
    <w:rsid w:val="635A1B7D"/>
    <w:rsid w:val="635E0AEC"/>
    <w:rsid w:val="635F3637"/>
    <w:rsid w:val="636000C1"/>
    <w:rsid w:val="6361115D"/>
    <w:rsid w:val="636429FB"/>
    <w:rsid w:val="63671E4C"/>
    <w:rsid w:val="63696542"/>
    <w:rsid w:val="636A388B"/>
    <w:rsid w:val="636D5D54"/>
    <w:rsid w:val="636E387A"/>
    <w:rsid w:val="6370314E"/>
    <w:rsid w:val="637846F9"/>
    <w:rsid w:val="637B360E"/>
    <w:rsid w:val="637C76B9"/>
    <w:rsid w:val="637F3391"/>
    <w:rsid w:val="6381535B"/>
    <w:rsid w:val="638D5C5B"/>
    <w:rsid w:val="63965F10"/>
    <w:rsid w:val="6397692D"/>
    <w:rsid w:val="63A728E8"/>
    <w:rsid w:val="63A83616"/>
    <w:rsid w:val="63AE4C48"/>
    <w:rsid w:val="63B374DF"/>
    <w:rsid w:val="63B55005"/>
    <w:rsid w:val="63BA261B"/>
    <w:rsid w:val="63BF7C32"/>
    <w:rsid w:val="63C74D38"/>
    <w:rsid w:val="63CC6E81"/>
    <w:rsid w:val="63CE4319"/>
    <w:rsid w:val="63D95197"/>
    <w:rsid w:val="63E63410"/>
    <w:rsid w:val="63E678B4"/>
    <w:rsid w:val="63E853DA"/>
    <w:rsid w:val="63EB4ECB"/>
    <w:rsid w:val="63F41FD1"/>
    <w:rsid w:val="63F518A5"/>
    <w:rsid w:val="640D4E41"/>
    <w:rsid w:val="640D6BEF"/>
    <w:rsid w:val="640E6782"/>
    <w:rsid w:val="641307EF"/>
    <w:rsid w:val="64144421"/>
    <w:rsid w:val="642301C1"/>
    <w:rsid w:val="64243F39"/>
    <w:rsid w:val="64370110"/>
    <w:rsid w:val="64375AF1"/>
    <w:rsid w:val="64375E82"/>
    <w:rsid w:val="644545DB"/>
    <w:rsid w:val="64460353"/>
    <w:rsid w:val="644F5459"/>
    <w:rsid w:val="645962D8"/>
    <w:rsid w:val="645A795A"/>
    <w:rsid w:val="64632CB3"/>
    <w:rsid w:val="6468651B"/>
    <w:rsid w:val="646A4041"/>
    <w:rsid w:val="646C2C10"/>
    <w:rsid w:val="646D1D84"/>
    <w:rsid w:val="6477675E"/>
    <w:rsid w:val="64864DA3"/>
    <w:rsid w:val="64921228"/>
    <w:rsid w:val="64921794"/>
    <w:rsid w:val="64994927"/>
    <w:rsid w:val="649F37A3"/>
    <w:rsid w:val="64A80777"/>
    <w:rsid w:val="64AA6B34"/>
    <w:rsid w:val="64BB664B"/>
    <w:rsid w:val="64C23E7D"/>
    <w:rsid w:val="64C64FF0"/>
    <w:rsid w:val="64CC543C"/>
    <w:rsid w:val="64D4770D"/>
    <w:rsid w:val="64DB4F3F"/>
    <w:rsid w:val="64DB6CED"/>
    <w:rsid w:val="64E04304"/>
    <w:rsid w:val="64E53367"/>
    <w:rsid w:val="64E75692"/>
    <w:rsid w:val="64EA43B6"/>
    <w:rsid w:val="64EF2799"/>
    <w:rsid w:val="64F1206D"/>
    <w:rsid w:val="64FE437C"/>
    <w:rsid w:val="6509385A"/>
    <w:rsid w:val="650A5824"/>
    <w:rsid w:val="651421FF"/>
    <w:rsid w:val="65143FAD"/>
    <w:rsid w:val="65197815"/>
    <w:rsid w:val="651C4C58"/>
    <w:rsid w:val="65200BA4"/>
    <w:rsid w:val="65222B6E"/>
    <w:rsid w:val="65297A59"/>
    <w:rsid w:val="652A37D1"/>
    <w:rsid w:val="653B59DE"/>
    <w:rsid w:val="65404DA2"/>
    <w:rsid w:val="65436640"/>
    <w:rsid w:val="6546685C"/>
    <w:rsid w:val="654A74F2"/>
    <w:rsid w:val="655820EC"/>
    <w:rsid w:val="655E1A15"/>
    <w:rsid w:val="65613696"/>
    <w:rsid w:val="65640A91"/>
    <w:rsid w:val="65660730"/>
    <w:rsid w:val="656767D3"/>
    <w:rsid w:val="65705687"/>
    <w:rsid w:val="657226D7"/>
    <w:rsid w:val="65756B0D"/>
    <w:rsid w:val="657A02B4"/>
    <w:rsid w:val="657A4758"/>
    <w:rsid w:val="657B5DDA"/>
    <w:rsid w:val="65826222"/>
    <w:rsid w:val="65864EAB"/>
    <w:rsid w:val="658D110E"/>
    <w:rsid w:val="65982E30"/>
    <w:rsid w:val="659A0956"/>
    <w:rsid w:val="659C46CE"/>
    <w:rsid w:val="659D21F5"/>
    <w:rsid w:val="659F41BF"/>
    <w:rsid w:val="65A210BE"/>
    <w:rsid w:val="65A90AB0"/>
    <w:rsid w:val="65B25CA0"/>
    <w:rsid w:val="65B67571"/>
    <w:rsid w:val="65BB267B"/>
    <w:rsid w:val="65BC08CD"/>
    <w:rsid w:val="65BE2C69"/>
    <w:rsid w:val="65C71020"/>
    <w:rsid w:val="65CD2ADA"/>
    <w:rsid w:val="65D06126"/>
    <w:rsid w:val="65D5198E"/>
    <w:rsid w:val="65D623C4"/>
    <w:rsid w:val="65DA06A2"/>
    <w:rsid w:val="65E47E23"/>
    <w:rsid w:val="65EE47FE"/>
    <w:rsid w:val="65F20792"/>
    <w:rsid w:val="65F66FE2"/>
    <w:rsid w:val="65F71905"/>
    <w:rsid w:val="65FF4670"/>
    <w:rsid w:val="65FF4C5D"/>
    <w:rsid w:val="66042B5B"/>
    <w:rsid w:val="66053F15"/>
    <w:rsid w:val="66061B48"/>
    <w:rsid w:val="661701F9"/>
    <w:rsid w:val="66173D55"/>
    <w:rsid w:val="661C136B"/>
    <w:rsid w:val="661C60E7"/>
    <w:rsid w:val="663012BB"/>
    <w:rsid w:val="6635242D"/>
    <w:rsid w:val="66391F1D"/>
    <w:rsid w:val="663A5A5B"/>
    <w:rsid w:val="663C7C5F"/>
    <w:rsid w:val="663D12E2"/>
    <w:rsid w:val="66410DD2"/>
    <w:rsid w:val="66432D9C"/>
    <w:rsid w:val="664663E8"/>
    <w:rsid w:val="664A237C"/>
    <w:rsid w:val="665925BF"/>
    <w:rsid w:val="665E3732"/>
    <w:rsid w:val="665E40C2"/>
    <w:rsid w:val="665F56FC"/>
    <w:rsid w:val="66710823"/>
    <w:rsid w:val="6679056C"/>
    <w:rsid w:val="667D7139"/>
    <w:rsid w:val="667E3DD4"/>
    <w:rsid w:val="66833198"/>
    <w:rsid w:val="66884C53"/>
    <w:rsid w:val="668F350A"/>
    <w:rsid w:val="66904F35"/>
    <w:rsid w:val="66910A64"/>
    <w:rsid w:val="6692787F"/>
    <w:rsid w:val="669B2BD8"/>
    <w:rsid w:val="669E6224"/>
    <w:rsid w:val="669F5F27"/>
    <w:rsid w:val="66A3383B"/>
    <w:rsid w:val="66A42A7D"/>
    <w:rsid w:val="66AF3F8D"/>
    <w:rsid w:val="66B23A7E"/>
    <w:rsid w:val="66B33E2D"/>
    <w:rsid w:val="66B37CAE"/>
    <w:rsid w:val="66B6356E"/>
    <w:rsid w:val="66B72E8D"/>
    <w:rsid w:val="66BB4A67"/>
    <w:rsid w:val="66C043ED"/>
    <w:rsid w:val="66C33EDD"/>
    <w:rsid w:val="66D103A8"/>
    <w:rsid w:val="66D503CA"/>
    <w:rsid w:val="66E71979"/>
    <w:rsid w:val="66EA1469"/>
    <w:rsid w:val="66ED7316"/>
    <w:rsid w:val="66EF082E"/>
    <w:rsid w:val="66F347C2"/>
    <w:rsid w:val="66F552F2"/>
    <w:rsid w:val="66F9345B"/>
    <w:rsid w:val="66FC05DA"/>
    <w:rsid w:val="670342D9"/>
    <w:rsid w:val="6707201B"/>
    <w:rsid w:val="670F2C7E"/>
    <w:rsid w:val="6712451C"/>
    <w:rsid w:val="67136C12"/>
    <w:rsid w:val="6716400D"/>
    <w:rsid w:val="671751C7"/>
    <w:rsid w:val="67177D85"/>
    <w:rsid w:val="6718068C"/>
    <w:rsid w:val="67226E55"/>
    <w:rsid w:val="67235885"/>
    <w:rsid w:val="67254250"/>
    <w:rsid w:val="672A7AB8"/>
    <w:rsid w:val="672E57FA"/>
    <w:rsid w:val="67346724"/>
    <w:rsid w:val="67397CFB"/>
    <w:rsid w:val="673C3F6A"/>
    <w:rsid w:val="673D5A3D"/>
    <w:rsid w:val="673F17B5"/>
    <w:rsid w:val="673F4707"/>
    <w:rsid w:val="67430B7A"/>
    <w:rsid w:val="674548F2"/>
    <w:rsid w:val="674566A0"/>
    <w:rsid w:val="674943E2"/>
    <w:rsid w:val="674D0433"/>
    <w:rsid w:val="6751773B"/>
    <w:rsid w:val="676F7BC1"/>
    <w:rsid w:val="67782AAF"/>
    <w:rsid w:val="67786A75"/>
    <w:rsid w:val="6779459B"/>
    <w:rsid w:val="677B47B7"/>
    <w:rsid w:val="677D5E3A"/>
    <w:rsid w:val="677E1BB2"/>
    <w:rsid w:val="67851192"/>
    <w:rsid w:val="678673E4"/>
    <w:rsid w:val="679000B7"/>
    <w:rsid w:val="67915D89"/>
    <w:rsid w:val="679A69EC"/>
    <w:rsid w:val="67B0620F"/>
    <w:rsid w:val="67B20BAC"/>
    <w:rsid w:val="67B83316"/>
    <w:rsid w:val="67C1041C"/>
    <w:rsid w:val="67C63C85"/>
    <w:rsid w:val="67C779FD"/>
    <w:rsid w:val="67CA1952"/>
    <w:rsid w:val="67CE0D8B"/>
    <w:rsid w:val="67D13AEC"/>
    <w:rsid w:val="67D22629"/>
    <w:rsid w:val="67D53EC8"/>
    <w:rsid w:val="67D55C76"/>
    <w:rsid w:val="67DC66DC"/>
    <w:rsid w:val="67DD2D7C"/>
    <w:rsid w:val="67DD7E62"/>
    <w:rsid w:val="67E91721"/>
    <w:rsid w:val="67ED7463"/>
    <w:rsid w:val="67F0485E"/>
    <w:rsid w:val="67F3011E"/>
    <w:rsid w:val="67FD51CC"/>
    <w:rsid w:val="67FF7197"/>
    <w:rsid w:val="680016BC"/>
    <w:rsid w:val="68027E2E"/>
    <w:rsid w:val="680447AD"/>
    <w:rsid w:val="68060525"/>
    <w:rsid w:val="680A3A1A"/>
    <w:rsid w:val="68126ECA"/>
    <w:rsid w:val="681A7B2C"/>
    <w:rsid w:val="681F5143"/>
    <w:rsid w:val="682B1D3A"/>
    <w:rsid w:val="683055A2"/>
    <w:rsid w:val="683230C8"/>
    <w:rsid w:val="68347CAB"/>
    <w:rsid w:val="68356714"/>
    <w:rsid w:val="683C7AA3"/>
    <w:rsid w:val="68466B73"/>
    <w:rsid w:val="684828EC"/>
    <w:rsid w:val="68580655"/>
    <w:rsid w:val="685A617B"/>
    <w:rsid w:val="686139AD"/>
    <w:rsid w:val="68684D3C"/>
    <w:rsid w:val="686A3A3E"/>
    <w:rsid w:val="68701E42"/>
    <w:rsid w:val="68707450"/>
    <w:rsid w:val="68784853"/>
    <w:rsid w:val="68792AA5"/>
    <w:rsid w:val="687B6CB9"/>
    <w:rsid w:val="687E630D"/>
    <w:rsid w:val="687F5BE1"/>
    <w:rsid w:val="68802085"/>
    <w:rsid w:val="68862730"/>
    <w:rsid w:val="68880F3A"/>
    <w:rsid w:val="68953657"/>
    <w:rsid w:val="689773CF"/>
    <w:rsid w:val="68983EEB"/>
    <w:rsid w:val="689C0F90"/>
    <w:rsid w:val="689C6793"/>
    <w:rsid w:val="689E250C"/>
    <w:rsid w:val="689E42BA"/>
    <w:rsid w:val="68A35D74"/>
    <w:rsid w:val="68AC37F1"/>
    <w:rsid w:val="68B166E3"/>
    <w:rsid w:val="68B25FB7"/>
    <w:rsid w:val="68B7181F"/>
    <w:rsid w:val="68BB130F"/>
    <w:rsid w:val="68C006D4"/>
    <w:rsid w:val="68C04838"/>
    <w:rsid w:val="68C319E3"/>
    <w:rsid w:val="68D300DD"/>
    <w:rsid w:val="68D52B7F"/>
    <w:rsid w:val="68D66149"/>
    <w:rsid w:val="68DC3034"/>
    <w:rsid w:val="68E8445D"/>
    <w:rsid w:val="68EE046C"/>
    <w:rsid w:val="68F25308"/>
    <w:rsid w:val="68F37058"/>
    <w:rsid w:val="68FA341D"/>
    <w:rsid w:val="68FB170C"/>
    <w:rsid w:val="68FB5BB0"/>
    <w:rsid w:val="6908207B"/>
    <w:rsid w:val="690A194F"/>
    <w:rsid w:val="690C0BFA"/>
    <w:rsid w:val="690C0CC9"/>
    <w:rsid w:val="69137534"/>
    <w:rsid w:val="69176F9D"/>
    <w:rsid w:val="69180510"/>
    <w:rsid w:val="692073C4"/>
    <w:rsid w:val="69224EEB"/>
    <w:rsid w:val="69230C63"/>
    <w:rsid w:val="692400BC"/>
    <w:rsid w:val="6945507D"/>
    <w:rsid w:val="694806C9"/>
    <w:rsid w:val="694B67D2"/>
    <w:rsid w:val="694C01BA"/>
    <w:rsid w:val="694D5CE0"/>
    <w:rsid w:val="694F3806"/>
    <w:rsid w:val="694F4C1B"/>
    <w:rsid w:val="695232F6"/>
    <w:rsid w:val="695238E6"/>
    <w:rsid w:val="69527E32"/>
    <w:rsid w:val="69564B94"/>
    <w:rsid w:val="695D5F23"/>
    <w:rsid w:val="69676DA1"/>
    <w:rsid w:val="696D3123"/>
    <w:rsid w:val="6974326C"/>
    <w:rsid w:val="69763488"/>
    <w:rsid w:val="69790883"/>
    <w:rsid w:val="69797474"/>
    <w:rsid w:val="697E058F"/>
    <w:rsid w:val="697E40EB"/>
    <w:rsid w:val="69877BBF"/>
    <w:rsid w:val="698A6F34"/>
    <w:rsid w:val="698E0D6B"/>
    <w:rsid w:val="69935DE8"/>
    <w:rsid w:val="69982EE8"/>
    <w:rsid w:val="699B4C9D"/>
    <w:rsid w:val="699D6C67"/>
    <w:rsid w:val="69A04061"/>
    <w:rsid w:val="69A41DA4"/>
    <w:rsid w:val="69AA4EE0"/>
    <w:rsid w:val="69B95123"/>
    <w:rsid w:val="69BA3375"/>
    <w:rsid w:val="69BF6BDD"/>
    <w:rsid w:val="69C80215"/>
    <w:rsid w:val="69C9180A"/>
    <w:rsid w:val="69CD2876"/>
    <w:rsid w:val="69CE5072"/>
    <w:rsid w:val="69CF4947"/>
    <w:rsid w:val="69D1193E"/>
    <w:rsid w:val="69DA3A17"/>
    <w:rsid w:val="69E14DA6"/>
    <w:rsid w:val="69E91EAC"/>
    <w:rsid w:val="69EC54F9"/>
    <w:rsid w:val="69EE4AC4"/>
    <w:rsid w:val="69F50851"/>
    <w:rsid w:val="69F60125"/>
    <w:rsid w:val="69FB6961"/>
    <w:rsid w:val="6A022F6E"/>
    <w:rsid w:val="6A024D1C"/>
    <w:rsid w:val="6A0942FC"/>
    <w:rsid w:val="6A11649D"/>
    <w:rsid w:val="6A1658A1"/>
    <w:rsid w:val="6A1862EE"/>
    <w:rsid w:val="6A1D643E"/>
    <w:rsid w:val="6A222CC8"/>
    <w:rsid w:val="6A325601"/>
    <w:rsid w:val="6A333127"/>
    <w:rsid w:val="6A3749C6"/>
    <w:rsid w:val="6A3A6264"/>
    <w:rsid w:val="6A3C022E"/>
    <w:rsid w:val="6A3F7D1E"/>
    <w:rsid w:val="6A437567"/>
    <w:rsid w:val="6A464C09"/>
    <w:rsid w:val="6A486BD3"/>
    <w:rsid w:val="6A4B51AA"/>
    <w:rsid w:val="6A554E4C"/>
    <w:rsid w:val="6A615EE7"/>
    <w:rsid w:val="6A6432E1"/>
    <w:rsid w:val="6A70612A"/>
    <w:rsid w:val="6A7A0D56"/>
    <w:rsid w:val="6A7C5719"/>
    <w:rsid w:val="6A7F636D"/>
    <w:rsid w:val="6A8B6AC0"/>
    <w:rsid w:val="6A955B90"/>
    <w:rsid w:val="6A995680"/>
    <w:rsid w:val="6AA54025"/>
    <w:rsid w:val="6AA75E0D"/>
    <w:rsid w:val="6AAF0A00"/>
    <w:rsid w:val="6AB75B07"/>
    <w:rsid w:val="6AB84491"/>
    <w:rsid w:val="6AB853DB"/>
    <w:rsid w:val="6ACB15B2"/>
    <w:rsid w:val="6ACE2752"/>
    <w:rsid w:val="6AD93CCF"/>
    <w:rsid w:val="6AD95A7D"/>
    <w:rsid w:val="6ADF0B16"/>
    <w:rsid w:val="6AE368FC"/>
    <w:rsid w:val="6AE663EC"/>
    <w:rsid w:val="6AE82164"/>
    <w:rsid w:val="6AEA5EDC"/>
    <w:rsid w:val="6AEB755E"/>
    <w:rsid w:val="6AF37E7F"/>
    <w:rsid w:val="6AF91C7B"/>
    <w:rsid w:val="6AFB19CA"/>
    <w:rsid w:val="6AFC79BD"/>
    <w:rsid w:val="6B0625EA"/>
    <w:rsid w:val="6B137AD6"/>
    <w:rsid w:val="6B144D07"/>
    <w:rsid w:val="6B266BCB"/>
    <w:rsid w:val="6B2B3DFF"/>
    <w:rsid w:val="6B2C6F32"/>
    <w:rsid w:val="6B30744C"/>
    <w:rsid w:val="6B3A1470"/>
    <w:rsid w:val="6B3C7DBA"/>
    <w:rsid w:val="6B4052E2"/>
    <w:rsid w:val="6B4D0219"/>
    <w:rsid w:val="6B4F21E3"/>
    <w:rsid w:val="6B4F401B"/>
    <w:rsid w:val="6B513865"/>
    <w:rsid w:val="6B53216A"/>
    <w:rsid w:val="6B5473F7"/>
    <w:rsid w:val="6B560E7C"/>
    <w:rsid w:val="6B567508"/>
    <w:rsid w:val="6B572E46"/>
    <w:rsid w:val="6B5F343C"/>
    <w:rsid w:val="6B630195"/>
    <w:rsid w:val="6B633598"/>
    <w:rsid w:val="6B7003D8"/>
    <w:rsid w:val="6B721A2E"/>
    <w:rsid w:val="6B735591"/>
    <w:rsid w:val="6B777044"/>
    <w:rsid w:val="6B790F1A"/>
    <w:rsid w:val="6B7B6B34"/>
    <w:rsid w:val="6B84044D"/>
    <w:rsid w:val="6B8C0D41"/>
    <w:rsid w:val="6B8D6867"/>
    <w:rsid w:val="6B8F25E0"/>
    <w:rsid w:val="6B930322"/>
    <w:rsid w:val="6B947BF6"/>
    <w:rsid w:val="6B9D4CFC"/>
    <w:rsid w:val="6BAC4F3F"/>
    <w:rsid w:val="6BAE6F0A"/>
    <w:rsid w:val="6BB107A8"/>
    <w:rsid w:val="6BB42046"/>
    <w:rsid w:val="6BB43DF4"/>
    <w:rsid w:val="6BB96A69"/>
    <w:rsid w:val="6BBB1626"/>
    <w:rsid w:val="6BBB7E27"/>
    <w:rsid w:val="6BC96FD7"/>
    <w:rsid w:val="6BD12BF8"/>
    <w:rsid w:val="6BD24BEE"/>
    <w:rsid w:val="6BD526E8"/>
    <w:rsid w:val="6BD61FBC"/>
    <w:rsid w:val="6BD8236E"/>
    <w:rsid w:val="6BDF3567"/>
    <w:rsid w:val="6BE0108D"/>
    <w:rsid w:val="6BE741CA"/>
    <w:rsid w:val="6BE902A4"/>
    <w:rsid w:val="6BF15048"/>
    <w:rsid w:val="6C0134DD"/>
    <w:rsid w:val="6C030E4B"/>
    <w:rsid w:val="6C042FCD"/>
    <w:rsid w:val="6C060AF4"/>
    <w:rsid w:val="6C066D46"/>
    <w:rsid w:val="6C07661A"/>
    <w:rsid w:val="6C0819F2"/>
    <w:rsid w:val="6C117498"/>
    <w:rsid w:val="6C152AE5"/>
    <w:rsid w:val="6C1672C1"/>
    <w:rsid w:val="6C242AD4"/>
    <w:rsid w:val="6C2C7E2E"/>
    <w:rsid w:val="6C302310"/>
    <w:rsid w:val="6C303DC2"/>
    <w:rsid w:val="6C307E68"/>
    <w:rsid w:val="6C313697"/>
    <w:rsid w:val="6C315445"/>
    <w:rsid w:val="6C353187"/>
    <w:rsid w:val="6C382C77"/>
    <w:rsid w:val="6C411B2C"/>
    <w:rsid w:val="6C47110C"/>
    <w:rsid w:val="6C4C2503"/>
    <w:rsid w:val="6C523D39"/>
    <w:rsid w:val="6C54385C"/>
    <w:rsid w:val="6C577D0D"/>
    <w:rsid w:val="6C5D26DE"/>
    <w:rsid w:val="6C5F0204"/>
    <w:rsid w:val="6C610A70"/>
    <w:rsid w:val="6C6972D4"/>
    <w:rsid w:val="6C7041BF"/>
    <w:rsid w:val="6C7C2B64"/>
    <w:rsid w:val="6C7F4402"/>
    <w:rsid w:val="6C8E2897"/>
    <w:rsid w:val="6C922387"/>
    <w:rsid w:val="6C9818B5"/>
    <w:rsid w:val="6C9858E3"/>
    <w:rsid w:val="6C9C1458"/>
    <w:rsid w:val="6CA470B1"/>
    <w:rsid w:val="6CA64C19"/>
    <w:rsid w:val="6CAB169B"/>
    <w:rsid w:val="6CAE4CE7"/>
    <w:rsid w:val="6CAF3C01"/>
    <w:rsid w:val="6CB00A5F"/>
    <w:rsid w:val="6CB22A29"/>
    <w:rsid w:val="6CB3461B"/>
    <w:rsid w:val="6CBD544B"/>
    <w:rsid w:val="6CC07BA4"/>
    <w:rsid w:val="6CC30793"/>
    <w:rsid w:val="6CCA20EC"/>
    <w:rsid w:val="6CCE7137"/>
    <w:rsid w:val="6CCF5389"/>
    <w:rsid w:val="6CD56718"/>
    <w:rsid w:val="6CD81D64"/>
    <w:rsid w:val="6CD96208"/>
    <w:rsid w:val="6CDB7401"/>
    <w:rsid w:val="6CE34991"/>
    <w:rsid w:val="6CF0334B"/>
    <w:rsid w:val="6CFA7F2C"/>
    <w:rsid w:val="6D0A59F9"/>
    <w:rsid w:val="6D1159A2"/>
    <w:rsid w:val="6D2F407A"/>
    <w:rsid w:val="6D30394E"/>
    <w:rsid w:val="6D3671B7"/>
    <w:rsid w:val="6D371181"/>
    <w:rsid w:val="6D3C22F3"/>
    <w:rsid w:val="6D3D6FAC"/>
    <w:rsid w:val="6D401FE7"/>
    <w:rsid w:val="6D416038"/>
    <w:rsid w:val="6D527D69"/>
    <w:rsid w:val="6D546800"/>
    <w:rsid w:val="6D741A8D"/>
    <w:rsid w:val="6D7D4DE5"/>
    <w:rsid w:val="6D890EF7"/>
    <w:rsid w:val="6D8B0383"/>
    <w:rsid w:val="6D8C327A"/>
    <w:rsid w:val="6D8E6FF3"/>
    <w:rsid w:val="6D9B526C"/>
    <w:rsid w:val="6DAD31F1"/>
    <w:rsid w:val="6DAF51BB"/>
    <w:rsid w:val="6DB56E82"/>
    <w:rsid w:val="6DC02D2B"/>
    <w:rsid w:val="6DC522E8"/>
    <w:rsid w:val="6DC85463"/>
    <w:rsid w:val="6DCA3DA3"/>
    <w:rsid w:val="6DD15131"/>
    <w:rsid w:val="6DD32D72"/>
    <w:rsid w:val="6DD4077E"/>
    <w:rsid w:val="6DD469CF"/>
    <w:rsid w:val="6DDB3C2F"/>
    <w:rsid w:val="6DDF0898"/>
    <w:rsid w:val="6DE54739"/>
    <w:rsid w:val="6DE74955"/>
    <w:rsid w:val="6DEA61F3"/>
    <w:rsid w:val="6DFB5D0A"/>
    <w:rsid w:val="6E0238F5"/>
    <w:rsid w:val="6E024CF2"/>
    <w:rsid w:val="6E072901"/>
    <w:rsid w:val="6E0C43BB"/>
    <w:rsid w:val="6E184B0E"/>
    <w:rsid w:val="6E1B015A"/>
    <w:rsid w:val="6E1F5E9D"/>
    <w:rsid w:val="6E1F6131"/>
    <w:rsid w:val="6E22773B"/>
    <w:rsid w:val="6E274D51"/>
    <w:rsid w:val="6E28408F"/>
    <w:rsid w:val="6E2E629D"/>
    <w:rsid w:val="6E361111"/>
    <w:rsid w:val="6E3D27C7"/>
    <w:rsid w:val="6E3F209B"/>
    <w:rsid w:val="6E414065"/>
    <w:rsid w:val="6E423939"/>
    <w:rsid w:val="6E453429"/>
    <w:rsid w:val="6E4C0C5C"/>
    <w:rsid w:val="6E526272"/>
    <w:rsid w:val="6E5518BE"/>
    <w:rsid w:val="6E58315D"/>
    <w:rsid w:val="6E5C7E8B"/>
    <w:rsid w:val="6E5E2462"/>
    <w:rsid w:val="6E5F4684"/>
    <w:rsid w:val="6E600263"/>
    <w:rsid w:val="6E616BF4"/>
    <w:rsid w:val="6E647D53"/>
    <w:rsid w:val="6E6C4E5A"/>
    <w:rsid w:val="6E752346"/>
    <w:rsid w:val="6E755ABD"/>
    <w:rsid w:val="6E781A51"/>
    <w:rsid w:val="6E7A7577"/>
    <w:rsid w:val="6E834AA5"/>
    <w:rsid w:val="6E852996"/>
    <w:rsid w:val="6E855170"/>
    <w:rsid w:val="6E8D72AA"/>
    <w:rsid w:val="6E9B129F"/>
    <w:rsid w:val="6EA168B2"/>
    <w:rsid w:val="6EA36ACE"/>
    <w:rsid w:val="6EA91C0A"/>
    <w:rsid w:val="6EA939B8"/>
    <w:rsid w:val="6EB505AF"/>
    <w:rsid w:val="6EB5235D"/>
    <w:rsid w:val="6EBA5BC5"/>
    <w:rsid w:val="6EBA7A5A"/>
    <w:rsid w:val="6EC10D02"/>
    <w:rsid w:val="6EC371AA"/>
    <w:rsid w:val="6EC66318"/>
    <w:rsid w:val="6ECA57CB"/>
    <w:rsid w:val="6ED674BD"/>
    <w:rsid w:val="6EE039DB"/>
    <w:rsid w:val="6EEF1D13"/>
    <w:rsid w:val="6EF020B7"/>
    <w:rsid w:val="6EFE1F56"/>
    <w:rsid w:val="6F0357BE"/>
    <w:rsid w:val="6F0E17A1"/>
    <w:rsid w:val="6F173018"/>
    <w:rsid w:val="6F176B74"/>
    <w:rsid w:val="6F1E6154"/>
    <w:rsid w:val="6F1E7F02"/>
    <w:rsid w:val="6F215C44"/>
    <w:rsid w:val="6F2179F2"/>
    <w:rsid w:val="6F3239AE"/>
    <w:rsid w:val="6F343BCA"/>
    <w:rsid w:val="6F3C2A7E"/>
    <w:rsid w:val="6F40431D"/>
    <w:rsid w:val="6F433E0D"/>
    <w:rsid w:val="6F4656AB"/>
    <w:rsid w:val="6F4B2CC1"/>
    <w:rsid w:val="6F4D4C8B"/>
    <w:rsid w:val="6F5222A2"/>
    <w:rsid w:val="6F5F0F00"/>
    <w:rsid w:val="6F631DB9"/>
    <w:rsid w:val="6F6D09C8"/>
    <w:rsid w:val="6F71619F"/>
    <w:rsid w:val="6F7F4719"/>
    <w:rsid w:val="6F854425"/>
    <w:rsid w:val="6F8D5088"/>
    <w:rsid w:val="6F926B42"/>
    <w:rsid w:val="6F9A2F0D"/>
    <w:rsid w:val="6F9B1553"/>
    <w:rsid w:val="6FA26D85"/>
    <w:rsid w:val="6FA7439C"/>
    <w:rsid w:val="6FA80114"/>
    <w:rsid w:val="6FAD1286"/>
    <w:rsid w:val="6FB05B5D"/>
    <w:rsid w:val="6FB16FC8"/>
    <w:rsid w:val="6FB170AB"/>
    <w:rsid w:val="6FBA59A5"/>
    <w:rsid w:val="6FC83359"/>
    <w:rsid w:val="6FC83DE4"/>
    <w:rsid w:val="6FCA1E38"/>
    <w:rsid w:val="6FD20CED"/>
    <w:rsid w:val="6FD44A65"/>
    <w:rsid w:val="6FDF26E9"/>
    <w:rsid w:val="6FF15617"/>
    <w:rsid w:val="6FF6075D"/>
    <w:rsid w:val="6FF9096F"/>
    <w:rsid w:val="6FF9271D"/>
    <w:rsid w:val="6FFB6495"/>
    <w:rsid w:val="6FFE2DDB"/>
    <w:rsid w:val="6FFE593C"/>
    <w:rsid w:val="7000585A"/>
    <w:rsid w:val="70073187"/>
    <w:rsid w:val="700C06A3"/>
    <w:rsid w:val="70143B2C"/>
    <w:rsid w:val="70194B6E"/>
    <w:rsid w:val="70227EC6"/>
    <w:rsid w:val="70231548"/>
    <w:rsid w:val="70281CF1"/>
    <w:rsid w:val="702F0992"/>
    <w:rsid w:val="702F4391"/>
    <w:rsid w:val="702F613F"/>
    <w:rsid w:val="70302B20"/>
    <w:rsid w:val="7036571F"/>
    <w:rsid w:val="70384FF4"/>
    <w:rsid w:val="70390CA2"/>
    <w:rsid w:val="703B0F88"/>
    <w:rsid w:val="703D085C"/>
    <w:rsid w:val="703D6AAE"/>
    <w:rsid w:val="7040659E"/>
    <w:rsid w:val="70427DDE"/>
    <w:rsid w:val="70437075"/>
    <w:rsid w:val="70453BB5"/>
    <w:rsid w:val="70473D68"/>
    <w:rsid w:val="70480FAF"/>
    <w:rsid w:val="705362D1"/>
    <w:rsid w:val="70545BA6"/>
    <w:rsid w:val="70645DE9"/>
    <w:rsid w:val="70657DB3"/>
    <w:rsid w:val="70685ECD"/>
    <w:rsid w:val="70710506"/>
    <w:rsid w:val="70761FC0"/>
    <w:rsid w:val="70765B1C"/>
    <w:rsid w:val="70871AD7"/>
    <w:rsid w:val="708741CD"/>
    <w:rsid w:val="70974410"/>
    <w:rsid w:val="70990FDB"/>
    <w:rsid w:val="709C24CA"/>
    <w:rsid w:val="709D579F"/>
    <w:rsid w:val="70A16506"/>
    <w:rsid w:val="70A90FD3"/>
    <w:rsid w:val="70B54896"/>
    <w:rsid w:val="70BC3E77"/>
    <w:rsid w:val="70C90342"/>
    <w:rsid w:val="70CC1BE0"/>
    <w:rsid w:val="70CC398E"/>
    <w:rsid w:val="70CF253F"/>
    <w:rsid w:val="70D32F6E"/>
    <w:rsid w:val="70D72A5F"/>
    <w:rsid w:val="70DA29C3"/>
    <w:rsid w:val="70E2391E"/>
    <w:rsid w:val="70E37655"/>
    <w:rsid w:val="70E62CA2"/>
    <w:rsid w:val="70EE5FFA"/>
    <w:rsid w:val="70F25AEA"/>
    <w:rsid w:val="70F80C27"/>
    <w:rsid w:val="70FE448F"/>
    <w:rsid w:val="70FF1FB5"/>
    <w:rsid w:val="7101188A"/>
    <w:rsid w:val="710D0B50"/>
    <w:rsid w:val="71105F71"/>
    <w:rsid w:val="711315BD"/>
    <w:rsid w:val="711C4915"/>
    <w:rsid w:val="7121071C"/>
    <w:rsid w:val="71227A8F"/>
    <w:rsid w:val="7128150C"/>
    <w:rsid w:val="713F23B2"/>
    <w:rsid w:val="71493231"/>
    <w:rsid w:val="714F4CEB"/>
    <w:rsid w:val="71505D03"/>
    <w:rsid w:val="715916C6"/>
    <w:rsid w:val="715B3690"/>
    <w:rsid w:val="71687B5B"/>
    <w:rsid w:val="71696914"/>
    <w:rsid w:val="716B13F9"/>
    <w:rsid w:val="716B22DE"/>
    <w:rsid w:val="71793B16"/>
    <w:rsid w:val="71810C1C"/>
    <w:rsid w:val="718907D9"/>
    <w:rsid w:val="71894437"/>
    <w:rsid w:val="718A0FF6"/>
    <w:rsid w:val="718D32CB"/>
    <w:rsid w:val="718D37CA"/>
    <w:rsid w:val="718D75C1"/>
    <w:rsid w:val="718E5B9A"/>
    <w:rsid w:val="718F4844"/>
    <w:rsid w:val="71970440"/>
    <w:rsid w:val="719941B8"/>
    <w:rsid w:val="719E357C"/>
    <w:rsid w:val="719E6D21"/>
    <w:rsid w:val="719E6F42"/>
    <w:rsid w:val="71A010A2"/>
    <w:rsid w:val="71A32941"/>
    <w:rsid w:val="71A4782E"/>
    <w:rsid w:val="71B2527A"/>
    <w:rsid w:val="71BB2380"/>
    <w:rsid w:val="71BB5EDC"/>
    <w:rsid w:val="71BC1C54"/>
    <w:rsid w:val="71BE6D71"/>
    <w:rsid w:val="71C56D5B"/>
    <w:rsid w:val="71C86630"/>
    <w:rsid w:val="71CD3E62"/>
    <w:rsid w:val="71DC40A5"/>
    <w:rsid w:val="71DE1BCB"/>
    <w:rsid w:val="71E511AB"/>
    <w:rsid w:val="71E557A3"/>
    <w:rsid w:val="71E573FD"/>
    <w:rsid w:val="71E60A7F"/>
    <w:rsid w:val="71F17B50"/>
    <w:rsid w:val="71F238C8"/>
    <w:rsid w:val="71F43E08"/>
    <w:rsid w:val="720600C2"/>
    <w:rsid w:val="721101F2"/>
    <w:rsid w:val="72165809"/>
    <w:rsid w:val="721E0808"/>
    <w:rsid w:val="721E5934"/>
    <w:rsid w:val="72273572"/>
    <w:rsid w:val="72330169"/>
    <w:rsid w:val="72345C8F"/>
    <w:rsid w:val="72473C14"/>
    <w:rsid w:val="7251239D"/>
    <w:rsid w:val="7255539E"/>
    <w:rsid w:val="725A2FB5"/>
    <w:rsid w:val="725B553C"/>
    <w:rsid w:val="725F2166"/>
    <w:rsid w:val="726B5B54"/>
    <w:rsid w:val="7270316B"/>
    <w:rsid w:val="72760055"/>
    <w:rsid w:val="727A0E5E"/>
    <w:rsid w:val="727B566C"/>
    <w:rsid w:val="72815220"/>
    <w:rsid w:val="729130E1"/>
    <w:rsid w:val="72916C3D"/>
    <w:rsid w:val="72952BD1"/>
    <w:rsid w:val="72966949"/>
    <w:rsid w:val="729B7ABC"/>
    <w:rsid w:val="729C4BB7"/>
    <w:rsid w:val="72AA5080"/>
    <w:rsid w:val="72AE3C93"/>
    <w:rsid w:val="72BD5C84"/>
    <w:rsid w:val="72D65E25"/>
    <w:rsid w:val="72D74F98"/>
    <w:rsid w:val="72DA4A88"/>
    <w:rsid w:val="72E0253E"/>
    <w:rsid w:val="72E528FF"/>
    <w:rsid w:val="72E66F89"/>
    <w:rsid w:val="72EE22E1"/>
    <w:rsid w:val="72EE24A7"/>
    <w:rsid w:val="72EF7CA5"/>
    <w:rsid w:val="72F21DD2"/>
    <w:rsid w:val="72F316A6"/>
    <w:rsid w:val="72FA6ED8"/>
    <w:rsid w:val="73041B05"/>
    <w:rsid w:val="73085AC2"/>
    <w:rsid w:val="7312114C"/>
    <w:rsid w:val="7315161C"/>
    <w:rsid w:val="7318110C"/>
    <w:rsid w:val="7318735E"/>
    <w:rsid w:val="731D6723"/>
    <w:rsid w:val="732D134D"/>
    <w:rsid w:val="73353A6C"/>
    <w:rsid w:val="73375A36"/>
    <w:rsid w:val="733867F7"/>
    <w:rsid w:val="733F48EB"/>
    <w:rsid w:val="73410663"/>
    <w:rsid w:val="73413195"/>
    <w:rsid w:val="73414465"/>
    <w:rsid w:val="734F0FD2"/>
    <w:rsid w:val="73571C35"/>
    <w:rsid w:val="736305DA"/>
    <w:rsid w:val="73682094"/>
    <w:rsid w:val="736B1B84"/>
    <w:rsid w:val="73724CC1"/>
    <w:rsid w:val="737605AD"/>
    <w:rsid w:val="73794C1A"/>
    <w:rsid w:val="73794E7E"/>
    <w:rsid w:val="737C5900"/>
    <w:rsid w:val="73890FDE"/>
    <w:rsid w:val="738F7621"/>
    <w:rsid w:val="73905147"/>
    <w:rsid w:val="739A5FC5"/>
    <w:rsid w:val="73A14984"/>
    <w:rsid w:val="73A34E7A"/>
    <w:rsid w:val="73A62BBC"/>
    <w:rsid w:val="73A76B37"/>
    <w:rsid w:val="73A806E2"/>
    <w:rsid w:val="73AD5CF9"/>
    <w:rsid w:val="73B27BEC"/>
    <w:rsid w:val="73C31078"/>
    <w:rsid w:val="73C55A7E"/>
    <w:rsid w:val="73C625D5"/>
    <w:rsid w:val="73C82B32"/>
    <w:rsid w:val="73CA3031"/>
    <w:rsid w:val="73CB2D80"/>
    <w:rsid w:val="73D56FFD"/>
    <w:rsid w:val="73D634A1"/>
    <w:rsid w:val="73D67E93"/>
    <w:rsid w:val="73D94061"/>
    <w:rsid w:val="73DB0AB8"/>
    <w:rsid w:val="73DE4104"/>
    <w:rsid w:val="73E13BF4"/>
    <w:rsid w:val="73EB05CF"/>
    <w:rsid w:val="73EE611A"/>
    <w:rsid w:val="73F535B9"/>
    <w:rsid w:val="73F73AEA"/>
    <w:rsid w:val="73FB4CB6"/>
    <w:rsid w:val="74065409"/>
    <w:rsid w:val="74143FCA"/>
    <w:rsid w:val="741E6BF6"/>
    <w:rsid w:val="74275AAB"/>
    <w:rsid w:val="74277859"/>
    <w:rsid w:val="742C1313"/>
    <w:rsid w:val="74312486"/>
    <w:rsid w:val="7434641A"/>
    <w:rsid w:val="743E2DF5"/>
    <w:rsid w:val="74404DBF"/>
    <w:rsid w:val="74454183"/>
    <w:rsid w:val="7447614D"/>
    <w:rsid w:val="74542618"/>
    <w:rsid w:val="746C0AE1"/>
    <w:rsid w:val="746F2FAE"/>
    <w:rsid w:val="746F7452"/>
    <w:rsid w:val="74716D26"/>
    <w:rsid w:val="74730CF0"/>
    <w:rsid w:val="747405C4"/>
    <w:rsid w:val="7476258E"/>
    <w:rsid w:val="74793E2D"/>
    <w:rsid w:val="747D56CB"/>
    <w:rsid w:val="74820F33"/>
    <w:rsid w:val="74831C9D"/>
    <w:rsid w:val="74866CC7"/>
    <w:rsid w:val="74872D28"/>
    <w:rsid w:val="748A603A"/>
    <w:rsid w:val="748C0004"/>
    <w:rsid w:val="748C600E"/>
    <w:rsid w:val="74934EEE"/>
    <w:rsid w:val="749A44CF"/>
    <w:rsid w:val="749B1FF5"/>
    <w:rsid w:val="74A449BC"/>
    <w:rsid w:val="74B1643C"/>
    <w:rsid w:val="74C01A5C"/>
    <w:rsid w:val="74C77842"/>
    <w:rsid w:val="74CA5F91"/>
    <w:rsid w:val="74D177C5"/>
    <w:rsid w:val="74DA48CB"/>
    <w:rsid w:val="74DB6895"/>
    <w:rsid w:val="74DD220C"/>
    <w:rsid w:val="74E3014B"/>
    <w:rsid w:val="74E4399C"/>
    <w:rsid w:val="74E744E4"/>
    <w:rsid w:val="74EC0AA3"/>
    <w:rsid w:val="74F17E67"/>
    <w:rsid w:val="74FF4332"/>
    <w:rsid w:val="75071439"/>
    <w:rsid w:val="750758DC"/>
    <w:rsid w:val="75096F5F"/>
    <w:rsid w:val="750B717B"/>
    <w:rsid w:val="750C0503"/>
    <w:rsid w:val="750D2EF3"/>
    <w:rsid w:val="750E0A19"/>
    <w:rsid w:val="750E120F"/>
    <w:rsid w:val="750E6C6B"/>
    <w:rsid w:val="75120509"/>
    <w:rsid w:val="7516167C"/>
    <w:rsid w:val="751A5610"/>
    <w:rsid w:val="751B5338"/>
    <w:rsid w:val="751D6EAE"/>
    <w:rsid w:val="751F49D4"/>
    <w:rsid w:val="7521074C"/>
    <w:rsid w:val="75226272"/>
    <w:rsid w:val="75263FB5"/>
    <w:rsid w:val="75285293"/>
    <w:rsid w:val="752B5127"/>
    <w:rsid w:val="752D2041"/>
    <w:rsid w:val="75306BE1"/>
    <w:rsid w:val="75355FA6"/>
    <w:rsid w:val="75371D1E"/>
    <w:rsid w:val="75381404"/>
    <w:rsid w:val="75410DEE"/>
    <w:rsid w:val="7541494A"/>
    <w:rsid w:val="75454B66"/>
    <w:rsid w:val="754B3A1B"/>
    <w:rsid w:val="754E350B"/>
    <w:rsid w:val="755A5A0C"/>
    <w:rsid w:val="755C1784"/>
    <w:rsid w:val="75650CE8"/>
    <w:rsid w:val="75695C4F"/>
    <w:rsid w:val="75722D56"/>
    <w:rsid w:val="75892893"/>
    <w:rsid w:val="758B02BC"/>
    <w:rsid w:val="758B2BE0"/>
    <w:rsid w:val="758C7D84"/>
    <w:rsid w:val="759251A6"/>
    <w:rsid w:val="75986092"/>
    <w:rsid w:val="75994786"/>
    <w:rsid w:val="759E7FEF"/>
    <w:rsid w:val="75A03D67"/>
    <w:rsid w:val="75A10B1A"/>
    <w:rsid w:val="75B0387E"/>
    <w:rsid w:val="75B1152C"/>
    <w:rsid w:val="75B570E6"/>
    <w:rsid w:val="75BC2223"/>
    <w:rsid w:val="75C5557C"/>
    <w:rsid w:val="75C80BC8"/>
    <w:rsid w:val="75C86E1A"/>
    <w:rsid w:val="75D25EEA"/>
    <w:rsid w:val="75D51537"/>
    <w:rsid w:val="75E023B5"/>
    <w:rsid w:val="75E43528"/>
    <w:rsid w:val="75E44BFA"/>
    <w:rsid w:val="75E65EED"/>
    <w:rsid w:val="75F052D6"/>
    <w:rsid w:val="75F615E6"/>
    <w:rsid w:val="75FE45EA"/>
    <w:rsid w:val="76037EB7"/>
    <w:rsid w:val="76067942"/>
    <w:rsid w:val="760F54B8"/>
    <w:rsid w:val="76101F07"/>
    <w:rsid w:val="7610256F"/>
    <w:rsid w:val="76115319"/>
    <w:rsid w:val="76120095"/>
    <w:rsid w:val="76157B85"/>
    <w:rsid w:val="76164029"/>
    <w:rsid w:val="76165DD7"/>
    <w:rsid w:val="761F284D"/>
    <w:rsid w:val="7621652A"/>
    <w:rsid w:val="7625426C"/>
    <w:rsid w:val="762F6E99"/>
    <w:rsid w:val="76391AC6"/>
    <w:rsid w:val="764F753B"/>
    <w:rsid w:val="76544B51"/>
    <w:rsid w:val="765661D4"/>
    <w:rsid w:val="76571F4C"/>
    <w:rsid w:val="766052A4"/>
    <w:rsid w:val="766703E1"/>
    <w:rsid w:val="76685F07"/>
    <w:rsid w:val="767E397C"/>
    <w:rsid w:val="768076F4"/>
    <w:rsid w:val="7682134D"/>
    <w:rsid w:val="768216BE"/>
    <w:rsid w:val="76876CD5"/>
    <w:rsid w:val="76884BB6"/>
    <w:rsid w:val="76947589"/>
    <w:rsid w:val="769E5DCD"/>
    <w:rsid w:val="769F2138"/>
    <w:rsid w:val="76A21419"/>
    <w:rsid w:val="76AA4771"/>
    <w:rsid w:val="76AF1D88"/>
    <w:rsid w:val="76AF77A0"/>
    <w:rsid w:val="76B64EC4"/>
    <w:rsid w:val="76BF021D"/>
    <w:rsid w:val="76C51D8B"/>
    <w:rsid w:val="76D37824"/>
    <w:rsid w:val="76D628DA"/>
    <w:rsid w:val="76D75E34"/>
    <w:rsid w:val="76D812DE"/>
    <w:rsid w:val="76D96E05"/>
    <w:rsid w:val="76DC35F5"/>
    <w:rsid w:val="76DE441B"/>
    <w:rsid w:val="76E23F0B"/>
    <w:rsid w:val="76E41A31"/>
    <w:rsid w:val="76EA1012"/>
    <w:rsid w:val="76EC6B38"/>
    <w:rsid w:val="76F02CAF"/>
    <w:rsid w:val="76F459ED"/>
    <w:rsid w:val="76F854DD"/>
    <w:rsid w:val="76FB321F"/>
    <w:rsid w:val="76FF2D0F"/>
    <w:rsid w:val="76FF4ABD"/>
    <w:rsid w:val="770245AD"/>
    <w:rsid w:val="77057BFA"/>
    <w:rsid w:val="77071BC4"/>
    <w:rsid w:val="77194EB5"/>
    <w:rsid w:val="771F6F0D"/>
    <w:rsid w:val="77212C85"/>
    <w:rsid w:val="77244524"/>
    <w:rsid w:val="7725204A"/>
    <w:rsid w:val="77274014"/>
    <w:rsid w:val="772938E8"/>
    <w:rsid w:val="772E7150"/>
    <w:rsid w:val="77334767"/>
    <w:rsid w:val="773469C0"/>
    <w:rsid w:val="7748213F"/>
    <w:rsid w:val="7749547D"/>
    <w:rsid w:val="77550B81"/>
    <w:rsid w:val="7755292F"/>
    <w:rsid w:val="775F730A"/>
    <w:rsid w:val="77617526"/>
    <w:rsid w:val="776B53B9"/>
    <w:rsid w:val="777233CA"/>
    <w:rsid w:val="77754D7F"/>
    <w:rsid w:val="778154D2"/>
    <w:rsid w:val="77824A15"/>
    <w:rsid w:val="778925D9"/>
    <w:rsid w:val="779A2A38"/>
    <w:rsid w:val="779A47E6"/>
    <w:rsid w:val="779F1DFC"/>
    <w:rsid w:val="77A24B7F"/>
    <w:rsid w:val="77A967D7"/>
    <w:rsid w:val="77AB254F"/>
    <w:rsid w:val="77B27D81"/>
    <w:rsid w:val="77B533CE"/>
    <w:rsid w:val="77BA09E4"/>
    <w:rsid w:val="77BD3BFD"/>
    <w:rsid w:val="77BE04D4"/>
    <w:rsid w:val="77BE6726"/>
    <w:rsid w:val="77C056C6"/>
    <w:rsid w:val="77C90C27"/>
    <w:rsid w:val="77D93560"/>
    <w:rsid w:val="77DA5DCD"/>
    <w:rsid w:val="77DE0382"/>
    <w:rsid w:val="77E43CB3"/>
    <w:rsid w:val="77E67A2B"/>
    <w:rsid w:val="77E85551"/>
    <w:rsid w:val="77F27C02"/>
    <w:rsid w:val="77F959B0"/>
    <w:rsid w:val="7826619A"/>
    <w:rsid w:val="78296996"/>
    <w:rsid w:val="782A20E8"/>
    <w:rsid w:val="782B18E2"/>
    <w:rsid w:val="782D62C0"/>
    <w:rsid w:val="782D7408"/>
    <w:rsid w:val="782F13D2"/>
    <w:rsid w:val="783307BB"/>
    <w:rsid w:val="78341A4E"/>
    <w:rsid w:val="783C3A4B"/>
    <w:rsid w:val="78434E7D"/>
    <w:rsid w:val="784529A4"/>
    <w:rsid w:val="784B5AE0"/>
    <w:rsid w:val="785978ED"/>
    <w:rsid w:val="785C57B6"/>
    <w:rsid w:val="786646C8"/>
    <w:rsid w:val="78680440"/>
    <w:rsid w:val="786C6182"/>
    <w:rsid w:val="786D3CA8"/>
    <w:rsid w:val="787576F2"/>
    <w:rsid w:val="787C19C6"/>
    <w:rsid w:val="787E1A12"/>
    <w:rsid w:val="787E7C64"/>
    <w:rsid w:val="78830961"/>
    <w:rsid w:val="788B1D6B"/>
    <w:rsid w:val="788B7F74"/>
    <w:rsid w:val="788C297D"/>
    <w:rsid w:val="788D60F9"/>
    <w:rsid w:val="78915BE9"/>
    <w:rsid w:val="78964FAD"/>
    <w:rsid w:val="789B0816"/>
    <w:rsid w:val="789E20B4"/>
    <w:rsid w:val="78A0407E"/>
    <w:rsid w:val="78A7540C"/>
    <w:rsid w:val="78AA356F"/>
    <w:rsid w:val="78AF2513"/>
    <w:rsid w:val="78B10039"/>
    <w:rsid w:val="78BD6444"/>
    <w:rsid w:val="78C87095"/>
    <w:rsid w:val="78C95383"/>
    <w:rsid w:val="78CA4C57"/>
    <w:rsid w:val="78CB6182"/>
    <w:rsid w:val="78CD4747"/>
    <w:rsid w:val="78D15FE5"/>
    <w:rsid w:val="78D37FAF"/>
    <w:rsid w:val="78D40928"/>
    <w:rsid w:val="78D83818"/>
    <w:rsid w:val="78E26444"/>
    <w:rsid w:val="78E81581"/>
    <w:rsid w:val="78EE6B97"/>
    <w:rsid w:val="790243F1"/>
    <w:rsid w:val="79050385"/>
    <w:rsid w:val="790E548B"/>
    <w:rsid w:val="79102FB2"/>
    <w:rsid w:val="791607B2"/>
    <w:rsid w:val="791644DD"/>
    <w:rsid w:val="791800B8"/>
    <w:rsid w:val="791B1956"/>
    <w:rsid w:val="791F0ECA"/>
    <w:rsid w:val="792026C4"/>
    <w:rsid w:val="79273E57"/>
    <w:rsid w:val="79295E21"/>
    <w:rsid w:val="792A3948"/>
    <w:rsid w:val="792A5BC4"/>
    <w:rsid w:val="792F71B0"/>
    <w:rsid w:val="793547C6"/>
    <w:rsid w:val="79366790"/>
    <w:rsid w:val="793A002E"/>
    <w:rsid w:val="794013BD"/>
    <w:rsid w:val="795A5FDB"/>
    <w:rsid w:val="795B1D53"/>
    <w:rsid w:val="796147EF"/>
    <w:rsid w:val="79674B9C"/>
    <w:rsid w:val="79691AB8"/>
    <w:rsid w:val="796926C2"/>
    <w:rsid w:val="796C3F60"/>
    <w:rsid w:val="796E36D6"/>
    <w:rsid w:val="796E3958"/>
    <w:rsid w:val="79703A50"/>
    <w:rsid w:val="79752E15"/>
    <w:rsid w:val="79773031"/>
    <w:rsid w:val="797A076D"/>
    <w:rsid w:val="797A667D"/>
    <w:rsid w:val="797C23F5"/>
    <w:rsid w:val="797C6AA7"/>
    <w:rsid w:val="797F2E61"/>
    <w:rsid w:val="797F5A41"/>
    <w:rsid w:val="79892D64"/>
    <w:rsid w:val="79921C19"/>
    <w:rsid w:val="79933F60"/>
    <w:rsid w:val="799C2A97"/>
    <w:rsid w:val="799F7E92"/>
    <w:rsid w:val="79A47B9E"/>
    <w:rsid w:val="79A61220"/>
    <w:rsid w:val="79A74F98"/>
    <w:rsid w:val="79A96F62"/>
    <w:rsid w:val="79AB6836"/>
    <w:rsid w:val="79B55907"/>
    <w:rsid w:val="79B576B5"/>
    <w:rsid w:val="79BC6C95"/>
    <w:rsid w:val="79C30024"/>
    <w:rsid w:val="79CB0C87"/>
    <w:rsid w:val="79CE0777"/>
    <w:rsid w:val="79D0629D"/>
    <w:rsid w:val="79DA2EC8"/>
    <w:rsid w:val="79DA536E"/>
    <w:rsid w:val="79DA711C"/>
    <w:rsid w:val="79DD09BA"/>
    <w:rsid w:val="79DF0BD6"/>
    <w:rsid w:val="79E461EC"/>
    <w:rsid w:val="79E47F9A"/>
    <w:rsid w:val="79E81839"/>
    <w:rsid w:val="79FA77BE"/>
    <w:rsid w:val="79FD2E0A"/>
    <w:rsid w:val="79FF6B82"/>
    <w:rsid w:val="7A020420"/>
    <w:rsid w:val="7A0E5017"/>
    <w:rsid w:val="7A13262E"/>
    <w:rsid w:val="7A230AC3"/>
    <w:rsid w:val="7A2465E9"/>
    <w:rsid w:val="7A252A8D"/>
    <w:rsid w:val="7A28432B"/>
    <w:rsid w:val="7A2E1215"/>
    <w:rsid w:val="7A2F56B9"/>
    <w:rsid w:val="7A410F49"/>
    <w:rsid w:val="7A466140"/>
    <w:rsid w:val="7A513882"/>
    <w:rsid w:val="7A5A025C"/>
    <w:rsid w:val="7A5F01E1"/>
    <w:rsid w:val="7A664E53"/>
    <w:rsid w:val="7A6A4030"/>
    <w:rsid w:val="7A6D7F90"/>
    <w:rsid w:val="7A6F3D08"/>
    <w:rsid w:val="7A7059B7"/>
    <w:rsid w:val="7A7F1A71"/>
    <w:rsid w:val="7A85177D"/>
    <w:rsid w:val="7A8C2B0C"/>
    <w:rsid w:val="7A911ED0"/>
    <w:rsid w:val="7A951295"/>
    <w:rsid w:val="7A965738"/>
    <w:rsid w:val="7A9674E6"/>
    <w:rsid w:val="7A9A4690"/>
    <w:rsid w:val="7AA5597C"/>
    <w:rsid w:val="7AA65250"/>
    <w:rsid w:val="7AA9341A"/>
    <w:rsid w:val="7AAD65DE"/>
    <w:rsid w:val="7AB11B64"/>
    <w:rsid w:val="7AB20098"/>
    <w:rsid w:val="7AB83901"/>
    <w:rsid w:val="7ABD5BC0"/>
    <w:rsid w:val="7ABE4C8F"/>
    <w:rsid w:val="7AC35E02"/>
    <w:rsid w:val="7AC57DCC"/>
    <w:rsid w:val="7AD85D51"/>
    <w:rsid w:val="7AE244DA"/>
    <w:rsid w:val="7AE31DA6"/>
    <w:rsid w:val="7AE4066E"/>
    <w:rsid w:val="7AE446F6"/>
    <w:rsid w:val="7AE5221C"/>
    <w:rsid w:val="7AE53FCA"/>
    <w:rsid w:val="7AE73A45"/>
    <w:rsid w:val="7AE76DB2"/>
    <w:rsid w:val="7AF1471D"/>
    <w:rsid w:val="7AF64C83"/>
    <w:rsid w:val="7AF67F85"/>
    <w:rsid w:val="7AF91823"/>
    <w:rsid w:val="7AF97A75"/>
    <w:rsid w:val="7AFA2FB1"/>
    <w:rsid w:val="7AFB559C"/>
    <w:rsid w:val="7B002BB2"/>
    <w:rsid w:val="7B024B7C"/>
    <w:rsid w:val="7B031548"/>
    <w:rsid w:val="7B05489B"/>
    <w:rsid w:val="7B0D355F"/>
    <w:rsid w:val="7B1B5C3E"/>
    <w:rsid w:val="7B1B79EC"/>
    <w:rsid w:val="7B1D19B6"/>
    <w:rsid w:val="7B1D3764"/>
    <w:rsid w:val="7B2162E2"/>
    <w:rsid w:val="7B2A40D3"/>
    <w:rsid w:val="7B2B4865"/>
    <w:rsid w:val="7B2F4C29"/>
    <w:rsid w:val="7B310FBD"/>
    <w:rsid w:val="7B3665D4"/>
    <w:rsid w:val="7B474C85"/>
    <w:rsid w:val="7B5573A2"/>
    <w:rsid w:val="7B566C76"/>
    <w:rsid w:val="7B5A49B8"/>
    <w:rsid w:val="7B6018A2"/>
    <w:rsid w:val="7B62386D"/>
    <w:rsid w:val="7B711D02"/>
    <w:rsid w:val="7B7610C6"/>
    <w:rsid w:val="7B762E74"/>
    <w:rsid w:val="7B780418"/>
    <w:rsid w:val="7B811F45"/>
    <w:rsid w:val="7B876E2F"/>
    <w:rsid w:val="7B89704B"/>
    <w:rsid w:val="7B8B2DC3"/>
    <w:rsid w:val="7B8B4B71"/>
    <w:rsid w:val="7B8F3F36"/>
    <w:rsid w:val="7B902188"/>
    <w:rsid w:val="7B913CF4"/>
    <w:rsid w:val="7B933A26"/>
    <w:rsid w:val="7BA01867"/>
    <w:rsid w:val="7BA43E85"/>
    <w:rsid w:val="7BA7127F"/>
    <w:rsid w:val="7BAD61AB"/>
    <w:rsid w:val="7BC167E5"/>
    <w:rsid w:val="7BC2255D"/>
    <w:rsid w:val="7BC260B9"/>
    <w:rsid w:val="7BCC5A2A"/>
    <w:rsid w:val="7BDD2EE3"/>
    <w:rsid w:val="7BE20509"/>
    <w:rsid w:val="7BE46711"/>
    <w:rsid w:val="7BE61DA8"/>
    <w:rsid w:val="7BEE1F1B"/>
    <w:rsid w:val="7BEE3352"/>
    <w:rsid w:val="7BF5648F"/>
    <w:rsid w:val="7BF81F5E"/>
    <w:rsid w:val="7C02295A"/>
    <w:rsid w:val="7C036DFE"/>
    <w:rsid w:val="7C127041"/>
    <w:rsid w:val="7C134B67"/>
    <w:rsid w:val="7C174B91"/>
    <w:rsid w:val="7C1E48E3"/>
    <w:rsid w:val="7C1F52BA"/>
    <w:rsid w:val="7C2154D6"/>
    <w:rsid w:val="7C2428D0"/>
    <w:rsid w:val="7C2D79D7"/>
    <w:rsid w:val="7C305719"/>
    <w:rsid w:val="7C321491"/>
    <w:rsid w:val="7C370855"/>
    <w:rsid w:val="7C387586"/>
    <w:rsid w:val="7C444D20"/>
    <w:rsid w:val="7C482A62"/>
    <w:rsid w:val="7C492337"/>
    <w:rsid w:val="7C4A4A2C"/>
    <w:rsid w:val="7C4A67DB"/>
    <w:rsid w:val="7C504AFD"/>
    <w:rsid w:val="7C553C0B"/>
    <w:rsid w:val="7C572CA5"/>
    <w:rsid w:val="7C5C02BC"/>
    <w:rsid w:val="7C5C5DE7"/>
    <w:rsid w:val="7C5F196A"/>
    <w:rsid w:val="7C6255BF"/>
    <w:rsid w:val="7C686C61"/>
    <w:rsid w:val="7C6A0C2B"/>
    <w:rsid w:val="7C6D4277"/>
    <w:rsid w:val="7C742B36"/>
    <w:rsid w:val="7C75312C"/>
    <w:rsid w:val="7C7750F6"/>
    <w:rsid w:val="7C7A6994"/>
    <w:rsid w:val="7C815F74"/>
    <w:rsid w:val="7C876A78"/>
    <w:rsid w:val="7C896BD7"/>
    <w:rsid w:val="7C920181"/>
    <w:rsid w:val="7C9950DF"/>
    <w:rsid w:val="7C9E6B26"/>
    <w:rsid w:val="7CA51C63"/>
    <w:rsid w:val="7CAD5C31"/>
    <w:rsid w:val="7CAF4890"/>
    <w:rsid w:val="7CB325CB"/>
    <w:rsid w:val="7CB9372E"/>
    <w:rsid w:val="7CC7050F"/>
    <w:rsid w:val="7CC85951"/>
    <w:rsid w:val="7CD267D0"/>
    <w:rsid w:val="7CD35353"/>
    <w:rsid w:val="7CD61AAC"/>
    <w:rsid w:val="7CD67752"/>
    <w:rsid w:val="7CD83635"/>
    <w:rsid w:val="7CDC31AB"/>
    <w:rsid w:val="7CE34539"/>
    <w:rsid w:val="7CFB253F"/>
    <w:rsid w:val="7CFB25D3"/>
    <w:rsid w:val="7CFE6911"/>
    <w:rsid w:val="7D006E99"/>
    <w:rsid w:val="7D021576"/>
    <w:rsid w:val="7D0718C3"/>
    <w:rsid w:val="7D07647A"/>
    <w:rsid w:val="7D0A0BA4"/>
    <w:rsid w:val="7D0B583E"/>
    <w:rsid w:val="7D0F532E"/>
    <w:rsid w:val="7D10463E"/>
    <w:rsid w:val="7D1152DB"/>
    <w:rsid w:val="7D124E1E"/>
    <w:rsid w:val="7D133070"/>
    <w:rsid w:val="7D142945"/>
    <w:rsid w:val="7D146DB4"/>
    <w:rsid w:val="7D146DE8"/>
    <w:rsid w:val="7D1B3477"/>
    <w:rsid w:val="7D244D01"/>
    <w:rsid w:val="7D256900"/>
    <w:rsid w:val="7D284642"/>
    <w:rsid w:val="7D2A2168"/>
    <w:rsid w:val="7D2B1CBB"/>
    <w:rsid w:val="7D3354C1"/>
    <w:rsid w:val="7D382AD7"/>
    <w:rsid w:val="7D3B6CFC"/>
    <w:rsid w:val="7D3C74B9"/>
    <w:rsid w:val="7D3E5C13"/>
    <w:rsid w:val="7D4C01C7"/>
    <w:rsid w:val="7D4F6073"/>
    <w:rsid w:val="7D556349"/>
    <w:rsid w:val="7D603DDC"/>
    <w:rsid w:val="7D6C452F"/>
    <w:rsid w:val="7D6F401F"/>
    <w:rsid w:val="7D751799"/>
    <w:rsid w:val="7D781125"/>
    <w:rsid w:val="7D782ED3"/>
    <w:rsid w:val="7D80447E"/>
    <w:rsid w:val="7D8F2650"/>
    <w:rsid w:val="7D927CEF"/>
    <w:rsid w:val="7D957F29"/>
    <w:rsid w:val="7D9B4E14"/>
    <w:rsid w:val="7D9E6A30"/>
    <w:rsid w:val="7DA74661"/>
    <w:rsid w:val="7DB008BF"/>
    <w:rsid w:val="7DB61923"/>
    <w:rsid w:val="7DBB1012"/>
    <w:rsid w:val="7DCE343B"/>
    <w:rsid w:val="7DD24CD9"/>
    <w:rsid w:val="7DD520D4"/>
    <w:rsid w:val="7DDC7906"/>
    <w:rsid w:val="7DDD367E"/>
    <w:rsid w:val="7DEA783B"/>
    <w:rsid w:val="7DEC566F"/>
    <w:rsid w:val="7DF764EE"/>
    <w:rsid w:val="7DFD162B"/>
    <w:rsid w:val="7DFF35F5"/>
    <w:rsid w:val="7E096221"/>
    <w:rsid w:val="7E0B3D48"/>
    <w:rsid w:val="7E0D3F64"/>
    <w:rsid w:val="7E123328"/>
    <w:rsid w:val="7E174DE1"/>
    <w:rsid w:val="7E186464"/>
    <w:rsid w:val="7E1A3F8B"/>
    <w:rsid w:val="7E1A6CD0"/>
    <w:rsid w:val="7E1C7D03"/>
    <w:rsid w:val="7E3A63DB"/>
    <w:rsid w:val="7E3F1C43"/>
    <w:rsid w:val="7E437985"/>
    <w:rsid w:val="7E4D25B2"/>
    <w:rsid w:val="7E4F29BB"/>
    <w:rsid w:val="7E5356EF"/>
    <w:rsid w:val="7E5C45A3"/>
    <w:rsid w:val="7E5C51AE"/>
    <w:rsid w:val="7E5E213C"/>
    <w:rsid w:val="7E694F12"/>
    <w:rsid w:val="7E81400A"/>
    <w:rsid w:val="7E857F9E"/>
    <w:rsid w:val="7E8A4752"/>
    <w:rsid w:val="7E8A7362"/>
    <w:rsid w:val="7E8B4E88"/>
    <w:rsid w:val="7E937D37"/>
    <w:rsid w:val="7E941F8F"/>
    <w:rsid w:val="7E950968"/>
    <w:rsid w:val="7E991353"/>
    <w:rsid w:val="7E9F0934"/>
    <w:rsid w:val="7EA108A6"/>
    <w:rsid w:val="7EA412BC"/>
    <w:rsid w:val="7EA47CF8"/>
    <w:rsid w:val="7EAA17B2"/>
    <w:rsid w:val="7ECA3C03"/>
    <w:rsid w:val="7ED24865"/>
    <w:rsid w:val="7ED72E9F"/>
    <w:rsid w:val="7EDC56E4"/>
    <w:rsid w:val="7EE051D4"/>
    <w:rsid w:val="7EE2719E"/>
    <w:rsid w:val="7EE84089"/>
    <w:rsid w:val="7EE95C34"/>
    <w:rsid w:val="7EEB3401"/>
    <w:rsid w:val="7EF50D3F"/>
    <w:rsid w:val="7EF7251E"/>
    <w:rsid w:val="7EF90044"/>
    <w:rsid w:val="7F0013D2"/>
    <w:rsid w:val="7F037115"/>
    <w:rsid w:val="7F12568A"/>
    <w:rsid w:val="7F1B7FBA"/>
    <w:rsid w:val="7F231565"/>
    <w:rsid w:val="7F24020F"/>
    <w:rsid w:val="7F250E39"/>
    <w:rsid w:val="7F2D7CEE"/>
    <w:rsid w:val="7F2E2B2B"/>
    <w:rsid w:val="7F32700C"/>
    <w:rsid w:val="7F345520"/>
    <w:rsid w:val="7F385010"/>
    <w:rsid w:val="7F390D88"/>
    <w:rsid w:val="7F391511"/>
    <w:rsid w:val="7F3B065C"/>
    <w:rsid w:val="7F3D4789"/>
    <w:rsid w:val="7F467141"/>
    <w:rsid w:val="7F4963C6"/>
    <w:rsid w:val="7F5875D5"/>
    <w:rsid w:val="7F5A2F41"/>
    <w:rsid w:val="7F6F0306"/>
    <w:rsid w:val="7F6F47AA"/>
    <w:rsid w:val="7F737DF6"/>
    <w:rsid w:val="7F741DC0"/>
    <w:rsid w:val="7F7678E7"/>
    <w:rsid w:val="7F7818B1"/>
    <w:rsid w:val="7F791185"/>
    <w:rsid w:val="7F7B6CAB"/>
    <w:rsid w:val="7F83123F"/>
    <w:rsid w:val="7F833DB1"/>
    <w:rsid w:val="7F89761A"/>
    <w:rsid w:val="7F967F89"/>
    <w:rsid w:val="7F9935D5"/>
    <w:rsid w:val="7F9B559F"/>
    <w:rsid w:val="7F9B734D"/>
    <w:rsid w:val="7F9D431D"/>
    <w:rsid w:val="7FA51F7A"/>
    <w:rsid w:val="7FA701AF"/>
    <w:rsid w:val="7FA93818"/>
    <w:rsid w:val="7FB623D9"/>
    <w:rsid w:val="7FBA7E62"/>
    <w:rsid w:val="7FBB79EF"/>
    <w:rsid w:val="7FBD5515"/>
    <w:rsid w:val="7FC93EBA"/>
    <w:rsid w:val="7FCA378E"/>
    <w:rsid w:val="7FCB5E84"/>
    <w:rsid w:val="7FD05249"/>
    <w:rsid w:val="7FD4460D"/>
    <w:rsid w:val="7FD5285F"/>
    <w:rsid w:val="7FD85EAB"/>
    <w:rsid w:val="7FDA3840"/>
    <w:rsid w:val="7FDC1E3F"/>
    <w:rsid w:val="7FE42AA2"/>
    <w:rsid w:val="7FE44850"/>
    <w:rsid w:val="7FE72592"/>
    <w:rsid w:val="7FF15E27"/>
    <w:rsid w:val="7FF37189"/>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9"/>
    <w:pPr>
      <w:keepNext/>
      <w:keepLines/>
      <w:spacing w:before="260" w:after="260" w:line="416" w:lineRule="auto"/>
      <w:outlineLvl w:val="2"/>
    </w:pPr>
    <w:rPr>
      <w:b/>
      <w:bCs/>
      <w:sz w:val="32"/>
      <w:szCs w:val="32"/>
    </w:rPr>
  </w:style>
  <w:style w:type="paragraph" w:styleId="5">
    <w:name w:val="heading 4"/>
    <w:basedOn w:val="1"/>
    <w:next w:val="1"/>
    <w:link w:val="39"/>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7"/>
    <w:semiHidden/>
    <w:unhideWhenUsed/>
    <w:qFormat/>
    <w:uiPriority w:val="99"/>
    <w:rPr>
      <w:sz w:val="18"/>
      <w:szCs w:val="18"/>
    </w:rPr>
  </w:style>
  <w:style w:type="paragraph" w:styleId="17">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5"/>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paragraph" w:styleId="35">
    <w:name w:val="List Paragraph"/>
    <w:basedOn w:val="1"/>
    <w:qFormat/>
    <w:uiPriority w:val="34"/>
    <w:pPr>
      <w:ind w:firstLine="420" w:firstLineChars="200"/>
    </w:p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9"/>
    <w:rPr>
      <w:b/>
      <w:bCs/>
      <w:kern w:val="2"/>
      <w:sz w:val="32"/>
      <w:szCs w:val="32"/>
    </w:rPr>
  </w:style>
  <w:style w:type="character" w:customStyle="1" w:styleId="39">
    <w:name w:val="标题 4 字符"/>
    <w:link w:val="5"/>
    <w:qFormat/>
    <w:uiPriority w:val="9"/>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8"/>
    <w:qFormat/>
    <w:uiPriority w:val="99"/>
    <w:rPr>
      <w:kern w:val="2"/>
      <w:sz w:val="18"/>
      <w:szCs w:val="18"/>
    </w:rPr>
  </w:style>
  <w:style w:type="character" w:customStyle="1" w:styleId="46">
    <w:name w:val="页脚 字符"/>
    <w:link w:val="17"/>
    <w:qFormat/>
    <w:uiPriority w:val="99"/>
    <w:rPr>
      <w:rFonts w:ascii="宋体"/>
      <w:kern w:val="2"/>
      <w:sz w:val="18"/>
      <w:szCs w:val="18"/>
    </w:rPr>
  </w:style>
  <w:style w:type="character" w:customStyle="1" w:styleId="47">
    <w:name w:val="批注框文本 字符"/>
    <w:link w:val="16"/>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1"/>
    <w:semiHidden/>
    <w:qFormat/>
    <w:uiPriority w:val="0"/>
    <w:rPr>
      <w:rFonts w:ascii="宋体"/>
      <w:kern w:val="2"/>
      <w:sz w:val="18"/>
      <w:szCs w:val="18"/>
    </w:rPr>
  </w:style>
  <w:style w:type="paragraph" w:customStyle="1" w:styleId="102">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paragraph" w:customStyle="1" w:styleId="2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33">
    <w:name w:val="附录标识"/>
    <w:basedOn w:val="1"/>
    <w:next w:val="234"/>
    <w:qFormat/>
    <w:uiPriority w:val="0"/>
    <w:pPr>
      <w:keepNext/>
      <w:widowControl/>
      <w:shd w:val="clear" w:color="FFFFFF" w:fill="FFFFFF"/>
      <w:tabs>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34">
    <w:name w:val="段"/>
    <w:basedOn w:val="1"/>
    <w:qFormat/>
    <w:uiPriority w:val="0"/>
    <w:pPr>
      <w:widowControl/>
      <w:autoSpaceDE w:val="0"/>
      <w:autoSpaceDN w:val="0"/>
      <w:adjustRightInd/>
      <w:spacing w:line="240" w:lineRule="auto"/>
      <w:ind w:firstLine="420" w:firstLineChars="200"/>
    </w:pPr>
    <w:rPr>
      <w:rFonts w:ascii="宋体" w:hAnsi="Times New Roman"/>
      <w:kern w:val="0"/>
    </w:rPr>
  </w:style>
  <w:style w:type="paragraph" w:customStyle="1" w:styleId="235">
    <w:name w:val="WPSOffice手动目录 1"/>
    <w:qFormat/>
    <w:uiPriority w:val="0"/>
    <w:rPr>
      <w:rFonts w:ascii="Times New Roman" w:hAnsi="Times New Roman" w:eastAsia="宋体" w:cs="Times New Roman"/>
      <w:lang w:val="en-US" w:eastAsia="zh-CN" w:bidi="ar-SA"/>
    </w:rPr>
  </w:style>
  <w:style w:type="paragraph" w:customStyle="1" w:styleId="23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37">
    <w:name w:val="Table Text"/>
    <w:basedOn w:val="1"/>
    <w:semiHidden/>
    <w:qFormat/>
    <w:uiPriority w:val="0"/>
    <w:rPr>
      <w:rFonts w:ascii="宋体" w:hAnsi="宋体" w:cs="宋体"/>
      <w:sz w:val="24"/>
      <w:szCs w:val="24"/>
      <w:lang w:eastAsia="en-US"/>
    </w:rPr>
  </w:style>
  <w:style w:type="table" w:customStyle="1" w:styleId="238">
    <w:name w:val="Table Normal"/>
    <w:semiHidden/>
    <w:unhideWhenUsed/>
    <w:qFormat/>
    <w:uiPriority w:val="0"/>
    <w:tblPr>
      <w:tblCellMar>
        <w:top w:w="0" w:type="dxa"/>
        <w:left w:w="0" w:type="dxa"/>
        <w:bottom w:w="0" w:type="dxa"/>
        <w:right w:w="0" w:type="dxa"/>
      </w:tblCellMar>
    </w:tblPr>
  </w:style>
  <w:style w:type="paragraph" w:customStyle="1" w:styleId="239">
    <w:name w:val="Table Paragraph"/>
    <w:basedOn w:val="1"/>
    <w:qFormat/>
    <w:uiPriority w:val="1"/>
    <w:pPr>
      <w:spacing w:before="40"/>
      <w:ind w:left="10" w:right="1"/>
      <w:jc w:val="center"/>
    </w:pPr>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75AB84935EF433FA6318A933DA8A069"/>
        <w:style w:val=""/>
        <w:category>
          <w:name w:val="常规"/>
          <w:gallery w:val="placeholder"/>
        </w:category>
        <w:types>
          <w:type w:val="bbPlcHdr"/>
        </w:types>
        <w:behaviors>
          <w:behavior w:val="content"/>
        </w:behaviors>
        <w:description w:val=""/>
        <w:guid w:val="{7EE9F7AD-4D92-40FF-AFD6-27BAF49CC874}"/>
      </w:docPartPr>
      <w:docPartBody>
        <w:p w14:paraId="090A5A24">
          <w:pPr>
            <w:pStyle w:val="5"/>
          </w:pPr>
          <w:r>
            <w:rPr>
              <w:rStyle w:val="4"/>
              <w:rFonts w:hint="eastAsia"/>
            </w:rPr>
            <w:t>单击或点击此处输入文字。</w:t>
          </w:r>
        </w:p>
      </w:docPartBody>
    </w:docPart>
    <w:docPart>
      <w:docPartPr>
        <w:name w:val="930E0B44147E4E37A2E0B6C0B1282EFF"/>
        <w:style w:val=""/>
        <w:category>
          <w:name w:val="常规"/>
          <w:gallery w:val="placeholder"/>
        </w:category>
        <w:types>
          <w:type w:val="bbPlcHdr"/>
        </w:types>
        <w:behaviors>
          <w:behavior w:val="content"/>
        </w:behaviors>
        <w:description w:val=""/>
        <w:guid w:val="{73901248-0758-4385-BA97-1845FCDF89AA}"/>
      </w:docPartPr>
      <w:docPartBody>
        <w:p w14:paraId="4105EC9E">
          <w:pPr>
            <w:pStyle w:val="6"/>
          </w:pPr>
          <w:r>
            <w:rPr>
              <w:rStyle w:val="4"/>
              <w:rFonts w:hint="eastAsia"/>
            </w:rPr>
            <w:t>选择一项。</w:t>
          </w:r>
        </w:p>
      </w:docPartBody>
    </w:docPart>
    <w:docPart>
      <w:docPartPr>
        <w:name w:val="{fe4e5b26-0edf-4a4d-a442-0134c2588990}"/>
        <w:style w:val=""/>
        <w:category>
          <w:name w:val="常规"/>
          <w:gallery w:val="placeholder"/>
        </w:category>
        <w:types>
          <w:type w:val="bbPlcHdr"/>
        </w:types>
        <w:behaviors>
          <w:behavior w:val="content"/>
        </w:behaviors>
        <w:description w:val=""/>
        <w:guid w:val="{FE4E5B26-0EDF-4A4D-A442-0134C2588990}"/>
      </w:docPartPr>
      <w:docPartBody>
        <w:p w14:paraId="00EC7F1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7F4"/>
    <w:rsid w:val="00092972"/>
    <w:rsid w:val="000C655E"/>
    <w:rsid w:val="001C6F07"/>
    <w:rsid w:val="00251900"/>
    <w:rsid w:val="00314A66"/>
    <w:rsid w:val="0035733D"/>
    <w:rsid w:val="00393DDC"/>
    <w:rsid w:val="003A1D99"/>
    <w:rsid w:val="003B37F4"/>
    <w:rsid w:val="003E1B23"/>
    <w:rsid w:val="00423A84"/>
    <w:rsid w:val="004914FF"/>
    <w:rsid w:val="004D5D62"/>
    <w:rsid w:val="005036DC"/>
    <w:rsid w:val="00545241"/>
    <w:rsid w:val="005B3F7E"/>
    <w:rsid w:val="0063109B"/>
    <w:rsid w:val="00684F2C"/>
    <w:rsid w:val="00695441"/>
    <w:rsid w:val="00840A09"/>
    <w:rsid w:val="008E21CD"/>
    <w:rsid w:val="00926CA6"/>
    <w:rsid w:val="00B0487A"/>
    <w:rsid w:val="00B40328"/>
    <w:rsid w:val="00BA1FF1"/>
    <w:rsid w:val="00BD242D"/>
    <w:rsid w:val="00BE78A7"/>
    <w:rsid w:val="00C23C5E"/>
    <w:rsid w:val="00C47B38"/>
    <w:rsid w:val="00CA4DC9"/>
    <w:rsid w:val="00D95E0A"/>
    <w:rsid w:val="00E222CF"/>
    <w:rsid w:val="00E42085"/>
    <w:rsid w:val="00EE78B0"/>
    <w:rsid w:val="00F81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75AB84935EF433FA6318A933DA8A06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30E0B44147E4E37A2E0B6C0B1282EF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3E5B4172D81744FBB841404E8A36454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8DABE7-97AA-44C4-B589-2602DE686D25}">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12</Pages>
  <Words>4527</Words>
  <Characters>5244</Characters>
  <Lines>45</Lines>
  <Paragraphs>12</Paragraphs>
  <TotalTime>0</TotalTime>
  <ScaleCrop>false</ScaleCrop>
  <LinksUpToDate>false</LinksUpToDate>
  <CharactersWithSpaces>5384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2023-05-25T01:30:00Z</dcterms:created>
  <dc:creator>陈文辉</dc:creator>
  <dc:description>&lt;config cover="true" show_menu="true" version="1.0.0" doctype="SDKXY"&gt;_x000d_
&lt;/config&gt;</dc:description>
  <cp:lastModifiedBy>抓住青春的尾巴</cp:lastModifiedBy>
  <cp:lastPrinted>2024-01-29T09:17:00Z</cp:lastPrinted>
  <dcterms:modified xsi:type="dcterms:W3CDTF">2026-01-15T08:31:52Z</dcterms:modified>
  <dc:title>团体标准</dc:title>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2052-12.1.0.24034</vt:lpwstr>
  </property>
  <property fmtid="{D5CDD505-2E9C-101B-9397-08002B2CF9AE}" pid="15" name="ICV">
    <vt:lpwstr>35EB85249FF546248F1799F0433FFD89_13</vt:lpwstr>
  </property>
  <property fmtid="{D5CDD505-2E9C-101B-9397-08002B2CF9AE}" pid="16" name="KSOTemplateDocerSaveRecord">
    <vt:lpwstr>eyJoZGlkIjoiZDg2ZTFlNzE3YmFhOWExZjIxNmU2NzI0YzBiMGRlODUiLCJ1c2VySWQiOiIzODc3NjI2MDYifQ==</vt:lpwstr>
  </property>
</Properties>
</file>