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10D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72A358">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45EC83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13.340.99</w:t>
            </w:r>
          </w:p>
        </w:tc>
      </w:tr>
      <w:tr w14:paraId="4090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CAE37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ED0AF4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BE1FA06">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t>CIAD</w:t>
                  </w:r>
                </w:p>
              </w:tc>
            </w:tr>
          </w:tbl>
          <w:p w14:paraId="19ED63C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C 73</w:t>
            </w:r>
          </w:p>
        </w:tc>
      </w:tr>
    </w:tbl>
    <w:p w14:paraId="3E5C6EF3">
      <w:pPr>
        <w:pStyle w:val="51"/>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0155BF16">
      <w:pPr>
        <w:pStyle w:val="196"/>
        <w:rPr>
          <w:rFonts w:hint="eastAsia" w:eastAsia="黑体"/>
          <w:lang w:val="en-US" w:eastAsia="zh-CN"/>
        </w:rPr>
      </w:pPr>
      <w:r>
        <w:t>T/CIAD</w:t>
      </w:r>
      <w:r>
        <w:rPr>
          <w:rFonts w:hint="eastAsia"/>
          <w:lang w:val="en-US" w:eastAsia="zh-CN"/>
        </w:rPr>
        <w:t xml:space="preserve"> XXXX</w:t>
      </w:r>
      <w:r>
        <w:t xml:space="preserve"> </w:t>
      </w:r>
      <w:r>
        <w:rPr>
          <w:rFonts w:hAnsi="黑体"/>
        </w:rPr>
        <w:t>—</w:t>
      </w:r>
      <w:r>
        <w:rPr>
          <w:rFonts w:hint="eastAsia" w:hAnsi="黑体"/>
        </w:rPr>
        <w:t>202</w:t>
      </w:r>
      <w:r>
        <w:rPr>
          <w:rFonts w:hint="eastAsia" w:hAnsi="黑体"/>
          <w:lang w:val="en-US" w:eastAsia="zh-CN"/>
        </w:rPr>
        <w:t>6</w:t>
      </w:r>
      <w:bookmarkStart w:id="50" w:name="_GoBack"/>
      <w:bookmarkEnd w:id="50"/>
    </w:p>
    <w:p w14:paraId="661C9D4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1BC4F49">
      <w:pPr>
        <w:pStyle w:val="51"/>
        <w:framePr w:w="9639" w:h="6976" w:hRule="exact" w:hSpace="0" w:vSpace="0" w:wrap="around" w:hAnchor="page" w:y="6408"/>
        <w:jc w:val="center"/>
        <w:rPr>
          <w:rFonts w:ascii="黑体" w:hAnsi="黑体" w:eastAsia="黑体"/>
          <w:b w:val="0"/>
          <w:bCs w:val="0"/>
          <w:w w:val="100"/>
        </w:rPr>
      </w:pPr>
    </w:p>
    <w:p w14:paraId="03EF484E">
      <w:pPr>
        <w:pStyle w:val="198"/>
        <w:framePr w:h="6974" w:hRule="exact" w:wrap="around" w:x="1419" w:anchorLock="1"/>
      </w:pPr>
      <w:r>
        <w:rPr>
          <w:rFonts w:hint="eastAsia"/>
        </w:rPr>
        <w:t>极端环境用防坠落装备技术规范</w:t>
      </w:r>
    </w:p>
    <w:p w14:paraId="355301BF">
      <w:pPr>
        <w:framePr w:w="9639" w:h="6974" w:hRule="exact" w:wrap="around" w:vAnchor="page" w:hAnchor="page" w:x="1419" w:y="6408" w:anchorLock="1"/>
        <w:ind w:left="-1418"/>
      </w:pPr>
    </w:p>
    <w:p w14:paraId="26AE5B8F">
      <w:pPr>
        <w:pStyle w:val="126"/>
        <w:framePr w:w="9639" w:h="6974" w:hRule="exact" w:wrap="around" w:vAnchor="page" w:hAnchor="page" w:x="1419" w:y="6408" w:anchorLock="1"/>
        <w:textAlignment w:val="bottom"/>
        <w:rPr>
          <w:rFonts w:eastAsia="黑体"/>
          <w:szCs w:val="28"/>
        </w:rPr>
      </w:pPr>
      <w:r>
        <w:rPr>
          <w:rFonts w:hint="eastAsia" w:eastAsia="黑体"/>
          <w:szCs w:val="28"/>
        </w:rPr>
        <w:t xml:space="preserve">Technical specifications for fall protection </w:t>
      </w:r>
    </w:p>
    <w:p w14:paraId="3007D13A">
      <w:pPr>
        <w:pStyle w:val="126"/>
        <w:framePr w:w="9639" w:h="6974" w:hRule="exact" w:wrap="around" w:vAnchor="page" w:hAnchor="page" w:x="1419" w:y="6408" w:anchorLock="1"/>
        <w:textAlignment w:val="bottom"/>
        <w:rPr>
          <w:rFonts w:eastAsia="黑体"/>
          <w:szCs w:val="28"/>
        </w:rPr>
      </w:pPr>
      <w:r>
        <w:rPr>
          <w:rFonts w:hint="eastAsia" w:eastAsia="黑体"/>
          <w:szCs w:val="28"/>
        </w:rPr>
        <w:t>equipment in extreme environments</w:t>
      </w:r>
    </w:p>
    <w:p w14:paraId="786EC9E7">
      <w:pPr>
        <w:framePr w:w="9639" w:h="6974" w:hRule="exact" w:wrap="around" w:vAnchor="page" w:hAnchor="page" w:x="1419" w:y="6408" w:anchorLock="1"/>
        <w:spacing w:line="760" w:lineRule="exact"/>
        <w:ind w:left="-1418"/>
      </w:pPr>
    </w:p>
    <w:p w14:paraId="4C67C313">
      <w:pPr>
        <w:pStyle w:val="126"/>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6CA0807D">
      <w:pPr>
        <w:pStyle w:val="194"/>
        <w:framePr w:wrap="around" w:y="14176"/>
      </w:pPr>
      <w:r>
        <w:rPr>
          <w:rFonts w:hint="eastAsia" w:ascii="黑体"/>
        </w:rPr>
        <w:t>2025</w:t>
      </w:r>
      <w:r>
        <w:t xml:space="preserve"> </w:t>
      </w:r>
      <w:r>
        <w:rPr>
          <w:rFonts w:ascii="黑体"/>
        </w:rPr>
        <w:t>-</w:t>
      </w:r>
      <w:r>
        <w:t xml:space="preserve"> </w:t>
      </w:r>
      <w:r>
        <w:rPr>
          <w:rFonts w:hint="eastAsia"/>
        </w:rPr>
        <w:t>09</w:t>
      </w:r>
      <w:r>
        <w:t xml:space="preserve"> </w:t>
      </w:r>
      <w:r>
        <w:rPr>
          <w:rFonts w:ascii="黑体"/>
        </w:rPr>
        <w:t>-</w:t>
      </w:r>
      <w:r>
        <w:t xml:space="preserve"> </w:t>
      </w:r>
      <w:r>
        <w:rPr>
          <w:rFonts w:hint="eastAsia" w:ascii="黑体"/>
        </w:rPr>
        <w:t>23</w:t>
      </w:r>
      <w:r>
        <w:rPr>
          <w:rFonts w:hint="eastAsia"/>
        </w:rPr>
        <w:t>发布</w:t>
      </w:r>
    </w:p>
    <w:p w14:paraId="4CDE02AB">
      <w:pPr>
        <w:pStyle w:val="195"/>
        <w:framePr w:wrap="around" w:y="14176"/>
      </w:pPr>
      <w:r>
        <w:rPr>
          <w:rFonts w:hint="eastAsia" w:ascii="黑体"/>
        </w:rPr>
        <w:t>2025</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14:paraId="67241B80">
      <w:pPr>
        <w:pStyle w:val="152"/>
        <w:framePr w:h="584" w:hRule="exact" w:hSpace="181" w:vSpace="181" w:wrap="around" w:y="14800"/>
        <w:rPr>
          <w:rFonts w:hAnsi="黑体"/>
        </w:rPr>
      </w:pPr>
      <w:r>
        <w:rPr>
          <w:rFonts w:ascii="Times New Roman"/>
          <w:w w:val="100"/>
          <w:sz w:val="28"/>
        </w:rPr>
        <w:t> </w:t>
      </w:r>
      <w:r>
        <w:rPr>
          <w:rFonts w:hint="eastAsia" w:hAnsi="黑体"/>
          <w:w w:val="100"/>
          <w:sz w:val="28"/>
        </w:rPr>
        <w:t>中国城乡发展国际交流协会</w:t>
      </w:r>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956E3C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4F3C9D4">
      <w:pPr>
        <w:pStyle w:val="92"/>
        <w:spacing w:after="360"/>
      </w:pPr>
      <w:bookmarkStart w:id="1" w:name="BookMark1"/>
      <w:r>
        <w:rPr>
          <w:spacing w:val="320"/>
        </w:rPr>
        <w:t>目</w:t>
      </w:r>
      <w:r>
        <w:t>次</w:t>
      </w:r>
    </w:p>
    <w:p w14:paraId="6305CEB7">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"_Toc9550" </w:instrText>
      </w:r>
      <w:r>
        <w:fldChar w:fldCharType="separate"/>
      </w:r>
      <w:r>
        <w:rPr>
          <w:spacing w:val="320"/>
        </w:rPr>
        <w:t>前</w:t>
      </w:r>
      <w:r>
        <w:t>言</w:t>
      </w:r>
      <w:r>
        <w:tab/>
      </w:r>
      <w:r>
        <w:fldChar w:fldCharType="begin"/>
      </w:r>
      <w:r>
        <w:instrText xml:space="preserve"> PAGEREF _Toc9550 \h </w:instrText>
      </w:r>
      <w:r>
        <w:fldChar w:fldCharType="separate"/>
      </w:r>
      <w:r>
        <w:t>II</w:t>
      </w:r>
      <w:r>
        <w:fldChar w:fldCharType="end"/>
      </w:r>
      <w:r>
        <w:fldChar w:fldCharType="end"/>
      </w:r>
    </w:p>
    <w:p w14:paraId="4507E512">
      <w:pPr>
        <w:pStyle w:val="19"/>
        <w:tabs>
          <w:tab w:val="right" w:leader="dot" w:pos="9354"/>
        </w:tabs>
      </w:pPr>
      <w:r>
        <w:fldChar w:fldCharType="begin"/>
      </w:r>
      <w:r>
        <w:instrText xml:space="preserve"> HYPERLINK \l "_Toc19966" </w:instrText>
      </w:r>
      <w:r>
        <w:fldChar w:fldCharType="separate"/>
      </w:r>
      <w:r>
        <w:rPr>
          <w:rFonts w:hint="eastAsia" w:ascii="黑体" w:eastAsia="黑体"/>
        </w:rPr>
        <w:t xml:space="preserve">1 </w:t>
      </w:r>
      <w:r>
        <w:rPr>
          <w:rFonts w:hint="eastAsia"/>
        </w:rPr>
        <w:t>范围</w:t>
      </w:r>
      <w:r>
        <w:tab/>
      </w:r>
      <w:r>
        <w:fldChar w:fldCharType="begin"/>
      </w:r>
      <w:r>
        <w:instrText xml:space="preserve"> PAGEREF _Toc19966 \h </w:instrText>
      </w:r>
      <w:r>
        <w:fldChar w:fldCharType="separate"/>
      </w:r>
      <w:r>
        <w:t>1</w:t>
      </w:r>
      <w:r>
        <w:fldChar w:fldCharType="end"/>
      </w:r>
      <w:r>
        <w:fldChar w:fldCharType="end"/>
      </w:r>
    </w:p>
    <w:p w14:paraId="6CF1877D">
      <w:pPr>
        <w:pStyle w:val="19"/>
        <w:tabs>
          <w:tab w:val="right" w:leader="dot" w:pos="9354"/>
        </w:tabs>
      </w:pPr>
      <w:r>
        <w:fldChar w:fldCharType="begin"/>
      </w:r>
      <w:r>
        <w:instrText xml:space="preserve"> HYPERLINK \l "_Toc3544"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_Toc3544 \h </w:instrText>
      </w:r>
      <w:r>
        <w:fldChar w:fldCharType="separate"/>
      </w:r>
      <w:r>
        <w:t>1</w:t>
      </w:r>
      <w:r>
        <w:fldChar w:fldCharType="end"/>
      </w:r>
      <w:r>
        <w:fldChar w:fldCharType="end"/>
      </w:r>
    </w:p>
    <w:p w14:paraId="505C3E49">
      <w:pPr>
        <w:pStyle w:val="19"/>
        <w:tabs>
          <w:tab w:val="right" w:leader="dot" w:pos="9354"/>
        </w:tabs>
      </w:pPr>
      <w:r>
        <w:fldChar w:fldCharType="begin"/>
      </w:r>
      <w:r>
        <w:instrText xml:space="preserve"> HYPERLINK \l "_Toc16570"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_Toc16570 \h </w:instrText>
      </w:r>
      <w:r>
        <w:fldChar w:fldCharType="separate"/>
      </w:r>
      <w:r>
        <w:t>1</w:t>
      </w:r>
      <w:r>
        <w:fldChar w:fldCharType="end"/>
      </w:r>
      <w:r>
        <w:fldChar w:fldCharType="end"/>
      </w:r>
    </w:p>
    <w:p w14:paraId="616A6A7A">
      <w:pPr>
        <w:pStyle w:val="19"/>
        <w:tabs>
          <w:tab w:val="right" w:leader="dot" w:pos="9354"/>
        </w:tabs>
      </w:pPr>
      <w:r>
        <w:fldChar w:fldCharType="begin"/>
      </w:r>
      <w:r>
        <w:instrText xml:space="preserve"> HYPERLINK \l "_Toc12336" </w:instrText>
      </w:r>
      <w:r>
        <w:fldChar w:fldCharType="separate"/>
      </w:r>
      <w:r>
        <w:rPr>
          <w:rFonts w:hint="eastAsia" w:ascii="黑体" w:eastAsia="黑体"/>
        </w:rPr>
        <w:t xml:space="preserve">4 </w:t>
      </w:r>
      <w:r>
        <w:rPr>
          <w:rFonts w:hint="eastAsia"/>
        </w:rPr>
        <w:t>分类与标记</w:t>
      </w:r>
      <w:r>
        <w:rPr>
          <w:rFonts w:hint="eastAsia" w:ascii="MS Mincho" w:hAnsi="MS Mincho" w:eastAsia="MS Mincho" w:cs="MS Mincho"/>
        </w:rPr>
        <w:t>‌</w:t>
      </w:r>
      <w:r>
        <w:tab/>
      </w:r>
      <w:r>
        <w:fldChar w:fldCharType="begin"/>
      </w:r>
      <w:r>
        <w:instrText xml:space="preserve"> PAGEREF _Toc12336 \h </w:instrText>
      </w:r>
      <w:r>
        <w:fldChar w:fldCharType="separate"/>
      </w:r>
      <w:r>
        <w:t>2</w:t>
      </w:r>
      <w:r>
        <w:fldChar w:fldCharType="end"/>
      </w:r>
      <w:r>
        <w:fldChar w:fldCharType="end"/>
      </w:r>
    </w:p>
    <w:p w14:paraId="1AA2C20C">
      <w:pPr>
        <w:pStyle w:val="19"/>
        <w:tabs>
          <w:tab w:val="right" w:leader="dot" w:pos="9354"/>
        </w:tabs>
      </w:pPr>
      <w:r>
        <w:fldChar w:fldCharType="begin"/>
      </w:r>
      <w:r>
        <w:instrText xml:space="preserve"> HYPERLINK \l "_Toc27432" </w:instrText>
      </w:r>
      <w:r>
        <w:fldChar w:fldCharType="separate"/>
      </w:r>
      <w:r>
        <w:rPr>
          <w:rFonts w:hint="eastAsia" w:ascii="黑体" w:eastAsia="黑体" w:cs="宋体"/>
          <w:shd w:val="clear" w:color="auto" w:fill="FFFFFF"/>
        </w:rPr>
        <w:t xml:space="preserve">5 </w:t>
      </w:r>
      <w:r>
        <w:rPr>
          <w:rFonts w:hint="eastAsia"/>
        </w:rPr>
        <w:t>极端环境适应性要求</w:t>
      </w:r>
      <w:r>
        <w:tab/>
      </w:r>
      <w:r>
        <w:fldChar w:fldCharType="begin"/>
      </w:r>
      <w:r>
        <w:instrText xml:space="preserve"> PAGEREF _Toc27432 \h </w:instrText>
      </w:r>
      <w:r>
        <w:fldChar w:fldCharType="separate"/>
      </w:r>
      <w:r>
        <w:t>2</w:t>
      </w:r>
      <w:r>
        <w:fldChar w:fldCharType="end"/>
      </w:r>
      <w:r>
        <w:fldChar w:fldCharType="end"/>
      </w:r>
    </w:p>
    <w:p w14:paraId="75D295CE">
      <w:pPr>
        <w:pStyle w:val="19"/>
        <w:tabs>
          <w:tab w:val="right" w:leader="dot" w:pos="9354"/>
        </w:tabs>
      </w:pPr>
      <w:r>
        <w:fldChar w:fldCharType="begin"/>
      </w:r>
      <w:r>
        <w:instrText xml:space="preserve"> HYPERLINK \l "_Toc12496" </w:instrText>
      </w:r>
      <w:r>
        <w:fldChar w:fldCharType="separate"/>
      </w:r>
      <w:r>
        <w:rPr>
          <w:rFonts w:hint="eastAsia" w:ascii="黑体" w:eastAsia="黑体"/>
          <w:shd w:val="clear" w:color="auto" w:fill="FFFFFF"/>
        </w:rPr>
        <w:t xml:space="preserve">6 </w:t>
      </w:r>
      <w:r>
        <w:rPr>
          <w:rFonts w:hint="eastAsia"/>
          <w:shd w:val="clear" w:color="auto" w:fill="FFFFFF"/>
        </w:rPr>
        <w:t>技术要求</w:t>
      </w:r>
      <w:r>
        <w:rPr>
          <w:rFonts w:hint="eastAsia" w:ascii="MS Gothic" w:hAnsi="MS Gothic" w:eastAsia="MS Gothic" w:cs="MS Gothic"/>
          <w:shd w:val="clear" w:color="auto" w:fill="FFFFFF"/>
        </w:rPr>
        <w:t>‌</w:t>
      </w:r>
      <w:r>
        <w:tab/>
      </w:r>
      <w:r>
        <w:fldChar w:fldCharType="begin"/>
      </w:r>
      <w:r>
        <w:instrText xml:space="preserve"> PAGEREF _Toc12496 \h </w:instrText>
      </w:r>
      <w:r>
        <w:fldChar w:fldCharType="separate"/>
      </w:r>
      <w:r>
        <w:t>3</w:t>
      </w:r>
      <w:r>
        <w:fldChar w:fldCharType="end"/>
      </w:r>
      <w:r>
        <w:fldChar w:fldCharType="end"/>
      </w:r>
    </w:p>
    <w:p w14:paraId="05127147">
      <w:pPr>
        <w:pStyle w:val="19"/>
        <w:tabs>
          <w:tab w:val="right" w:leader="dot" w:pos="9354"/>
        </w:tabs>
      </w:pPr>
      <w:r>
        <w:fldChar w:fldCharType="begin"/>
      </w:r>
      <w:r>
        <w:instrText xml:space="preserve"> HYPERLINK \l "_Toc7460" </w:instrText>
      </w:r>
      <w:r>
        <w:fldChar w:fldCharType="separate"/>
      </w:r>
      <w:r>
        <w:rPr>
          <w:rFonts w:hint="eastAsia" w:ascii="黑体" w:eastAsia="黑体"/>
          <w:shd w:val="clear" w:color="auto" w:fill="FFFFFF"/>
        </w:rPr>
        <w:t xml:space="preserve">7 </w:t>
      </w:r>
      <w:r>
        <w:rPr>
          <w:rFonts w:hint="eastAsia"/>
          <w:shd w:val="clear" w:color="auto" w:fill="FFFFFF"/>
        </w:rPr>
        <w:t>测试方法</w:t>
      </w:r>
      <w:r>
        <w:rPr>
          <w:rFonts w:hint="eastAsia" w:ascii="MS Gothic" w:hAnsi="MS Gothic" w:eastAsia="MS Gothic" w:cs="MS Gothic"/>
          <w:shd w:val="clear" w:color="auto" w:fill="FFFFFF"/>
        </w:rPr>
        <w:t>‌</w:t>
      </w:r>
      <w:r>
        <w:tab/>
      </w:r>
      <w:r>
        <w:fldChar w:fldCharType="begin"/>
      </w:r>
      <w:r>
        <w:instrText xml:space="preserve"> PAGEREF _Toc7460 \h </w:instrText>
      </w:r>
      <w:r>
        <w:fldChar w:fldCharType="separate"/>
      </w:r>
      <w:r>
        <w:t>4</w:t>
      </w:r>
      <w:r>
        <w:fldChar w:fldCharType="end"/>
      </w:r>
      <w:r>
        <w:fldChar w:fldCharType="end"/>
      </w:r>
    </w:p>
    <w:p w14:paraId="144B8FB2">
      <w:pPr>
        <w:pStyle w:val="19"/>
        <w:tabs>
          <w:tab w:val="right" w:leader="dot" w:pos="9354"/>
        </w:tabs>
      </w:pPr>
      <w:r>
        <w:fldChar w:fldCharType="begin"/>
      </w:r>
      <w:r>
        <w:instrText xml:space="preserve"> HYPERLINK \l "_Toc30039" </w:instrText>
      </w:r>
      <w:r>
        <w:fldChar w:fldCharType="separate"/>
      </w:r>
      <w:r>
        <w:rPr>
          <w:rFonts w:hint="eastAsia" w:ascii="黑体" w:eastAsia="黑体" w:cs="宋体"/>
          <w:shd w:val="clear" w:color="auto" w:fill="FFFFFF"/>
        </w:rPr>
        <w:t xml:space="preserve">8 </w:t>
      </w:r>
      <w:r>
        <w:rPr>
          <w:rFonts w:hint="eastAsia"/>
        </w:rPr>
        <w:t>检测规则</w:t>
      </w:r>
      <w:r>
        <w:rPr>
          <w:rFonts w:hint="eastAsia" w:ascii="MS Mincho" w:hAnsi="MS Mincho" w:eastAsia="MS Mincho" w:cs="MS Mincho"/>
        </w:rPr>
        <w:t>‌</w:t>
      </w:r>
      <w:r>
        <w:tab/>
      </w:r>
      <w:r>
        <w:fldChar w:fldCharType="begin"/>
      </w:r>
      <w:r>
        <w:instrText xml:space="preserve"> PAGEREF _Toc30039 \h </w:instrText>
      </w:r>
      <w:r>
        <w:fldChar w:fldCharType="separate"/>
      </w:r>
      <w:r>
        <w:t>5</w:t>
      </w:r>
      <w:r>
        <w:fldChar w:fldCharType="end"/>
      </w:r>
      <w:r>
        <w:fldChar w:fldCharType="end"/>
      </w:r>
    </w:p>
    <w:p w14:paraId="258CA7A6">
      <w:pPr>
        <w:pStyle w:val="19"/>
        <w:tabs>
          <w:tab w:val="right" w:leader="dot" w:pos="9354"/>
        </w:tabs>
      </w:pPr>
      <w:r>
        <w:fldChar w:fldCharType="begin"/>
      </w:r>
      <w:r>
        <w:instrText xml:space="preserve"> HYPERLINK \l "_Toc26697" </w:instrText>
      </w:r>
      <w:r>
        <w:fldChar w:fldCharType="separate"/>
      </w:r>
      <w:r>
        <w:rPr>
          <w:rFonts w:hint="eastAsia" w:ascii="黑体" w:eastAsia="黑体"/>
        </w:rPr>
        <w:t xml:space="preserve">9 </w:t>
      </w:r>
      <w:r>
        <w:rPr>
          <w:rFonts w:hint="eastAsia"/>
        </w:rPr>
        <w:t>标识、包装、运输与贮存‌</w:t>
      </w:r>
      <w:r>
        <w:tab/>
      </w:r>
      <w:r>
        <w:fldChar w:fldCharType="begin"/>
      </w:r>
      <w:r>
        <w:instrText xml:space="preserve"> PAGEREF _Toc26697 \h </w:instrText>
      </w:r>
      <w:r>
        <w:fldChar w:fldCharType="separate"/>
      </w:r>
      <w:r>
        <w:t>6</w:t>
      </w:r>
      <w:r>
        <w:fldChar w:fldCharType="end"/>
      </w:r>
      <w:r>
        <w:fldChar w:fldCharType="end"/>
      </w:r>
    </w:p>
    <w:p w14:paraId="77955D5D">
      <w:pPr>
        <w:pStyle w:val="19"/>
        <w:tabs>
          <w:tab w:val="right" w:leader="dot" w:pos="9354"/>
        </w:tabs>
      </w:pPr>
      <w:r>
        <w:fldChar w:fldCharType="begin"/>
      </w:r>
      <w:r>
        <w:instrText xml:space="preserve"> HYPERLINK \l "_Toc2243" </w:instrText>
      </w:r>
      <w:r>
        <w:fldChar w:fldCharType="separate"/>
      </w:r>
      <w:r>
        <w:rPr>
          <w:rFonts w:hint="eastAsia" w:ascii="黑体" w:eastAsia="黑体"/>
        </w:rPr>
        <w:t xml:space="preserve">10 </w:t>
      </w:r>
      <w:r>
        <w:rPr>
          <w:rFonts w:hint="eastAsia"/>
        </w:rPr>
        <w:t>制造商提供的信息</w:t>
      </w:r>
      <w:r>
        <w:tab/>
      </w:r>
      <w:r>
        <w:fldChar w:fldCharType="begin"/>
      </w:r>
      <w:r>
        <w:instrText xml:space="preserve"> PAGEREF _Toc2243 \h </w:instrText>
      </w:r>
      <w:r>
        <w:fldChar w:fldCharType="separate"/>
      </w:r>
      <w:r>
        <w:t>7</w:t>
      </w:r>
      <w:r>
        <w:fldChar w:fldCharType="end"/>
      </w:r>
      <w:r>
        <w:fldChar w:fldCharType="end"/>
      </w:r>
    </w:p>
    <w:p w14:paraId="1921E931">
      <w:pPr>
        <w:pStyle w:val="92"/>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
    <w:p w14:paraId="2A89C22B">
      <w:pPr>
        <w:pStyle w:val="90"/>
        <w:spacing w:after="360"/>
      </w:pPr>
      <w:bookmarkStart w:id="2" w:name="_Toc9550"/>
      <w:bookmarkStart w:id="3" w:name="BookMark2"/>
      <w:r>
        <w:rPr>
          <w:spacing w:val="320"/>
        </w:rPr>
        <w:t>前</w:t>
      </w:r>
      <w:r>
        <w:t>言</w:t>
      </w:r>
      <w:bookmarkEnd w:id="2"/>
    </w:p>
    <w:p w14:paraId="11675510">
      <w:pPr>
        <w:pStyle w:val="57"/>
        <w:ind w:firstLine="420"/>
      </w:pPr>
      <w:r>
        <w:rPr>
          <w:rFonts w:hint="eastAsia"/>
        </w:rPr>
        <w:t>本文件按照GB/T 1.1—2020《标准化工作导则  第1部分：标准化文件的结构和起草规则》的规定起草。</w:t>
      </w:r>
    </w:p>
    <w:p w14:paraId="6D2B332D">
      <w:pPr>
        <w:pStyle w:val="57"/>
        <w:ind w:firstLine="420"/>
      </w:pPr>
      <w:r>
        <w:rPr>
          <w:rFonts w:hint="eastAsia"/>
        </w:rPr>
        <w:t>本文件由提出。</w:t>
      </w:r>
    </w:p>
    <w:p w14:paraId="1656CCA2">
      <w:pPr>
        <w:pStyle w:val="57"/>
        <w:ind w:firstLine="420"/>
      </w:pPr>
      <w:r>
        <w:rPr>
          <w:rFonts w:hint="eastAsia"/>
        </w:rPr>
        <w:t>本文件由归口。</w:t>
      </w:r>
    </w:p>
    <w:p w14:paraId="567D1FE2">
      <w:pPr>
        <w:pStyle w:val="57"/>
        <w:ind w:firstLine="420"/>
      </w:pPr>
      <w:r>
        <w:rPr>
          <w:rFonts w:hint="eastAsia"/>
        </w:rPr>
        <w:t>本文件起草单位：。</w:t>
      </w:r>
    </w:p>
    <w:p w14:paraId="6F55650D">
      <w:pPr>
        <w:pStyle w:val="57"/>
        <w:ind w:firstLine="420"/>
      </w:pPr>
      <w:r>
        <w:rPr>
          <w:rFonts w:hint="eastAsia"/>
        </w:rPr>
        <w:t>本文件主要起草人：。</w:t>
      </w:r>
    </w:p>
    <w:p w14:paraId="377F75D4">
      <w:pPr>
        <w:pStyle w:val="57"/>
        <w:ind w:firstLine="420"/>
      </w:pPr>
    </w:p>
    <w:p w14:paraId="747166EC">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3"/>
    <w:p w14:paraId="5CF5743D">
      <w:pPr>
        <w:spacing w:line="20" w:lineRule="exact"/>
        <w:jc w:val="center"/>
        <w:rPr>
          <w:rFonts w:ascii="黑体" w:hAnsi="黑体" w:eastAsia="黑体"/>
          <w:sz w:val="32"/>
          <w:szCs w:val="32"/>
        </w:rPr>
      </w:pPr>
      <w:bookmarkStart w:id="4" w:name="BookMark4"/>
    </w:p>
    <w:p w14:paraId="1CDD7A04">
      <w:pPr>
        <w:spacing w:line="20" w:lineRule="exact"/>
        <w:jc w:val="center"/>
        <w:rPr>
          <w:rFonts w:ascii="黑体" w:hAnsi="黑体" w:eastAsia="黑体"/>
          <w:sz w:val="32"/>
          <w:szCs w:val="32"/>
        </w:rPr>
      </w:pPr>
    </w:p>
    <w:sdt>
      <w:sdtPr>
        <w:tag w:val="NEW_STAND_NAME"/>
        <w:id w:val="595910757"/>
        <w:lock w:val="sdtLocked"/>
        <w:placeholder>
          <w:docPart w:val="F33721D22C634C9CB5896D725763D4BC"/>
        </w:placeholder>
      </w:sdtPr>
      <w:sdtContent>
        <w:p w14:paraId="673FEA22">
          <w:pPr>
            <w:pStyle w:val="178"/>
            <w:spacing w:before="2" w:beforeLines="1" w:after="528" w:afterLines="220"/>
          </w:pPr>
          <w:bookmarkStart w:id="5" w:name="NEW_STAND_NAME"/>
          <w:r>
            <w:rPr>
              <w:rFonts w:hint="eastAsia"/>
            </w:rPr>
            <w:t>极端环境用防坠落装备技术规范</w:t>
          </w:r>
        </w:p>
      </w:sdtContent>
    </w:sdt>
    <w:bookmarkEnd w:id="5"/>
    <w:p w14:paraId="4AF97F58">
      <w:pPr>
        <w:pStyle w:val="105"/>
        <w:spacing w:before="240" w:after="240"/>
      </w:pPr>
      <w:bookmarkStart w:id="6" w:name="_Toc26986771"/>
      <w:bookmarkStart w:id="7" w:name="_Toc26718930"/>
      <w:bookmarkStart w:id="8" w:name="_Toc97192964"/>
      <w:bookmarkStart w:id="9" w:name="_Toc24884218"/>
      <w:bookmarkStart w:id="10" w:name="_Toc19966"/>
      <w:bookmarkStart w:id="11" w:name="_Toc24884211"/>
      <w:bookmarkStart w:id="12" w:name="_Toc26986530"/>
      <w:bookmarkStart w:id="13" w:name="_Toc17233325"/>
      <w:bookmarkStart w:id="14" w:name="_Toc26648465"/>
      <w:bookmarkStart w:id="15" w:name="_Toc17233333"/>
      <w:r>
        <w:rPr>
          <w:rFonts w:hint="eastAsia"/>
        </w:rPr>
        <w:t>范围</w:t>
      </w:r>
      <w:bookmarkEnd w:id="6"/>
      <w:bookmarkEnd w:id="7"/>
      <w:bookmarkEnd w:id="8"/>
      <w:bookmarkEnd w:id="9"/>
      <w:bookmarkEnd w:id="10"/>
      <w:bookmarkEnd w:id="11"/>
      <w:bookmarkEnd w:id="12"/>
      <w:bookmarkEnd w:id="13"/>
      <w:bookmarkEnd w:id="14"/>
      <w:bookmarkEnd w:id="15"/>
    </w:p>
    <w:p w14:paraId="7B2C79BA">
      <w:pPr>
        <w:pStyle w:val="57"/>
        <w:ind w:firstLine="420"/>
        <w:jc w:val="left"/>
      </w:pPr>
      <w:bookmarkStart w:id="16" w:name="_Toc26648466"/>
      <w:bookmarkStart w:id="17" w:name="_Toc17233334"/>
      <w:bookmarkStart w:id="18" w:name="_Toc17233326"/>
      <w:bookmarkStart w:id="19" w:name="_Toc24884212"/>
      <w:bookmarkStart w:id="20" w:name="_Toc24884219"/>
      <w:r>
        <w:rPr>
          <w:rFonts w:hint="eastAsia"/>
        </w:rPr>
        <w:t>本文件规定了在极端环境（包括但不限于极端温度、强腐蚀、高海拔低氧、强风、高湿、浸水等）下使用的防坠落装备的分类与标记、极端环境适应性要求、技术要求、测试方法、检验规则、标识、包装、运输与贮存。</w:t>
      </w:r>
    </w:p>
    <w:p w14:paraId="5549F9B7">
      <w:pPr>
        <w:pStyle w:val="57"/>
        <w:ind w:firstLine="420"/>
        <w:jc w:val="left"/>
      </w:pPr>
      <w:r>
        <w:rPr>
          <w:rFonts w:hint="eastAsia"/>
        </w:rPr>
        <w:t>本文件适用于极端环境下使用的安全带、安全绳、连接器、下降器、速差自控器、锚点装置等个体防坠落装备（以下简称“装备”）的设计、制造和检验。</w:t>
      </w:r>
    </w:p>
    <w:p w14:paraId="54FD17CE">
      <w:pPr>
        <w:pStyle w:val="105"/>
        <w:spacing w:before="240" w:after="240"/>
      </w:pPr>
      <w:bookmarkStart w:id="21" w:name="_Toc97192965"/>
      <w:bookmarkStart w:id="22" w:name="_Toc26986772"/>
      <w:bookmarkStart w:id="23" w:name="_Toc26986531"/>
      <w:bookmarkStart w:id="24" w:name="_Toc3544"/>
      <w:bookmarkStart w:id="25" w:name="_Toc26718931"/>
      <w:r>
        <w:rPr>
          <w:rFonts w:hint="eastAsia"/>
        </w:rPr>
        <w:t>规范性引用文件</w:t>
      </w:r>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03CCAB7AD4F74FE6B31EB45917E5A2E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C93836D">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9F1159">
      <w:pPr>
        <w:pStyle w:val="57"/>
        <w:ind w:firstLine="420"/>
        <w:jc w:val="left"/>
      </w:pPr>
      <w:r>
        <w:rPr>
          <w:rFonts w:hint="eastAsia"/>
        </w:rPr>
        <w:t>GB/T 2423.1  电工电子产品环境试验 第2部分：试验方法 试验A：低温</w:t>
      </w:r>
    </w:p>
    <w:p w14:paraId="15DEEA12">
      <w:pPr>
        <w:pStyle w:val="57"/>
        <w:ind w:firstLine="420"/>
        <w:jc w:val="left"/>
      </w:pPr>
      <w:r>
        <w:rPr>
          <w:rFonts w:hint="eastAsia"/>
        </w:rPr>
        <w:t>GB/T 2423.2  电工电子产品环境试验 第2部分：试验方法 试验B：高温</w:t>
      </w:r>
    </w:p>
    <w:p w14:paraId="2B15A100">
      <w:pPr>
        <w:pStyle w:val="57"/>
        <w:ind w:firstLine="420"/>
        <w:jc w:val="left"/>
      </w:pPr>
      <w:r>
        <w:t>GB/T 3511</w:t>
      </w:r>
      <w:r>
        <w:rPr>
          <w:rFonts w:hint="eastAsia"/>
        </w:rPr>
        <w:t xml:space="preserve">  硫化橡胶或热塑性橡胶 耐候性</w:t>
      </w:r>
    </w:p>
    <w:p w14:paraId="7B0E7C24">
      <w:pPr>
        <w:pStyle w:val="57"/>
        <w:ind w:firstLine="420"/>
        <w:jc w:val="left"/>
      </w:pPr>
      <w:r>
        <w:rPr>
          <w:rFonts w:hint="eastAsia"/>
        </w:rPr>
        <w:t>GB/T 6095  坠落防护 安全带</w:t>
      </w:r>
    </w:p>
    <w:p w14:paraId="7243C3F5">
      <w:pPr>
        <w:pStyle w:val="57"/>
        <w:ind w:firstLine="420"/>
        <w:jc w:val="left"/>
      </w:pPr>
      <w:r>
        <w:rPr>
          <w:rFonts w:hint="eastAsia"/>
        </w:rPr>
        <w:t>GB/T 10125  人造气氛腐蚀试验 盐雾试验</w:t>
      </w:r>
    </w:p>
    <w:p w14:paraId="75F95A59">
      <w:pPr>
        <w:pStyle w:val="57"/>
        <w:ind w:firstLine="420"/>
        <w:jc w:val="left"/>
      </w:pPr>
      <w:r>
        <w:rPr>
          <w:rFonts w:hint="eastAsia"/>
        </w:rPr>
        <w:t>GB/T 14522  机械工业产品用塑料、涂料、橡胶材料人工气候老化试验方法 荧光紫外灯</w:t>
      </w:r>
    </w:p>
    <w:p w14:paraId="36D8B4B9">
      <w:pPr>
        <w:pStyle w:val="57"/>
        <w:ind w:firstLine="420"/>
        <w:jc w:val="left"/>
      </w:pPr>
      <w:r>
        <w:rPr>
          <w:rFonts w:hint="eastAsia"/>
        </w:rPr>
        <w:t>GB 23468-2025  坠落防护装备的选择、使用和维护</w:t>
      </w:r>
    </w:p>
    <w:p w14:paraId="14C195EB">
      <w:pPr>
        <w:pStyle w:val="57"/>
        <w:ind w:firstLine="420"/>
        <w:jc w:val="left"/>
      </w:pPr>
      <w:r>
        <w:rPr>
          <w:rFonts w:hint="eastAsia"/>
        </w:rPr>
        <w:t>GB/T 23469  坠落防护 连接器</w:t>
      </w:r>
    </w:p>
    <w:p w14:paraId="11655860">
      <w:pPr>
        <w:pStyle w:val="57"/>
        <w:ind w:firstLine="420"/>
        <w:jc w:val="left"/>
      </w:pPr>
      <w:r>
        <w:rPr>
          <w:rFonts w:hint="eastAsia"/>
        </w:rPr>
        <w:t>GB 24543  坠落防护 安全绳</w:t>
      </w:r>
    </w:p>
    <w:p w14:paraId="76207506">
      <w:pPr>
        <w:pStyle w:val="57"/>
        <w:ind w:firstLine="420"/>
        <w:jc w:val="left"/>
      </w:pPr>
      <w:r>
        <w:rPr>
          <w:rFonts w:hint="eastAsia"/>
        </w:rPr>
        <w:t>GB 24544  坠落防护 速差自控器</w:t>
      </w:r>
    </w:p>
    <w:p w14:paraId="6EC8717F">
      <w:pPr>
        <w:pStyle w:val="57"/>
        <w:ind w:firstLine="420"/>
        <w:jc w:val="left"/>
      </w:pPr>
      <w:r>
        <w:rPr>
          <w:rFonts w:hint="eastAsia"/>
        </w:rPr>
        <w:t>GB 42297-2022  坠落防护装备通用技术规范</w:t>
      </w:r>
    </w:p>
    <w:p w14:paraId="2B895142">
      <w:pPr>
        <w:pStyle w:val="105"/>
        <w:spacing w:before="240" w:after="240"/>
      </w:pPr>
      <w:bookmarkStart w:id="26" w:name="_Toc97192966"/>
      <w:bookmarkStart w:id="27" w:name="_Toc16570"/>
      <w:r>
        <w:rPr>
          <w:rFonts w:hint="eastAsia"/>
          <w:szCs w:val="21"/>
        </w:rPr>
        <w:t>术语和定义</w:t>
      </w:r>
      <w:bookmarkEnd w:id="26"/>
      <w:bookmarkEnd w:id="27"/>
    </w:p>
    <w:p w14:paraId="6A3C3B8D">
      <w:pPr>
        <w:pStyle w:val="57"/>
        <w:ind w:firstLine="420"/>
      </w:pPr>
      <w:bookmarkStart w:id="28" w:name="_Toc26986532"/>
      <w:bookmarkEnd w:id="28"/>
      <w:sdt>
        <w:sdtPr>
          <w:id w:val="-1909835108"/>
          <w:placeholder>
            <w:docPart w:val="8D333CE7469042A8A912F85E4F928AC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r>
            <w:rPr>
              <w:rFonts w:hint="eastAsia"/>
            </w:rPr>
            <w:t>GB/T 6095、GB 24542、GB 42297界定的术语和定义适用于本文件。</w:t>
          </w:r>
        </w:sdtContent>
      </w:sdt>
    </w:p>
    <w:p w14:paraId="79EDCD75">
      <w:pPr>
        <w:pStyle w:val="224"/>
        <w:ind w:left="420" w:hanging="420" w:hangingChars="200"/>
        <w:rPr>
          <w:rFonts w:ascii="黑体" w:hAnsi="黑体" w:eastAsia="黑体"/>
        </w:rPr>
      </w:pPr>
      <w:r>
        <w:rPr>
          <w:rFonts w:hint="eastAsia" w:ascii="黑体" w:hAnsi="黑体" w:eastAsia="黑体"/>
        </w:rPr>
        <w:br w:type="textWrapping"/>
      </w:r>
      <w:r>
        <w:rPr>
          <w:rFonts w:hint="eastAsia" w:ascii="黑体" w:hAnsi="黑体" w:eastAsia="黑体"/>
        </w:rPr>
        <w:t>极端环境  extreme environment‌</w:t>
      </w:r>
    </w:p>
    <w:p w14:paraId="19909AB2">
      <w:pPr>
        <w:pStyle w:val="57"/>
        <w:ind w:firstLine="420"/>
        <w:jc w:val="left"/>
      </w:pPr>
      <w:r>
        <w:rPr>
          <w:rFonts w:hint="eastAsia"/>
        </w:rPr>
        <w:t>超出人类或常规装备正常耐受范围，可能对装备性能造成显著劣化的作业环境。通常包括但不限于：极端高低温环境（如&lt;-30°C 或&gt;50°C）、化学腐蚀环境、高海拔低氧环境（如&gt;3000米）、强紫外线辐射环境、高湿度/浸水环境等。</w:t>
      </w:r>
    </w:p>
    <w:p w14:paraId="6BB270F8">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环境适应性  environmental adaptability‌</w:t>
      </w:r>
    </w:p>
    <w:p w14:paraId="08CFF356">
      <w:pPr>
        <w:pStyle w:val="57"/>
        <w:ind w:firstLine="420"/>
        <w:rPr>
          <w:rFonts w:ascii="黑体" w:hAnsi="黑体" w:eastAsia="黑体" w:cs="MS Mincho"/>
        </w:rPr>
      </w:pPr>
      <w:r>
        <w:rPr>
          <w:rFonts w:hint="eastAsia"/>
        </w:rPr>
        <w:t>装备在其寿命周期内预计可能遇到的各种极端环境条件下能实现其所有预定功能、性能和不被破坏的能力。</w:t>
      </w:r>
    </w:p>
    <w:p w14:paraId="27BE3CC5">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环境预处理</w:t>
      </w:r>
      <w:r>
        <w:rPr>
          <w:rFonts w:hint="eastAsia" w:ascii="黑体" w:hAnsi="黑体" w:eastAsia="黑体"/>
        </w:rPr>
        <w:t xml:space="preserve">  environmental preconditioning‌</w:t>
      </w:r>
    </w:p>
    <w:p w14:paraId="6EF71E80">
      <w:pPr>
        <w:pStyle w:val="57"/>
        <w:ind w:firstLine="420"/>
        <w:jc w:val="left"/>
      </w:pPr>
      <w:r>
        <w:rPr>
          <w:rFonts w:hint="eastAsia"/>
        </w:rPr>
        <w:t>在性能测试前，将样品置于模拟的极端环境条件下放置规定时间，使其性能达到稳定状态的过程。</w:t>
      </w:r>
    </w:p>
    <w:p w14:paraId="52258F44">
      <w:pPr>
        <w:pStyle w:val="224"/>
        <w:ind w:left="420" w:hanging="420" w:hangingChars="200"/>
        <w:rPr>
          <w:rFonts w:ascii="黑体" w:hAnsi="黑体" w:eastAsia="黑体" w:cs="MS Mincho"/>
        </w:rPr>
      </w:pPr>
    </w:p>
    <w:p w14:paraId="00A9970D">
      <w:pPr>
        <w:pStyle w:val="57"/>
        <w:ind w:firstLine="420"/>
        <w:rPr>
          <w:rFonts w:ascii="黑体" w:hAnsi="黑体" w:eastAsia="黑体"/>
        </w:rPr>
      </w:pPr>
      <w:r>
        <w:rPr>
          <w:rFonts w:hint="eastAsia" w:ascii="黑体" w:hAnsi="黑体" w:eastAsia="黑体"/>
        </w:rPr>
        <w:t>性能保持率  performance retention rate</w:t>
      </w:r>
    </w:p>
    <w:p w14:paraId="4AB6D880">
      <w:pPr>
        <w:pStyle w:val="57"/>
        <w:ind w:firstLine="420"/>
      </w:pPr>
      <w:r>
        <w:rPr>
          <w:rFonts w:hint="eastAsia"/>
        </w:rPr>
        <w:t>装备经过极端环境预处理后测得的性能值（如破断强度）与其在标准实验室环境下测得的性能值的百分比。它是量化装备环境适应性的关键指标。</w:t>
      </w:r>
    </w:p>
    <w:p w14:paraId="4CA65406">
      <w:pPr>
        <w:pStyle w:val="224"/>
        <w:ind w:left="420" w:hanging="420" w:hangingChars="200"/>
      </w:pPr>
      <w:r>
        <w:rPr>
          <w:rFonts w:hint="eastAsia" w:ascii="黑体" w:hAnsi="黑体" w:eastAsia="黑体" w:cs="MS Mincho"/>
        </w:rPr>
        <w:br w:type="textWrapping"/>
      </w:r>
      <w:r>
        <w:rPr>
          <w:rFonts w:hint="eastAsia" w:ascii="黑体" w:hAnsi="黑体" w:eastAsia="黑体" w:cs="MS Mincho"/>
        </w:rPr>
        <w:t>复合极端环境  combined extreme environment</w:t>
      </w:r>
    </w:p>
    <w:p w14:paraId="45D44166">
      <w:pPr>
        <w:pStyle w:val="57"/>
        <w:ind w:firstLine="420"/>
      </w:pPr>
      <w:r>
        <w:rPr>
          <w:rFonts w:hint="eastAsia"/>
        </w:rPr>
        <w:t>两种或两种以上极端环境因素（如低温与强风、高温与高湿、高海拔与强紫外线）同时存在的工况。在此环境下，各环境因素可能产生协同效应，加剧对装备性能的劣化影响。</w:t>
      </w:r>
    </w:p>
    <w:p w14:paraId="5F47B7D4">
      <w:pPr>
        <w:pStyle w:val="105"/>
        <w:spacing w:before="240" w:after="240"/>
        <w:rPr>
          <w:rFonts w:ascii="Calibri" w:hAnsi="Calibri" w:eastAsia="宋体"/>
          <w:kern w:val="2"/>
          <w:szCs w:val="21"/>
        </w:rPr>
      </w:pPr>
      <w:bookmarkStart w:id="29" w:name="_Toc12336"/>
      <w:r>
        <w:rPr>
          <w:rFonts w:hint="eastAsia"/>
        </w:rPr>
        <w:t>分类与标记</w:t>
      </w:r>
      <w:r>
        <w:rPr>
          <w:rFonts w:hint="eastAsia" w:ascii="MS Mincho" w:hAnsi="MS Mincho" w:eastAsia="MS Mincho" w:cs="MS Mincho"/>
        </w:rPr>
        <w:t>‌</w:t>
      </w:r>
      <w:bookmarkEnd w:id="29"/>
    </w:p>
    <w:p w14:paraId="03724A98">
      <w:pPr>
        <w:pStyle w:val="163"/>
        <w:spacing w:before="120" w:beforeLines="50" w:after="120" w:afterLines="50"/>
        <w:jc w:val="left"/>
        <w:rPr>
          <w:rFonts w:ascii="黑体" w:hAnsi="黑体" w:eastAsia="黑体" w:cs="黑体"/>
          <w:shd w:val="clear" w:color="auto" w:fill="FFFFFF"/>
        </w:rPr>
      </w:pPr>
      <w:r>
        <w:rPr>
          <w:rFonts w:hint="eastAsia" w:ascii="黑体" w:hAnsi="黑体" w:eastAsia="黑体" w:cs="黑体"/>
          <w:shd w:val="clear" w:color="auto" w:fill="FFFFFF"/>
        </w:rPr>
        <w:t>分类‌</w:t>
      </w:r>
    </w:p>
    <w:p w14:paraId="502FA74C">
      <w:pPr>
        <w:pStyle w:val="166"/>
        <w:rPr>
          <w:shd w:val="clear" w:color="auto" w:fill="FFFFFF"/>
        </w:rPr>
      </w:pPr>
      <w:r>
        <w:rPr>
          <w:rFonts w:hint="eastAsia"/>
          <w:shd w:val="clear" w:color="auto" w:fill="FFFFFF"/>
        </w:rPr>
        <w:t>按防护装备类型分类：应符合GB 42297的规定，如安全带类、绳索类、连接装置类、抓绳装置类、锚固装置类等。</w:t>
      </w:r>
    </w:p>
    <w:p w14:paraId="65AF0519">
      <w:pPr>
        <w:pStyle w:val="166"/>
        <w:rPr>
          <w:shd w:val="clear" w:color="auto" w:fill="FFFFFF"/>
        </w:rPr>
      </w:pPr>
      <w:r>
        <w:rPr>
          <w:rFonts w:hint="eastAsia"/>
          <w:shd w:val="clear" w:color="auto" w:fill="FFFFFF"/>
        </w:rPr>
        <w:t>按适用环境类型分类：</w:t>
      </w:r>
    </w:p>
    <w:p w14:paraId="7D8AE7D8">
      <w:pPr>
        <w:pStyle w:val="133"/>
        <w:rPr>
          <w:rFonts w:hAnsi="宋体" w:cs="宋体"/>
          <w:shd w:val="clear" w:color="auto" w:fill="FFFFFF"/>
        </w:rPr>
      </w:pPr>
      <w:r>
        <w:rPr>
          <w:rFonts w:hint="eastAsia"/>
        </w:rPr>
        <w:t>ETE型：极端温度环境用（可细分为ETEL低温型、ETEH高温型）；</w:t>
      </w:r>
    </w:p>
    <w:p w14:paraId="4128695D">
      <w:pPr>
        <w:pStyle w:val="133"/>
        <w:rPr>
          <w:rFonts w:hAnsi="宋体" w:cs="宋体"/>
          <w:shd w:val="clear" w:color="auto" w:fill="FFFFFF"/>
        </w:rPr>
      </w:pPr>
      <w:r>
        <w:rPr>
          <w:rFonts w:hint="eastAsia" w:hAnsi="宋体" w:cs="宋体"/>
          <w:shd w:val="clear" w:color="auto" w:fill="FFFFFF"/>
        </w:rPr>
        <w:t>SCE型：强腐蚀环境用；</w:t>
      </w:r>
    </w:p>
    <w:p w14:paraId="25FCBF60">
      <w:pPr>
        <w:pStyle w:val="133"/>
        <w:rPr>
          <w:rFonts w:hAnsi="宋体" w:cs="宋体"/>
          <w:shd w:val="clear" w:color="auto" w:fill="FFFFFF"/>
        </w:rPr>
      </w:pPr>
      <w:r>
        <w:rPr>
          <w:rFonts w:hint="eastAsia" w:hAnsi="宋体" w:cs="宋体"/>
          <w:shd w:val="clear" w:color="auto" w:fill="FFFFFF"/>
        </w:rPr>
        <w:t>HAE型：高海拔环境用；</w:t>
      </w:r>
    </w:p>
    <w:p w14:paraId="49544FE8">
      <w:pPr>
        <w:pStyle w:val="133"/>
        <w:rPr>
          <w:rFonts w:hAnsi="宋体" w:cs="宋体"/>
          <w:shd w:val="clear" w:color="auto" w:fill="FFFFFF"/>
        </w:rPr>
      </w:pPr>
      <w:r>
        <w:rPr>
          <w:rFonts w:hint="eastAsia" w:hAnsi="宋体" w:cs="宋体"/>
          <w:shd w:val="clear" w:color="auto" w:fill="FFFFFF"/>
        </w:rPr>
        <w:t>HWE型：高湿/浸水环境用；</w:t>
      </w:r>
    </w:p>
    <w:p w14:paraId="7E8704A0">
      <w:pPr>
        <w:pStyle w:val="133"/>
        <w:rPr>
          <w:rFonts w:hAnsi="宋体" w:cs="宋体"/>
          <w:shd w:val="clear" w:color="auto" w:fill="FFFFFF"/>
        </w:rPr>
      </w:pPr>
      <w:r>
        <w:rPr>
          <w:rFonts w:hint="eastAsia" w:hAnsi="宋体" w:cs="宋体"/>
          <w:shd w:val="clear" w:color="auto" w:fill="FFFFFF"/>
        </w:rPr>
        <w:t>SWE型：强风环境用；</w:t>
      </w:r>
    </w:p>
    <w:p w14:paraId="04C9890F">
      <w:pPr>
        <w:pStyle w:val="133"/>
        <w:rPr>
          <w:rFonts w:hAnsi="宋体" w:cs="宋体"/>
          <w:shd w:val="clear" w:color="auto" w:fill="FFFFFF"/>
        </w:rPr>
      </w:pPr>
      <w:r>
        <w:rPr>
          <w:rFonts w:hint="eastAsia" w:hAnsi="宋体" w:cs="宋体"/>
          <w:shd w:val="clear" w:color="auto" w:fill="FFFFFF"/>
        </w:rPr>
        <w:t>UVE型：强紫外线辐射环境用；</w:t>
      </w:r>
    </w:p>
    <w:p w14:paraId="4DA3FD5B">
      <w:pPr>
        <w:pStyle w:val="133"/>
        <w:rPr>
          <w:rFonts w:hAnsi="宋体" w:cs="宋体"/>
          <w:shd w:val="clear" w:color="auto" w:fill="FFFFFF"/>
        </w:rPr>
      </w:pPr>
      <w:r>
        <w:rPr>
          <w:rFonts w:hint="eastAsia" w:hAnsi="宋体" w:cs="宋体"/>
          <w:shd w:val="clear" w:color="auto" w:fill="FFFFFF"/>
        </w:rPr>
        <w:t>复合环境型：同时适用于两种及以上极端环境（需明确标注具体环境组合）。</w:t>
      </w:r>
    </w:p>
    <w:p w14:paraId="56AF4BA1">
      <w:pPr>
        <w:pStyle w:val="106"/>
        <w:spacing w:before="120" w:after="120"/>
      </w:pPr>
      <w:r>
        <w:rPr>
          <w:rFonts w:hint="eastAsia"/>
        </w:rPr>
        <w:t>标记</w:t>
      </w:r>
    </w:p>
    <w:p w14:paraId="768EA4F7">
      <w:pPr>
        <w:pStyle w:val="166"/>
        <w:rPr>
          <w:shd w:val="clear" w:color="auto" w:fill="FFFFFF"/>
        </w:rPr>
      </w:pPr>
      <w:r>
        <w:rPr>
          <w:rFonts w:hint="eastAsia"/>
          <w:shd w:val="clear" w:color="auto" w:fill="FFFFFF"/>
        </w:rPr>
        <w:t>装备本体上应有清晰、永久、且能耐受其设计环境的标记，标记内容至少包括：</w:t>
      </w:r>
    </w:p>
    <w:p w14:paraId="1F8AD0FA">
      <w:pPr>
        <w:pStyle w:val="133"/>
      </w:pPr>
      <w:r>
        <w:rPr>
          <w:rFonts w:hint="eastAsia"/>
        </w:rPr>
        <w:t>产品名称、型号；</w:t>
      </w:r>
    </w:p>
    <w:p w14:paraId="17D6EA00">
      <w:pPr>
        <w:pStyle w:val="133"/>
      </w:pPr>
      <w:r>
        <w:rPr>
          <w:rFonts w:hint="eastAsia"/>
        </w:rPr>
        <w:t>标准编号；</w:t>
      </w:r>
    </w:p>
    <w:p w14:paraId="4D15A3B8">
      <w:pPr>
        <w:pStyle w:val="133"/>
      </w:pPr>
      <w:r>
        <w:rPr>
          <w:rFonts w:hint="eastAsia"/>
        </w:rPr>
        <w:t>制造商名称或商标；</w:t>
      </w:r>
    </w:p>
    <w:p w14:paraId="6F08BC66">
      <w:pPr>
        <w:pStyle w:val="133"/>
      </w:pPr>
      <w:r>
        <w:rPr>
          <w:rFonts w:hint="eastAsia"/>
        </w:rPr>
        <w:t>生产日期与月份；</w:t>
      </w:r>
    </w:p>
    <w:p w14:paraId="7646B800">
      <w:pPr>
        <w:pStyle w:val="133"/>
      </w:pPr>
      <w:r>
        <w:rPr>
          <w:rFonts w:hint="eastAsia"/>
        </w:rPr>
        <w:t>适用环境类型代号；</w:t>
      </w:r>
    </w:p>
    <w:p w14:paraId="5818EF69">
      <w:pPr>
        <w:pStyle w:val="133"/>
      </w:pPr>
      <w:r>
        <w:rPr>
          <w:rFonts w:hint="eastAsia"/>
        </w:rPr>
        <w:t>最大承载负荷（kN）；</w:t>
      </w:r>
    </w:p>
    <w:p w14:paraId="5FBA761A">
      <w:pPr>
        <w:pStyle w:val="133"/>
      </w:pPr>
      <w:r>
        <w:rPr>
          <w:rFonts w:hint="eastAsia"/>
        </w:rPr>
        <w:t>首次检验日期（可选）。</w:t>
      </w:r>
    </w:p>
    <w:p w14:paraId="087ABDDE">
      <w:pPr>
        <w:pStyle w:val="166"/>
        <w:rPr>
          <w:shd w:val="clear" w:color="auto" w:fill="FFFFFF"/>
        </w:rPr>
      </w:pPr>
      <w:r>
        <w:rPr>
          <w:rFonts w:hint="eastAsia"/>
          <w:shd w:val="clear" w:color="auto" w:fill="FFFFFF"/>
        </w:rPr>
        <w:t>产品包装上应重复上述信息，并增加产品数量、毛重、体积以及“防潮”、“避光”、“向上”等储运标志。</w:t>
      </w:r>
    </w:p>
    <w:p w14:paraId="5783D0CB">
      <w:pPr>
        <w:pStyle w:val="166"/>
        <w:rPr>
          <w:shd w:val="clear" w:color="auto" w:fill="FFFFFF"/>
        </w:rPr>
      </w:pPr>
      <w:r>
        <w:rPr>
          <w:rFonts w:hint="eastAsia"/>
          <w:shd w:val="clear" w:color="auto" w:fill="FFFFFF"/>
        </w:rPr>
        <w:t>对于小型部件（如连接器），若无法容纳全部信息，至少应标注型号、本标准编号、适用环境类型和最大负荷，其余信息可在包装或附带的文件中注明。</w:t>
      </w:r>
    </w:p>
    <w:p w14:paraId="776D7184">
      <w:pPr>
        <w:pStyle w:val="166"/>
        <w:rPr>
          <w:shd w:val="clear" w:color="auto" w:fill="FFFFFF"/>
        </w:rPr>
      </w:pPr>
      <w:r>
        <w:rPr>
          <w:rFonts w:hint="eastAsia"/>
          <w:shd w:val="clear" w:color="auto" w:fill="FFFFFF"/>
        </w:rPr>
        <w:t>标记应能承受其预期的环境暴露，并在整个使用寿命期内保持清晰可读。</w:t>
      </w:r>
    </w:p>
    <w:p w14:paraId="1567958B">
      <w:pPr>
        <w:pStyle w:val="166"/>
        <w:rPr>
          <w:shd w:val="clear" w:color="auto" w:fill="FFFFFF"/>
        </w:rPr>
      </w:pPr>
      <w:r>
        <w:rPr>
          <w:rFonts w:hint="eastAsia"/>
          <w:shd w:val="clear" w:color="auto" w:fill="FFFFFF"/>
        </w:rPr>
        <w:t>标记应通过耐久性测试。用沾水的布擦拭15秒，再用沾汽油的布擦拭15秒后，标记仍应清晰可辨。</w:t>
      </w:r>
    </w:p>
    <w:p w14:paraId="0FCAB173">
      <w:pPr>
        <w:pStyle w:val="105"/>
        <w:spacing w:before="240" w:after="240"/>
        <w:rPr>
          <w:rFonts w:ascii="宋体" w:eastAsia="宋体" w:cs="宋体"/>
          <w:shd w:val="clear" w:color="auto" w:fill="FFFFFF"/>
        </w:rPr>
      </w:pPr>
      <w:bookmarkStart w:id="30" w:name="_Toc27432"/>
      <w:r>
        <w:rPr>
          <w:rFonts w:hint="eastAsia"/>
        </w:rPr>
        <w:t>极端环境适应性要求</w:t>
      </w:r>
      <w:bookmarkEnd w:id="30"/>
    </w:p>
    <w:p w14:paraId="76699EBA">
      <w:pPr>
        <w:pStyle w:val="57"/>
        <w:ind w:firstLine="420"/>
      </w:pPr>
      <w:r>
        <w:rPr>
          <w:rFonts w:hint="eastAsia"/>
        </w:rPr>
        <w:t>所有装备除应符合其对应产品国家标准的基本性能要求外，还需满足以下极端环境下的特殊性能要求。测试方法见第7章。‌</w:t>
      </w:r>
    </w:p>
    <w:p w14:paraId="1356B95A">
      <w:pPr>
        <w:pStyle w:val="106"/>
        <w:spacing w:before="120" w:after="120"/>
        <w:rPr>
          <w:rFonts w:ascii="宋体" w:eastAsia="宋体"/>
          <w:shd w:val="clear" w:color="auto" w:fill="FFFFFF"/>
        </w:rPr>
      </w:pPr>
      <w:bookmarkStart w:id="31" w:name="_Toc13657"/>
      <w:bookmarkStart w:id="32" w:name="_Toc31012"/>
      <w:r>
        <w:rPr>
          <w:rFonts w:hint="eastAsia"/>
          <w:shd w:val="clear" w:color="auto" w:fill="FFFFFF"/>
        </w:rPr>
        <w:t>极端低温性能</w:t>
      </w:r>
      <w:r>
        <w:rPr>
          <w:rFonts w:hint="eastAsia" w:ascii="MS Gothic" w:hAnsi="MS Gothic" w:eastAsia="MS Gothic" w:cs="MS Gothic"/>
          <w:shd w:val="clear" w:color="auto" w:fill="FFFFFF"/>
        </w:rPr>
        <w:t>‌</w:t>
      </w:r>
      <w:bookmarkEnd w:id="31"/>
      <w:bookmarkEnd w:id="32"/>
    </w:p>
    <w:p w14:paraId="627A52FA">
      <w:pPr>
        <w:pStyle w:val="166"/>
        <w:rPr>
          <w:shd w:val="clear" w:color="auto" w:fill="FFFFFF"/>
        </w:rPr>
      </w:pPr>
      <w:r>
        <w:rPr>
          <w:rFonts w:hint="eastAsia"/>
          <w:shd w:val="clear" w:color="auto" w:fill="FFFFFF"/>
        </w:rPr>
        <w:t>低温性能（适用于ETE型，特别是ETEL型）</w:t>
      </w:r>
    </w:p>
    <w:p w14:paraId="6D433D0C">
      <w:pPr>
        <w:pStyle w:val="57"/>
        <w:ind w:firstLine="420"/>
      </w:pPr>
      <w:r>
        <w:rPr>
          <w:rFonts w:hint="eastAsia"/>
        </w:rPr>
        <w:t>装备在-50°C ± 3°C低温环境中预处理后，其金属部件不应出现脆裂，高分子材料部件（织带、塑料件）不应硬化、脆化。经低温动态冲击测试（若适用）或静态强度测试后，其性能保持率应不低于其标称值的90%。</w:t>
      </w:r>
    </w:p>
    <w:p w14:paraId="0200EADC">
      <w:pPr>
        <w:pStyle w:val="166"/>
        <w:rPr>
          <w:shd w:val="clear" w:color="auto" w:fill="FFFFFF"/>
        </w:rPr>
      </w:pPr>
      <w:r>
        <w:rPr>
          <w:rFonts w:hint="eastAsia"/>
          <w:shd w:val="clear" w:color="auto" w:fill="FFFFFF"/>
        </w:rPr>
        <w:t>高温性能（适用于ETE型，特别是ETEH型）</w:t>
      </w:r>
    </w:p>
    <w:p w14:paraId="224D8283">
      <w:pPr>
        <w:pStyle w:val="57"/>
        <w:ind w:firstLine="420"/>
      </w:pPr>
      <w:r>
        <w:rPr>
          <w:rFonts w:hint="eastAsia"/>
        </w:rPr>
        <w:t>装备在+80°C ± 3°C高温环境中预处理后，其金属部件机械性能不应显著下降，高分子材料部件不应出现软化、熔融、粘连或显著变形。经高温静态强度测试后，其性能保持率应不低于其标称值的90%</w:t>
      </w:r>
      <w:r>
        <w:fldChar w:fldCharType="begin"/>
      </w:r>
      <w:r>
        <w:instrText xml:space="preserve"> HYPERLINK "https://www.sohu.com/a/934338126_121123779?scm=10001.325_13-325_13.0.0.5_32&amp;spm=smpc.channel_248.block3_308_NDdFbm_1_fd.2.1757675705667HaoFtUM_324" \t "https://chat.deepseek.com/a/chat/s/_blank" </w:instrText>
      </w:r>
      <w:r>
        <w:fldChar w:fldCharType="separate"/>
      </w:r>
      <w:r>
        <w:fldChar w:fldCharType="end"/>
      </w:r>
      <w:r>
        <w:rPr>
          <w:rFonts w:hint="eastAsia"/>
        </w:rPr>
        <w:t>。</w:t>
      </w:r>
    </w:p>
    <w:p w14:paraId="088C9CFF">
      <w:pPr>
        <w:pStyle w:val="106"/>
        <w:spacing w:before="120" w:after="120"/>
        <w:rPr>
          <w:rFonts w:ascii="宋体" w:eastAsia="宋体"/>
          <w:shd w:val="clear" w:color="auto" w:fill="FFFFFF"/>
        </w:rPr>
      </w:pPr>
      <w:bookmarkStart w:id="33" w:name="_Toc16826"/>
      <w:bookmarkStart w:id="34" w:name="_Toc474"/>
      <w:r>
        <w:rPr>
          <w:rFonts w:hint="eastAsia"/>
          <w:shd w:val="clear" w:color="auto" w:fill="FFFFFF"/>
        </w:rPr>
        <w:t>耐腐蚀性能（适用于SCE型）</w:t>
      </w:r>
      <w:r>
        <w:rPr>
          <w:rFonts w:hint="eastAsia" w:ascii="MS Gothic" w:hAnsi="MS Gothic" w:eastAsia="MS Gothic" w:cs="MS Gothic"/>
          <w:shd w:val="clear" w:color="auto" w:fill="FFFFFF"/>
        </w:rPr>
        <w:t>‌</w:t>
      </w:r>
      <w:bookmarkEnd w:id="33"/>
      <w:bookmarkEnd w:id="34"/>
    </w:p>
    <w:p w14:paraId="1FFC149E">
      <w:pPr>
        <w:pStyle w:val="57"/>
        <w:ind w:firstLine="420"/>
      </w:pPr>
      <w:r>
        <w:rPr>
          <w:rFonts w:hint="eastAsia"/>
        </w:rPr>
        <w:t>装备的金属部件应通过中性盐雾试验（NSS）96小时或更长时间的测试。试验后，样品表面腐蚀等级应不低于GB/T 10125中规定的C级要求，且不影响其正常操作功能和强度要求。</w:t>
      </w:r>
    </w:p>
    <w:p w14:paraId="033C6C3F">
      <w:pPr>
        <w:pStyle w:val="106"/>
        <w:spacing w:before="120" w:after="120"/>
        <w:rPr>
          <w:shd w:val="clear" w:color="auto" w:fill="FFFFFF"/>
        </w:rPr>
      </w:pPr>
      <w:bookmarkStart w:id="35" w:name="_Toc13945"/>
      <w:bookmarkStart w:id="36" w:name="_Toc17099"/>
      <w:r>
        <w:rPr>
          <w:rFonts w:hint="eastAsia"/>
          <w:shd w:val="clear" w:color="auto" w:fill="FFFFFF"/>
        </w:rPr>
        <w:t>耐候性（抗紫外线/臭氧）性能（适用于UVE型及户外用装备）</w:t>
      </w:r>
      <w:bookmarkEnd w:id="35"/>
      <w:bookmarkEnd w:id="36"/>
    </w:p>
    <w:p w14:paraId="49D35825">
      <w:pPr>
        <w:pStyle w:val="57"/>
        <w:ind w:firstLine="420"/>
      </w:pPr>
      <w:r>
        <w:rPr>
          <w:rFonts w:hint="eastAsia"/>
        </w:rPr>
        <w:t>织带、绳索等聚合物材料部件经过规定时间的紫外老化（如GB/T 14522）或臭氧老化测试后，其断裂强力保持率应不低于80%。</w:t>
      </w:r>
    </w:p>
    <w:p w14:paraId="2B0F97CE">
      <w:pPr>
        <w:pStyle w:val="106"/>
        <w:spacing w:before="120" w:after="120"/>
        <w:rPr>
          <w:shd w:val="clear" w:color="auto" w:fill="FFFFFF"/>
        </w:rPr>
      </w:pPr>
      <w:bookmarkStart w:id="37" w:name="_Toc22481"/>
      <w:r>
        <w:rPr>
          <w:rFonts w:hint="eastAsia"/>
          <w:shd w:val="clear" w:color="auto" w:fill="FFFFFF"/>
        </w:rPr>
        <w:t>防水/防潮性能（适用于HWE型）</w:t>
      </w:r>
      <w:bookmarkEnd w:id="37"/>
    </w:p>
    <w:p w14:paraId="16E11F41">
      <w:pPr>
        <w:pStyle w:val="166"/>
        <w:rPr>
          <w:shd w:val="clear" w:color="auto" w:fill="FFFFFF"/>
        </w:rPr>
      </w:pPr>
      <w:r>
        <w:rPr>
          <w:rFonts w:hint="eastAsia"/>
          <w:shd w:val="clear" w:color="auto" w:fill="FFFFFF"/>
        </w:rPr>
        <w:t>浸水测试：装备在常温自来水中完全浸没24小时后，取出擦干。内部机构（如自锁装置）不得有进水迹象，操作功能必须正常。织带、绳索等材料的破断强度保持率不得低于90%。</w:t>
      </w:r>
    </w:p>
    <w:p w14:paraId="2161D89B">
      <w:pPr>
        <w:pStyle w:val="166"/>
        <w:rPr>
          <w:shd w:val="clear" w:color="auto" w:fill="FFFFFF"/>
        </w:rPr>
      </w:pPr>
      <w:r>
        <w:rPr>
          <w:rFonts w:hint="eastAsia"/>
          <w:shd w:val="clear" w:color="auto" w:fill="FFFFFF"/>
        </w:rPr>
        <w:t>恒定湿热测试：装备在40°C,93% RH环境下放置48小时后，金属部件不应有严重锈蚀，高分子材料不应水解或发霉，强度保持率不得低于90%。</w:t>
      </w:r>
    </w:p>
    <w:p w14:paraId="51350E81">
      <w:pPr>
        <w:pStyle w:val="106"/>
        <w:spacing w:before="120" w:after="120"/>
        <w:rPr>
          <w:shd w:val="clear" w:color="auto" w:fill="FFFFFF"/>
        </w:rPr>
      </w:pPr>
      <w:bookmarkStart w:id="38" w:name="_Toc5636"/>
      <w:r>
        <w:rPr>
          <w:rFonts w:hint="eastAsia"/>
          <w:shd w:val="clear" w:color="auto" w:fill="FFFFFF"/>
        </w:rPr>
        <w:t>高海拔低气压性能（适用于HAE型)</w:t>
      </w:r>
      <w:bookmarkEnd w:id="38"/>
    </w:p>
    <w:p w14:paraId="01F67F20">
      <w:pPr>
        <w:pStyle w:val="57"/>
        <w:ind w:firstLine="420"/>
      </w:pPr>
      <w:r>
        <w:rPr>
          <w:rFonts w:hint="eastAsia"/>
        </w:rPr>
        <w:t>在模拟海拔5000米（气压约54 kPa）的低气压环境下放置1小时后，装备的机械性能（静态强度）不应发生显著变化（保持率≥95%），所有机构动作（如速差器的制动、连接器的开合）必须灵敏可靠，无自行动作或失效。</w:t>
      </w:r>
    </w:p>
    <w:p w14:paraId="7DBB121A">
      <w:pPr>
        <w:pStyle w:val="106"/>
        <w:spacing w:before="120" w:after="120"/>
        <w:rPr>
          <w:shd w:val="clear" w:color="auto" w:fill="FFFFFF"/>
        </w:rPr>
      </w:pPr>
      <w:bookmarkStart w:id="39" w:name="_Toc20936"/>
      <w:r>
        <w:rPr>
          <w:rFonts w:hint="eastAsia"/>
          <w:shd w:val="clear" w:color="auto" w:fill="FFFFFF"/>
        </w:rPr>
        <w:t>抗风扰性能（适用于SWE型）</w:t>
      </w:r>
      <w:bookmarkEnd w:id="39"/>
    </w:p>
    <w:p w14:paraId="54651C0A">
      <w:pPr>
        <w:pStyle w:val="57"/>
        <w:ind w:firstLine="420"/>
      </w:pPr>
      <w:r>
        <w:t>在强风条件下，装备（特别是速差自控器等）应能保持其制动和锁止功能，不应因风力影响而发生非正常开启或失效</w:t>
      </w:r>
      <w:r>
        <w:rPr>
          <w:rFonts w:hint="eastAsia"/>
        </w:rPr>
        <w:t>。测试后，其制动距离、锁止距离等关键指标仍应符合GB 24544的要求。</w:t>
      </w:r>
    </w:p>
    <w:p w14:paraId="5D08E2EA">
      <w:pPr>
        <w:pStyle w:val="105"/>
        <w:spacing w:before="240" w:after="240"/>
        <w:rPr>
          <w:rFonts w:ascii="宋体" w:eastAsia="宋体"/>
          <w:shd w:val="clear" w:color="auto" w:fill="FFFFFF"/>
        </w:rPr>
      </w:pPr>
      <w:bookmarkStart w:id="40" w:name="_Toc12496"/>
      <w:r>
        <w:rPr>
          <w:rFonts w:hint="eastAsia"/>
          <w:shd w:val="clear" w:color="auto" w:fill="FFFFFF"/>
        </w:rPr>
        <w:t>技术要求</w:t>
      </w:r>
      <w:r>
        <w:rPr>
          <w:rFonts w:hint="eastAsia" w:ascii="MS Gothic" w:hAnsi="MS Gothic" w:eastAsia="MS Gothic" w:cs="MS Gothic"/>
          <w:shd w:val="clear" w:color="auto" w:fill="FFFFFF"/>
        </w:rPr>
        <w:t>‌</w:t>
      </w:r>
      <w:bookmarkEnd w:id="40"/>
    </w:p>
    <w:p w14:paraId="0FB16148">
      <w:pPr>
        <w:pStyle w:val="106"/>
        <w:spacing w:before="120" w:after="120"/>
        <w:rPr>
          <w:rFonts w:ascii="宋体" w:eastAsia="宋体"/>
          <w:shd w:val="clear" w:color="auto" w:fill="FFFFFF"/>
        </w:rPr>
      </w:pPr>
      <w:bookmarkStart w:id="41" w:name="_Toc16040"/>
      <w:bookmarkStart w:id="42" w:name="_Toc15469"/>
      <w:r>
        <w:rPr>
          <w:rFonts w:hint="eastAsia"/>
          <w:shd w:val="clear" w:color="auto" w:fill="FFFFFF"/>
        </w:rPr>
        <w:t>通用要求</w:t>
      </w:r>
      <w:r>
        <w:rPr>
          <w:rFonts w:hint="eastAsia" w:ascii="MS Gothic" w:hAnsi="MS Gothic" w:eastAsia="MS Gothic" w:cs="MS Gothic"/>
          <w:shd w:val="clear" w:color="auto" w:fill="FFFFFF"/>
        </w:rPr>
        <w:t>‌</w:t>
      </w:r>
      <w:bookmarkEnd w:id="41"/>
      <w:bookmarkEnd w:id="42"/>
    </w:p>
    <w:p w14:paraId="4541E205">
      <w:pPr>
        <w:pStyle w:val="166"/>
        <w:rPr>
          <w:shd w:val="clear" w:color="auto" w:fill="FFFFFF"/>
        </w:rPr>
      </w:pPr>
      <w:r>
        <w:rPr>
          <w:rFonts w:hint="eastAsia"/>
          <w:shd w:val="clear" w:color="auto" w:fill="FFFFFF"/>
        </w:rPr>
        <w:t>材料选择：</w:t>
      </w:r>
    </w:p>
    <w:p w14:paraId="6EE6D3E7">
      <w:pPr>
        <w:pStyle w:val="133"/>
      </w:pPr>
      <w:r>
        <w:rPr>
          <w:rFonts w:hint="eastAsia"/>
        </w:rPr>
        <w:t>金属件：宜选用奥氏体不锈钢（如316、316L）、钛合金或有可靠重防腐涂层的合金钢。严禁使用易发生低温脆断的材料（如某些碳钢、锌合金压铸件）。</w:t>
      </w:r>
    </w:p>
    <w:p w14:paraId="7B6161A2">
      <w:pPr>
        <w:pStyle w:val="133"/>
      </w:pPr>
      <w:r>
        <w:rPr>
          <w:rFonts w:hint="eastAsia"/>
        </w:rPr>
        <w:t>高分子材料：织带、绳索宜选用高纯度、抗老化处理的聚酯纤维、聚酰胺纤维或高模量聚乙烯纤维，避免使用易水解的材料（如聚酯在某些条件下）。塑料件宜选用耐候性工程塑料（如PA,PPA,PPS,PEEK），避免使用未改性的易老化塑料（如PP,ABS）。</w:t>
      </w:r>
    </w:p>
    <w:p w14:paraId="3FD545EF">
      <w:pPr>
        <w:pStyle w:val="133"/>
      </w:pPr>
      <w:r>
        <w:rPr>
          <w:rFonts w:hint="eastAsia"/>
        </w:rPr>
        <w:t>润滑剂：所有需要润滑的部件必须使用在极端温度下仍能保持性能的宽温润滑脂，避免在低温下凝固或在高温下流失。</w:t>
      </w:r>
    </w:p>
    <w:p w14:paraId="0D2A667A">
      <w:pPr>
        <w:pStyle w:val="166"/>
        <w:rPr>
          <w:shd w:val="clear" w:color="auto" w:fill="FFFFFF"/>
        </w:rPr>
      </w:pPr>
      <w:r>
        <w:rPr>
          <w:rFonts w:hint="eastAsia"/>
          <w:shd w:val="clear" w:color="auto" w:fill="FFFFFF"/>
        </w:rPr>
        <w:t>结构设计：</w:t>
      </w:r>
    </w:p>
    <w:p w14:paraId="4315CF85">
      <w:pPr>
        <w:pStyle w:val="133"/>
      </w:pPr>
      <w:r>
        <w:rPr>
          <w:rFonts w:hint="eastAsia"/>
        </w:rPr>
        <w:t>人性化设计：所有操作机构（如连接器的开关、速差器的复位钮）必须设计为允许佩戴厚重手套（≥5mm）时也能方便操作。操作力应符合GB/T 23469等相关标准的要求，且在极端环境测试后无显著增加。</w:t>
      </w:r>
    </w:p>
    <w:p w14:paraId="58A0BBB3">
      <w:pPr>
        <w:pStyle w:val="133"/>
      </w:pPr>
      <w:r>
        <w:rPr>
          <w:rFonts w:hint="eastAsia"/>
        </w:rPr>
        <w:t>防误设计：连接器应符合“双动作”才能开启的原则，防止误开。</w:t>
      </w:r>
    </w:p>
    <w:p w14:paraId="1A6DD636">
      <w:pPr>
        <w:pStyle w:val="133"/>
      </w:pPr>
      <w:r>
        <w:rPr>
          <w:rFonts w:hint="eastAsia"/>
        </w:rPr>
        <w:t>排水/排气设计：结构应避免密闭空间，设有排水孔或能自然排水排气，防止积水和气压变化影响。</w:t>
      </w:r>
    </w:p>
    <w:p w14:paraId="2FE81CA9">
      <w:pPr>
        <w:pStyle w:val="166"/>
        <w:rPr>
          <w:shd w:val="clear" w:color="auto" w:fill="FFFFFF"/>
        </w:rPr>
      </w:pPr>
      <w:r>
        <w:rPr>
          <w:shd w:val="clear" w:color="auto" w:fill="FFFFFF"/>
        </w:rPr>
        <w:t>金属件表面应有可靠的防护层（如镀层、涂层），工艺必须与其宣称的耐腐蚀等级相匹配，并通过第7章的测试验证。</w:t>
      </w:r>
    </w:p>
    <w:p w14:paraId="0B05B6F3">
      <w:pPr>
        <w:pStyle w:val="166"/>
        <w:rPr>
          <w:shd w:val="clear" w:color="auto" w:fill="FFFFFF"/>
        </w:rPr>
      </w:pPr>
      <w:r>
        <w:rPr>
          <w:shd w:val="clear" w:color="auto" w:fill="FFFFFF"/>
        </w:rPr>
        <w:t>系统内各组件应兼容匹配，连接器的开口尺寸应与安全带的挂点、锚点等匹配，确保连接可靠。</w:t>
      </w:r>
    </w:p>
    <w:p w14:paraId="72B48B0E">
      <w:pPr>
        <w:pStyle w:val="106"/>
        <w:spacing w:before="120" w:after="120"/>
        <w:rPr>
          <w:rFonts w:ascii="宋体" w:eastAsia="宋体"/>
          <w:shd w:val="clear" w:color="auto" w:fill="FFFFFF"/>
        </w:rPr>
      </w:pPr>
      <w:bookmarkStart w:id="43" w:name="_Toc3832"/>
      <w:bookmarkStart w:id="44" w:name="_Toc16490"/>
      <w:r>
        <w:rPr>
          <w:rFonts w:hint="eastAsia"/>
          <w:shd w:val="clear" w:color="auto" w:fill="FFFFFF"/>
        </w:rPr>
        <w:t>强度要求</w:t>
      </w:r>
      <w:r>
        <w:rPr>
          <w:rFonts w:hint="eastAsia" w:ascii="MS Gothic" w:hAnsi="MS Gothic" w:eastAsia="MS Gothic" w:cs="MS Gothic"/>
          <w:shd w:val="clear" w:color="auto" w:fill="FFFFFF"/>
        </w:rPr>
        <w:t>‌</w:t>
      </w:r>
      <w:bookmarkEnd w:id="43"/>
      <w:bookmarkEnd w:id="44"/>
    </w:p>
    <w:p w14:paraId="3D068F7D">
      <w:pPr>
        <w:pStyle w:val="166"/>
        <w:rPr>
          <w:shd w:val="clear" w:color="auto" w:fill="FFFFFF"/>
        </w:rPr>
      </w:pPr>
      <w:r>
        <w:rPr>
          <w:rFonts w:hint="eastAsia"/>
          <w:shd w:val="clear" w:color="auto" w:fill="FFFFFF"/>
        </w:rPr>
        <w:t>所有装备的静态强度、动态性能等基本机械性能首先必须符合其相应的产品国家标准的最高等级要求。</w:t>
      </w:r>
    </w:p>
    <w:p w14:paraId="2621D8B0">
      <w:pPr>
        <w:pStyle w:val="166"/>
        <w:rPr>
          <w:shd w:val="clear" w:color="auto" w:fill="FFFFFF"/>
        </w:rPr>
      </w:pPr>
      <w:r>
        <w:rPr>
          <w:rFonts w:hint="eastAsia"/>
          <w:shd w:val="clear" w:color="auto" w:fill="FFFFFF"/>
        </w:rPr>
        <w:t>经过第5章规定的极端环境测试后，其强度性能保持率应满足5.1至5.6的要求。</w:t>
      </w:r>
    </w:p>
    <w:p w14:paraId="7BCFBA78">
      <w:pPr>
        <w:pStyle w:val="166"/>
        <w:rPr>
          <w:shd w:val="clear" w:color="auto" w:fill="FFFFFF"/>
        </w:rPr>
      </w:pPr>
      <w:r>
        <w:rPr>
          <w:shd w:val="clear" w:color="auto" w:fill="FFFFFF"/>
        </w:rPr>
        <w:t>用于连接或承重的缝合线，其材质必须与主体织带相匹配，并具有同等的环境适应性。缝合处强度要求应符合GB/T 6095的规定</w:t>
      </w:r>
    </w:p>
    <w:p w14:paraId="60C7A129">
      <w:pPr>
        <w:pStyle w:val="105"/>
        <w:spacing w:before="240" w:after="240"/>
        <w:rPr>
          <w:shd w:val="clear" w:color="auto" w:fill="FFFFFF"/>
        </w:rPr>
      </w:pPr>
      <w:bookmarkStart w:id="45" w:name="_Toc7460"/>
      <w:r>
        <w:rPr>
          <w:rFonts w:hint="eastAsia"/>
          <w:shd w:val="clear" w:color="auto" w:fill="FFFFFF"/>
        </w:rPr>
        <w:t>测试方法</w:t>
      </w:r>
      <w:r>
        <w:rPr>
          <w:rFonts w:hint="eastAsia" w:ascii="MS Gothic" w:hAnsi="MS Gothic" w:eastAsia="MS Gothic" w:cs="MS Gothic"/>
          <w:shd w:val="clear" w:color="auto" w:fill="FFFFFF"/>
        </w:rPr>
        <w:t>‌</w:t>
      </w:r>
      <w:bookmarkEnd w:id="45"/>
    </w:p>
    <w:p w14:paraId="52AA3785">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测试环境</w:t>
      </w:r>
    </w:p>
    <w:p w14:paraId="1B113664">
      <w:pPr>
        <w:pStyle w:val="57"/>
        <w:ind w:firstLine="420"/>
      </w:pPr>
      <w:r>
        <w:rPr>
          <w:rFonts w:hint="eastAsia"/>
        </w:rPr>
        <w:t>所有测试均应在规定的标准实验室环境（温度23°C±2°C，相对湿度50%±10%）下进行，除另有规定。用于测试的样品必须是生产验收合格的成品。每一项测试均应使用新的样品，除非标准特别注明可复用。测试设备及仪器仪表均应在法定计量检定有效期内，其精度应满足测试要求。</w:t>
      </w:r>
    </w:p>
    <w:p w14:paraId="1FF19AE6">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外观和加工质量检查</w:t>
      </w:r>
    </w:p>
    <w:p w14:paraId="288CB60F">
      <w:pPr>
        <w:pStyle w:val="57"/>
        <w:ind w:firstLine="420"/>
      </w:pPr>
      <w:r>
        <w:t>在正常自然光或等效光源下，采用目测和手感法进行检查。检查内容包括但不限于：缝线是否均匀、无跳针、断线；金属件表面是否光滑、无毛刺、裂纹、锈蚀；塑料件是否无飞边、气泡、缩孔；标牌、标记是否清晰、完整、牢固。使用精度不低于1%的通用量具和衡具对关键尺寸和重量进行测量</w:t>
      </w:r>
      <w:r>
        <w:rPr>
          <w:rFonts w:hint="eastAsia"/>
        </w:rPr>
        <w:t>。</w:t>
      </w:r>
    </w:p>
    <w:p w14:paraId="73A6290A">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环境预处理</w:t>
      </w:r>
    </w:p>
    <w:p w14:paraId="392157F2">
      <w:pPr>
        <w:pStyle w:val="57"/>
        <w:ind w:firstLine="420"/>
      </w:pPr>
      <w:r>
        <w:rPr>
          <w:rFonts w:hint="eastAsia"/>
        </w:rPr>
        <w:t>样品在进行各项性能测试前，应在相应的环境试验箱中（如高温箱、低温箱、盐雾箱、紫外老化箱等）按表1规定的条件进行预处理。</w:t>
      </w:r>
    </w:p>
    <w:p w14:paraId="440A6524">
      <w:pPr>
        <w:pStyle w:val="115"/>
        <w:numPr>
          <w:ilvl w:val="0"/>
          <w:numId w:val="32"/>
        </w:numPr>
        <w:spacing w:before="120" w:after="120"/>
      </w:pPr>
      <w:r>
        <w:rPr>
          <w:rFonts w:hint="eastAsia"/>
        </w:rPr>
        <w:t>极端环境预处理条件</w:t>
      </w:r>
    </w:p>
    <w:tbl>
      <w:tblPr>
        <w:tblStyle w:val="27"/>
        <w:tblW w:w="0" w:type="auto"/>
        <w:tblInd w:w="0" w:type="dxa"/>
        <w:shd w:val="clear" w:color="auto" w:fill="FFFFFF"/>
        <w:tblLayout w:type="fixed"/>
        <w:tblCellMar>
          <w:top w:w="15" w:type="dxa"/>
          <w:left w:w="15" w:type="dxa"/>
          <w:bottom w:w="15" w:type="dxa"/>
          <w:right w:w="15" w:type="dxa"/>
        </w:tblCellMar>
      </w:tblPr>
      <w:tblGrid>
        <w:gridCol w:w="2029"/>
        <w:gridCol w:w="1750"/>
        <w:gridCol w:w="2013"/>
        <w:gridCol w:w="3287"/>
      </w:tblGrid>
      <w:tr w14:paraId="69A1F1C2">
        <w:tblPrEx>
          <w:tblCellMar>
            <w:top w:w="15" w:type="dxa"/>
            <w:left w:w="15" w:type="dxa"/>
            <w:bottom w:w="15" w:type="dxa"/>
            <w:right w:w="15" w:type="dxa"/>
          </w:tblCellMar>
        </w:tblPrEx>
        <w:trPr>
          <w:trHeight w:val="312" w:hRule="atLeast"/>
          <w:tblHeader/>
        </w:trPr>
        <w:tc>
          <w:tcPr>
            <w:tcW w:w="2029" w:type="dxa"/>
            <w:tcBorders>
              <w:top w:val="single" w:color="auto" w:sz="12" w:space="0"/>
              <w:left w:val="single" w:color="auto" w:sz="12" w:space="0"/>
              <w:bottom w:val="single" w:color="auto" w:sz="12" w:space="0"/>
              <w:right w:val="single" w:color="auto" w:sz="4" w:space="0"/>
            </w:tcBorders>
            <w:shd w:val="clear" w:color="auto" w:fill="FFFFFF"/>
            <w:tcMar>
              <w:top w:w="150" w:type="dxa"/>
              <w:left w:w="0" w:type="dxa"/>
              <w:bottom w:w="150" w:type="dxa"/>
              <w:right w:w="240" w:type="dxa"/>
            </w:tcMar>
            <w:vAlign w:val="center"/>
          </w:tcPr>
          <w:p w14:paraId="1F7350BF">
            <w:pPr>
              <w:pStyle w:val="179"/>
              <w:ind w:left="-105" w:leftChars="-50" w:right="-105" w:rightChars="-50"/>
              <w:rPr>
                <w:rFonts w:hAnsi="宋体" w:cs="宋体"/>
                <w:szCs w:val="21"/>
              </w:rPr>
            </w:pPr>
            <w:r>
              <w:rPr>
                <w:rFonts w:hint="eastAsia" w:hAnsi="宋体" w:cs="宋体"/>
                <w:szCs w:val="21"/>
              </w:rPr>
              <w:t>环境类型</w:t>
            </w:r>
          </w:p>
        </w:tc>
        <w:tc>
          <w:tcPr>
            <w:tcW w:w="1750" w:type="dxa"/>
            <w:tcBorders>
              <w:top w:val="single" w:color="auto" w:sz="12" w:space="0"/>
              <w:left w:val="single" w:color="auto" w:sz="4" w:space="0"/>
              <w:bottom w:val="single" w:color="auto" w:sz="12" w:space="0"/>
              <w:right w:val="single" w:color="auto" w:sz="4" w:space="0"/>
            </w:tcBorders>
            <w:shd w:val="clear" w:color="auto" w:fill="FFFFFF"/>
            <w:tcMar>
              <w:top w:w="150" w:type="dxa"/>
              <w:left w:w="240" w:type="dxa"/>
              <w:bottom w:w="150" w:type="dxa"/>
              <w:right w:w="240" w:type="dxa"/>
            </w:tcMar>
            <w:vAlign w:val="center"/>
          </w:tcPr>
          <w:p w14:paraId="362BAFC4">
            <w:pPr>
              <w:pStyle w:val="179"/>
              <w:ind w:left="-105" w:leftChars="-50" w:right="-105" w:rightChars="-50"/>
              <w:rPr>
                <w:rFonts w:hAnsi="宋体" w:cs="宋体"/>
                <w:szCs w:val="21"/>
              </w:rPr>
            </w:pPr>
            <w:r>
              <w:rPr>
                <w:rFonts w:hint="eastAsia" w:hAnsi="宋体" w:cs="宋体"/>
                <w:szCs w:val="21"/>
              </w:rPr>
              <w:t>预处理条件</w:t>
            </w:r>
          </w:p>
        </w:tc>
        <w:tc>
          <w:tcPr>
            <w:tcW w:w="2013" w:type="dxa"/>
            <w:tcBorders>
              <w:top w:val="single" w:color="auto" w:sz="12" w:space="0"/>
              <w:left w:val="single" w:color="auto" w:sz="4" w:space="0"/>
              <w:bottom w:val="single" w:color="auto" w:sz="12" w:space="0"/>
              <w:right w:val="single" w:color="auto" w:sz="4" w:space="0"/>
            </w:tcBorders>
            <w:shd w:val="clear" w:color="auto" w:fill="FFFFFF"/>
            <w:tcMar>
              <w:top w:w="150" w:type="dxa"/>
              <w:left w:w="240" w:type="dxa"/>
              <w:bottom w:w="150" w:type="dxa"/>
              <w:right w:w="240" w:type="dxa"/>
            </w:tcMar>
            <w:vAlign w:val="center"/>
          </w:tcPr>
          <w:p w14:paraId="1F0B4FC5">
            <w:pPr>
              <w:pStyle w:val="179"/>
              <w:ind w:left="-105" w:leftChars="-50" w:right="-105" w:rightChars="-50"/>
              <w:rPr>
                <w:rFonts w:hAnsi="宋体" w:cs="宋体"/>
                <w:szCs w:val="21"/>
              </w:rPr>
            </w:pPr>
            <w:r>
              <w:rPr>
                <w:rFonts w:hint="eastAsia" w:hAnsi="宋体" w:cs="宋体"/>
                <w:szCs w:val="21"/>
              </w:rPr>
              <w:t>处理时间</w:t>
            </w:r>
          </w:p>
        </w:tc>
        <w:tc>
          <w:tcPr>
            <w:tcW w:w="3287" w:type="dxa"/>
            <w:tcBorders>
              <w:top w:val="single" w:color="auto" w:sz="12" w:space="0"/>
              <w:left w:val="single" w:color="auto" w:sz="4" w:space="0"/>
              <w:bottom w:val="single" w:color="auto" w:sz="12" w:space="0"/>
              <w:right w:val="single" w:color="auto" w:sz="12" w:space="0"/>
            </w:tcBorders>
            <w:shd w:val="clear" w:color="auto" w:fill="FFFFFF"/>
            <w:tcMar>
              <w:top w:w="150" w:type="dxa"/>
              <w:left w:w="240" w:type="dxa"/>
              <w:bottom w:w="150" w:type="dxa"/>
              <w:right w:w="240" w:type="dxa"/>
            </w:tcMar>
            <w:vAlign w:val="center"/>
          </w:tcPr>
          <w:p w14:paraId="49980BB6">
            <w:pPr>
              <w:pStyle w:val="179"/>
              <w:ind w:left="-105" w:leftChars="-50" w:right="-105" w:rightChars="-50"/>
              <w:rPr>
                <w:rFonts w:hAnsi="宋体" w:cs="宋体"/>
                <w:szCs w:val="21"/>
              </w:rPr>
            </w:pPr>
            <w:r>
              <w:rPr>
                <w:rFonts w:hint="eastAsia" w:hAnsi="宋体" w:cs="宋体"/>
                <w:szCs w:val="21"/>
              </w:rPr>
              <w:t>依据标准</w:t>
            </w:r>
          </w:p>
        </w:tc>
      </w:tr>
      <w:tr w14:paraId="56D70164">
        <w:tblPrEx>
          <w:tblCellMar>
            <w:top w:w="15" w:type="dxa"/>
            <w:left w:w="15" w:type="dxa"/>
            <w:bottom w:w="15" w:type="dxa"/>
            <w:right w:w="15" w:type="dxa"/>
          </w:tblCellMar>
        </w:tblPrEx>
        <w:trPr>
          <w:trHeight w:val="312" w:hRule="atLeast"/>
        </w:trPr>
        <w:tc>
          <w:tcPr>
            <w:tcW w:w="2029" w:type="dxa"/>
            <w:tcBorders>
              <w:top w:val="single" w:color="auto" w:sz="12" w:space="0"/>
              <w:left w:val="single" w:color="auto" w:sz="12" w:space="0"/>
              <w:bottom w:val="single" w:color="auto" w:sz="4" w:space="0"/>
              <w:right w:val="single" w:color="auto" w:sz="4" w:space="0"/>
            </w:tcBorders>
            <w:shd w:val="clear" w:color="auto" w:fill="FFFFFF"/>
            <w:tcMar>
              <w:top w:w="150" w:type="dxa"/>
              <w:left w:w="0" w:type="dxa"/>
              <w:bottom w:w="150" w:type="dxa"/>
              <w:right w:w="240" w:type="dxa"/>
            </w:tcMar>
            <w:vAlign w:val="center"/>
          </w:tcPr>
          <w:p w14:paraId="2534EF9F">
            <w:pPr>
              <w:pStyle w:val="179"/>
              <w:ind w:left="-105" w:leftChars="-50" w:right="-105" w:rightChars="-50"/>
              <w:rPr>
                <w:rFonts w:hAnsi="宋体" w:cs="宋体"/>
                <w:szCs w:val="21"/>
              </w:rPr>
            </w:pPr>
            <w:r>
              <w:rPr>
                <w:rFonts w:hint="eastAsia" w:hAnsi="宋体" w:cs="宋体"/>
                <w:szCs w:val="21"/>
              </w:rPr>
              <w:t>极端低温</w:t>
            </w:r>
          </w:p>
        </w:tc>
        <w:tc>
          <w:tcPr>
            <w:tcW w:w="1750" w:type="dxa"/>
            <w:tcBorders>
              <w:top w:val="single" w:color="auto" w:sz="12"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5505B12">
            <w:pPr>
              <w:pStyle w:val="179"/>
              <w:ind w:left="-105" w:leftChars="-50" w:right="-105" w:rightChars="-50"/>
              <w:rPr>
                <w:rFonts w:hAnsi="宋体" w:cs="宋体"/>
                <w:szCs w:val="21"/>
              </w:rPr>
            </w:pPr>
            <w:r>
              <w:rPr>
                <w:rFonts w:hint="eastAsia" w:hAnsi="宋体" w:cs="宋体"/>
                <w:szCs w:val="21"/>
              </w:rPr>
              <w:t>-50°C±3°C</w:t>
            </w:r>
          </w:p>
        </w:tc>
        <w:tc>
          <w:tcPr>
            <w:tcW w:w="2013" w:type="dxa"/>
            <w:tcBorders>
              <w:top w:val="single" w:color="auto" w:sz="12"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AC70297">
            <w:pPr>
              <w:pStyle w:val="179"/>
              <w:ind w:left="-105" w:leftChars="-50" w:right="-105" w:rightChars="-50"/>
              <w:rPr>
                <w:rFonts w:hAnsi="宋体" w:cs="宋体"/>
                <w:szCs w:val="21"/>
              </w:rPr>
            </w:pPr>
            <w:r>
              <w:rPr>
                <w:rFonts w:hint="eastAsia" w:hAnsi="宋体" w:cs="宋体"/>
                <w:szCs w:val="21"/>
              </w:rPr>
              <w:t>≥4h</w:t>
            </w:r>
          </w:p>
        </w:tc>
        <w:tc>
          <w:tcPr>
            <w:tcW w:w="3287" w:type="dxa"/>
            <w:tcBorders>
              <w:top w:val="single" w:color="auto" w:sz="12" w:space="0"/>
              <w:left w:val="single" w:color="auto" w:sz="4" w:space="0"/>
              <w:bottom w:val="single" w:color="auto" w:sz="4" w:space="0"/>
              <w:right w:val="single" w:color="auto" w:sz="12" w:space="0"/>
            </w:tcBorders>
            <w:shd w:val="clear" w:color="auto" w:fill="FFFFFF"/>
            <w:tcMar>
              <w:top w:w="150" w:type="dxa"/>
              <w:left w:w="240" w:type="dxa"/>
              <w:bottom w:w="150" w:type="dxa"/>
              <w:right w:w="240" w:type="dxa"/>
            </w:tcMar>
            <w:vAlign w:val="center"/>
          </w:tcPr>
          <w:p w14:paraId="4D63E59D">
            <w:pPr>
              <w:pStyle w:val="179"/>
              <w:ind w:left="-105" w:leftChars="-50" w:right="-105" w:rightChars="-50"/>
              <w:rPr>
                <w:rFonts w:hAnsi="宋体" w:cs="宋体"/>
                <w:szCs w:val="21"/>
              </w:rPr>
            </w:pPr>
            <w:r>
              <w:rPr>
                <w:rFonts w:hint="eastAsia" w:hAnsi="宋体" w:cs="宋体"/>
                <w:szCs w:val="21"/>
              </w:rPr>
              <w:t>GB/T 2423.1</w:t>
            </w:r>
          </w:p>
        </w:tc>
      </w:tr>
      <w:tr w14:paraId="203A973F">
        <w:tblPrEx>
          <w:shd w:val="clear" w:color="auto" w:fill="FFFFFF"/>
          <w:tblCellMar>
            <w:top w:w="15" w:type="dxa"/>
            <w:left w:w="15" w:type="dxa"/>
            <w:bottom w:w="15" w:type="dxa"/>
            <w:right w:w="15" w:type="dxa"/>
          </w:tblCellMar>
        </w:tblPrEx>
        <w:trPr>
          <w:trHeight w:val="312" w:hRule="atLeast"/>
        </w:trPr>
        <w:tc>
          <w:tcPr>
            <w:tcW w:w="2029" w:type="dxa"/>
            <w:tcBorders>
              <w:top w:val="single" w:color="auto" w:sz="4" w:space="0"/>
              <w:left w:val="single" w:color="auto" w:sz="12" w:space="0"/>
              <w:bottom w:val="single" w:color="auto" w:sz="4" w:space="0"/>
              <w:right w:val="single" w:color="auto" w:sz="4" w:space="0"/>
            </w:tcBorders>
            <w:shd w:val="clear" w:color="auto" w:fill="FFFFFF"/>
            <w:tcMar>
              <w:top w:w="150" w:type="dxa"/>
              <w:left w:w="0" w:type="dxa"/>
              <w:bottom w:w="150" w:type="dxa"/>
              <w:right w:w="240" w:type="dxa"/>
            </w:tcMar>
            <w:vAlign w:val="center"/>
          </w:tcPr>
          <w:p w14:paraId="4FE1E5E6">
            <w:pPr>
              <w:pStyle w:val="179"/>
              <w:ind w:left="-105" w:leftChars="-50" w:right="-105" w:rightChars="-50"/>
              <w:rPr>
                <w:rFonts w:hAnsi="宋体" w:cs="宋体"/>
                <w:szCs w:val="21"/>
              </w:rPr>
            </w:pPr>
            <w:r>
              <w:rPr>
                <w:rFonts w:hint="eastAsia" w:hAnsi="宋体" w:cs="宋体"/>
                <w:szCs w:val="21"/>
              </w:rPr>
              <w:t>极端高温</w:t>
            </w:r>
          </w:p>
        </w:tc>
        <w:tc>
          <w:tcPr>
            <w:tcW w:w="175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9ECB09B">
            <w:pPr>
              <w:pStyle w:val="179"/>
              <w:ind w:left="-105" w:leftChars="-50" w:right="-105" w:rightChars="-50"/>
              <w:rPr>
                <w:rFonts w:hAnsi="宋体" w:cs="宋体"/>
                <w:szCs w:val="21"/>
              </w:rPr>
            </w:pPr>
            <w:r>
              <w:rPr>
                <w:rFonts w:hint="eastAsia" w:hAnsi="宋体" w:cs="宋体"/>
                <w:szCs w:val="21"/>
              </w:rPr>
              <w:t>+80°C ± 3°C</w:t>
            </w:r>
          </w:p>
        </w:tc>
        <w:tc>
          <w:tcPr>
            <w:tcW w:w="201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7D3A748">
            <w:pPr>
              <w:pStyle w:val="179"/>
              <w:ind w:left="-105" w:leftChars="-50" w:right="-105" w:rightChars="-50"/>
              <w:rPr>
                <w:rFonts w:hAnsi="宋体" w:cs="宋体"/>
                <w:szCs w:val="21"/>
              </w:rPr>
            </w:pPr>
            <w:r>
              <w:rPr>
                <w:rFonts w:hint="eastAsia" w:hAnsi="宋体" w:cs="宋体"/>
                <w:szCs w:val="21"/>
              </w:rPr>
              <w:t>≥4h</w:t>
            </w:r>
          </w:p>
        </w:tc>
        <w:tc>
          <w:tcPr>
            <w:tcW w:w="3287" w:type="dxa"/>
            <w:tcBorders>
              <w:top w:val="single" w:color="auto" w:sz="4" w:space="0"/>
              <w:left w:val="single" w:color="auto" w:sz="4" w:space="0"/>
              <w:bottom w:val="single" w:color="auto" w:sz="4" w:space="0"/>
              <w:right w:val="single" w:color="auto" w:sz="12" w:space="0"/>
            </w:tcBorders>
            <w:shd w:val="clear" w:color="auto" w:fill="FFFFFF"/>
            <w:tcMar>
              <w:top w:w="150" w:type="dxa"/>
              <w:left w:w="240" w:type="dxa"/>
              <w:bottom w:w="150" w:type="dxa"/>
              <w:right w:w="240" w:type="dxa"/>
            </w:tcMar>
            <w:vAlign w:val="center"/>
          </w:tcPr>
          <w:p w14:paraId="06C90569">
            <w:pPr>
              <w:pStyle w:val="179"/>
              <w:ind w:left="-105" w:leftChars="-50" w:right="-105" w:rightChars="-50"/>
              <w:rPr>
                <w:rFonts w:hAnsi="宋体" w:cs="宋体"/>
                <w:szCs w:val="21"/>
              </w:rPr>
            </w:pPr>
            <w:r>
              <w:rPr>
                <w:rFonts w:hint="eastAsia" w:hAnsi="宋体" w:cs="宋体"/>
                <w:szCs w:val="21"/>
              </w:rPr>
              <w:t>GB/T 2423.2</w:t>
            </w:r>
          </w:p>
        </w:tc>
      </w:tr>
      <w:tr w14:paraId="6D7D725F">
        <w:tblPrEx>
          <w:tblCellMar>
            <w:top w:w="15" w:type="dxa"/>
            <w:left w:w="15" w:type="dxa"/>
            <w:bottom w:w="15" w:type="dxa"/>
            <w:right w:w="15" w:type="dxa"/>
          </w:tblCellMar>
        </w:tblPrEx>
        <w:trPr>
          <w:trHeight w:val="312" w:hRule="atLeast"/>
        </w:trPr>
        <w:tc>
          <w:tcPr>
            <w:tcW w:w="2029" w:type="dxa"/>
            <w:tcBorders>
              <w:top w:val="single" w:color="auto" w:sz="4" w:space="0"/>
              <w:left w:val="single" w:color="auto" w:sz="12" w:space="0"/>
              <w:bottom w:val="single" w:color="auto" w:sz="4" w:space="0"/>
              <w:right w:val="single" w:color="auto" w:sz="4" w:space="0"/>
            </w:tcBorders>
            <w:shd w:val="clear" w:color="auto" w:fill="FFFFFF"/>
            <w:tcMar>
              <w:top w:w="150" w:type="dxa"/>
              <w:left w:w="0" w:type="dxa"/>
              <w:bottom w:w="150" w:type="dxa"/>
              <w:right w:w="240" w:type="dxa"/>
            </w:tcMar>
            <w:vAlign w:val="center"/>
          </w:tcPr>
          <w:p w14:paraId="3FE52A2B">
            <w:pPr>
              <w:pStyle w:val="179"/>
              <w:ind w:left="-105" w:leftChars="-50" w:right="-105" w:rightChars="-50"/>
              <w:rPr>
                <w:rFonts w:hAnsi="宋体" w:cs="宋体"/>
                <w:szCs w:val="21"/>
              </w:rPr>
            </w:pPr>
            <w:r>
              <w:rPr>
                <w:rFonts w:hint="eastAsia" w:hAnsi="宋体" w:cs="宋体"/>
                <w:szCs w:val="21"/>
              </w:rPr>
              <w:t>盐雾腐蚀</w:t>
            </w:r>
          </w:p>
        </w:tc>
        <w:tc>
          <w:tcPr>
            <w:tcW w:w="175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D2B5286">
            <w:pPr>
              <w:pStyle w:val="179"/>
              <w:ind w:left="-105" w:leftChars="-50" w:right="-105" w:rightChars="-50"/>
              <w:rPr>
                <w:rFonts w:hAnsi="宋体" w:cs="宋体"/>
                <w:szCs w:val="21"/>
              </w:rPr>
            </w:pPr>
            <w:r>
              <w:rPr>
                <w:rFonts w:hint="eastAsia" w:hAnsi="宋体" w:cs="宋体"/>
                <w:szCs w:val="21"/>
              </w:rPr>
              <w:t>中性盐雾 (NSS)</w:t>
            </w:r>
          </w:p>
        </w:tc>
        <w:tc>
          <w:tcPr>
            <w:tcW w:w="201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FEE9EAC">
            <w:pPr>
              <w:pStyle w:val="179"/>
              <w:ind w:left="-105" w:leftChars="-50" w:right="-105" w:rightChars="-50"/>
              <w:rPr>
                <w:rFonts w:hAnsi="宋体" w:cs="宋体"/>
                <w:szCs w:val="21"/>
              </w:rPr>
            </w:pPr>
            <w:r>
              <w:rPr>
                <w:rFonts w:hint="eastAsia" w:hAnsi="宋体" w:cs="宋体"/>
                <w:szCs w:val="21"/>
              </w:rPr>
              <w:t>96h</w:t>
            </w:r>
          </w:p>
        </w:tc>
        <w:tc>
          <w:tcPr>
            <w:tcW w:w="3287" w:type="dxa"/>
            <w:tcBorders>
              <w:top w:val="single" w:color="auto" w:sz="4" w:space="0"/>
              <w:left w:val="single" w:color="auto" w:sz="4" w:space="0"/>
              <w:bottom w:val="single" w:color="auto" w:sz="4" w:space="0"/>
              <w:right w:val="single" w:color="auto" w:sz="12" w:space="0"/>
            </w:tcBorders>
            <w:shd w:val="clear" w:color="auto" w:fill="FFFFFF"/>
            <w:tcMar>
              <w:top w:w="150" w:type="dxa"/>
              <w:left w:w="240" w:type="dxa"/>
              <w:bottom w:w="150" w:type="dxa"/>
              <w:right w:w="240" w:type="dxa"/>
            </w:tcMar>
            <w:vAlign w:val="center"/>
          </w:tcPr>
          <w:p w14:paraId="61B07B4A">
            <w:pPr>
              <w:pStyle w:val="179"/>
              <w:ind w:left="-105" w:leftChars="-50" w:right="-105" w:rightChars="-50"/>
              <w:rPr>
                <w:rFonts w:hAnsi="宋体" w:cs="宋体"/>
                <w:szCs w:val="21"/>
              </w:rPr>
            </w:pPr>
            <w:r>
              <w:rPr>
                <w:rFonts w:hint="eastAsia" w:hAnsi="宋体" w:cs="宋体"/>
                <w:szCs w:val="21"/>
              </w:rPr>
              <w:t>GB/T 10125</w:t>
            </w:r>
          </w:p>
        </w:tc>
      </w:tr>
      <w:tr w14:paraId="21D13A76">
        <w:tblPrEx>
          <w:tblCellMar>
            <w:top w:w="15" w:type="dxa"/>
            <w:left w:w="15" w:type="dxa"/>
            <w:bottom w:w="15" w:type="dxa"/>
            <w:right w:w="15" w:type="dxa"/>
          </w:tblCellMar>
        </w:tblPrEx>
        <w:trPr>
          <w:trHeight w:val="312" w:hRule="atLeast"/>
        </w:trPr>
        <w:tc>
          <w:tcPr>
            <w:tcW w:w="2029" w:type="dxa"/>
            <w:tcBorders>
              <w:top w:val="single" w:color="auto" w:sz="4" w:space="0"/>
              <w:left w:val="single" w:color="auto" w:sz="12" w:space="0"/>
              <w:bottom w:val="single" w:color="auto" w:sz="4" w:space="0"/>
              <w:right w:val="single" w:color="auto" w:sz="4" w:space="0"/>
            </w:tcBorders>
            <w:shd w:val="clear" w:color="auto" w:fill="FFFFFF"/>
            <w:tcMar>
              <w:top w:w="150" w:type="dxa"/>
              <w:left w:w="0" w:type="dxa"/>
              <w:bottom w:w="150" w:type="dxa"/>
              <w:right w:w="240" w:type="dxa"/>
            </w:tcMar>
            <w:vAlign w:val="center"/>
          </w:tcPr>
          <w:p w14:paraId="775FCF50">
            <w:pPr>
              <w:pStyle w:val="179"/>
              <w:ind w:left="-105" w:leftChars="-50" w:right="-105" w:rightChars="-50"/>
              <w:rPr>
                <w:rFonts w:hAnsi="宋体" w:cs="宋体"/>
                <w:szCs w:val="21"/>
              </w:rPr>
            </w:pPr>
            <w:r>
              <w:rPr>
                <w:rFonts w:hint="eastAsia" w:hAnsi="宋体" w:cs="宋体"/>
                <w:szCs w:val="21"/>
              </w:rPr>
              <w:t>紫外老化</w:t>
            </w:r>
          </w:p>
        </w:tc>
        <w:tc>
          <w:tcPr>
            <w:tcW w:w="175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D94EB58">
            <w:pPr>
              <w:pStyle w:val="179"/>
              <w:ind w:left="-105" w:leftChars="-50" w:right="-105" w:rightChars="-50"/>
              <w:rPr>
                <w:rFonts w:hAnsi="宋体" w:cs="宋体"/>
                <w:szCs w:val="21"/>
              </w:rPr>
            </w:pPr>
            <w:r>
              <w:rPr>
                <w:rFonts w:hint="eastAsia" w:hAnsi="宋体" w:cs="宋体"/>
                <w:szCs w:val="21"/>
              </w:rPr>
              <w:t>根据材料选定条件</w:t>
            </w:r>
          </w:p>
        </w:tc>
        <w:tc>
          <w:tcPr>
            <w:tcW w:w="201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672C162">
            <w:pPr>
              <w:pStyle w:val="179"/>
              <w:ind w:left="-105" w:leftChars="-50" w:right="-105" w:rightChars="-50"/>
              <w:rPr>
                <w:rFonts w:hAnsi="宋体" w:cs="宋体"/>
                <w:szCs w:val="21"/>
              </w:rPr>
            </w:pPr>
            <w:r>
              <w:rPr>
                <w:rFonts w:hint="eastAsia" w:hAnsi="宋体" w:cs="宋体"/>
                <w:szCs w:val="21"/>
              </w:rPr>
              <w:t>规定时间</w:t>
            </w:r>
          </w:p>
        </w:tc>
        <w:tc>
          <w:tcPr>
            <w:tcW w:w="3287" w:type="dxa"/>
            <w:tcBorders>
              <w:top w:val="single" w:color="auto" w:sz="4" w:space="0"/>
              <w:left w:val="single" w:color="auto" w:sz="4" w:space="0"/>
              <w:bottom w:val="single" w:color="auto" w:sz="4" w:space="0"/>
              <w:right w:val="single" w:color="auto" w:sz="12" w:space="0"/>
            </w:tcBorders>
            <w:shd w:val="clear" w:color="auto" w:fill="FFFFFF"/>
            <w:tcMar>
              <w:top w:w="150" w:type="dxa"/>
              <w:left w:w="240" w:type="dxa"/>
              <w:bottom w:w="150" w:type="dxa"/>
              <w:right w:w="240" w:type="dxa"/>
            </w:tcMar>
            <w:vAlign w:val="center"/>
          </w:tcPr>
          <w:p w14:paraId="39B59B55">
            <w:pPr>
              <w:pStyle w:val="179"/>
              <w:ind w:left="-105" w:leftChars="-50" w:right="-105" w:rightChars="-50"/>
              <w:rPr>
                <w:rFonts w:hAnsi="宋体" w:cs="宋体"/>
                <w:szCs w:val="21"/>
              </w:rPr>
            </w:pPr>
            <w:r>
              <w:rPr>
                <w:rFonts w:hint="eastAsia" w:hAnsi="宋体" w:cs="宋体"/>
                <w:szCs w:val="21"/>
              </w:rPr>
              <w:t>GB/T 14522</w:t>
            </w:r>
          </w:p>
        </w:tc>
      </w:tr>
      <w:tr w14:paraId="41B2C1F9">
        <w:tblPrEx>
          <w:tblCellMar>
            <w:top w:w="15" w:type="dxa"/>
            <w:left w:w="15" w:type="dxa"/>
            <w:bottom w:w="15" w:type="dxa"/>
            <w:right w:w="15" w:type="dxa"/>
          </w:tblCellMar>
        </w:tblPrEx>
        <w:trPr>
          <w:trHeight w:val="312" w:hRule="atLeast"/>
        </w:trPr>
        <w:tc>
          <w:tcPr>
            <w:tcW w:w="2029" w:type="dxa"/>
            <w:tcBorders>
              <w:top w:val="single" w:color="auto" w:sz="4" w:space="0"/>
              <w:left w:val="single" w:color="auto" w:sz="12" w:space="0"/>
              <w:bottom w:val="single" w:color="auto" w:sz="4" w:space="0"/>
              <w:right w:val="single" w:color="auto" w:sz="4" w:space="0"/>
            </w:tcBorders>
            <w:shd w:val="clear" w:color="auto" w:fill="FFFFFF"/>
            <w:tcMar>
              <w:top w:w="150" w:type="dxa"/>
              <w:left w:w="0" w:type="dxa"/>
              <w:bottom w:w="150" w:type="dxa"/>
              <w:right w:w="240" w:type="dxa"/>
            </w:tcMar>
            <w:vAlign w:val="center"/>
          </w:tcPr>
          <w:p w14:paraId="28FE306A">
            <w:pPr>
              <w:pStyle w:val="179"/>
              <w:ind w:left="-105" w:leftChars="-50" w:right="-105" w:rightChars="-50"/>
              <w:rPr>
                <w:rFonts w:hAnsi="宋体" w:cs="宋体"/>
                <w:szCs w:val="21"/>
              </w:rPr>
            </w:pPr>
            <w:r>
              <w:rPr>
                <w:rFonts w:hint="eastAsia" w:hAnsi="宋体" w:cs="宋体"/>
                <w:szCs w:val="21"/>
              </w:rPr>
              <w:t>恒定湿热</w:t>
            </w:r>
          </w:p>
        </w:tc>
        <w:tc>
          <w:tcPr>
            <w:tcW w:w="175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5AFDC2B">
            <w:pPr>
              <w:pStyle w:val="179"/>
              <w:ind w:left="-105" w:leftChars="-50" w:right="-105" w:rightChars="-50"/>
              <w:rPr>
                <w:rFonts w:hAnsi="宋体" w:cs="宋体"/>
                <w:szCs w:val="21"/>
              </w:rPr>
            </w:pPr>
            <w:r>
              <w:rPr>
                <w:rFonts w:hint="eastAsia" w:hAnsi="宋体" w:cs="宋体"/>
                <w:szCs w:val="21"/>
              </w:rPr>
              <w:t>40°C, 93% RH</w:t>
            </w:r>
          </w:p>
        </w:tc>
        <w:tc>
          <w:tcPr>
            <w:tcW w:w="201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E679771">
            <w:pPr>
              <w:pStyle w:val="179"/>
              <w:ind w:left="-105" w:leftChars="-50" w:right="-105" w:rightChars="-50"/>
              <w:rPr>
                <w:rFonts w:hAnsi="宋体" w:cs="宋体"/>
                <w:szCs w:val="21"/>
              </w:rPr>
            </w:pPr>
            <w:r>
              <w:rPr>
                <w:rFonts w:hint="eastAsia" w:hAnsi="宋体" w:cs="宋体"/>
                <w:szCs w:val="21"/>
              </w:rPr>
              <w:t>48h</w:t>
            </w:r>
          </w:p>
        </w:tc>
        <w:tc>
          <w:tcPr>
            <w:tcW w:w="3287" w:type="dxa"/>
            <w:tcBorders>
              <w:top w:val="single" w:color="auto" w:sz="4" w:space="0"/>
              <w:left w:val="single" w:color="auto" w:sz="4" w:space="0"/>
              <w:bottom w:val="single" w:color="auto" w:sz="4" w:space="0"/>
              <w:right w:val="single" w:color="auto" w:sz="12" w:space="0"/>
            </w:tcBorders>
            <w:shd w:val="clear" w:color="auto" w:fill="FFFFFF"/>
            <w:tcMar>
              <w:top w:w="150" w:type="dxa"/>
              <w:left w:w="240" w:type="dxa"/>
              <w:bottom w:w="150" w:type="dxa"/>
              <w:right w:w="240" w:type="dxa"/>
            </w:tcMar>
            <w:vAlign w:val="center"/>
          </w:tcPr>
          <w:p w14:paraId="0A9FFAD9">
            <w:pPr>
              <w:pStyle w:val="179"/>
              <w:ind w:left="-105" w:leftChars="-50" w:right="-105" w:rightChars="-50"/>
              <w:rPr>
                <w:rFonts w:hAnsi="宋体" w:cs="宋体"/>
                <w:szCs w:val="21"/>
              </w:rPr>
            </w:pPr>
            <w:r>
              <w:rPr>
                <w:rFonts w:hint="eastAsia" w:hAnsi="宋体" w:cs="宋体"/>
                <w:szCs w:val="21"/>
              </w:rPr>
              <w:t>GB/T 2423.3</w:t>
            </w:r>
          </w:p>
        </w:tc>
      </w:tr>
      <w:tr w14:paraId="002A253F">
        <w:tblPrEx>
          <w:tblCellMar>
            <w:top w:w="15" w:type="dxa"/>
            <w:left w:w="15" w:type="dxa"/>
            <w:bottom w:w="15" w:type="dxa"/>
            <w:right w:w="15" w:type="dxa"/>
          </w:tblCellMar>
        </w:tblPrEx>
        <w:trPr>
          <w:trHeight w:val="312" w:hRule="atLeast"/>
        </w:trPr>
        <w:tc>
          <w:tcPr>
            <w:tcW w:w="2029" w:type="dxa"/>
            <w:tcBorders>
              <w:top w:val="single" w:color="auto" w:sz="4" w:space="0"/>
              <w:left w:val="single" w:color="auto" w:sz="12" w:space="0"/>
              <w:bottom w:val="single" w:color="auto" w:sz="4" w:space="0"/>
              <w:right w:val="single" w:color="auto" w:sz="4" w:space="0"/>
            </w:tcBorders>
            <w:shd w:val="clear" w:color="auto" w:fill="FFFFFF"/>
            <w:tcMar>
              <w:top w:w="150" w:type="dxa"/>
              <w:left w:w="0" w:type="dxa"/>
              <w:bottom w:w="150" w:type="dxa"/>
              <w:right w:w="240" w:type="dxa"/>
            </w:tcMar>
            <w:vAlign w:val="center"/>
          </w:tcPr>
          <w:p w14:paraId="064C221C">
            <w:pPr>
              <w:pStyle w:val="179"/>
              <w:ind w:left="-105" w:leftChars="-50" w:right="-105" w:rightChars="-50"/>
              <w:rPr>
                <w:rFonts w:hAnsi="宋体" w:cs="宋体"/>
                <w:szCs w:val="21"/>
              </w:rPr>
            </w:pPr>
            <w:r>
              <w:rPr>
                <w:rFonts w:hint="eastAsia" w:hAnsi="宋体" w:cs="宋体"/>
                <w:szCs w:val="21"/>
              </w:rPr>
              <w:t>浸水</w:t>
            </w:r>
          </w:p>
        </w:tc>
        <w:tc>
          <w:tcPr>
            <w:tcW w:w="175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74FC03B">
            <w:pPr>
              <w:pStyle w:val="179"/>
              <w:ind w:left="-105" w:leftChars="-50" w:right="-105" w:rightChars="-50"/>
              <w:rPr>
                <w:rFonts w:hAnsi="宋体" w:cs="宋体"/>
                <w:szCs w:val="21"/>
              </w:rPr>
            </w:pPr>
            <w:r>
              <w:rPr>
                <w:rFonts w:hint="eastAsia" w:hAnsi="宋体" w:cs="宋体"/>
                <w:szCs w:val="21"/>
              </w:rPr>
              <w:t>常温自来水</w:t>
            </w:r>
          </w:p>
        </w:tc>
        <w:tc>
          <w:tcPr>
            <w:tcW w:w="2013"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B31970F">
            <w:pPr>
              <w:pStyle w:val="179"/>
              <w:ind w:left="-105" w:leftChars="-50" w:right="-105" w:rightChars="-50"/>
              <w:rPr>
                <w:rFonts w:hAnsi="宋体" w:cs="宋体"/>
                <w:szCs w:val="21"/>
              </w:rPr>
            </w:pPr>
            <w:r>
              <w:rPr>
                <w:rFonts w:hint="eastAsia" w:hAnsi="宋体" w:cs="宋体"/>
                <w:szCs w:val="21"/>
              </w:rPr>
              <w:t>24h</w:t>
            </w:r>
          </w:p>
        </w:tc>
        <w:tc>
          <w:tcPr>
            <w:tcW w:w="3287" w:type="dxa"/>
            <w:tcBorders>
              <w:top w:val="single" w:color="auto" w:sz="4" w:space="0"/>
              <w:left w:val="single" w:color="auto" w:sz="4" w:space="0"/>
              <w:bottom w:val="single" w:color="auto" w:sz="4" w:space="0"/>
              <w:right w:val="single" w:color="auto" w:sz="12" w:space="0"/>
            </w:tcBorders>
            <w:shd w:val="clear" w:color="auto" w:fill="FFFFFF"/>
            <w:tcMar>
              <w:top w:w="150" w:type="dxa"/>
              <w:left w:w="240" w:type="dxa"/>
              <w:bottom w:w="150" w:type="dxa"/>
              <w:right w:w="240" w:type="dxa"/>
            </w:tcMar>
            <w:vAlign w:val="center"/>
          </w:tcPr>
          <w:p w14:paraId="57DD46F2">
            <w:pPr>
              <w:pStyle w:val="179"/>
              <w:ind w:left="-105" w:leftChars="-50" w:right="-105" w:rightChars="-50"/>
              <w:rPr>
                <w:rFonts w:hAnsi="宋体" w:cs="宋体"/>
                <w:szCs w:val="21"/>
              </w:rPr>
            </w:pPr>
            <w:r>
              <w:rPr>
                <w:rFonts w:hint="eastAsia" w:hAnsi="宋体" w:cs="宋体"/>
                <w:szCs w:val="21"/>
              </w:rPr>
              <w:t>-</w:t>
            </w:r>
          </w:p>
        </w:tc>
      </w:tr>
      <w:tr w14:paraId="27EBE058">
        <w:tblPrEx>
          <w:tblCellMar>
            <w:top w:w="15" w:type="dxa"/>
            <w:left w:w="15" w:type="dxa"/>
            <w:bottom w:w="15" w:type="dxa"/>
            <w:right w:w="15" w:type="dxa"/>
          </w:tblCellMar>
        </w:tblPrEx>
        <w:trPr>
          <w:trHeight w:val="312" w:hRule="atLeast"/>
        </w:trPr>
        <w:tc>
          <w:tcPr>
            <w:tcW w:w="2029" w:type="dxa"/>
            <w:tcBorders>
              <w:top w:val="single" w:color="auto" w:sz="4" w:space="0"/>
              <w:left w:val="single" w:color="auto" w:sz="12" w:space="0"/>
              <w:bottom w:val="single" w:color="auto" w:sz="12" w:space="0"/>
              <w:right w:val="single" w:color="auto" w:sz="4" w:space="0"/>
            </w:tcBorders>
            <w:shd w:val="clear" w:color="auto" w:fill="FFFFFF"/>
            <w:tcMar>
              <w:top w:w="150" w:type="dxa"/>
              <w:left w:w="0" w:type="dxa"/>
              <w:bottom w:w="150" w:type="dxa"/>
              <w:right w:w="240" w:type="dxa"/>
            </w:tcMar>
            <w:vAlign w:val="center"/>
          </w:tcPr>
          <w:p w14:paraId="1245E3D3">
            <w:pPr>
              <w:pStyle w:val="179"/>
              <w:ind w:left="-105" w:leftChars="-50" w:right="-105" w:rightChars="-50"/>
              <w:rPr>
                <w:rFonts w:hAnsi="宋体" w:cs="宋体"/>
                <w:szCs w:val="21"/>
              </w:rPr>
            </w:pPr>
            <w:r>
              <w:rPr>
                <w:rFonts w:hint="eastAsia" w:hAnsi="宋体" w:cs="宋体"/>
                <w:szCs w:val="21"/>
              </w:rPr>
              <w:t>低气压</w:t>
            </w:r>
          </w:p>
        </w:tc>
        <w:tc>
          <w:tcPr>
            <w:tcW w:w="1750" w:type="dxa"/>
            <w:tcBorders>
              <w:top w:val="single" w:color="auto" w:sz="4" w:space="0"/>
              <w:left w:val="single" w:color="auto" w:sz="4" w:space="0"/>
              <w:bottom w:val="single" w:color="auto" w:sz="12" w:space="0"/>
              <w:right w:val="single" w:color="auto" w:sz="4" w:space="0"/>
            </w:tcBorders>
            <w:shd w:val="clear" w:color="auto" w:fill="FFFFFF"/>
            <w:tcMar>
              <w:top w:w="150" w:type="dxa"/>
              <w:left w:w="240" w:type="dxa"/>
              <w:bottom w:w="150" w:type="dxa"/>
              <w:right w:w="240" w:type="dxa"/>
            </w:tcMar>
            <w:vAlign w:val="center"/>
          </w:tcPr>
          <w:p w14:paraId="6B08E632">
            <w:pPr>
              <w:pStyle w:val="179"/>
              <w:ind w:left="-105" w:leftChars="-50" w:right="-105" w:rightChars="-50"/>
              <w:rPr>
                <w:rFonts w:hAnsi="宋体" w:cs="宋体"/>
                <w:szCs w:val="21"/>
              </w:rPr>
            </w:pPr>
            <w:r>
              <w:rPr>
                <w:rFonts w:hint="eastAsia" w:hAnsi="宋体" w:cs="宋体"/>
                <w:szCs w:val="21"/>
              </w:rPr>
              <w:t>模拟海拔5000米气压</w:t>
            </w:r>
          </w:p>
        </w:tc>
        <w:tc>
          <w:tcPr>
            <w:tcW w:w="2013" w:type="dxa"/>
            <w:tcBorders>
              <w:top w:val="single" w:color="auto" w:sz="4" w:space="0"/>
              <w:left w:val="single" w:color="auto" w:sz="4" w:space="0"/>
              <w:bottom w:val="single" w:color="auto" w:sz="12" w:space="0"/>
              <w:right w:val="single" w:color="auto" w:sz="4" w:space="0"/>
            </w:tcBorders>
            <w:shd w:val="clear" w:color="auto" w:fill="FFFFFF"/>
            <w:tcMar>
              <w:top w:w="150" w:type="dxa"/>
              <w:left w:w="240" w:type="dxa"/>
              <w:bottom w:w="150" w:type="dxa"/>
              <w:right w:w="240" w:type="dxa"/>
            </w:tcMar>
            <w:vAlign w:val="center"/>
          </w:tcPr>
          <w:p w14:paraId="4F8334BC">
            <w:pPr>
              <w:pStyle w:val="179"/>
              <w:ind w:left="-105" w:leftChars="-50" w:right="-105" w:rightChars="-50"/>
              <w:rPr>
                <w:rFonts w:hAnsi="宋体" w:cs="宋体"/>
                <w:szCs w:val="21"/>
              </w:rPr>
            </w:pPr>
            <w:r>
              <w:rPr>
                <w:rFonts w:hint="eastAsia" w:hAnsi="宋体" w:cs="宋体"/>
                <w:szCs w:val="21"/>
              </w:rPr>
              <w:t>≥1 h</w:t>
            </w:r>
          </w:p>
        </w:tc>
        <w:tc>
          <w:tcPr>
            <w:tcW w:w="3287" w:type="dxa"/>
            <w:tcBorders>
              <w:top w:val="single" w:color="auto" w:sz="4" w:space="0"/>
              <w:left w:val="single" w:color="auto" w:sz="4" w:space="0"/>
              <w:bottom w:val="single" w:color="auto" w:sz="12" w:space="0"/>
              <w:right w:val="single" w:color="auto" w:sz="12" w:space="0"/>
            </w:tcBorders>
            <w:shd w:val="clear" w:color="auto" w:fill="FFFFFF"/>
            <w:tcMar>
              <w:top w:w="150" w:type="dxa"/>
              <w:left w:w="240" w:type="dxa"/>
              <w:bottom w:w="150" w:type="dxa"/>
              <w:right w:w="240" w:type="dxa"/>
            </w:tcMar>
            <w:vAlign w:val="center"/>
          </w:tcPr>
          <w:p w14:paraId="347F7CA4">
            <w:pPr>
              <w:pStyle w:val="179"/>
              <w:ind w:left="-105" w:leftChars="-50" w:right="-105" w:rightChars="-50"/>
              <w:rPr>
                <w:rFonts w:hAnsi="宋体" w:cs="宋体"/>
                <w:szCs w:val="21"/>
              </w:rPr>
            </w:pPr>
            <w:r>
              <w:rPr>
                <w:rFonts w:hint="eastAsia" w:hAnsi="宋体" w:cs="宋体"/>
                <w:szCs w:val="21"/>
              </w:rPr>
              <w:t>GB/T 2423.21</w:t>
            </w:r>
          </w:p>
        </w:tc>
      </w:tr>
    </w:tbl>
    <w:p w14:paraId="5BDD4ED1">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性能测试方法</w:t>
      </w:r>
    </w:p>
    <w:p w14:paraId="65F7C051">
      <w:pPr>
        <w:pStyle w:val="66"/>
        <w:spacing w:before="0" w:beforeLines="0" w:after="0" w:afterLines="0"/>
        <w:rPr>
          <w:rFonts w:ascii="宋体" w:hAnsi="宋体" w:eastAsia="宋体" w:cs="宋体"/>
        </w:rPr>
      </w:pPr>
      <w:r>
        <w:rPr>
          <w:rFonts w:hint="eastAsia" w:ascii="宋体" w:hAnsi="宋体" w:eastAsia="宋体" w:cs="宋体"/>
        </w:rPr>
        <w:t>静态强度测试：</w:t>
      </w:r>
    </w:p>
    <w:p w14:paraId="31CB6929">
      <w:pPr>
        <w:pStyle w:val="133"/>
      </w:pPr>
      <w:r>
        <w:rPr>
          <w:rFonts w:hint="eastAsia"/>
        </w:rPr>
        <w:t>使用经过校准的万能材料试验机，以</w:t>
      </w:r>
      <w:r>
        <w:t>(30±5) mm/min的拉伸速度匀速加载，直至达到标准规定的负荷值（如22 kN for 连接器）或样品破坏</w:t>
      </w:r>
      <w:r>
        <w:rPr>
          <w:rFonts w:hint="eastAsia"/>
        </w:rPr>
        <w:t>；</w:t>
      </w:r>
    </w:p>
    <w:p w14:paraId="6A44B8ED">
      <w:pPr>
        <w:pStyle w:val="133"/>
      </w:pPr>
      <w:r>
        <w:rPr>
          <w:rFonts w:hint="eastAsia"/>
        </w:rPr>
        <w:t>记录最大负荷值、破坏部位和破坏形式；</w:t>
      </w:r>
    </w:p>
    <w:p w14:paraId="6F612983">
      <w:pPr>
        <w:pStyle w:val="133"/>
      </w:pPr>
      <w:r>
        <w:rPr>
          <w:rFonts w:hint="eastAsia"/>
        </w:rPr>
        <w:t>样品经7.3条所述的环境预处理后，立即按上述方法进行测试，并计算性能保持率。</w:t>
      </w:r>
    </w:p>
    <w:p w14:paraId="4EE63715">
      <w:pPr>
        <w:pStyle w:val="66"/>
        <w:spacing w:before="0" w:beforeLines="0" w:after="0" w:afterLines="0"/>
        <w:rPr>
          <w:rFonts w:ascii="宋体" w:hAnsi="宋体" w:eastAsia="宋体" w:cs="宋体"/>
        </w:rPr>
      </w:pPr>
      <w:r>
        <w:rPr>
          <w:rFonts w:hint="eastAsia" w:ascii="宋体" w:hAnsi="宋体" w:eastAsia="宋体" w:cs="宋体"/>
        </w:rPr>
        <w:t>动态性能测试（坠落冲击测试）：</w:t>
      </w:r>
    </w:p>
    <w:p w14:paraId="59ADE8D7">
      <w:pPr>
        <w:pStyle w:val="133"/>
      </w:pPr>
      <w:r>
        <w:rPr>
          <w:rFonts w:hint="eastAsia"/>
        </w:rPr>
        <w:t>使用</w:t>
      </w:r>
      <w:r>
        <w:t>100kg</w:t>
      </w:r>
      <w:r>
        <w:rPr>
          <w:rFonts w:hint="eastAsia"/>
        </w:rPr>
        <w:t xml:space="preserve"> </w:t>
      </w:r>
      <w:r>
        <w:t>±</w:t>
      </w:r>
      <w:r>
        <w:rPr>
          <w:rFonts w:hint="eastAsia"/>
        </w:rPr>
        <w:t xml:space="preserve"> </w:t>
      </w:r>
      <w:r>
        <w:t>1kg的刚性金属假人</w:t>
      </w:r>
      <w:r>
        <w:rPr>
          <w:rFonts w:hint="eastAsia"/>
        </w:rPr>
        <w:t>进行质量测试；</w:t>
      </w:r>
    </w:p>
    <w:p w14:paraId="4E3BC5B1">
      <w:pPr>
        <w:pStyle w:val="133"/>
      </w:pPr>
      <w:r>
        <w:rPr>
          <w:rFonts w:hint="eastAsia"/>
        </w:rPr>
        <w:t>将样品正确连接在测试质量和安全带之间。坠落锚点应为刚性，在施加10 kN力时挠度不超过1 mm；</w:t>
      </w:r>
    </w:p>
    <w:p w14:paraId="0C2AAFBD">
      <w:pPr>
        <w:pStyle w:val="133"/>
      </w:pPr>
      <w:r>
        <w:rPr>
          <w:rFonts w:hint="eastAsia"/>
        </w:rPr>
        <w:t>根据产品类型设定坠落高度。对于速差自控器（RSL），通常为0.5 m或产生2 m坠落后锁止</w:t>
      </w:r>
      <w:r>
        <w:fldChar w:fldCharType="begin"/>
      </w:r>
      <w:r>
        <w:instrText xml:space="preserve"> HYPERLINK "https://www.laboratuar.com/zh-TW/testler/dusme-koruma-ekipmani-testleri/dusme-onleyici-dinamik-performans-(ansi-z35915)/testler/dusme-koruma-ekipmani-testleri/en-354-kisisel-dusmeye-karsi-koruma-ekipmani---boyun-askilari-icin-standart-test-yontemi/testler/dusme-koruma-ekipmani-testleri/kendinden-geri-cekilen-cihaz-dinamik-performans-(en-360)/" \t "https://chat.deepseek.com/a/chat/s/_blank" </w:instrText>
      </w:r>
      <w:r>
        <w:fldChar w:fldCharType="separate"/>
      </w:r>
      <w:r>
        <w:fldChar w:fldCharType="end"/>
      </w:r>
      <w:r>
        <w:rPr>
          <w:rFonts w:hint="eastAsia"/>
        </w:rPr>
        <w:t>；对于导向式防坠器，按相应标准规定；</w:t>
      </w:r>
    </w:p>
    <w:p w14:paraId="4336E9CB">
      <w:pPr>
        <w:pStyle w:val="133"/>
      </w:pPr>
      <w:r>
        <w:rPr>
          <w:rFonts w:hint="eastAsia"/>
        </w:rPr>
        <w:t>提升测试质量至预定高度（锚点下方），确保无初始速度释放。测试过程中，测试质量不得碰到任何障碍物；</w:t>
      </w:r>
    </w:p>
    <w:p w14:paraId="25B62DFB">
      <w:pPr>
        <w:pStyle w:val="133"/>
      </w:pPr>
      <w:r>
        <w:rPr>
          <w:rFonts w:hint="eastAsia"/>
        </w:rPr>
        <w:t>使用力传感器测量冲击力（峰值力应≤6 kN</w:t>
      </w:r>
      <w:r>
        <w:fldChar w:fldCharType="begin"/>
      </w:r>
      <w:r>
        <w:instrText xml:space="preserve"> HYPERLINK "https://www.sohu.com/a/934338126_121123779?scm=10001.325_13-325_13.0.0.5_32&amp;spm=smpc.channel_248.block3_308_NDdFbm_1_fd.2.1757675705667HaoFtUM_324" \t "https://chat.deepseek.com/a/chat/s/_blank" </w:instrText>
      </w:r>
      <w:r>
        <w:fldChar w:fldCharType="separate"/>
      </w:r>
      <w:r>
        <w:fldChar w:fldCharType="end"/>
      </w:r>
      <w:r>
        <w:rPr>
          <w:rFonts w:hint="eastAsia"/>
        </w:rPr>
        <w:t>），并测量制动距离（锁止后测试质量移动的最大距离）；</w:t>
      </w:r>
    </w:p>
    <w:p w14:paraId="7F7253B9">
      <w:pPr>
        <w:pStyle w:val="133"/>
      </w:pPr>
      <w:r>
        <w:rPr>
          <w:rFonts w:hint="eastAsia"/>
        </w:rPr>
        <w:t>样品经极端环境预处理后，立即进行动态冲击测试。</w:t>
      </w:r>
    </w:p>
    <w:p w14:paraId="00A2E38D">
      <w:pPr>
        <w:pStyle w:val="66"/>
        <w:spacing w:before="0" w:beforeLines="0" w:after="0" w:afterLines="0"/>
      </w:pPr>
      <w:r>
        <w:rPr>
          <w:rFonts w:hint="eastAsia" w:ascii="宋体" w:hAnsi="宋体" w:eastAsia="宋体" w:cs="宋体"/>
        </w:rPr>
        <w:t>功能操作测试：</w:t>
      </w:r>
    </w:p>
    <w:p w14:paraId="5729998E">
      <w:pPr>
        <w:pStyle w:val="133"/>
      </w:pPr>
      <w:r>
        <w:rPr>
          <w:rFonts w:hint="eastAsia"/>
        </w:rPr>
        <w:t>在环境预处理</w:t>
      </w:r>
      <w:r>
        <w:t>后及过程中</w:t>
      </w:r>
      <w:r>
        <w:rPr>
          <w:rFonts w:hint="eastAsia"/>
        </w:rPr>
        <w:t>的方法</w:t>
      </w:r>
      <w:r>
        <w:t>（如适用），模拟佩戴厚重手套（至少5mm厚）的操作条件，对所有操作机构（如连接器的开启、自锁器的复位钮、速差器的拉出和回缩）进行至少5次正常操作</w:t>
      </w:r>
      <w:r>
        <w:rPr>
          <w:rFonts w:hint="eastAsia"/>
        </w:rPr>
        <w:t>；</w:t>
      </w:r>
    </w:p>
    <w:p w14:paraId="5166AFEB">
      <w:pPr>
        <w:pStyle w:val="133"/>
      </w:pPr>
      <w:r>
        <w:rPr>
          <w:rFonts w:hint="eastAsia"/>
        </w:rPr>
        <w:t>要求操作必须灵活、可靠，无卡滞、误操作或异常声响。盐雾试验后的金属件不应有因腐蚀导致的操作失灵。</w:t>
      </w:r>
    </w:p>
    <w:p w14:paraId="6FB11A2D">
      <w:pPr>
        <w:pStyle w:val="66"/>
        <w:spacing w:before="0" w:beforeLines="0" w:after="0" w:afterLines="0"/>
        <w:rPr>
          <w:rFonts w:ascii="宋体" w:hAnsi="宋体" w:eastAsia="宋体" w:cs="宋体"/>
        </w:rPr>
      </w:pPr>
      <w:r>
        <w:rPr>
          <w:rFonts w:hint="eastAsia" w:ascii="宋体" w:hAnsi="宋体" w:eastAsia="宋体" w:cs="宋体"/>
        </w:rPr>
        <w:t>耐磨性测试（适用于速差器、导向环等）：</w:t>
      </w:r>
    </w:p>
    <w:p w14:paraId="729A222C">
      <w:pPr>
        <w:pStyle w:val="133"/>
      </w:pPr>
      <w:r>
        <w:rPr>
          <w:rFonts w:hint="eastAsia"/>
        </w:rPr>
        <w:t>按EN 360:2023中相关要求，使绳索或织带在装置中以规定速度、行程和次数进行往复运动；</w:t>
      </w:r>
    </w:p>
    <w:p w14:paraId="63A0BB13">
      <w:pPr>
        <w:pStyle w:val="133"/>
      </w:pPr>
      <w:r>
        <w:rPr>
          <w:rFonts w:hint="eastAsia"/>
        </w:rPr>
        <w:t>测试后，绳索/织带磨损不应影响其强度要求，装置功能应正常。</w:t>
      </w:r>
    </w:p>
    <w:p w14:paraId="3ABABB2F">
      <w:pPr>
        <w:pStyle w:val="66"/>
        <w:spacing w:before="0" w:beforeLines="0" w:after="0" w:afterLines="0"/>
        <w:rPr>
          <w:rFonts w:ascii="宋体" w:hAnsi="宋体" w:eastAsia="宋体" w:cs="宋体"/>
        </w:rPr>
      </w:pPr>
      <w:r>
        <w:rPr>
          <w:rFonts w:hint="eastAsia" w:ascii="宋体" w:hAnsi="宋体" w:eastAsia="宋体" w:cs="宋体"/>
        </w:rPr>
        <w:t>抗风扰测试（适用于SWE型速差自控器）：</w:t>
      </w:r>
    </w:p>
    <w:p w14:paraId="62886A56">
      <w:pPr>
        <w:pStyle w:val="133"/>
      </w:pPr>
      <w:r>
        <w:rPr>
          <w:rFonts w:hint="eastAsia"/>
        </w:rPr>
        <w:t>在风洞中，使样品在15 m/s的侧向风环境下进行动态性能测试或模拟测试；</w:t>
      </w:r>
    </w:p>
    <w:p w14:paraId="3BCA8C5C">
      <w:pPr>
        <w:pStyle w:val="133"/>
      </w:pPr>
      <w:r>
        <w:rPr>
          <w:rFonts w:hint="eastAsia"/>
        </w:rPr>
        <w:t>其制动锁止功能须正常，不应因风力影响而发生非正常开启、延迟锁止或失效。</w:t>
      </w:r>
    </w:p>
    <w:p w14:paraId="49DC79AC">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测试报告</w:t>
      </w:r>
    </w:p>
    <w:p w14:paraId="4C107FDF">
      <w:pPr>
        <w:pStyle w:val="57"/>
        <w:ind w:firstLine="420"/>
      </w:pPr>
      <w:r>
        <w:rPr>
          <w:rFonts w:hint="eastAsia"/>
        </w:rPr>
        <w:t>测试报告应至少包括以下信息：</w:t>
      </w:r>
    </w:p>
    <w:p w14:paraId="2053FA47">
      <w:pPr>
        <w:pStyle w:val="175"/>
        <w:numPr>
          <w:ilvl w:val="0"/>
          <w:numId w:val="33"/>
        </w:numPr>
      </w:pPr>
      <w:r>
        <w:rPr>
          <w:rFonts w:hint="eastAsia"/>
        </w:rPr>
        <w:t>被测样品的描述（名称、型号、生产厂、生产日期、序列号）；</w:t>
      </w:r>
    </w:p>
    <w:p w14:paraId="3451CA4E">
      <w:pPr>
        <w:pStyle w:val="175"/>
        <w:numPr>
          <w:ilvl w:val="0"/>
          <w:numId w:val="33"/>
        </w:numPr>
      </w:pPr>
      <w:r>
        <w:rPr>
          <w:rFonts w:hint="eastAsia"/>
        </w:rPr>
        <w:t>本标准编号及测试项目；</w:t>
      </w:r>
    </w:p>
    <w:p w14:paraId="6DFA5FC6">
      <w:pPr>
        <w:pStyle w:val="175"/>
        <w:numPr>
          <w:ilvl w:val="0"/>
          <w:numId w:val="33"/>
        </w:numPr>
      </w:pPr>
      <w:r>
        <w:rPr>
          <w:rFonts w:hint="eastAsia"/>
        </w:rPr>
        <w:t>测试环境条件（温度、湿度）；</w:t>
      </w:r>
    </w:p>
    <w:p w14:paraId="5BCA5525">
      <w:pPr>
        <w:pStyle w:val="175"/>
        <w:numPr>
          <w:ilvl w:val="0"/>
          <w:numId w:val="33"/>
        </w:numPr>
      </w:pPr>
      <w:r>
        <w:rPr>
          <w:rFonts w:hint="eastAsia"/>
        </w:rPr>
        <w:t>测试设备信息；</w:t>
      </w:r>
    </w:p>
    <w:p w14:paraId="0A94CA12">
      <w:pPr>
        <w:pStyle w:val="175"/>
        <w:numPr>
          <w:ilvl w:val="0"/>
          <w:numId w:val="33"/>
        </w:numPr>
      </w:pPr>
      <w:r>
        <w:rPr>
          <w:rFonts w:hint="eastAsia"/>
        </w:rPr>
        <w:t>详细的测试步骤和预处理条件；</w:t>
      </w:r>
    </w:p>
    <w:p w14:paraId="0C2BA7E5">
      <w:pPr>
        <w:pStyle w:val="175"/>
        <w:numPr>
          <w:ilvl w:val="0"/>
          <w:numId w:val="33"/>
        </w:numPr>
      </w:pPr>
      <w:r>
        <w:rPr>
          <w:rFonts w:hint="eastAsia"/>
        </w:rPr>
        <w:t>测试结果（原始数据、图表、照片）；</w:t>
      </w:r>
    </w:p>
    <w:p w14:paraId="7462FE3D">
      <w:pPr>
        <w:pStyle w:val="175"/>
        <w:numPr>
          <w:ilvl w:val="0"/>
          <w:numId w:val="33"/>
        </w:numPr>
      </w:pPr>
      <w:r>
        <w:rPr>
          <w:rFonts w:hint="eastAsia"/>
        </w:rPr>
        <w:t>与规定要求的符合性判定；</w:t>
      </w:r>
    </w:p>
    <w:p w14:paraId="100FACF7">
      <w:pPr>
        <w:pStyle w:val="175"/>
        <w:numPr>
          <w:ilvl w:val="0"/>
          <w:numId w:val="33"/>
        </w:numPr>
      </w:pPr>
      <w:r>
        <w:rPr>
          <w:rFonts w:hint="eastAsia"/>
        </w:rPr>
        <w:t>测试日期和测试人员签名。</w:t>
      </w:r>
    </w:p>
    <w:p w14:paraId="4997F98A">
      <w:pPr>
        <w:pStyle w:val="105"/>
        <w:spacing w:before="240" w:after="240"/>
        <w:rPr>
          <w:rFonts w:ascii="宋体" w:eastAsia="宋体" w:cs="宋体"/>
          <w:shd w:val="clear" w:color="auto" w:fill="FFFFFF"/>
        </w:rPr>
      </w:pPr>
      <w:bookmarkStart w:id="46" w:name="_Toc30039"/>
      <w:r>
        <w:rPr>
          <w:rFonts w:hint="eastAsia"/>
        </w:rPr>
        <w:t>检测规则</w:t>
      </w:r>
      <w:r>
        <w:rPr>
          <w:rFonts w:hint="eastAsia" w:ascii="MS Mincho" w:hAnsi="MS Mincho" w:eastAsia="MS Mincho" w:cs="MS Mincho"/>
        </w:rPr>
        <w:t>‌</w:t>
      </w:r>
      <w:bookmarkEnd w:id="46"/>
    </w:p>
    <w:p w14:paraId="3282A09B">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检验分类</w:t>
      </w:r>
    </w:p>
    <w:p w14:paraId="47D658BB">
      <w:pPr>
        <w:pStyle w:val="57"/>
        <w:ind w:firstLine="420"/>
      </w:pPr>
      <w:r>
        <w:rPr>
          <w:rFonts w:hint="eastAsia"/>
        </w:rPr>
        <w:t>产品的检验应分为出厂检验和型式检验。</w:t>
      </w:r>
    </w:p>
    <w:p w14:paraId="1EF250B3">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出厂检测</w:t>
      </w:r>
    </w:p>
    <w:p w14:paraId="6F5ED3C3">
      <w:pPr>
        <w:pStyle w:val="66"/>
        <w:spacing w:before="0" w:beforeLines="0" w:after="0" w:afterLines="0"/>
        <w:rPr>
          <w:rFonts w:ascii="宋体" w:hAnsi="宋体" w:eastAsia="宋体" w:cs="宋体"/>
        </w:rPr>
      </w:pPr>
      <w:r>
        <w:rPr>
          <w:rFonts w:hint="eastAsia" w:ascii="宋体" w:hAnsi="宋体" w:eastAsia="宋体" w:cs="宋体"/>
        </w:rPr>
        <w:t>产品应经生产厂质量检验部门逐批检验合格，并附有合格证后方可出厂。</w:t>
      </w:r>
    </w:p>
    <w:p w14:paraId="43AE4C71">
      <w:pPr>
        <w:pStyle w:val="66"/>
        <w:spacing w:before="0" w:beforeLines="0" w:after="0" w:afterLines="0"/>
      </w:pPr>
      <w:r>
        <w:rPr>
          <w:rFonts w:hint="eastAsia" w:ascii="宋体" w:hAnsi="宋体" w:eastAsia="宋体" w:cs="宋体"/>
        </w:rPr>
        <w:t>出厂检验项目为逐台检验，至少包括外观和加工质量、标记、基本功能操作。</w:t>
      </w:r>
    </w:p>
    <w:p w14:paraId="347F6305">
      <w:pPr>
        <w:pStyle w:val="66"/>
        <w:spacing w:before="0" w:beforeLines="0" w:after="0" w:afterLines="0"/>
        <w:rPr>
          <w:rFonts w:ascii="宋体" w:hAnsi="宋体" w:eastAsia="宋体" w:cs="宋体"/>
        </w:rPr>
      </w:pPr>
      <w:r>
        <w:rPr>
          <w:rFonts w:hint="eastAsia" w:ascii="宋体" w:hAnsi="宋体" w:eastAsia="宋体" w:cs="宋体"/>
        </w:rPr>
        <w:t>采取全数检验的抽样方案对产品进行检测判定。</w:t>
      </w:r>
    </w:p>
    <w:p w14:paraId="7529583F">
      <w:pPr>
        <w:pStyle w:val="66"/>
        <w:spacing w:before="0" w:beforeLines="0" w:after="0" w:afterLines="0"/>
        <w:rPr>
          <w:rFonts w:ascii="宋体" w:hAnsi="宋体" w:eastAsia="宋体" w:cs="宋体"/>
        </w:rPr>
      </w:pPr>
      <w:r>
        <w:rPr>
          <w:rFonts w:ascii="宋体" w:hAnsi="宋体" w:eastAsia="宋体" w:cs="宋体"/>
        </w:rPr>
        <w:t>所有检验项目均符合要求，则判定该台产品出厂检验合格。任一项不符合要求，则判定该台产品不合格</w:t>
      </w:r>
    </w:p>
    <w:p w14:paraId="3AA46244">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型式检测</w:t>
      </w:r>
    </w:p>
    <w:p w14:paraId="31C3834B">
      <w:pPr>
        <w:pStyle w:val="66"/>
        <w:spacing w:before="0" w:beforeLines="0" w:after="0" w:afterLines="0"/>
        <w:rPr>
          <w:rFonts w:ascii="宋体" w:hAnsi="宋体" w:eastAsia="宋体" w:cs="宋体"/>
        </w:rPr>
      </w:pPr>
      <w:r>
        <w:rPr>
          <w:rFonts w:ascii="宋体" w:hAnsi="宋体" w:eastAsia="宋体" w:cs="宋体"/>
        </w:rPr>
        <w:t>有下列情况之一时，应进行型式检验</w:t>
      </w:r>
      <w:r>
        <w:rPr>
          <w:rFonts w:hint="eastAsia" w:ascii="宋体" w:hAnsi="宋体" w:eastAsia="宋体" w:cs="宋体"/>
        </w:rPr>
        <w:t>：</w:t>
      </w:r>
    </w:p>
    <w:p w14:paraId="16AC4B46">
      <w:pPr>
        <w:pStyle w:val="133"/>
      </w:pPr>
      <w:r>
        <w:t>新产品定型或老产品转厂生产时</w:t>
      </w:r>
      <w:r>
        <w:rPr>
          <w:rFonts w:hint="eastAsia"/>
        </w:rPr>
        <w:t>；</w:t>
      </w:r>
    </w:p>
    <w:p w14:paraId="6327D9A4">
      <w:pPr>
        <w:pStyle w:val="133"/>
      </w:pPr>
      <w:r>
        <w:t>正式生产后，如结构、材料、工艺有较大改变，可能影响产品性能时</w:t>
      </w:r>
      <w:r>
        <w:rPr>
          <w:rFonts w:hint="eastAsia"/>
        </w:rPr>
        <w:t>；</w:t>
      </w:r>
    </w:p>
    <w:p w14:paraId="4466D23F">
      <w:pPr>
        <w:pStyle w:val="133"/>
      </w:pPr>
      <w:r>
        <w:t>产品停产一年以上，恢复生产时</w:t>
      </w:r>
      <w:r>
        <w:rPr>
          <w:rFonts w:hint="eastAsia"/>
        </w:rPr>
        <w:t>；</w:t>
      </w:r>
    </w:p>
    <w:p w14:paraId="3E973B92">
      <w:pPr>
        <w:pStyle w:val="133"/>
      </w:pPr>
      <w:r>
        <w:t>正常生产时，定期（如每两年）或累积一定产量后</w:t>
      </w:r>
      <w:r>
        <w:rPr>
          <w:rFonts w:hint="eastAsia"/>
        </w:rPr>
        <w:t>；</w:t>
      </w:r>
    </w:p>
    <w:p w14:paraId="7BC7F74D">
      <w:pPr>
        <w:pStyle w:val="133"/>
      </w:pPr>
      <w:r>
        <w:t>出厂检验结果与上次型式检验有较大差异时</w:t>
      </w:r>
      <w:r>
        <w:rPr>
          <w:rFonts w:hint="eastAsia"/>
        </w:rPr>
        <w:t>。</w:t>
      </w:r>
    </w:p>
    <w:p w14:paraId="2A33A335">
      <w:pPr>
        <w:pStyle w:val="66"/>
        <w:spacing w:before="0" w:beforeLines="0" w:after="0" w:afterLines="0"/>
        <w:rPr>
          <w:rFonts w:ascii="宋体" w:hAnsi="宋体" w:eastAsia="宋体" w:cs="宋体"/>
        </w:rPr>
      </w:pPr>
      <w:r>
        <w:rPr>
          <w:rFonts w:ascii="宋体" w:hAnsi="宋体" w:eastAsia="宋体" w:cs="宋体"/>
        </w:rPr>
        <w:t>型式检验应包括本标准第5章</w:t>
      </w:r>
      <w:r>
        <w:rPr>
          <w:rFonts w:hint="eastAsia" w:ascii="宋体" w:hAnsi="宋体" w:eastAsia="宋体" w:cs="宋体"/>
        </w:rPr>
        <w:t>、第6章和第9章</w:t>
      </w:r>
      <w:r>
        <w:rPr>
          <w:rFonts w:ascii="宋体" w:hAnsi="宋体" w:eastAsia="宋体" w:cs="宋体"/>
        </w:rPr>
        <w:t>规定的全部项目</w:t>
      </w:r>
      <w:r>
        <w:rPr>
          <w:rFonts w:hint="eastAsia" w:ascii="宋体" w:hAnsi="宋体" w:eastAsia="宋体" w:cs="宋体"/>
        </w:rPr>
        <w:t>。</w:t>
      </w:r>
    </w:p>
    <w:p w14:paraId="25B3B128">
      <w:pPr>
        <w:pStyle w:val="66"/>
        <w:spacing w:before="0" w:beforeLines="0" w:after="0" w:afterLines="0"/>
        <w:rPr>
          <w:rFonts w:ascii="宋体" w:hAnsi="宋体" w:eastAsia="宋体" w:cs="宋体"/>
        </w:rPr>
      </w:pPr>
      <w:r>
        <w:rPr>
          <w:rFonts w:hint="eastAsia" w:ascii="宋体" w:hAnsi="宋体" w:eastAsia="宋体" w:cs="宋体"/>
        </w:rPr>
        <w:t>应</w:t>
      </w:r>
      <w:r>
        <w:rPr>
          <w:rFonts w:ascii="宋体" w:hAnsi="宋体" w:eastAsia="宋体" w:cs="宋体"/>
        </w:rPr>
        <w:t>从出厂检验合格的同一批次产品中随机抽取3个样品（除非具体测试项目要求更多样品）</w:t>
      </w:r>
      <w:r>
        <w:rPr>
          <w:rFonts w:hint="eastAsia" w:ascii="宋体" w:hAnsi="宋体" w:eastAsia="宋体" w:cs="宋体"/>
        </w:rPr>
        <w:t>。</w:t>
      </w:r>
    </w:p>
    <w:p w14:paraId="37378B3B">
      <w:pPr>
        <w:pStyle w:val="66"/>
        <w:spacing w:before="0" w:beforeLines="0" w:after="0" w:afterLines="0"/>
        <w:rPr>
          <w:rFonts w:ascii="宋体" w:hAnsi="宋体" w:eastAsia="宋体" w:cs="宋体"/>
        </w:rPr>
      </w:pPr>
      <w:r>
        <w:rPr>
          <w:rFonts w:hint="eastAsia" w:ascii="宋体" w:hAnsi="宋体" w:eastAsia="宋体" w:cs="宋体"/>
        </w:rPr>
        <w:t>判定规则：</w:t>
      </w:r>
    </w:p>
    <w:p w14:paraId="359BEF84">
      <w:pPr>
        <w:pStyle w:val="133"/>
      </w:pPr>
      <w:r>
        <w:t>所有样品所有检验项目均符合要求，则判定型式检验合格</w:t>
      </w:r>
      <w:r>
        <w:rPr>
          <w:rFonts w:hint="eastAsia"/>
        </w:rPr>
        <w:t>；</w:t>
      </w:r>
    </w:p>
    <w:p w14:paraId="0890653E">
      <w:pPr>
        <w:pStyle w:val="133"/>
      </w:pPr>
      <w:r>
        <w:t>对于A类项目（如静态强度、动态性能、各项环境适应性），如有任一样品不符合要求，则判定型式检验不合格</w:t>
      </w:r>
      <w:r>
        <w:rPr>
          <w:rFonts w:hint="eastAsia"/>
        </w:rPr>
        <w:t>；</w:t>
      </w:r>
    </w:p>
    <w:p w14:paraId="742A8E09">
      <w:pPr>
        <w:pStyle w:val="133"/>
      </w:pPr>
      <w:r>
        <w:t>对于B类项目（如某些外观要求、包装），如有任一样品不符合要求，允许加倍抽样复检，复检全部合格则判定型式检验合格，否则判定不合格</w:t>
      </w:r>
      <w:r>
        <w:rPr>
          <w:rFonts w:hint="eastAsia"/>
        </w:rPr>
        <w:t>。</w:t>
      </w:r>
    </w:p>
    <w:p w14:paraId="30D52761">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不合格处理</w:t>
      </w:r>
    </w:p>
    <w:p w14:paraId="3CA67695">
      <w:pPr>
        <w:pStyle w:val="66"/>
        <w:spacing w:before="0" w:beforeLines="0" w:after="0" w:afterLines="0"/>
        <w:rPr>
          <w:rFonts w:ascii="宋体" w:hAnsi="宋体" w:eastAsia="宋体" w:cs="宋体"/>
        </w:rPr>
      </w:pPr>
      <w:r>
        <w:rPr>
          <w:rFonts w:ascii="宋体" w:hAnsi="宋体" w:eastAsia="宋体" w:cs="宋体"/>
        </w:rPr>
        <w:t>对于出厂检验不合格的产品，允许返修后重新提交检验。返修后的产品必须重新进行全部出厂检验项目检验</w:t>
      </w:r>
      <w:r>
        <w:rPr>
          <w:rFonts w:hint="eastAsia" w:ascii="宋体" w:hAnsi="宋体" w:eastAsia="宋体" w:cs="宋体"/>
        </w:rPr>
        <w:t>。</w:t>
      </w:r>
    </w:p>
    <w:p w14:paraId="70FCC175">
      <w:pPr>
        <w:pStyle w:val="66"/>
        <w:spacing w:before="0" w:beforeLines="0" w:after="0" w:afterLines="0"/>
        <w:rPr>
          <w:rFonts w:ascii="宋体" w:hAnsi="宋体" w:eastAsia="宋体" w:cs="宋体"/>
        </w:rPr>
      </w:pPr>
      <w:r>
        <w:rPr>
          <w:rFonts w:ascii="宋体" w:hAnsi="宋体" w:eastAsia="宋体" w:cs="宋体"/>
        </w:rPr>
        <w:t>型式检验不合格意味着该产品设计或生产批次存在系统性风险。必须暂停该产品的生产和销售，查明原因并采取有效纠正措施（如设计修改、工艺改进等）。在重新进行并通过全部型式检验项目之前，不得恢复生产</w:t>
      </w:r>
      <w:r>
        <w:rPr>
          <w:rFonts w:hint="eastAsia" w:ascii="宋体" w:hAnsi="宋体" w:eastAsia="宋体" w:cs="宋体"/>
        </w:rPr>
        <w:t>。</w:t>
      </w:r>
    </w:p>
    <w:p w14:paraId="00CCD22D">
      <w:pPr>
        <w:pStyle w:val="163"/>
        <w:spacing w:before="120" w:beforeLines="50" w:after="120" w:afterLines="50"/>
        <w:rPr>
          <w:rFonts w:ascii="黑体" w:hAnsi="黑体" w:eastAsia="黑体" w:cs="黑体"/>
          <w:shd w:val="clear" w:color="auto" w:fill="FFFFFF"/>
        </w:rPr>
      </w:pPr>
      <w:r>
        <w:rPr>
          <w:rFonts w:ascii="黑体" w:hAnsi="黑体" w:eastAsia="黑体" w:cs="黑体"/>
          <w:shd w:val="clear" w:color="auto" w:fill="FFFFFF"/>
        </w:rPr>
        <w:t>质量一致性检验（周期检验）</w:t>
      </w:r>
    </w:p>
    <w:p w14:paraId="7FFBD689">
      <w:pPr>
        <w:pStyle w:val="57"/>
        <w:ind w:firstLine="420"/>
      </w:pPr>
      <w:r>
        <w:t>为持续监控产品质量，生产厂应每年至少进行一次质量一致性检验。检验项目可选取型式检验中的部分关键项目（如静态强度、某一项环境适应性），抽样方案和判定规则参照8.3.3和8.3.4执行。</w:t>
      </w:r>
    </w:p>
    <w:p w14:paraId="3BBBA3D1">
      <w:pPr>
        <w:pStyle w:val="105"/>
        <w:spacing w:before="240" w:after="240"/>
      </w:pPr>
      <w:bookmarkStart w:id="47" w:name="_Toc26697"/>
      <w:r>
        <w:rPr>
          <w:rFonts w:hint="eastAsia"/>
        </w:rPr>
        <w:t>标识、包装、运输与贮存‌</w:t>
      </w:r>
      <w:bookmarkEnd w:id="47"/>
    </w:p>
    <w:p w14:paraId="3373A181">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标识</w:t>
      </w:r>
    </w:p>
    <w:p w14:paraId="09D31A8E">
      <w:pPr>
        <w:pStyle w:val="66"/>
        <w:spacing w:before="0" w:beforeLines="0" w:after="0" w:afterLines="0"/>
        <w:rPr>
          <w:rFonts w:ascii="宋体" w:hAnsi="宋体" w:eastAsia="宋体" w:cs="宋体"/>
        </w:rPr>
      </w:pPr>
      <w:r>
        <w:rPr>
          <w:rFonts w:hint="eastAsia" w:ascii="宋体" w:hAnsi="宋体" w:eastAsia="宋体" w:cs="宋体"/>
        </w:rPr>
        <w:t>产品本体标识</w:t>
      </w:r>
    </w:p>
    <w:p w14:paraId="52E063A9">
      <w:pPr>
        <w:pStyle w:val="57"/>
        <w:ind w:firstLine="420"/>
      </w:pPr>
      <w:r>
        <w:rPr>
          <w:rFonts w:hint="eastAsia"/>
        </w:rPr>
        <w:t>除符合本标准4.2条规定外，还应满足以下要求：</w:t>
      </w:r>
    </w:p>
    <w:p w14:paraId="66FBEF9B">
      <w:pPr>
        <w:pStyle w:val="175"/>
        <w:numPr>
          <w:ilvl w:val="0"/>
          <w:numId w:val="34"/>
        </w:numPr>
      </w:pPr>
      <w:r>
        <w:rPr>
          <w:rFonts w:hint="eastAsia"/>
        </w:rPr>
        <w:t>标识必须采用雕刻、蚀刻、模压或使用耐环境变化的特种油墨印制等方式，确保在整个产品设计使用寿命期内，在经历其宣称的极端环境后，仍保持清晰可读，不褪色、不脱落；</w:t>
      </w:r>
    </w:p>
    <w:p w14:paraId="6F2FF38D">
      <w:pPr>
        <w:pStyle w:val="175"/>
        <w:numPr>
          <w:ilvl w:val="0"/>
          <w:numId w:val="34"/>
        </w:numPr>
      </w:pPr>
      <w:r>
        <w:rPr>
          <w:rFonts w:hint="eastAsia"/>
        </w:rPr>
        <w:t>标识应位于产品使用时不易被磨损、遮挡且易于查看的位置。例如，安全带的标识应位于胸前或肩带根部；连接器的标识应位于本体而非活动部件上；</w:t>
      </w:r>
    </w:p>
    <w:p w14:paraId="4764A953">
      <w:pPr>
        <w:pStyle w:val="175"/>
        <w:numPr>
          <w:ilvl w:val="0"/>
          <w:numId w:val="34"/>
        </w:numPr>
      </w:pPr>
      <w:r>
        <w:rPr>
          <w:rFonts w:hint="eastAsia"/>
        </w:rPr>
        <w:t>标识文字应使用规范的中文。如产品用于出口，可增加英文或其他所需语言，但中文标识必须存在且醒目。</w:t>
      </w:r>
    </w:p>
    <w:p w14:paraId="14A1D3B7">
      <w:pPr>
        <w:pStyle w:val="66"/>
        <w:spacing w:before="0" w:beforeLines="0" w:after="0" w:afterLines="0"/>
        <w:rPr>
          <w:rFonts w:ascii="宋体" w:hAnsi="宋体" w:eastAsia="宋体" w:cs="宋体"/>
        </w:rPr>
      </w:pPr>
      <w:r>
        <w:rPr>
          <w:rFonts w:hint="eastAsia" w:ascii="宋体" w:hAnsi="宋体" w:eastAsia="宋体" w:cs="宋体"/>
        </w:rPr>
        <w:t>包装标识</w:t>
      </w:r>
    </w:p>
    <w:p w14:paraId="5E20107A">
      <w:pPr>
        <w:pStyle w:val="57"/>
        <w:ind w:firstLine="420"/>
      </w:pPr>
      <w:r>
        <w:t>产品的最小销售包装和外包装箱上均应有清晰、牢固的标识，</w:t>
      </w:r>
      <w:r>
        <w:rPr>
          <w:rFonts w:hint="eastAsia"/>
        </w:rPr>
        <w:t>且</w:t>
      </w:r>
      <w:r>
        <w:t>包装标识的图示应符合GB/T 191的规定</w:t>
      </w:r>
      <w:r>
        <w:rPr>
          <w:rFonts w:hint="eastAsia"/>
        </w:rPr>
        <w:t>，</w:t>
      </w:r>
      <w:r>
        <w:t>至少包括：</w:t>
      </w:r>
    </w:p>
    <w:p w14:paraId="787DA170">
      <w:pPr>
        <w:pStyle w:val="175"/>
        <w:numPr>
          <w:ilvl w:val="0"/>
          <w:numId w:val="35"/>
        </w:numPr>
      </w:pPr>
      <w:r>
        <w:t>产品名称、型号及数量</w:t>
      </w:r>
      <w:r>
        <w:rPr>
          <w:rFonts w:hint="eastAsia"/>
        </w:rPr>
        <w:t>；</w:t>
      </w:r>
    </w:p>
    <w:p w14:paraId="4E26D373">
      <w:pPr>
        <w:pStyle w:val="175"/>
        <w:numPr>
          <w:ilvl w:val="0"/>
          <w:numId w:val="35"/>
        </w:numPr>
      </w:pPr>
      <w:r>
        <w:t>制造商名称、详细地址及联系电话</w:t>
      </w:r>
      <w:r>
        <w:rPr>
          <w:rFonts w:hint="eastAsia"/>
        </w:rPr>
        <w:t>；</w:t>
      </w:r>
    </w:p>
    <w:p w14:paraId="066797E2">
      <w:pPr>
        <w:pStyle w:val="175"/>
        <w:numPr>
          <w:ilvl w:val="0"/>
          <w:numId w:val="35"/>
        </w:numPr>
      </w:pPr>
      <w:r>
        <w:t>执行标准编号</w:t>
      </w:r>
      <w:r>
        <w:rPr>
          <w:rFonts w:hint="eastAsia"/>
        </w:rPr>
        <w:t>；</w:t>
      </w:r>
    </w:p>
    <w:p w14:paraId="3248685E">
      <w:pPr>
        <w:pStyle w:val="175"/>
        <w:numPr>
          <w:ilvl w:val="0"/>
          <w:numId w:val="35"/>
        </w:numPr>
      </w:pPr>
      <w:r>
        <w:t>生产日期（年月）及批次号</w:t>
      </w:r>
      <w:r>
        <w:rPr>
          <w:rFonts w:hint="eastAsia"/>
        </w:rPr>
        <w:t>；</w:t>
      </w:r>
    </w:p>
    <w:p w14:paraId="20A391FC">
      <w:pPr>
        <w:pStyle w:val="175"/>
        <w:numPr>
          <w:ilvl w:val="0"/>
          <w:numId w:val="35"/>
        </w:numPr>
      </w:pPr>
      <w:r>
        <w:t>毛重、净重及外包装尺寸</w:t>
      </w:r>
      <w:r>
        <w:rPr>
          <w:rFonts w:hint="eastAsia"/>
        </w:rPr>
        <w:t>；</w:t>
      </w:r>
    </w:p>
    <w:p w14:paraId="0D303C79">
      <w:pPr>
        <w:pStyle w:val="175"/>
        <w:numPr>
          <w:ilvl w:val="0"/>
          <w:numId w:val="35"/>
        </w:numPr>
      </w:pPr>
      <w:r>
        <w:t>关键的储运条件</w:t>
      </w:r>
      <w:r>
        <w:rPr>
          <w:rFonts w:hint="eastAsia"/>
        </w:rPr>
        <w:t>；</w:t>
      </w:r>
    </w:p>
    <w:p w14:paraId="70AD4AEC">
      <w:pPr>
        <w:pStyle w:val="175"/>
        <w:numPr>
          <w:ilvl w:val="0"/>
          <w:numId w:val="35"/>
        </w:numPr>
      </w:pPr>
      <w:r>
        <w:t>必要的安全警示标志</w:t>
      </w:r>
      <w:r>
        <w:rPr>
          <w:rFonts w:hint="eastAsia"/>
        </w:rPr>
        <w:t>；</w:t>
      </w:r>
    </w:p>
    <w:p w14:paraId="5607FEFE">
      <w:pPr>
        <w:pStyle w:val="163"/>
        <w:spacing w:before="120" w:beforeLines="50" w:after="120" w:afterLines="50"/>
        <w:rPr>
          <w:rFonts w:cs="宋体"/>
          <w:shd w:val="clear" w:color="auto" w:fill="FFFFFF"/>
        </w:rPr>
      </w:pPr>
      <w:r>
        <w:rPr>
          <w:rFonts w:hint="eastAsia" w:ascii="黑体" w:hAnsi="黑体" w:eastAsia="黑体" w:cs="黑体"/>
          <w:shd w:val="clear" w:color="auto" w:fill="FFFFFF"/>
        </w:rPr>
        <w:t>‌包装</w:t>
      </w:r>
      <w:r>
        <w:rPr>
          <w:rFonts w:hint="eastAsia" w:ascii="MS Gothic" w:hAnsi="MS Gothic" w:eastAsia="MS Gothic" w:cs="MS Gothic"/>
          <w:shd w:val="clear" w:color="auto" w:fill="FFFFFF"/>
        </w:rPr>
        <w:t>‌</w:t>
      </w:r>
    </w:p>
    <w:p w14:paraId="16F53437">
      <w:pPr>
        <w:pStyle w:val="66"/>
        <w:spacing w:before="0" w:beforeLines="0" w:after="0" w:afterLines="0"/>
        <w:rPr>
          <w:rFonts w:ascii="宋体" w:hAnsi="宋体" w:eastAsia="宋体" w:cs="宋体"/>
        </w:rPr>
      </w:pPr>
      <w:r>
        <w:rPr>
          <w:rFonts w:hint="cs" w:ascii="宋体" w:hAnsi="宋体" w:eastAsia="宋体" w:cs="宋体"/>
        </w:rPr>
        <w:t>包装应牢固可靠，能有效防潮、防腐蚀、防机械损伤</w:t>
      </w:r>
      <w:r>
        <w:rPr>
          <w:rFonts w:hint="eastAsia" w:ascii="宋体" w:hAnsi="宋体" w:eastAsia="宋体" w:cs="宋体"/>
        </w:rPr>
        <w:t>。</w:t>
      </w:r>
    </w:p>
    <w:p w14:paraId="2CCBC51A">
      <w:pPr>
        <w:pStyle w:val="66"/>
        <w:spacing w:before="0" w:beforeLines="0" w:after="0" w:afterLines="0"/>
        <w:rPr>
          <w:rFonts w:ascii="宋体" w:hAnsi="宋体" w:eastAsia="宋体" w:cs="宋体"/>
        </w:rPr>
      </w:pPr>
      <w:r>
        <w:rPr>
          <w:rFonts w:hint="cs" w:ascii="宋体" w:hAnsi="宋体" w:eastAsia="宋体" w:cs="宋体"/>
        </w:rPr>
        <w:t>包装箱内应附有产品合格证、使用说明书（需包含极端环境适用性声明和限制）</w:t>
      </w:r>
      <w:r>
        <w:rPr>
          <w:rFonts w:hint="eastAsia" w:ascii="宋体" w:hAnsi="宋体" w:eastAsia="宋体" w:cs="宋体"/>
        </w:rPr>
        <w:t>。</w:t>
      </w:r>
    </w:p>
    <w:p w14:paraId="1483E10B">
      <w:pPr>
        <w:pStyle w:val="66"/>
        <w:spacing w:before="0" w:beforeLines="0" w:after="0" w:afterLines="0"/>
        <w:rPr>
          <w:rFonts w:ascii="宋体" w:hAnsi="宋体" w:eastAsia="宋体" w:cs="宋体"/>
        </w:rPr>
      </w:pPr>
      <w:r>
        <w:rPr>
          <w:rFonts w:hint="cs" w:ascii="宋体" w:hAnsi="宋体" w:eastAsia="宋体" w:cs="宋体"/>
        </w:rPr>
        <w:t>包装箱外应标明：产品名称、型号、数量、执行标准、制造商名称、地址、生产日期、“防潮”、“避光”等字样</w:t>
      </w:r>
      <w:r>
        <w:rPr>
          <w:rFonts w:hint="eastAsia" w:ascii="宋体" w:hAnsi="宋体" w:eastAsia="宋体" w:cs="宋体"/>
        </w:rPr>
        <w:t>。</w:t>
      </w:r>
    </w:p>
    <w:p w14:paraId="232A11A5">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运输</w:t>
      </w:r>
    </w:p>
    <w:p w14:paraId="6845ABBC">
      <w:pPr>
        <w:pStyle w:val="66"/>
        <w:spacing w:before="0" w:beforeLines="0" w:after="0" w:afterLines="0"/>
        <w:rPr>
          <w:rFonts w:ascii="宋体" w:hAnsi="宋体" w:eastAsia="宋体" w:cs="宋体"/>
        </w:rPr>
      </w:pPr>
      <w:r>
        <w:rPr>
          <w:rFonts w:hint="eastAsia" w:ascii="宋体" w:hAnsi="宋体" w:eastAsia="宋体" w:cs="宋体"/>
        </w:rPr>
        <w:t>装运产品的运输工具应保持清洁、干燥、无污染物。</w:t>
      </w:r>
    </w:p>
    <w:p w14:paraId="421C19FB">
      <w:pPr>
        <w:pStyle w:val="66"/>
        <w:spacing w:before="0" w:beforeLines="0" w:after="0" w:afterLines="0"/>
        <w:rPr>
          <w:rFonts w:ascii="宋体" w:hAnsi="宋体" w:eastAsia="宋体" w:cs="宋体"/>
        </w:rPr>
      </w:pPr>
      <w:r>
        <w:rPr>
          <w:rFonts w:hint="cs" w:ascii="宋体" w:hAnsi="宋体" w:eastAsia="宋体" w:cs="宋体"/>
        </w:rPr>
        <w:t>运输过程中应避免剧烈撞击、抛掷、重压，严禁与酸、碱、油类及其他腐蚀性化学品混装运输</w:t>
      </w:r>
      <w:r>
        <w:rPr>
          <w:rFonts w:hint="eastAsia" w:ascii="宋体" w:hAnsi="宋体" w:eastAsia="宋体" w:cs="宋体"/>
        </w:rPr>
        <w:t>。</w:t>
      </w:r>
    </w:p>
    <w:p w14:paraId="1148BA0E">
      <w:pPr>
        <w:pStyle w:val="66"/>
        <w:spacing w:before="0" w:beforeLines="0" w:after="0" w:afterLines="0"/>
        <w:rPr>
          <w:rFonts w:ascii="宋体" w:hAnsi="宋体" w:eastAsia="宋体" w:cs="宋体"/>
        </w:rPr>
      </w:pPr>
      <w:r>
        <w:rPr>
          <w:rFonts w:hint="cs" w:ascii="宋体" w:hAnsi="宋体" w:eastAsia="宋体" w:cs="宋体"/>
        </w:rPr>
        <w:t>应采取可靠的防晒、防雨、防潮措施，防止产品在运输途中暴露于极端天气条件下</w:t>
      </w:r>
      <w:r>
        <w:rPr>
          <w:rFonts w:hint="eastAsia" w:ascii="宋体" w:hAnsi="宋体" w:eastAsia="宋体" w:cs="宋体"/>
        </w:rPr>
        <w:t>。</w:t>
      </w:r>
    </w:p>
    <w:p w14:paraId="5E5F5138">
      <w:pPr>
        <w:pStyle w:val="163"/>
        <w:spacing w:before="120" w:beforeLines="50" w:after="120" w:afterLines="50"/>
        <w:rPr>
          <w:rFonts w:ascii="黑体" w:hAnsi="黑体" w:eastAsia="黑体" w:cs="黑体"/>
          <w:shd w:val="clear" w:color="auto" w:fill="FFFFFF"/>
        </w:rPr>
      </w:pPr>
      <w:r>
        <w:rPr>
          <w:rFonts w:hint="eastAsia" w:ascii="黑体" w:hAnsi="黑体" w:eastAsia="黑体" w:cs="黑体"/>
          <w:shd w:val="clear" w:color="auto" w:fill="FFFFFF"/>
        </w:rPr>
        <w:t>储存</w:t>
      </w:r>
    </w:p>
    <w:p w14:paraId="5AE7DF5E">
      <w:pPr>
        <w:pStyle w:val="66"/>
        <w:spacing w:before="0" w:beforeLines="0" w:after="0" w:afterLines="0"/>
        <w:rPr>
          <w:rFonts w:ascii="宋体" w:hAnsi="宋体" w:eastAsia="宋体" w:cs="宋体"/>
        </w:rPr>
      </w:pPr>
      <w:r>
        <w:rPr>
          <w:rFonts w:ascii="宋体" w:hAnsi="宋体" w:eastAsia="宋体" w:cs="宋体"/>
        </w:rPr>
        <w:t>应贮存在干燥、通风、避光的室内环境中，远离热源和腐蚀性介质</w:t>
      </w:r>
      <w:r>
        <w:rPr>
          <w:rFonts w:hint="eastAsia" w:ascii="宋体" w:hAnsi="宋体" w:eastAsia="宋体" w:cs="宋体"/>
        </w:rPr>
        <w:t>。</w:t>
      </w:r>
    </w:p>
    <w:p w14:paraId="2A444D49">
      <w:pPr>
        <w:pStyle w:val="66"/>
        <w:spacing w:before="0" w:beforeLines="0" w:after="0" w:afterLines="0"/>
        <w:rPr>
          <w:rFonts w:ascii="宋体" w:hAnsi="宋体" w:eastAsia="宋体" w:cs="宋体"/>
        </w:rPr>
      </w:pPr>
      <w:r>
        <w:rPr>
          <w:rFonts w:ascii="宋体" w:hAnsi="宋体" w:eastAsia="宋体" w:cs="宋体"/>
        </w:rPr>
        <w:t>建议的贮存温湿度范围：温度-10°C</w:t>
      </w:r>
      <w:r>
        <w:rPr>
          <w:rFonts w:hint="eastAsia" w:ascii="宋体" w:hAnsi="宋体" w:eastAsia="宋体" w:cs="宋体"/>
        </w:rPr>
        <w:t>～</w:t>
      </w:r>
      <w:r>
        <w:rPr>
          <w:rFonts w:ascii="宋体" w:hAnsi="宋体" w:eastAsia="宋体" w:cs="宋体"/>
        </w:rPr>
        <w:t>+40°C，相对湿度&lt;80%</w:t>
      </w:r>
      <w:r>
        <w:rPr>
          <w:rFonts w:hint="eastAsia" w:ascii="宋体" w:hAnsi="宋体" w:eastAsia="宋体" w:cs="宋体"/>
        </w:rPr>
        <w:t>。</w:t>
      </w:r>
    </w:p>
    <w:p w14:paraId="6983BFF8">
      <w:pPr>
        <w:pStyle w:val="66"/>
        <w:spacing w:before="0" w:beforeLines="0" w:after="0" w:afterLines="0"/>
        <w:rPr>
          <w:rFonts w:ascii="宋体" w:hAnsi="宋体" w:eastAsia="宋体" w:cs="宋体"/>
        </w:rPr>
      </w:pPr>
      <w:r>
        <w:rPr>
          <w:rFonts w:ascii="宋体" w:hAnsi="宋体" w:eastAsia="宋体" w:cs="宋体"/>
        </w:rPr>
        <w:t>定期检查库存产品状态</w:t>
      </w:r>
      <w:r>
        <w:rPr>
          <w:rFonts w:hint="eastAsia" w:ascii="宋体" w:hAnsi="宋体" w:eastAsia="宋体" w:cs="宋体"/>
        </w:rPr>
        <w:t>。</w:t>
      </w:r>
    </w:p>
    <w:p w14:paraId="066530A0">
      <w:pPr>
        <w:pStyle w:val="66"/>
        <w:spacing w:before="0" w:beforeLines="0" w:after="0" w:afterLines="0"/>
        <w:rPr>
          <w:rFonts w:ascii="宋体" w:hAnsi="宋体" w:eastAsia="宋体" w:cs="宋体"/>
        </w:rPr>
      </w:pPr>
      <w:r>
        <w:rPr>
          <w:rFonts w:hint="eastAsia" w:ascii="宋体" w:hAnsi="宋体" w:eastAsia="宋体" w:cs="宋体"/>
        </w:rPr>
        <w:t>堆放要求：</w:t>
      </w:r>
    </w:p>
    <w:p w14:paraId="0ECD13A3">
      <w:pPr>
        <w:pStyle w:val="133"/>
      </w:pPr>
      <w:r>
        <w:t>产品包装箱应垫高离地≥10 cm，离墙≥20 cm，以利于通风防潮</w:t>
      </w:r>
      <w:r>
        <w:rPr>
          <w:rFonts w:hint="eastAsia"/>
        </w:rPr>
        <w:t>；</w:t>
      </w:r>
    </w:p>
    <w:p w14:paraId="37150B26">
      <w:pPr>
        <w:pStyle w:val="133"/>
      </w:pPr>
      <w:r>
        <w:t>堆放高度不应超过包装箱上标明的堆码层数极限，防止压坏下层包装和产品</w:t>
      </w:r>
      <w:r>
        <w:rPr>
          <w:rFonts w:hint="eastAsia"/>
        </w:rPr>
        <w:t>。</w:t>
      </w:r>
    </w:p>
    <w:p w14:paraId="1D89CC52">
      <w:pPr>
        <w:pStyle w:val="66"/>
        <w:spacing w:before="0" w:beforeLines="0" w:after="0" w:afterLines="0"/>
        <w:rPr>
          <w:rFonts w:ascii="宋体" w:hAnsi="宋体" w:eastAsia="宋体" w:cs="宋体"/>
        </w:rPr>
      </w:pPr>
      <w:r>
        <w:rPr>
          <w:rFonts w:ascii="宋体" w:hAnsi="宋体" w:eastAsia="宋体" w:cs="宋体"/>
        </w:rPr>
        <w:t>贮存管理</w:t>
      </w:r>
      <w:r>
        <w:rPr>
          <w:rFonts w:hint="eastAsia" w:ascii="宋体" w:hAnsi="宋体" w:eastAsia="宋体" w:cs="宋体"/>
        </w:rPr>
        <w:t>：</w:t>
      </w:r>
    </w:p>
    <w:p w14:paraId="1B375E9D">
      <w:pPr>
        <w:pStyle w:val="133"/>
      </w:pPr>
      <w:r>
        <w:t>库房应实行先进先出的库存管理原则，缩短产品库存周期</w:t>
      </w:r>
      <w:r>
        <w:rPr>
          <w:rFonts w:hint="eastAsia"/>
        </w:rPr>
        <w:t>；</w:t>
      </w:r>
    </w:p>
    <w:p w14:paraId="3B89EB3D">
      <w:pPr>
        <w:pStyle w:val="133"/>
      </w:pPr>
      <w:r>
        <w:t>应定期检查库存产品的包装状况和库房环境，发现包装破损或环境异常应及时处理</w:t>
      </w:r>
      <w:r>
        <w:rPr>
          <w:rFonts w:hint="eastAsia"/>
        </w:rPr>
        <w:t>。</w:t>
      </w:r>
    </w:p>
    <w:p w14:paraId="63061413">
      <w:pPr>
        <w:pStyle w:val="105"/>
        <w:spacing w:before="240" w:after="240"/>
      </w:pPr>
      <w:bookmarkStart w:id="48" w:name="_Toc2243"/>
      <w:r>
        <w:rPr>
          <w:rFonts w:hint="eastAsia"/>
        </w:rPr>
        <w:t>制造商提供的信息</w:t>
      </w:r>
      <w:bookmarkEnd w:id="48"/>
    </w:p>
    <w:p w14:paraId="26991671">
      <w:pPr>
        <w:pStyle w:val="66"/>
        <w:spacing w:before="0" w:beforeLines="0" w:after="0" w:afterLines="0"/>
        <w:rPr>
          <w:rFonts w:ascii="宋体" w:hAnsi="宋体" w:eastAsia="宋体" w:cs="宋体"/>
        </w:rPr>
      </w:pPr>
      <w:r>
        <w:rPr>
          <w:rFonts w:ascii="宋体" w:hAnsi="宋体" w:eastAsia="宋体" w:cs="宋体"/>
        </w:rPr>
        <w:t>详细说明产品的适用范围（特别是明确的极端环境类型限制）、正确使用方法、检查程序、维护保养方法、清洁方法（针对特定污染物）、报废条件、警示信息</w:t>
      </w:r>
      <w:r>
        <w:rPr>
          <w:rFonts w:hint="eastAsia" w:ascii="宋体" w:hAnsi="宋体" w:eastAsia="宋体" w:cs="宋体"/>
        </w:rPr>
        <w:t>。</w:t>
      </w:r>
    </w:p>
    <w:p w14:paraId="098299D0">
      <w:pPr>
        <w:pStyle w:val="66"/>
        <w:spacing w:before="0" w:beforeLines="0" w:after="0" w:afterLines="0"/>
        <w:rPr>
          <w:rFonts w:ascii="宋体" w:hAnsi="宋体" w:eastAsia="宋体" w:cs="宋体"/>
        </w:rPr>
      </w:pPr>
      <w:r>
        <w:rPr>
          <w:rFonts w:ascii="宋体" w:hAnsi="宋体" w:eastAsia="宋体" w:cs="宋体"/>
        </w:rPr>
        <w:t>明确说明产品已通过哪些极端环境测试及其性能保持率</w:t>
      </w:r>
      <w:r>
        <w:rPr>
          <w:rFonts w:hint="eastAsia" w:ascii="宋体" w:hAnsi="宋体" w:eastAsia="宋体" w:cs="宋体"/>
        </w:rPr>
        <w:t>。</w:t>
      </w:r>
    </w:p>
    <w:p w14:paraId="6F337727">
      <w:pPr>
        <w:pStyle w:val="66"/>
        <w:spacing w:before="0" w:beforeLines="0" w:after="0" w:afterLines="0"/>
        <w:rPr>
          <w:rFonts w:ascii="宋体" w:hAnsi="宋体" w:eastAsia="宋体" w:cs="宋体"/>
        </w:rPr>
      </w:pPr>
      <w:r>
        <w:rPr>
          <w:rFonts w:ascii="宋体" w:hAnsi="宋体" w:eastAsia="宋体" w:cs="宋体"/>
        </w:rPr>
        <w:t>强烈警示使用者严禁超范围使用（例如，标明适用于低温环境的装备不得用于强腐蚀环境）；明确指出在极端环境下使用的额外风险，并强调即使符合本标准，也必须经过专业培训、正确使用和定期检查，任何装备都不能保证100%绝对安全</w:t>
      </w:r>
      <w:r>
        <w:rPr>
          <w:rFonts w:hint="eastAsia" w:ascii="宋体" w:hAnsi="宋体" w:eastAsia="宋体" w:cs="宋体"/>
        </w:rPr>
        <w:t>。</w:t>
      </w:r>
    </w:p>
    <w:p w14:paraId="3852F097">
      <w:pPr>
        <w:pStyle w:val="57"/>
        <w:ind w:firstLine="0" w:firstLineChars="0"/>
        <w:jc w:val="center"/>
      </w:pPr>
      <w:r>
        <w:rPr>
          <w:rFonts w:hint="cs"/>
        </w:rPr>
        <w:t>‌</w:t>
      </w:r>
      <w:bookmarkEnd w:id="4"/>
      <w:bookmarkStart w:id="49"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SoukouMincho"/>
    <w:panose1 w:val="02020609040205080304"/>
    <w:charset w:val="80"/>
    <w:family w:val="modern"/>
    <w:pitch w:val="default"/>
    <w:sig w:usb0="00000000" w:usb1="00000000" w:usb2="00000012" w:usb3="00000000" w:csb0="0002009F" w:csb1="00000000"/>
  </w:font>
  <w:font w:name="SoukouMincho">
    <w:panose1 w:val="02000600000000000000"/>
    <w:charset w:val="80"/>
    <w:family w:val="auto"/>
    <w:pitch w:val="default"/>
    <w:sig w:usb0="A00002FF" w:usb1="68C7FEFF" w:usb2="00000012" w:usb3="00000000" w:csb0="0002000D"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62BE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132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1FA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138A">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4D1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EEFB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2AE8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57D44">
    <w:pPr>
      <w:pStyle w:val="62"/>
    </w:pPr>
    <w:r>
      <w:fldChar w:fldCharType="begin"/>
    </w:r>
    <w:r>
      <w:instrText xml:space="preserve"> STYLEREF  标准文件_文件编号  \* MERGEFORMAT </w:instrText>
    </w:r>
    <w:r>
      <w:fldChar w:fldCharType="separate"/>
    </w:r>
    <w:r>
      <w:t>T/CIAD XXXX —2026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79EF">
    <w:pPr>
      <w:pStyle w:val="18"/>
      <w:jc w:val="right"/>
    </w:pPr>
    <w:r>
      <w:fldChar w:fldCharType="begin"/>
    </w:r>
    <w:r>
      <w:instrText xml:space="preserve"> STYLEREF  标准文件_文件编号  \* MERGEFORMAT </w:instrText>
    </w:r>
    <w:r>
      <w:fldChar w:fldCharType="separate"/>
    </w:r>
    <w:r>
      <w:t>T/CIAD XXXX —2026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62F49"/>
    <w:multiLevelType w:val="multilevel"/>
    <w:tmpl w:val="C4262F49"/>
    <w:lvl w:ilvl="0" w:tentative="0">
      <w:start w:val="1"/>
      <w:numFmt w:val="decimal"/>
      <w:suff w:val="nothing"/>
      <w:lvlText w:val="表%1　"/>
      <w:lvlJc w:val="left"/>
      <w:pPr>
        <w:tabs>
          <w:tab w:val="left" w:pos="0"/>
        </w:tabs>
        <w:ind w:left="0" w:firstLine="0"/>
      </w:pPr>
      <w:rPr>
        <w:rFonts w:hint="default"/>
      </w:r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6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05B"/>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1F3"/>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99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2C0"/>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E2"/>
    <w:rsid w:val="00166B88"/>
    <w:rsid w:val="0016770A"/>
    <w:rsid w:val="00170804"/>
    <w:rsid w:val="001708E9"/>
    <w:rsid w:val="00171B62"/>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B06"/>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7277"/>
    <w:rsid w:val="003331E4"/>
    <w:rsid w:val="00336C64"/>
    <w:rsid w:val="00337162"/>
    <w:rsid w:val="0034194F"/>
    <w:rsid w:val="00344605"/>
    <w:rsid w:val="003474AA"/>
    <w:rsid w:val="00350D1D"/>
    <w:rsid w:val="00352C83"/>
    <w:rsid w:val="00352F1A"/>
    <w:rsid w:val="00355BF8"/>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2EF4"/>
    <w:rsid w:val="00384FFC"/>
    <w:rsid w:val="00385277"/>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1FC2"/>
    <w:rsid w:val="00445574"/>
    <w:rsid w:val="004467FB"/>
    <w:rsid w:val="00452D6B"/>
    <w:rsid w:val="00454484"/>
    <w:rsid w:val="0045517B"/>
    <w:rsid w:val="00463B77"/>
    <w:rsid w:val="00463C7B"/>
    <w:rsid w:val="004644A6"/>
    <w:rsid w:val="004659BD"/>
    <w:rsid w:val="00470775"/>
    <w:rsid w:val="004746B1"/>
    <w:rsid w:val="004748EA"/>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0BD"/>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70B7"/>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911"/>
    <w:rsid w:val="005D0C75"/>
    <w:rsid w:val="005D16AE"/>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1C3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5FA"/>
    <w:rsid w:val="006F2ACA"/>
    <w:rsid w:val="006F2ADC"/>
    <w:rsid w:val="006F2BFE"/>
    <w:rsid w:val="006F31E9"/>
    <w:rsid w:val="006F6284"/>
    <w:rsid w:val="007002C5"/>
    <w:rsid w:val="00704387"/>
    <w:rsid w:val="00707669"/>
    <w:rsid w:val="00711CBA"/>
    <w:rsid w:val="00711FB5"/>
    <w:rsid w:val="00712A01"/>
    <w:rsid w:val="00714C4C"/>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1549"/>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0E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404"/>
    <w:rsid w:val="00993889"/>
    <w:rsid w:val="00994CA2"/>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7B4"/>
    <w:rsid w:val="009B6029"/>
    <w:rsid w:val="009B6971"/>
    <w:rsid w:val="009C143D"/>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968"/>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2F7"/>
    <w:rsid w:val="00A9295B"/>
    <w:rsid w:val="00A93B09"/>
    <w:rsid w:val="00A952D7"/>
    <w:rsid w:val="00A963F7"/>
    <w:rsid w:val="00A968F0"/>
    <w:rsid w:val="00A96AD8"/>
    <w:rsid w:val="00AA052C"/>
    <w:rsid w:val="00AA141A"/>
    <w:rsid w:val="00AA1E45"/>
    <w:rsid w:val="00AA4286"/>
    <w:rsid w:val="00AA456B"/>
    <w:rsid w:val="00AA57F5"/>
    <w:rsid w:val="00AA587A"/>
    <w:rsid w:val="00AA672E"/>
    <w:rsid w:val="00AA6EC9"/>
    <w:rsid w:val="00AB2864"/>
    <w:rsid w:val="00AB6309"/>
    <w:rsid w:val="00AB6C5F"/>
    <w:rsid w:val="00AB7129"/>
    <w:rsid w:val="00AC27A6"/>
    <w:rsid w:val="00AC30F7"/>
    <w:rsid w:val="00AC3A5A"/>
    <w:rsid w:val="00AC4D95"/>
    <w:rsid w:val="00AC5DF4"/>
    <w:rsid w:val="00AC78ED"/>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ED0"/>
    <w:rsid w:val="00BB5F8F"/>
    <w:rsid w:val="00BB657A"/>
    <w:rsid w:val="00BC1A4E"/>
    <w:rsid w:val="00BC5DC7"/>
    <w:rsid w:val="00BC6B8B"/>
    <w:rsid w:val="00BC73D8"/>
    <w:rsid w:val="00BD52D7"/>
    <w:rsid w:val="00BD5AD2"/>
    <w:rsid w:val="00BE22F3"/>
    <w:rsid w:val="00BE5B52"/>
    <w:rsid w:val="00BE5CB8"/>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39EC"/>
    <w:rsid w:val="00CA662A"/>
    <w:rsid w:val="00CA7AFD"/>
    <w:rsid w:val="00CA7C3C"/>
    <w:rsid w:val="00CB0189"/>
    <w:rsid w:val="00CB0BA2"/>
    <w:rsid w:val="00CB1A42"/>
    <w:rsid w:val="00CB1B0C"/>
    <w:rsid w:val="00CB2C0B"/>
    <w:rsid w:val="00CB517D"/>
    <w:rsid w:val="00CB5A76"/>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5796"/>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521F"/>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4A0A"/>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B82"/>
    <w:rsid w:val="00ED067A"/>
    <w:rsid w:val="00ED2B50"/>
    <w:rsid w:val="00EE0350"/>
    <w:rsid w:val="00EE0719"/>
    <w:rsid w:val="00EE0B3B"/>
    <w:rsid w:val="00EE0E80"/>
    <w:rsid w:val="00EE613F"/>
    <w:rsid w:val="00EE7295"/>
    <w:rsid w:val="00EE7869"/>
    <w:rsid w:val="00EF054A"/>
    <w:rsid w:val="00EF12FA"/>
    <w:rsid w:val="00EF3235"/>
    <w:rsid w:val="00EF7E72"/>
    <w:rsid w:val="00F04E64"/>
    <w:rsid w:val="00F06D37"/>
    <w:rsid w:val="00F07B9D"/>
    <w:rsid w:val="00F11586"/>
    <w:rsid w:val="00F1183B"/>
    <w:rsid w:val="00F11B4F"/>
    <w:rsid w:val="00F11C9F"/>
    <w:rsid w:val="00F12263"/>
    <w:rsid w:val="00F1409D"/>
    <w:rsid w:val="00F14214"/>
    <w:rsid w:val="00F14A4D"/>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82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CB082F"/>
    <w:rsid w:val="0B585AD0"/>
    <w:rsid w:val="0CAC2B9A"/>
    <w:rsid w:val="14A73FAD"/>
    <w:rsid w:val="163935D0"/>
    <w:rsid w:val="20366398"/>
    <w:rsid w:val="2AB458D5"/>
    <w:rsid w:val="31FD161E"/>
    <w:rsid w:val="32E9317E"/>
    <w:rsid w:val="33276684"/>
    <w:rsid w:val="36321AB2"/>
    <w:rsid w:val="37EA2644"/>
    <w:rsid w:val="38D9778B"/>
    <w:rsid w:val="3A8E5120"/>
    <w:rsid w:val="3D474095"/>
    <w:rsid w:val="3DC96858"/>
    <w:rsid w:val="4429447A"/>
    <w:rsid w:val="47B16CDB"/>
    <w:rsid w:val="4ADA45AC"/>
    <w:rsid w:val="4DDC5C78"/>
    <w:rsid w:val="4F626B0C"/>
    <w:rsid w:val="50D674F3"/>
    <w:rsid w:val="61B71102"/>
    <w:rsid w:val="65A719A2"/>
    <w:rsid w:val="68914293"/>
    <w:rsid w:val="6CF06FA0"/>
    <w:rsid w:val="705A0256"/>
    <w:rsid w:val="719B7F30"/>
    <w:rsid w:val="726A7902"/>
    <w:rsid w:val="7332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cosd-citation-citationid"/>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33721D22C634C9CB5896D725763D4BC"/>
        <w:style w:val=""/>
        <w:category>
          <w:name w:val="常规"/>
          <w:gallery w:val="placeholder"/>
        </w:category>
        <w:types>
          <w:type w:val="bbPlcHdr"/>
        </w:types>
        <w:behaviors>
          <w:behavior w:val="content"/>
        </w:behaviors>
        <w:description w:val=""/>
        <w:guid w:val="{9A80CCAD-7D12-4C16-9EB3-E0AD8222528F}"/>
      </w:docPartPr>
      <w:docPartBody>
        <w:p w14:paraId="34977884">
          <w:pPr>
            <w:pStyle w:val="5"/>
          </w:pPr>
          <w:r>
            <w:rPr>
              <w:rStyle w:val="4"/>
              <w:rFonts w:hint="eastAsia"/>
            </w:rPr>
            <w:t>单击或点击此处输入文字。</w:t>
          </w:r>
        </w:p>
      </w:docPartBody>
    </w:docPart>
    <w:docPart>
      <w:docPartPr>
        <w:name w:val="03CCAB7AD4F74FE6B31EB45917E5A2E2"/>
        <w:style w:val=""/>
        <w:category>
          <w:name w:val="常规"/>
          <w:gallery w:val="placeholder"/>
        </w:category>
        <w:types>
          <w:type w:val="bbPlcHdr"/>
        </w:types>
        <w:behaviors>
          <w:behavior w:val="content"/>
        </w:behaviors>
        <w:description w:val=""/>
        <w:guid w:val="{96CF5BE1-7E9C-4A27-9C9C-6324E80428F2}"/>
      </w:docPartPr>
      <w:docPartBody>
        <w:p w14:paraId="3926E004">
          <w:pPr>
            <w:pStyle w:val="6"/>
          </w:pPr>
          <w:r>
            <w:rPr>
              <w:rStyle w:val="4"/>
              <w:rFonts w:hint="eastAsia"/>
            </w:rPr>
            <w:t>选择一项。</w:t>
          </w:r>
        </w:p>
      </w:docPartBody>
    </w:docPart>
    <w:docPart>
      <w:docPartPr>
        <w:name w:val="8D333CE7469042A8A912F85E4F928AC3"/>
        <w:style w:val=""/>
        <w:category>
          <w:name w:val="常规"/>
          <w:gallery w:val="placeholder"/>
        </w:category>
        <w:types>
          <w:type w:val="bbPlcHdr"/>
        </w:types>
        <w:behaviors>
          <w:behavior w:val="content"/>
        </w:behaviors>
        <w:description w:val=""/>
        <w:guid w:val="{48AE3A08-ACB3-49E5-96E3-2442E6C30F6B}"/>
      </w:docPartPr>
      <w:docPartBody>
        <w:p w14:paraId="6B26F85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79"/>
    <w:rsid w:val="001A576A"/>
    <w:rsid w:val="00341007"/>
    <w:rsid w:val="003C1479"/>
    <w:rsid w:val="004E0275"/>
    <w:rsid w:val="0054360A"/>
    <w:rsid w:val="006D6A4C"/>
    <w:rsid w:val="00873F2B"/>
    <w:rsid w:val="00A01920"/>
    <w:rsid w:val="00A27ADB"/>
    <w:rsid w:val="00A35797"/>
    <w:rsid w:val="00B207B4"/>
    <w:rsid w:val="00C33680"/>
    <w:rsid w:val="00C66ED5"/>
    <w:rsid w:val="00DD7893"/>
    <w:rsid w:val="00E733D7"/>
    <w:rsid w:val="00EB5997"/>
    <w:rsid w:val="00F4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33721D22C634C9CB5896D725763D4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3CCAB7AD4F74FE6B31EB45917E5A2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D333CE7469042A8A912F85E4F928AC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90E4A-2438-4F97-9F01-A0FC4B379774}">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6007</Words>
  <Characters>6615</Characters>
  <Lines>60</Lines>
  <Paragraphs>17</Paragraphs>
  <TotalTime>0</TotalTime>
  <ScaleCrop>false</ScaleCrop>
  <LinksUpToDate>false</LinksUpToDate>
  <CharactersWithSpaces>6766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2025-09-09T07:20:00Z</dcterms:created>
  <dc:creator>Administrator</dc:creator>
  <dc:description>&lt;config cover="true" show_menu="true" version="1.0.0" doctype="SDKXY"&gt;_x000d_
&lt;/config&gt;</dc:description>
  <cp:lastModifiedBy>抓住青春的尾巴</cp:lastModifiedBy>
  <cp:lastPrinted>2021-02-02T08:22:00Z</cp:lastPrinted>
  <dcterms:modified xsi:type="dcterms:W3CDTF">2026-01-15T08:32:31Z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eyJoZGlkIjoiZDg2ZTFlNzE3YmFhOWExZjIxNmU2NzI0YzBiMGRlODUiLCJ1c2VySWQiOiIzODc3NjI2MDYifQ==</vt:lpwstr>
  </property>
  <property fmtid="{D5CDD505-2E9C-101B-9397-08002B2CF9AE}" pid="15" name="KSOProductBuildVer">
    <vt:lpwstr>2052-12.1.0.24034</vt:lpwstr>
  </property>
  <property fmtid="{D5CDD505-2E9C-101B-9397-08002B2CF9AE}" pid="16" name="ICV">
    <vt:lpwstr>CB0238C73A2D45908F9C5BE0F5CD879B_13</vt:lpwstr>
  </property>
</Properties>
</file>