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43DDE" w14:textId="6AA23F5C" w:rsidR="00696EA6" w:rsidRPr="00744677" w:rsidRDefault="00000000">
      <w:pPr>
        <w:jc w:val="center"/>
        <w:rPr>
          <w:b/>
          <w:bCs/>
          <w:sz w:val="32"/>
          <w:szCs w:val="32"/>
        </w:rPr>
      </w:pPr>
      <w:bookmarkStart w:id="0" w:name="OLE_LINK3"/>
      <w:r w:rsidRPr="00744677">
        <w:rPr>
          <w:rFonts w:hint="eastAsia"/>
          <w:b/>
          <w:bCs/>
          <w:sz w:val="32"/>
          <w:szCs w:val="32"/>
        </w:rPr>
        <w:t>《</w:t>
      </w:r>
      <w:r w:rsidR="00A27B6C" w:rsidRPr="00A27B6C">
        <w:rPr>
          <w:rFonts w:hint="eastAsia"/>
          <w:b/>
          <w:bCs/>
          <w:sz w:val="32"/>
          <w:szCs w:val="32"/>
        </w:rPr>
        <w:t>灵芝三萜与灵芝多糖对人体免疫系统的双效协同</w:t>
      </w:r>
      <w:r w:rsidR="00FD685C">
        <w:rPr>
          <w:rFonts w:hint="eastAsia"/>
          <w:b/>
          <w:bCs/>
          <w:sz w:val="32"/>
          <w:szCs w:val="32"/>
        </w:rPr>
        <w:t>效果</w:t>
      </w:r>
      <w:r w:rsidR="00A27B6C" w:rsidRPr="00A27B6C">
        <w:rPr>
          <w:rFonts w:hint="eastAsia"/>
          <w:b/>
          <w:bCs/>
          <w:sz w:val="32"/>
          <w:szCs w:val="32"/>
        </w:rPr>
        <w:t>评价</w:t>
      </w:r>
      <w:r w:rsidR="00FD685C">
        <w:rPr>
          <w:rFonts w:hint="eastAsia"/>
          <w:b/>
          <w:bCs/>
          <w:sz w:val="32"/>
          <w:szCs w:val="32"/>
        </w:rPr>
        <w:t>方法</w:t>
      </w:r>
      <w:r w:rsidRPr="00744677">
        <w:rPr>
          <w:rFonts w:hint="eastAsia"/>
          <w:b/>
          <w:bCs/>
          <w:sz w:val="32"/>
          <w:szCs w:val="32"/>
        </w:rPr>
        <w:t>》</w:t>
      </w:r>
      <w:bookmarkEnd w:id="0"/>
    </w:p>
    <w:p w14:paraId="30343834" w14:textId="77777777" w:rsidR="00696EA6" w:rsidRPr="00744677" w:rsidRDefault="00000000">
      <w:pPr>
        <w:jc w:val="center"/>
        <w:rPr>
          <w:b/>
          <w:bCs/>
          <w:sz w:val="32"/>
          <w:szCs w:val="32"/>
        </w:rPr>
      </w:pPr>
      <w:r w:rsidRPr="00744677">
        <w:rPr>
          <w:rFonts w:hint="eastAsia"/>
          <w:b/>
          <w:bCs/>
          <w:sz w:val="32"/>
          <w:szCs w:val="32"/>
        </w:rPr>
        <w:t>标准编制说明</w:t>
      </w:r>
    </w:p>
    <w:p w14:paraId="62BA9095" w14:textId="6D8485C3" w:rsidR="00696EA6" w:rsidRDefault="00000000">
      <w:pPr>
        <w:jc w:val="center"/>
        <w:rPr>
          <w:b/>
          <w:bCs/>
          <w:sz w:val="36"/>
          <w:szCs w:val="36"/>
        </w:rPr>
      </w:pPr>
      <w:r w:rsidRPr="00744677">
        <w:rPr>
          <w:rFonts w:hint="eastAsia"/>
          <w:b/>
          <w:bCs/>
          <w:sz w:val="32"/>
          <w:szCs w:val="32"/>
        </w:rPr>
        <w:t>（</w:t>
      </w:r>
      <w:r w:rsidR="004846FF">
        <w:rPr>
          <w:rFonts w:hint="eastAsia"/>
          <w:b/>
          <w:bCs/>
          <w:sz w:val="32"/>
          <w:szCs w:val="32"/>
        </w:rPr>
        <w:t>征求意见</w:t>
      </w:r>
      <w:r w:rsidRPr="00744677">
        <w:rPr>
          <w:rFonts w:hint="eastAsia"/>
          <w:b/>
          <w:bCs/>
          <w:sz w:val="32"/>
          <w:szCs w:val="32"/>
        </w:rPr>
        <w:t>稿）</w:t>
      </w:r>
    </w:p>
    <w:p w14:paraId="4498ECAB" w14:textId="77777777" w:rsidR="00696EA6" w:rsidRDefault="00696EA6">
      <w:pPr>
        <w:jc w:val="center"/>
        <w:rPr>
          <w:b/>
          <w:bCs/>
          <w:sz w:val="36"/>
          <w:szCs w:val="36"/>
        </w:rPr>
      </w:pPr>
    </w:p>
    <w:p w14:paraId="50245318" w14:textId="77777777" w:rsidR="00696EA6" w:rsidRDefault="00000000">
      <w:pPr>
        <w:rPr>
          <w:rFonts w:ascii="黑体" w:eastAsia="黑体" w:hAnsi="黑体" w:cs="黑体" w:hint="eastAsia"/>
          <w:sz w:val="28"/>
          <w:szCs w:val="28"/>
        </w:rPr>
      </w:pPr>
      <w:r>
        <w:rPr>
          <w:rFonts w:ascii="黑体" w:eastAsia="黑体" w:hAnsi="黑体" w:cs="黑体" w:hint="eastAsia"/>
          <w:sz w:val="28"/>
          <w:szCs w:val="28"/>
        </w:rPr>
        <w:t>一、工作简况</w:t>
      </w:r>
    </w:p>
    <w:p w14:paraId="164A2DB7" w14:textId="77777777" w:rsidR="00696EA6" w:rsidRDefault="00000000">
      <w:pPr>
        <w:rPr>
          <w:rFonts w:ascii="黑体" w:eastAsia="黑体" w:hAnsi="黑体" w:cs="黑体" w:hint="eastAsia"/>
          <w:sz w:val="28"/>
          <w:szCs w:val="28"/>
        </w:rPr>
      </w:pPr>
      <w:r>
        <w:rPr>
          <w:rFonts w:ascii="黑体" w:eastAsia="黑体" w:hAnsi="黑体" w:cs="黑体" w:hint="eastAsia"/>
          <w:sz w:val="28"/>
          <w:szCs w:val="28"/>
        </w:rPr>
        <w:t>1、任务来源</w:t>
      </w:r>
    </w:p>
    <w:p w14:paraId="0DDEA6AF" w14:textId="416E0FAF" w:rsidR="00696EA6" w:rsidRPr="008241EE" w:rsidRDefault="00000000">
      <w:pPr>
        <w:adjustRightInd w:val="0"/>
        <w:snapToGrid w:val="0"/>
        <w:spacing w:line="560" w:lineRule="exact"/>
        <w:ind w:firstLineChars="200" w:firstLine="480"/>
        <w:rPr>
          <w:rFonts w:asciiTheme="minorEastAsia" w:hAnsiTheme="minorEastAsia" w:cs="Times New Roman" w:hint="eastAsia"/>
          <w:sz w:val="24"/>
        </w:rPr>
      </w:pPr>
      <w:r w:rsidRPr="008241EE">
        <w:rPr>
          <w:rFonts w:asciiTheme="minorEastAsia" w:hAnsiTheme="minorEastAsia" w:cs="Times New Roman" w:hint="eastAsia"/>
          <w:sz w:val="24"/>
        </w:rPr>
        <w:t>根据2024年全国标准化工作要点，加强质量支撑和标准引领，深入推进国家标准化发展纲要各项重点任务实施，以标准有力引领现代化产业体系建设，推动标准化更好服务经济社会高质量发展。依据《中华人民共和国标准化法和《团体标准管理规定》（国标委联[2019]1号）的相关要求，中国食品药品企业质量安全促进会立项并联合相关单位共同制定《</w:t>
      </w:r>
      <w:r w:rsidR="00066A02" w:rsidRPr="008241EE">
        <w:rPr>
          <w:rFonts w:asciiTheme="minorEastAsia" w:hAnsiTheme="minorEastAsia" w:cs="宋体" w:hint="eastAsia"/>
          <w:sz w:val="24"/>
        </w:rPr>
        <w:t>灵芝三萜与灵芝多糖对人体免疫系统的双效协同</w:t>
      </w:r>
      <w:r w:rsidR="00FD685C">
        <w:rPr>
          <w:rFonts w:asciiTheme="minorEastAsia" w:hAnsiTheme="minorEastAsia" w:cs="宋体" w:hint="eastAsia"/>
          <w:sz w:val="24"/>
        </w:rPr>
        <w:t>效果</w:t>
      </w:r>
      <w:r w:rsidR="00066A02" w:rsidRPr="008241EE">
        <w:rPr>
          <w:rFonts w:asciiTheme="minorEastAsia" w:hAnsiTheme="minorEastAsia" w:cs="宋体" w:hint="eastAsia"/>
          <w:sz w:val="24"/>
        </w:rPr>
        <w:t>评价</w:t>
      </w:r>
      <w:r w:rsidR="00FD685C">
        <w:rPr>
          <w:rFonts w:asciiTheme="minorEastAsia" w:hAnsiTheme="minorEastAsia" w:cs="宋体" w:hint="eastAsia"/>
          <w:sz w:val="24"/>
        </w:rPr>
        <w:t>方法</w:t>
      </w:r>
      <w:r w:rsidRPr="008241EE">
        <w:rPr>
          <w:rFonts w:asciiTheme="minorEastAsia" w:hAnsiTheme="minorEastAsia" w:cs="Times New Roman" w:hint="eastAsia"/>
          <w:sz w:val="24"/>
        </w:rPr>
        <w:t>》团体标准。</w:t>
      </w:r>
    </w:p>
    <w:p w14:paraId="38BDA8EB" w14:textId="77777777" w:rsidR="00696EA6" w:rsidRDefault="00000000">
      <w:pPr>
        <w:rPr>
          <w:rFonts w:ascii="黑体" w:eastAsia="黑体" w:hAnsi="黑体" w:cs="黑体" w:hint="eastAsia"/>
          <w:sz w:val="28"/>
          <w:szCs w:val="28"/>
        </w:rPr>
      </w:pPr>
      <w:r>
        <w:rPr>
          <w:rFonts w:ascii="黑体" w:eastAsia="黑体" w:hAnsi="黑体" w:cs="黑体" w:hint="eastAsia"/>
          <w:sz w:val="28"/>
          <w:szCs w:val="28"/>
        </w:rPr>
        <w:t>2、项目背景</w:t>
      </w:r>
    </w:p>
    <w:p w14:paraId="19A1D909" w14:textId="77777777" w:rsidR="00066A02" w:rsidRPr="008241EE" w:rsidRDefault="00066A02" w:rsidP="00066A02">
      <w:pPr>
        <w:adjustRightInd w:val="0"/>
        <w:snapToGrid w:val="0"/>
        <w:spacing w:line="560" w:lineRule="exact"/>
        <w:ind w:firstLineChars="200" w:firstLine="480"/>
        <w:rPr>
          <w:rFonts w:ascii="宋体" w:eastAsia="宋体" w:hAnsi="宋体" w:cs="宋体" w:hint="eastAsia"/>
          <w:sz w:val="24"/>
        </w:rPr>
      </w:pPr>
      <w:r w:rsidRPr="008241EE">
        <w:rPr>
          <w:rFonts w:ascii="宋体" w:eastAsia="宋体" w:hAnsi="宋体" w:cs="宋体" w:hint="eastAsia"/>
          <w:sz w:val="24"/>
        </w:rPr>
        <w:t>在国家大力推进中医药标准化建设的政策背景下，《中医药标准化行动计划（2024—2026 年）》明确提出要加强中医药特色优势领域标准制定，推动中医药产业高质量发展。与此同时，国际标准化组织（ISO）于 2025 年 8 月正式发布《中医药 —— 破壁灵芝孢子粉》（ISO/TS 25006∶2025）国际标准，首次明确了破壁灵芝孢子粉的原料基源、加工工艺、有效成分含量等核心指标，这标志着灵芝产业的国际化标准体系建设取得重大进展。然而，国内外现有标准体系在灵芝功效成分协同作用评价方面仍存在显著空白。</w:t>
      </w:r>
    </w:p>
    <w:p w14:paraId="710FDAC6" w14:textId="77777777" w:rsidR="00066A02" w:rsidRPr="008241EE" w:rsidRDefault="00066A02" w:rsidP="00066A02">
      <w:pPr>
        <w:adjustRightInd w:val="0"/>
        <w:snapToGrid w:val="0"/>
        <w:spacing w:line="560" w:lineRule="exact"/>
        <w:ind w:firstLineChars="200" w:firstLine="480"/>
        <w:rPr>
          <w:rFonts w:ascii="宋体" w:eastAsia="宋体" w:hAnsi="宋体" w:cs="宋体" w:hint="eastAsia"/>
          <w:sz w:val="24"/>
        </w:rPr>
      </w:pPr>
      <w:r w:rsidRPr="008241EE">
        <w:rPr>
          <w:rFonts w:ascii="宋体" w:eastAsia="宋体" w:hAnsi="宋体" w:cs="宋体" w:hint="eastAsia"/>
          <w:sz w:val="24"/>
        </w:rPr>
        <w:t>从市场发展现状来看，我国灵芝孢子粉市场销售额已达到 10 亿元，保持稳健增长态势，但市场乱象突出。产品价格差异悬殊，部分产品每 400 克售价约 200 元，而一些高端产品每 500 克售价高达 1.5 万元，价格相差高达 60 倍。</w:t>
      </w:r>
      <w:r w:rsidRPr="008241EE">
        <w:rPr>
          <w:rFonts w:ascii="宋体" w:eastAsia="宋体" w:hAnsi="宋体" w:cs="宋体" w:hint="eastAsia"/>
          <w:sz w:val="24"/>
        </w:rPr>
        <w:lastRenderedPageBreak/>
        <w:t>这种价格鸿沟的背后反映了产品质量的参差不齐，主要原因在于当前缺乏统一的功效评价标准。2020 年国家市场监督管理总局等部门制定的《保健食品原料目录 破壁灵芝孢子粉》仅规定多糖含量不得低于 0.9%，未对总三萜含量设定明确要求，且未涉及两种成分协同作用的评价指标。</w:t>
      </w:r>
    </w:p>
    <w:p w14:paraId="0848DA17" w14:textId="77777777" w:rsidR="00066A02" w:rsidRPr="008241EE" w:rsidRDefault="00066A02" w:rsidP="00066A02">
      <w:pPr>
        <w:adjustRightInd w:val="0"/>
        <w:snapToGrid w:val="0"/>
        <w:spacing w:line="560" w:lineRule="exact"/>
        <w:ind w:firstLineChars="200" w:firstLine="480"/>
        <w:rPr>
          <w:rFonts w:ascii="宋体" w:eastAsia="宋体" w:hAnsi="宋体" w:cs="宋体" w:hint="eastAsia"/>
          <w:sz w:val="24"/>
        </w:rPr>
      </w:pPr>
      <w:r w:rsidRPr="008241EE">
        <w:rPr>
          <w:rFonts w:ascii="宋体" w:eastAsia="宋体" w:hAnsi="宋体" w:cs="宋体" w:hint="eastAsia"/>
          <w:sz w:val="24"/>
        </w:rPr>
        <w:t>科学研究表明，灵芝三萜与灵芝多糖通过 “抗炎 - 激活” 双通路形成协同免疫调节机制。三萜类化合物作为天然的 NF-κB 抑制剂，可减少促炎因子表达，促进调节性 T 细胞增殖；灵芝多糖则通过 TLR4 受体通路激活巨噬细胞，增强细胞免疫和体液免疫应答。在 LPS 诱导的小鼠炎症模型中，两者联合使用使 IL-6 浓度降低 63%，NK 细胞活性提升 52%，显著优于单一成分作用效果，证实了协同效应的存在及其重要性。但当前标准体系未能反映这种 “1+1&gt;2” 的生物活性特征，导致市场上产品质量评价缺乏科学依据。</w:t>
      </w:r>
    </w:p>
    <w:p w14:paraId="6DE35714" w14:textId="77777777" w:rsidR="00066A02" w:rsidRPr="008241EE" w:rsidRDefault="00066A02" w:rsidP="00066A02">
      <w:pPr>
        <w:adjustRightInd w:val="0"/>
        <w:snapToGrid w:val="0"/>
        <w:spacing w:line="560" w:lineRule="exact"/>
        <w:ind w:firstLineChars="200" w:firstLine="480"/>
        <w:rPr>
          <w:rFonts w:ascii="宋体" w:eastAsia="宋体" w:hAnsi="宋体" w:cs="宋体" w:hint="eastAsia"/>
          <w:sz w:val="24"/>
        </w:rPr>
      </w:pPr>
      <w:r w:rsidRPr="008241EE">
        <w:rPr>
          <w:rFonts w:ascii="宋体" w:eastAsia="宋体" w:hAnsi="宋体" w:cs="宋体" w:hint="eastAsia"/>
          <w:sz w:val="24"/>
        </w:rPr>
        <w:t>当前灵芝产业发展面临的核心问题是功效评价标准与产业发展需求脱节。一方面，市场上 16 款灵芝孢子粉产品虽均宣称破壁工艺优势且成分含量达标，但由于缺乏协同效应评价标准，消费者难以辨别产品实际功效差异；另一方面，现有检测方法存在局限性，如以齐墩果酸为标准品的分光光度法检测三萜含量缺乏专属性，导致结果虚高，影响了评价的科学性。这些问题不仅增加了消费者的选择难度，也给市场监管带来挑战，制约了产业的健康发展。</w:t>
      </w:r>
    </w:p>
    <w:p w14:paraId="30C9BABB" w14:textId="45909958" w:rsidR="00696EA6" w:rsidRDefault="00066A02" w:rsidP="00066A02">
      <w:pPr>
        <w:adjustRightInd w:val="0"/>
        <w:snapToGrid w:val="0"/>
        <w:spacing w:line="560" w:lineRule="exact"/>
        <w:ind w:firstLineChars="200" w:firstLine="480"/>
        <w:rPr>
          <w:rFonts w:ascii="Times New Roman" w:eastAsia="仿宋_GB2312" w:hAnsi="Times New Roman" w:cs="Times New Roman"/>
          <w:sz w:val="32"/>
          <w:szCs w:val="32"/>
        </w:rPr>
      </w:pPr>
      <w:r w:rsidRPr="008241EE">
        <w:rPr>
          <w:rFonts w:ascii="宋体" w:eastAsia="宋体" w:hAnsi="宋体" w:cs="宋体" w:hint="eastAsia"/>
          <w:sz w:val="24"/>
        </w:rPr>
        <w:t>本标准的制定，通过建立双效协同机制评价体系，可引导企业优化生产工艺，提升产品质量，推动灵芝产业从原料竞争向技术竞争转型。在监管层面，标准将为市场监督提供科学依据，解决当前因评价指标缺失导致的监管难题，有利于维护市场秩序；在消费权益层面，标准可帮助消费者建立科学的产品认知，通过明确的协同功效评价指标，减少信息不对称带来的选择困难。同时，标准制定也响应了《中医药标准化中长期发展规划》中关于完善中医药疗效评价标准体系的要求，对推动中医药现代化和国际化具有重要意义。</w:t>
      </w:r>
    </w:p>
    <w:p w14:paraId="4A794C89" w14:textId="77777777" w:rsidR="00696EA6" w:rsidRDefault="00000000">
      <w:pPr>
        <w:numPr>
          <w:ilvl w:val="0"/>
          <w:numId w:val="3"/>
        </w:numPr>
        <w:rPr>
          <w:rFonts w:ascii="黑体" w:eastAsia="黑体" w:hAnsi="黑体" w:cs="黑体" w:hint="eastAsia"/>
          <w:sz w:val="28"/>
          <w:szCs w:val="28"/>
        </w:rPr>
      </w:pPr>
      <w:r>
        <w:rPr>
          <w:rFonts w:ascii="黑体" w:eastAsia="黑体" w:hAnsi="黑体" w:cs="黑体" w:hint="eastAsia"/>
          <w:sz w:val="28"/>
          <w:szCs w:val="28"/>
        </w:rPr>
        <w:t>主要工作过程</w:t>
      </w:r>
    </w:p>
    <w:p w14:paraId="759B8F35" w14:textId="77777777" w:rsidR="00696EA6" w:rsidRDefault="00000000">
      <w:pPr>
        <w:rPr>
          <w:rFonts w:ascii="黑体" w:eastAsia="黑体" w:hAnsi="黑体" w:cs="黑体" w:hint="eastAsia"/>
          <w:sz w:val="28"/>
          <w:szCs w:val="28"/>
        </w:rPr>
      </w:pPr>
      <w:r>
        <w:rPr>
          <w:rFonts w:ascii="黑体" w:eastAsia="黑体" w:hAnsi="黑体" w:cs="黑体" w:hint="eastAsia"/>
          <w:sz w:val="28"/>
          <w:szCs w:val="28"/>
        </w:rPr>
        <w:lastRenderedPageBreak/>
        <w:t>3.1标准研制阶段</w:t>
      </w:r>
    </w:p>
    <w:p w14:paraId="78DFA656" w14:textId="011C1423" w:rsidR="00696EA6" w:rsidRPr="008241EE" w:rsidRDefault="00000000">
      <w:pPr>
        <w:adjustRightInd w:val="0"/>
        <w:snapToGrid w:val="0"/>
        <w:spacing w:line="560" w:lineRule="exact"/>
        <w:ind w:firstLineChars="200" w:firstLine="480"/>
        <w:rPr>
          <w:rFonts w:ascii="宋体" w:eastAsia="宋体" w:hAnsi="宋体" w:cs="Times New Roman" w:hint="eastAsia"/>
          <w:sz w:val="24"/>
        </w:rPr>
      </w:pPr>
      <w:r w:rsidRPr="008241EE">
        <w:rPr>
          <w:rFonts w:ascii="宋体" w:eastAsia="宋体" w:hAnsi="宋体" w:cs="Times New Roman" w:hint="eastAsia"/>
          <w:sz w:val="24"/>
        </w:rPr>
        <w:t>2025年</w:t>
      </w:r>
      <w:r w:rsidR="00066A02" w:rsidRPr="008241EE">
        <w:rPr>
          <w:rFonts w:ascii="宋体" w:eastAsia="宋体" w:hAnsi="宋体" w:cs="Times New Roman" w:hint="eastAsia"/>
          <w:sz w:val="24"/>
        </w:rPr>
        <w:t>8</w:t>
      </w:r>
      <w:r w:rsidRPr="008241EE">
        <w:rPr>
          <w:rFonts w:ascii="宋体" w:eastAsia="宋体" w:hAnsi="宋体" w:cs="Times New Roman" w:hint="eastAsia"/>
          <w:sz w:val="24"/>
        </w:rPr>
        <w:t>～</w:t>
      </w:r>
      <w:r w:rsidR="00066A02" w:rsidRPr="008241EE">
        <w:rPr>
          <w:rFonts w:ascii="宋体" w:eastAsia="宋体" w:hAnsi="宋体" w:cs="Times New Roman" w:hint="eastAsia"/>
          <w:sz w:val="24"/>
        </w:rPr>
        <w:t>9</w:t>
      </w:r>
      <w:r w:rsidRPr="008241EE">
        <w:rPr>
          <w:rFonts w:ascii="宋体" w:eastAsia="宋体" w:hAnsi="宋体" w:cs="Times New Roman" w:hint="eastAsia"/>
          <w:sz w:val="24"/>
        </w:rPr>
        <w:t>月，起草组通过企业调研，了解企业实际生产情况，并组织收集、整理相关标准化资料、专业文献等，经成分分析、研讨、论证后编写完成《</w:t>
      </w:r>
      <w:r w:rsidR="00066A02" w:rsidRPr="008241EE">
        <w:rPr>
          <w:rFonts w:ascii="宋体" w:eastAsia="宋体" w:hAnsi="宋体" w:cs="Times New Roman" w:hint="eastAsia"/>
          <w:sz w:val="24"/>
        </w:rPr>
        <w:t>灵芝三萜与灵芝多糖对人体免疫系统的双效协同机制评价指南</w:t>
      </w:r>
      <w:r w:rsidRPr="008241EE">
        <w:rPr>
          <w:rFonts w:ascii="宋体" w:eastAsia="宋体" w:hAnsi="宋体" w:cs="Times New Roman" w:hint="eastAsia"/>
          <w:sz w:val="24"/>
        </w:rPr>
        <w:t>》立项申请书及标准框架相关内容，并向中国食品药品企业质量安全促进会提出标准立项申请。</w:t>
      </w:r>
    </w:p>
    <w:p w14:paraId="6811D2DB" w14:textId="77777777" w:rsidR="00696EA6" w:rsidRDefault="00000000">
      <w:pPr>
        <w:rPr>
          <w:rFonts w:ascii="黑体" w:eastAsia="黑体" w:hAnsi="黑体" w:cs="黑体" w:hint="eastAsia"/>
          <w:sz w:val="28"/>
          <w:szCs w:val="28"/>
        </w:rPr>
      </w:pPr>
      <w:r>
        <w:rPr>
          <w:rFonts w:ascii="黑体" w:eastAsia="黑体" w:hAnsi="黑体" w:cs="黑体" w:hint="eastAsia"/>
          <w:sz w:val="28"/>
          <w:szCs w:val="28"/>
        </w:rPr>
        <w:t>3.2标准立项阶段</w:t>
      </w:r>
    </w:p>
    <w:p w14:paraId="3397B24D" w14:textId="77777777" w:rsidR="001C2EA8" w:rsidRDefault="001C2EA8" w:rsidP="004846FF">
      <w:pPr>
        <w:adjustRightInd w:val="0"/>
        <w:snapToGrid w:val="0"/>
        <w:spacing w:line="560" w:lineRule="exact"/>
        <w:ind w:firstLineChars="200" w:firstLine="480"/>
        <w:rPr>
          <w:rFonts w:ascii="宋体" w:eastAsia="宋体" w:hAnsi="宋体" w:cs="Times New Roman" w:hint="eastAsia"/>
          <w:sz w:val="24"/>
        </w:rPr>
      </w:pPr>
      <w:r>
        <w:rPr>
          <w:rFonts w:ascii="宋体" w:eastAsia="宋体" w:hAnsi="宋体" w:cs="Times New Roman" w:hint="eastAsia"/>
          <w:sz w:val="24"/>
        </w:rPr>
        <w:t>2025年10月24日，</w:t>
      </w:r>
      <w:r w:rsidRPr="004846FF">
        <w:rPr>
          <w:rFonts w:ascii="宋体" w:eastAsia="宋体" w:hAnsi="宋体" w:cs="Times New Roman" w:hint="eastAsia"/>
          <w:sz w:val="24"/>
        </w:rPr>
        <w:t>中国食品药品企业质量安全促进会</w:t>
      </w:r>
      <w:r>
        <w:rPr>
          <w:rFonts w:ascii="宋体" w:eastAsia="宋体" w:hAnsi="宋体" w:cs="Times New Roman" w:hint="eastAsia"/>
          <w:sz w:val="24"/>
        </w:rPr>
        <w:t>组织召开</w:t>
      </w:r>
      <w:r w:rsidRPr="001C2EA8">
        <w:rPr>
          <w:rFonts w:ascii="宋体" w:eastAsia="宋体" w:hAnsi="宋体" w:cs="Times New Roman" w:hint="eastAsia"/>
          <w:sz w:val="24"/>
        </w:rPr>
        <w:t>《灵芝三萜与灵芝多糖对人体免疫系统的双效协同机制评价指南》标准立项会议，会议对标准立项目的、意义以及标准草案进行了论证，一致同意通过该标准的立项，并建议将标准名称修改为《灵芝三萜与灵芝多糖对人体免疫系统的双效协同功效评价方法》。</w:t>
      </w:r>
    </w:p>
    <w:p w14:paraId="79853DB1" w14:textId="3CB98107" w:rsidR="00696EA6" w:rsidRPr="00D12141" w:rsidRDefault="001C2EA8" w:rsidP="004846FF">
      <w:pPr>
        <w:adjustRightInd w:val="0"/>
        <w:snapToGrid w:val="0"/>
        <w:spacing w:line="560" w:lineRule="exact"/>
        <w:ind w:firstLineChars="200" w:firstLine="480"/>
        <w:rPr>
          <w:rFonts w:asciiTheme="minorEastAsia" w:hAnsiTheme="minorEastAsia" w:cs="黑体" w:hint="eastAsia"/>
          <w:sz w:val="28"/>
          <w:szCs w:val="28"/>
        </w:rPr>
      </w:pPr>
      <w:r>
        <w:rPr>
          <w:rFonts w:ascii="宋体" w:eastAsia="宋体" w:hAnsi="宋体" w:cs="Times New Roman" w:hint="eastAsia"/>
          <w:sz w:val="24"/>
        </w:rPr>
        <w:t>205</w:t>
      </w:r>
      <w:r w:rsidR="004846FF" w:rsidRPr="004846FF">
        <w:rPr>
          <w:rFonts w:ascii="宋体" w:eastAsia="宋体" w:hAnsi="宋体" w:cs="Times New Roman" w:hint="eastAsia"/>
          <w:sz w:val="24"/>
        </w:rPr>
        <w:t>年</w:t>
      </w:r>
      <w:r>
        <w:rPr>
          <w:rFonts w:ascii="宋体" w:eastAsia="宋体" w:hAnsi="宋体" w:cs="Times New Roman" w:hint="eastAsia"/>
          <w:sz w:val="24"/>
        </w:rPr>
        <w:t>10</w:t>
      </w:r>
      <w:r w:rsidR="004846FF" w:rsidRPr="004846FF">
        <w:rPr>
          <w:rFonts w:ascii="宋体" w:eastAsia="宋体" w:hAnsi="宋体" w:cs="Times New Roman" w:hint="eastAsia"/>
          <w:sz w:val="24"/>
        </w:rPr>
        <w:t>月</w:t>
      </w:r>
      <w:r>
        <w:rPr>
          <w:rFonts w:ascii="宋体" w:eastAsia="宋体" w:hAnsi="宋体" w:cs="Times New Roman" w:hint="eastAsia"/>
          <w:sz w:val="24"/>
        </w:rPr>
        <w:t>30</w:t>
      </w:r>
      <w:r w:rsidR="004846FF" w:rsidRPr="004846FF">
        <w:rPr>
          <w:rFonts w:ascii="宋体" w:eastAsia="宋体" w:hAnsi="宋体" w:cs="Times New Roman" w:hint="eastAsia"/>
          <w:sz w:val="24"/>
        </w:rPr>
        <w:t>日，中国食品药品企业质量安全促进会正式发布了《灵芝三萜与灵芝多糖对人体免疫系统的双效协同功效评价方法》团体标准立项通知，并在全国团体标准信息平台进行公示</w:t>
      </w:r>
      <w:r w:rsidR="00D12141" w:rsidRPr="004846FF">
        <w:rPr>
          <w:rFonts w:ascii="宋体" w:eastAsia="宋体" w:hAnsi="宋体" w:cs="Times New Roman" w:hint="eastAsia"/>
          <w:sz w:val="24"/>
        </w:rPr>
        <w:t>。</w:t>
      </w:r>
    </w:p>
    <w:p w14:paraId="453D2F25" w14:textId="7F6EC5FA" w:rsidR="00696EA6" w:rsidRDefault="00000000">
      <w:pPr>
        <w:rPr>
          <w:rFonts w:ascii="Times New Roman" w:eastAsia="仿宋_GB2312" w:hAnsi="Times New Roman" w:cs="Times New Roman"/>
          <w:sz w:val="32"/>
          <w:szCs w:val="32"/>
        </w:rPr>
      </w:pPr>
      <w:r>
        <w:rPr>
          <w:rFonts w:ascii="黑体" w:eastAsia="黑体" w:hAnsi="黑体" w:cs="黑体" w:hint="eastAsia"/>
          <w:sz w:val="28"/>
          <w:szCs w:val="28"/>
        </w:rPr>
        <w:t>3.3</w:t>
      </w:r>
      <w:r w:rsidR="004846FF">
        <w:rPr>
          <w:rFonts w:ascii="黑体" w:eastAsia="黑体" w:hAnsi="黑体" w:cs="黑体" w:hint="eastAsia"/>
          <w:sz w:val="28"/>
          <w:szCs w:val="28"/>
        </w:rPr>
        <w:t>起草</w:t>
      </w:r>
      <w:r>
        <w:rPr>
          <w:rFonts w:ascii="黑体" w:eastAsia="黑体" w:hAnsi="黑体" w:cs="黑体" w:hint="eastAsia"/>
          <w:sz w:val="28"/>
          <w:szCs w:val="28"/>
        </w:rPr>
        <w:t>阶段</w:t>
      </w:r>
    </w:p>
    <w:p w14:paraId="73FC63C6" w14:textId="74680F0C" w:rsidR="00696EA6" w:rsidRPr="001C2EA8" w:rsidRDefault="004846FF" w:rsidP="001C2EA8">
      <w:pPr>
        <w:adjustRightInd w:val="0"/>
        <w:snapToGrid w:val="0"/>
        <w:spacing w:line="560" w:lineRule="exact"/>
        <w:ind w:firstLineChars="200" w:firstLine="480"/>
        <w:rPr>
          <w:rFonts w:ascii="Times New Roman" w:eastAsia="仿宋_GB2312" w:hAnsi="Times New Roman" w:cs="Times New Roman"/>
          <w:sz w:val="32"/>
          <w:szCs w:val="32"/>
        </w:rPr>
      </w:pPr>
      <w:r w:rsidRPr="004846FF">
        <w:rPr>
          <w:rFonts w:ascii="宋体" w:eastAsia="宋体" w:hAnsi="宋体" w:cs="Times New Roman" w:hint="eastAsia"/>
          <w:sz w:val="24"/>
        </w:rPr>
        <w:t>2025年</w:t>
      </w:r>
      <w:r w:rsidR="001C2EA8">
        <w:rPr>
          <w:rFonts w:ascii="宋体" w:eastAsia="宋体" w:hAnsi="宋体" w:cs="Times New Roman" w:hint="eastAsia"/>
          <w:sz w:val="24"/>
        </w:rPr>
        <w:t>11</w:t>
      </w:r>
      <w:r w:rsidRPr="004846FF">
        <w:rPr>
          <w:rFonts w:ascii="宋体" w:eastAsia="宋体" w:hAnsi="宋体" w:cs="Times New Roman" w:hint="eastAsia"/>
          <w:sz w:val="24"/>
        </w:rPr>
        <w:t>～</w:t>
      </w:r>
      <w:r w:rsidR="001C2EA8">
        <w:rPr>
          <w:rFonts w:ascii="宋体" w:eastAsia="宋体" w:hAnsi="宋体" w:cs="Times New Roman" w:hint="eastAsia"/>
          <w:sz w:val="24"/>
        </w:rPr>
        <w:t>12</w:t>
      </w:r>
      <w:r w:rsidRPr="004846FF">
        <w:rPr>
          <w:rFonts w:ascii="宋体" w:eastAsia="宋体" w:hAnsi="宋体" w:cs="Times New Roman" w:hint="eastAsia"/>
          <w:sz w:val="24"/>
        </w:rPr>
        <w:t>月，依据《中华人民共和国标准化法》、《国务院关于深化标准化工作改革方案》等文件的要求，按照团体标准的制修订程序组织有关技术人员成立标准起草工作组，通过相关信息化手段进行多次内容讨论和交流，并向相关单位和专家咨询，在广泛听取各方意见和充分论证的基础上，对标准初稿进行了完善和修改后经起草组确认，同意作为征求意见稿，公开征求意见。</w:t>
      </w:r>
    </w:p>
    <w:p w14:paraId="51F53919" w14:textId="77777777" w:rsidR="00696EA6" w:rsidRDefault="00000000">
      <w:pPr>
        <w:rPr>
          <w:rFonts w:ascii="黑体" w:eastAsia="黑体" w:hAnsi="黑体" w:cs="黑体" w:hint="eastAsia"/>
          <w:sz w:val="28"/>
          <w:szCs w:val="28"/>
        </w:rPr>
      </w:pPr>
      <w:r>
        <w:rPr>
          <w:rFonts w:ascii="黑体" w:eastAsia="黑体" w:hAnsi="黑体" w:cs="黑体" w:hint="eastAsia"/>
          <w:sz w:val="28"/>
          <w:szCs w:val="28"/>
        </w:rPr>
        <w:t xml:space="preserve">二 标准编制原则和主要内容及其论据 </w:t>
      </w:r>
    </w:p>
    <w:p w14:paraId="6303E81A" w14:textId="77777777" w:rsidR="00696EA6" w:rsidRDefault="00000000">
      <w:pPr>
        <w:rPr>
          <w:rFonts w:ascii="黑体" w:eastAsia="黑体" w:hAnsi="黑体" w:cs="黑体" w:hint="eastAsia"/>
          <w:sz w:val="28"/>
          <w:szCs w:val="28"/>
        </w:rPr>
      </w:pPr>
      <w:r>
        <w:rPr>
          <w:rFonts w:ascii="黑体" w:eastAsia="黑体" w:hAnsi="黑体" w:cs="黑体" w:hint="eastAsia"/>
          <w:sz w:val="28"/>
          <w:szCs w:val="28"/>
        </w:rPr>
        <w:t xml:space="preserve">1、标准编制原则 </w:t>
      </w:r>
    </w:p>
    <w:p w14:paraId="515EB213" w14:textId="77777777" w:rsidR="00696EA6" w:rsidRPr="008241EE" w:rsidRDefault="00000000">
      <w:pPr>
        <w:adjustRightInd w:val="0"/>
        <w:snapToGrid w:val="0"/>
        <w:spacing w:line="560" w:lineRule="exact"/>
        <w:ind w:firstLineChars="200" w:firstLine="480"/>
        <w:rPr>
          <w:rFonts w:asciiTheme="minorEastAsia" w:hAnsiTheme="minorEastAsia" w:cs="Times New Roman" w:hint="eastAsia"/>
          <w:sz w:val="24"/>
        </w:rPr>
      </w:pPr>
      <w:r w:rsidRPr="008241EE">
        <w:rPr>
          <w:rFonts w:asciiTheme="minorEastAsia" w:hAnsiTheme="minorEastAsia" w:cs="Times New Roman" w:hint="eastAsia"/>
          <w:sz w:val="24"/>
        </w:rPr>
        <w:t>本标准按照 GB/T 1.1-2020《标准化工作导则 第 1 部分：标准的结构和编写规则》的要求进行编写。与相关领域法律、法规和规章、国家与行业标准等的</w:t>
      </w:r>
      <w:r w:rsidRPr="008241EE">
        <w:rPr>
          <w:rFonts w:asciiTheme="minorEastAsia" w:hAnsiTheme="minorEastAsia" w:cs="Times New Roman" w:hint="eastAsia"/>
          <w:sz w:val="24"/>
        </w:rPr>
        <w:lastRenderedPageBreak/>
        <w:t xml:space="preserve">兼容性和协调一致，符合国家和行业的有关方针、政策。标准内容具有规范性、科学性、先进性、合理性与可行性。适应产业发展的需要，运用统一、简化、协调、优化的原则。兼顾各方利益，广泛吸纳各方意见和建议，协调处理好各方意见。标准规定的技术 要求应便于实际实施，具有较强的可操作性。 </w:t>
      </w:r>
    </w:p>
    <w:p w14:paraId="5C6F7461" w14:textId="1E70CE86" w:rsidR="007B35D4" w:rsidRDefault="00000000" w:rsidP="007B35D4">
      <w:pPr>
        <w:adjustRightInd w:val="0"/>
        <w:snapToGrid w:val="0"/>
        <w:spacing w:line="560" w:lineRule="exact"/>
        <w:rPr>
          <w:rFonts w:ascii="Times New Roman" w:eastAsia="仿宋_GB2312" w:hAnsi="Times New Roman" w:cs="Times New Roman"/>
          <w:sz w:val="32"/>
          <w:szCs w:val="32"/>
        </w:rPr>
      </w:pPr>
      <w:r>
        <w:rPr>
          <w:rFonts w:ascii="黑体" w:eastAsia="黑体" w:hAnsi="黑体" w:cs="黑体" w:hint="eastAsia"/>
          <w:sz w:val="28"/>
          <w:szCs w:val="28"/>
        </w:rPr>
        <w:t>2、主要内容及其依据</w:t>
      </w:r>
      <w:r>
        <w:rPr>
          <w:rFonts w:ascii="Times New Roman" w:eastAsia="仿宋_GB2312" w:hAnsi="Times New Roman" w:cs="Times New Roman" w:hint="eastAsia"/>
          <w:sz w:val="32"/>
          <w:szCs w:val="32"/>
        </w:rPr>
        <w:t xml:space="preserve">   </w:t>
      </w:r>
    </w:p>
    <w:p w14:paraId="2BAD6575" w14:textId="08146C92" w:rsidR="008241EE" w:rsidRPr="008241EE" w:rsidRDefault="008241EE" w:rsidP="007B35D4">
      <w:pPr>
        <w:adjustRightInd w:val="0"/>
        <w:snapToGrid w:val="0"/>
        <w:spacing w:line="560" w:lineRule="exact"/>
        <w:rPr>
          <w:rFonts w:ascii="黑体" w:eastAsia="黑体" w:hAnsi="黑体" w:cs="Times New Roman" w:hint="eastAsia"/>
          <w:sz w:val="28"/>
          <w:szCs w:val="28"/>
        </w:rPr>
      </w:pPr>
      <w:r w:rsidRPr="008241EE">
        <w:rPr>
          <w:rFonts w:ascii="黑体" w:eastAsia="黑体" w:hAnsi="黑体" w:cs="Cambria" w:hint="eastAsia"/>
          <w:sz w:val="28"/>
          <w:szCs w:val="28"/>
        </w:rPr>
        <w:t xml:space="preserve">2.1 </w:t>
      </w:r>
      <w:r w:rsidRPr="008241EE">
        <w:rPr>
          <w:rFonts w:ascii="黑体" w:eastAsia="黑体" w:hAnsi="黑体" w:cs="宋体" w:hint="eastAsia"/>
          <w:sz w:val="28"/>
          <w:szCs w:val="28"/>
        </w:rPr>
        <w:t>评价方法</w:t>
      </w:r>
    </w:p>
    <w:p w14:paraId="6E284CEF" w14:textId="50211B10" w:rsidR="007B35D4" w:rsidRPr="008241EE" w:rsidRDefault="007B35D4" w:rsidP="007B35D4">
      <w:pPr>
        <w:adjustRightInd w:val="0"/>
        <w:snapToGrid w:val="0"/>
        <w:spacing w:line="560" w:lineRule="exact"/>
        <w:ind w:firstLineChars="200" w:firstLine="480"/>
        <w:rPr>
          <w:rFonts w:ascii="宋体" w:eastAsia="宋体" w:hAnsi="宋体" w:cs="___WRD_EMBED_SUB_49" w:hint="eastAsia"/>
          <w:sz w:val="24"/>
        </w:rPr>
      </w:pPr>
      <w:r w:rsidRPr="008241EE">
        <w:rPr>
          <w:rFonts w:ascii="宋体" w:eastAsia="宋体" w:hAnsi="宋体" w:cs="___WRD_EMBED_SUB_49" w:hint="eastAsia"/>
          <w:sz w:val="24"/>
        </w:rPr>
        <w:t>本文件旨在建立一套系统、规范的评价体系，以科学评估灵芝多糖与三萜类化合物单独及联合使用时的免疫调节活性。通过体外细胞实验与体内动物实验相结合的方法，重点验证两种成分对固有免疫与适应性免疫的协同激活效应，为灵芝活性成分作为天然免疫调节剂的开发应用提供从分子机制到整体功能的完整实验依据，同时为天然产物协同免疫调节的研究提供可借鉴的标准化实验范式。</w:t>
      </w:r>
    </w:p>
    <w:p w14:paraId="1B1C5AE5" w14:textId="77777777" w:rsidR="007B35D4" w:rsidRPr="008241EE" w:rsidRDefault="007B35D4" w:rsidP="007B35D4">
      <w:pPr>
        <w:adjustRightInd w:val="0"/>
        <w:snapToGrid w:val="0"/>
        <w:spacing w:line="560" w:lineRule="exact"/>
        <w:ind w:firstLineChars="200" w:firstLine="480"/>
        <w:rPr>
          <w:rFonts w:ascii="宋体" w:eastAsia="宋体" w:hAnsi="宋体" w:cs="___WRD_EMBED_SUB_49" w:hint="eastAsia"/>
          <w:sz w:val="24"/>
        </w:rPr>
      </w:pPr>
      <w:r w:rsidRPr="008241EE">
        <w:rPr>
          <w:rFonts w:ascii="宋体" w:eastAsia="宋体" w:hAnsi="宋体" w:cs="___WRD_EMBED_SUB_49" w:hint="eastAsia"/>
          <w:sz w:val="24"/>
        </w:rPr>
        <w:t>实验采用 “体外细胞实验 - 体内动物实验” 的双层验证体系，核心围绕免疫调节的协同效应展开。</w:t>
      </w:r>
    </w:p>
    <w:p w14:paraId="585018B3" w14:textId="1B559A74" w:rsidR="007B35D4" w:rsidRPr="008241EE" w:rsidRDefault="007B35D4" w:rsidP="007B35D4">
      <w:pPr>
        <w:adjustRightInd w:val="0"/>
        <w:snapToGrid w:val="0"/>
        <w:spacing w:line="560" w:lineRule="exact"/>
        <w:ind w:firstLineChars="200" w:firstLine="480"/>
        <w:rPr>
          <w:rFonts w:ascii="宋体" w:eastAsia="宋体" w:hAnsi="宋体" w:cs="___WRD_EMBED_SUB_49" w:hint="eastAsia"/>
          <w:sz w:val="24"/>
        </w:rPr>
      </w:pPr>
      <w:r w:rsidRPr="008241EE">
        <w:rPr>
          <w:rFonts w:ascii="宋体" w:eastAsia="宋体" w:hAnsi="宋体" w:cs="___WRD_EMBED_SUB_49" w:hint="eastAsia"/>
          <w:sz w:val="24"/>
        </w:rPr>
        <w:t>体外细胞实验部分，以健康人外周血单个核细胞（</w:t>
      </w:r>
      <w:r w:rsidRPr="008241EE">
        <w:rPr>
          <w:rFonts w:ascii="宋体" w:eastAsia="宋体" w:hAnsi="宋体" w:cs="___WRD_EMBED_SUB_49"/>
          <w:sz w:val="24"/>
        </w:rPr>
        <w:t>PBMC</w:t>
      </w:r>
      <w:r w:rsidRPr="008241EE">
        <w:rPr>
          <w:rFonts w:ascii="宋体" w:eastAsia="宋体" w:hAnsi="宋体" w:cs="___WRD_EMBED_SUB_49" w:hint="eastAsia"/>
          <w:sz w:val="24"/>
        </w:rPr>
        <w:t>）为研究模型，通过预实验设置</w:t>
      </w:r>
      <w:r w:rsidRPr="008241EE">
        <w:rPr>
          <w:rFonts w:ascii="宋体" w:eastAsia="宋体" w:hAnsi="宋体" w:cs="___WRD_EMBED_SUB_49"/>
          <w:sz w:val="24"/>
        </w:rPr>
        <w:t xml:space="preserve"> 8 </w:t>
      </w:r>
      <w:r w:rsidRPr="008241EE">
        <w:rPr>
          <w:rFonts w:ascii="宋体" w:eastAsia="宋体" w:hAnsi="宋体" w:cs="___WRD_EMBED_SUB_49" w:hint="eastAsia"/>
          <w:sz w:val="24"/>
        </w:rPr>
        <w:t>个浓度梯度，采用</w:t>
      </w:r>
      <w:r w:rsidRPr="008241EE">
        <w:rPr>
          <w:rFonts w:ascii="宋体" w:eastAsia="宋体" w:hAnsi="宋体" w:cs="___WRD_EMBED_SUB_49"/>
          <w:sz w:val="24"/>
        </w:rPr>
        <w:t xml:space="preserve"> CCK - 8 </w:t>
      </w:r>
      <w:r w:rsidRPr="008241EE">
        <w:rPr>
          <w:rFonts w:ascii="宋体" w:eastAsia="宋体" w:hAnsi="宋体" w:cs="___WRD_EMBED_SUB_49" w:hint="eastAsia"/>
          <w:sz w:val="24"/>
        </w:rPr>
        <w:t>法测定细胞存活率，计算半数毒性浓度（</w:t>
      </w:r>
      <w:r w:rsidRPr="008241EE">
        <w:rPr>
          <w:rFonts w:ascii="宋体" w:eastAsia="宋体" w:hAnsi="宋体" w:cs="___WRD_EMBED_SUB_49"/>
          <w:sz w:val="24"/>
        </w:rPr>
        <w:t>TC</w:t>
      </w:r>
      <w:r w:rsidRPr="008241EE">
        <w:rPr>
          <w:rFonts w:ascii="Cambria Math" w:eastAsia="宋体" w:hAnsi="Cambria Math" w:cs="Cambria Math"/>
          <w:sz w:val="24"/>
        </w:rPr>
        <w:t>₅₀</w:t>
      </w:r>
      <w:r w:rsidRPr="008241EE">
        <w:rPr>
          <w:rFonts w:ascii="宋体" w:eastAsia="宋体" w:hAnsi="宋体" w:cs="___WRD_EMBED_SUB_49" w:hint="eastAsia"/>
          <w:sz w:val="24"/>
        </w:rPr>
        <w:t>），确定两种成分的安全浓度范围（存活率≥</w:t>
      </w:r>
      <w:r w:rsidRPr="008241EE">
        <w:rPr>
          <w:rFonts w:ascii="宋体" w:eastAsia="宋体" w:hAnsi="宋体" w:cs="___WRD_EMBED_SUB_49"/>
          <w:sz w:val="24"/>
        </w:rPr>
        <w:t xml:space="preserve">80% </w:t>
      </w:r>
      <w:r w:rsidRPr="008241EE">
        <w:rPr>
          <w:rFonts w:ascii="宋体" w:eastAsia="宋体" w:hAnsi="宋体" w:cs="___WRD_EMBED_SUB_49" w:hint="eastAsia"/>
          <w:sz w:val="24"/>
        </w:rPr>
        <w:t>的最高浓度）。正式实验设置空白对照、阳性对照（</w:t>
      </w:r>
      <w:r w:rsidRPr="008241EE">
        <w:rPr>
          <w:rFonts w:ascii="宋体" w:eastAsia="宋体" w:hAnsi="宋体" w:cs="___WRD_EMBED_SUB_49"/>
          <w:sz w:val="24"/>
        </w:rPr>
        <w:t>PHA</w:t>
      </w:r>
      <w:r w:rsidRPr="008241EE">
        <w:rPr>
          <w:rFonts w:ascii="宋体" w:eastAsia="宋体" w:hAnsi="宋体" w:cs="___WRD_EMBED_SUB_49" w:hint="eastAsia"/>
          <w:sz w:val="24"/>
        </w:rPr>
        <w:t>）、多糖单独组、三萜单独组及</w:t>
      </w:r>
      <w:r w:rsidRPr="008241EE">
        <w:rPr>
          <w:rFonts w:ascii="宋体" w:eastAsia="宋体" w:hAnsi="宋体" w:cs="___WRD_EMBED_SUB_49"/>
          <w:sz w:val="24"/>
        </w:rPr>
        <w:t xml:space="preserve"> 2:1</w:t>
      </w:r>
      <w:r w:rsidRPr="008241EE">
        <w:rPr>
          <w:rFonts w:ascii="宋体" w:eastAsia="宋体" w:hAnsi="宋体" w:cs="___WRD_EMBED_SUB_49" w:hint="eastAsia"/>
          <w:sz w:val="24"/>
        </w:rPr>
        <w:t>、</w:t>
      </w:r>
      <w:r w:rsidRPr="008241EE">
        <w:rPr>
          <w:rFonts w:ascii="宋体" w:eastAsia="宋体" w:hAnsi="宋体" w:cs="___WRD_EMBED_SUB_49"/>
          <w:sz w:val="24"/>
        </w:rPr>
        <w:t>1:1</w:t>
      </w:r>
      <w:r w:rsidRPr="008241EE">
        <w:rPr>
          <w:rFonts w:ascii="宋体" w:eastAsia="宋体" w:hAnsi="宋体" w:cs="___WRD_EMBED_SUB_49" w:hint="eastAsia"/>
          <w:sz w:val="24"/>
        </w:rPr>
        <w:t>、</w:t>
      </w:r>
      <w:r w:rsidRPr="008241EE">
        <w:rPr>
          <w:rFonts w:ascii="宋体" w:eastAsia="宋体" w:hAnsi="宋体" w:cs="___WRD_EMBED_SUB_49"/>
          <w:sz w:val="24"/>
        </w:rPr>
        <w:t xml:space="preserve">1:2 </w:t>
      </w:r>
      <w:r w:rsidRPr="008241EE">
        <w:rPr>
          <w:rFonts w:ascii="宋体" w:eastAsia="宋体" w:hAnsi="宋体" w:cs="___WRD_EMBED_SUB_49" w:hint="eastAsia"/>
          <w:sz w:val="24"/>
        </w:rPr>
        <w:t>比例的联合用药组，通过以下指标评价免疫活性：①采用</w:t>
      </w:r>
      <w:r w:rsidRPr="008241EE">
        <w:rPr>
          <w:rFonts w:ascii="宋体" w:eastAsia="宋体" w:hAnsi="宋体" w:cs="___WRD_EMBED_SUB_49"/>
          <w:sz w:val="24"/>
        </w:rPr>
        <w:t xml:space="preserve"> CCK - 8 </w:t>
      </w:r>
      <w:r w:rsidRPr="008241EE">
        <w:rPr>
          <w:rFonts w:ascii="宋体" w:eastAsia="宋体" w:hAnsi="宋体" w:cs="___WRD_EMBED_SUB_49" w:hint="eastAsia"/>
          <w:sz w:val="24"/>
        </w:rPr>
        <w:t>法检测免疫细胞增殖率；②流式细胞术分析</w:t>
      </w:r>
      <w:r w:rsidRPr="008241EE">
        <w:rPr>
          <w:rFonts w:ascii="宋体" w:eastAsia="宋体" w:hAnsi="宋体" w:cs="___WRD_EMBED_SUB_49"/>
          <w:sz w:val="24"/>
        </w:rPr>
        <w:t xml:space="preserve"> CD3</w:t>
      </w:r>
      <w:r w:rsidRPr="008241EE">
        <w:rPr>
          <w:rFonts w:ascii="Cambria Math" w:eastAsia="宋体" w:hAnsi="Cambria Math" w:cs="Cambria Math"/>
          <w:sz w:val="24"/>
        </w:rPr>
        <w:t>⁺</w:t>
      </w:r>
      <w:r w:rsidRPr="008241EE">
        <w:rPr>
          <w:rFonts w:ascii="宋体" w:eastAsia="宋体" w:hAnsi="宋体" w:cs="___WRD_EMBED_SUB_49"/>
          <w:sz w:val="24"/>
        </w:rPr>
        <w:t xml:space="preserve">T </w:t>
      </w:r>
      <w:r w:rsidRPr="008241EE">
        <w:rPr>
          <w:rFonts w:ascii="宋体" w:eastAsia="宋体" w:hAnsi="宋体" w:cs="___WRD_EMBED_SUB_49" w:hint="eastAsia"/>
          <w:sz w:val="24"/>
        </w:rPr>
        <w:t>细胞比例、</w:t>
      </w:r>
      <w:r w:rsidRPr="008241EE">
        <w:rPr>
          <w:rFonts w:ascii="宋体" w:eastAsia="宋体" w:hAnsi="宋体" w:cs="___WRD_EMBED_SUB_49"/>
          <w:sz w:val="24"/>
        </w:rPr>
        <w:t>CD4</w:t>
      </w:r>
      <w:r w:rsidRPr="008241EE">
        <w:rPr>
          <w:rFonts w:ascii="Cambria Math" w:eastAsia="宋体" w:hAnsi="Cambria Math" w:cs="Cambria Math"/>
          <w:sz w:val="24"/>
        </w:rPr>
        <w:t>⁺</w:t>
      </w:r>
      <w:r w:rsidRPr="008241EE">
        <w:rPr>
          <w:rFonts w:ascii="宋体" w:eastAsia="宋体" w:hAnsi="宋体" w:cs="___WRD_EMBED_SUB_49"/>
          <w:sz w:val="24"/>
        </w:rPr>
        <w:t>/CD8</w:t>
      </w:r>
      <w:r w:rsidRPr="008241EE">
        <w:rPr>
          <w:rFonts w:ascii="Cambria Math" w:eastAsia="宋体" w:hAnsi="Cambria Math" w:cs="Cambria Math"/>
          <w:sz w:val="24"/>
        </w:rPr>
        <w:t>⁺</w:t>
      </w:r>
      <w:r w:rsidRPr="008241EE">
        <w:rPr>
          <w:rFonts w:ascii="宋体" w:eastAsia="宋体" w:hAnsi="宋体" w:cs="___WRD_EMBED_SUB_49"/>
          <w:sz w:val="24"/>
        </w:rPr>
        <w:t xml:space="preserve">T </w:t>
      </w:r>
      <w:r w:rsidRPr="008241EE">
        <w:rPr>
          <w:rFonts w:ascii="宋体" w:eastAsia="宋体" w:hAnsi="宋体" w:cs="___WRD_EMBED_SUB_49" w:hint="eastAsia"/>
          <w:sz w:val="24"/>
        </w:rPr>
        <w:t>细胞比值及</w:t>
      </w:r>
      <w:r w:rsidRPr="008241EE">
        <w:rPr>
          <w:rFonts w:ascii="宋体" w:eastAsia="宋体" w:hAnsi="宋体" w:cs="___WRD_EMBED_SUB_49"/>
          <w:sz w:val="24"/>
        </w:rPr>
        <w:t xml:space="preserve"> CD56</w:t>
      </w:r>
      <w:r w:rsidRPr="008241EE">
        <w:rPr>
          <w:rFonts w:ascii="Cambria Math" w:eastAsia="宋体" w:hAnsi="Cambria Math" w:cs="Cambria Math"/>
          <w:sz w:val="24"/>
        </w:rPr>
        <w:t>⁺</w:t>
      </w:r>
      <w:r w:rsidRPr="008241EE">
        <w:rPr>
          <w:rFonts w:ascii="宋体" w:eastAsia="宋体" w:hAnsi="宋体" w:cs="___WRD_EMBED_SUB_49"/>
          <w:sz w:val="24"/>
        </w:rPr>
        <w:t xml:space="preserve">NK </w:t>
      </w:r>
      <w:r w:rsidRPr="008241EE">
        <w:rPr>
          <w:rFonts w:ascii="宋体" w:eastAsia="宋体" w:hAnsi="宋体" w:cs="___WRD_EMBED_SUB_49" w:hint="eastAsia"/>
          <w:sz w:val="24"/>
        </w:rPr>
        <w:t>细胞比例；③</w:t>
      </w:r>
      <w:r w:rsidRPr="008241EE">
        <w:rPr>
          <w:rFonts w:ascii="宋体" w:eastAsia="宋体" w:hAnsi="宋体" w:cs="___WRD_EMBED_SUB_49"/>
          <w:sz w:val="24"/>
        </w:rPr>
        <w:t>ELIS</w:t>
      </w:r>
      <w:r w:rsidRPr="008241EE">
        <w:rPr>
          <w:rFonts w:ascii="宋体" w:eastAsia="宋体" w:hAnsi="宋体" w:cs="___WRD_EMBED_SUB_49" w:hint="eastAsia"/>
          <w:sz w:val="24"/>
        </w:rPr>
        <w:t>A 法测定 IL - 2、TNF - α、IFN - γ、IL - 10 等细胞因子分泌水平；④中性红染色法评估巨噬细胞吞噬功能。</w:t>
      </w:r>
    </w:p>
    <w:p w14:paraId="3E07DB52" w14:textId="77777777" w:rsidR="007B35D4" w:rsidRPr="008241EE" w:rsidRDefault="007B35D4" w:rsidP="007B35D4">
      <w:pPr>
        <w:adjustRightInd w:val="0"/>
        <w:snapToGrid w:val="0"/>
        <w:spacing w:line="560" w:lineRule="exact"/>
        <w:ind w:firstLineChars="200" w:firstLine="480"/>
        <w:rPr>
          <w:rFonts w:ascii="宋体" w:eastAsia="宋体" w:hAnsi="宋体" w:cs="___WRD_EMBED_SUB_49" w:hint="eastAsia"/>
          <w:sz w:val="24"/>
        </w:rPr>
      </w:pPr>
      <w:r w:rsidRPr="008241EE">
        <w:rPr>
          <w:rFonts w:ascii="宋体" w:eastAsia="宋体" w:hAnsi="宋体" w:cs="___WRD_EMBED_SUB_49" w:hint="eastAsia"/>
          <w:sz w:val="24"/>
        </w:rPr>
        <w:t>体内动物实验部分，选用</w:t>
      </w:r>
      <w:r w:rsidRPr="008241EE">
        <w:rPr>
          <w:rFonts w:ascii="宋体" w:eastAsia="宋体" w:hAnsi="宋体" w:cs="___WRD_EMBED_SUB_49"/>
          <w:sz w:val="24"/>
        </w:rPr>
        <w:t xml:space="preserve"> SPF </w:t>
      </w:r>
      <w:r w:rsidRPr="008241EE">
        <w:rPr>
          <w:rFonts w:ascii="宋体" w:eastAsia="宋体" w:hAnsi="宋体" w:cs="___WRD_EMBED_SUB_49" w:hint="eastAsia"/>
          <w:sz w:val="24"/>
        </w:rPr>
        <w:t>级</w:t>
      </w:r>
      <w:r w:rsidRPr="008241EE">
        <w:rPr>
          <w:rFonts w:ascii="宋体" w:eastAsia="宋体" w:hAnsi="宋体" w:cs="___WRD_EMBED_SUB_49"/>
          <w:sz w:val="24"/>
        </w:rPr>
        <w:t xml:space="preserve"> BALB/c </w:t>
      </w:r>
      <w:r w:rsidRPr="008241EE">
        <w:rPr>
          <w:rFonts w:ascii="宋体" w:eastAsia="宋体" w:hAnsi="宋体" w:cs="___WRD_EMBED_SUB_49" w:hint="eastAsia"/>
          <w:sz w:val="24"/>
        </w:rPr>
        <w:t>小鼠，通过急性毒性预实验确定最大耐受剂量（</w:t>
      </w:r>
      <w:r w:rsidRPr="008241EE">
        <w:rPr>
          <w:rFonts w:ascii="宋体" w:eastAsia="宋体" w:hAnsi="宋体" w:cs="___WRD_EMBED_SUB_49"/>
          <w:sz w:val="24"/>
        </w:rPr>
        <w:t>MTD</w:t>
      </w:r>
      <w:r w:rsidRPr="008241EE">
        <w:rPr>
          <w:rFonts w:ascii="宋体" w:eastAsia="宋体" w:hAnsi="宋体" w:cs="___WRD_EMBED_SUB_49" w:hint="eastAsia"/>
          <w:sz w:val="24"/>
        </w:rPr>
        <w:t>），并以</w:t>
      </w:r>
      <w:r w:rsidRPr="008241EE">
        <w:rPr>
          <w:rFonts w:ascii="宋体" w:eastAsia="宋体" w:hAnsi="宋体" w:cs="___WRD_EMBED_SUB_49"/>
          <w:sz w:val="24"/>
        </w:rPr>
        <w:t xml:space="preserve"> MTD </w:t>
      </w:r>
      <w:r w:rsidRPr="008241EE">
        <w:rPr>
          <w:rFonts w:ascii="宋体" w:eastAsia="宋体" w:hAnsi="宋体" w:cs="___WRD_EMBED_SUB_49" w:hint="eastAsia"/>
          <w:sz w:val="24"/>
        </w:rPr>
        <w:t>的</w:t>
      </w:r>
      <w:r w:rsidRPr="008241EE">
        <w:rPr>
          <w:rFonts w:ascii="宋体" w:eastAsia="宋体" w:hAnsi="宋体" w:cs="___WRD_EMBED_SUB_49"/>
          <w:sz w:val="24"/>
        </w:rPr>
        <w:t xml:space="preserve"> 1/2</w:t>
      </w:r>
      <w:r w:rsidRPr="008241EE">
        <w:rPr>
          <w:rFonts w:ascii="宋体" w:eastAsia="宋体" w:hAnsi="宋体" w:cs="___WRD_EMBED_SUB_49" w:hint="eastAsia"/>
          <w:sz w:val="24"/>
        </w:rPr>
        <w:t>、</w:t>
      </w:r>
      <w:r w:rsidRPr="008241EE">
        <w:rPr>
          <w:rFonts w:ascii="宋体" w:eastAsia="宋体" w:hAnsi="宋体" w:cs="___WRD_EMBED_SUB_49"/>
          <w:sz w:val="24"/>
        </w:rPr>
        <w:t>1/4</w:t>
      </w:r>
      <w:r w:rsidRPr="008241EE">
        <w:rPr>
          <w:rFonts w:ascii="宋体" w:eastAsia="宋体" w:hAnsi="宋体" w:cs="___WRD_EMBED_SUB_49" w:hint="eastAsia"/>
          <w:sz w:val="24"/>
        </w:rPr>
        <w:t>、</w:t>
      </w:r>
      <w:r w:rsidRPr="008241EE">
        <w:rPr>
          <w:rFonts w:ascii="宋体" w:eastAsia="宋体" w:hAnsi="宋体" w:cs="___WRD_EMBED_SUB_49"/>
          <w:sz w:val="24"/>
        </w:rPr>
        <w:t xml:space="preserve">1/8 </w:t>
      </w:r>
      <w:r w:rsidRPr="008241EE">
        <w:rPr>
          <w:rFonts w:ascii="宋体" w:eastAsia="宋体" w:hAnsi="宋体" w:cs="___WRD_EMBED_SUB_49" w:hint="eastAsia"/>
          <w:sz w:val="24"/>
        </w:rPr>
        <w:t>设置正式实验剂量；通过环磷酰胺（</w:t>
      </w:r>
      <w:r w:rsidRPr="008241EE">
        <w:rPr>
          <w:rFonts w:ascii="宋体" w:eastAsia="宋体" w:hAnsi="宋体" w:cs="___WRD_EMBED_SUB_49"/>
          <w:sz w:val="24"/>
        </w:rPr>
        <w:t>CY</w:t>
      </w:r>
      <w:r w:rsidRPr="008241EE">
        <w:rPr>
          <w:rFonts w:ascii="宋体" w:eastAsia="宋体" w:hAnsi="宋体" w:cs="___WRD_EMBED_SUB_49" w:hint="eastAsia"/>
          <w:sz w:val="24"/>
        </w:rPr>
        <w:t>）预实验筛选使免疫功能降低</w:t>
      </w:r>
      <w:r w:rsidRPr="008241EE">
        <w:rPr>
          <w:rFonts w:ascii="宋体" w:eastAsia="宋体" w:hAnsi="宋体" w:cs="___WRD_EMBED_SUB_49"/>
          <w:sz w:val="24"/>
        </w:rPr>
        <w:t xml:space="preserve"> 50% - 60% </w:t>
      </w:r>
      <w:r w:rsidRPr="008241EE">
        <w:rPr>
          <w:rFonts w:ascii="宋体" w:eastAsia="宋体" w:hAnsi="宋体" w:cs="___WRD_EMBED_SUB_49" w:hint="eastAsia"/>
          <w:sz w:val="24"/>
        </w:rPr>
        <w:t>的造模剂量。实验分组包</w:t>
      </w:r>
      <w:r w:rsidRPr="008241EE">
        <w:rPr>
          <w:rFonts w:ascii="宋体" w:eastAsia="宋体" w:hAnsi="宋体" w:cs="___WRD_EMBED_SUB_49" w:hint="eastAsia"/>
          <w:sz w:val="24"/>
        </w:rPr>
        <w:lastRenderedPageBreak/>
        <w:t>括空白对照、模型对照、阳性对照（左旋咪唑）、多糖单独组、三萜单独组及联合用药组，连续灌胃</w:t>
      </w:r>
      <w:r w:rsidRPr="008241EE">
        <w:rPr>
          <w:rFonts w:ascii="宋体" w:eastAsia="宋体" w:hAnsi="宋体" w:cs="___WRD_EMBED_SUB_49"/>
          <w:sz w:val="24"/>
        </w:rPr>
        <w:t xml:space="preserve"> 21 </w:t>
      </w:r>
      <w:r w:rsidRPr="008241EE">
        <w:rPr>
          <w:rFonts w:ascii="宋体" w:eastAsia="宋体" w:hAnsi="宋体" w:cs="___WRD_EMBED_SUB_49" w:hint="eastAsia"/>
          <w:sz w:val="24"/>
        </w:rPr>
        <w:t>天后检测：胸腺指数和脾脏指数等免疫器官发育指标；外周血中</w:t>
      </w:r>
      <w:r w:rsidRPr="008241EE">
        <w:rPr>
          <w:rFonts w:ascii="宋体" w:eastAsia="宋体" w:hAnsi="宋体" w:cs="___WRD_EMBED_SUB_49"/>
          <w:sz w:val="24"/>
        </w:rPr>
        <w:t xml:space="preserve"> CD3</w:t>
      </w:r>
      <w:r w:rsidRPr="008241EE">
        <w:rPr>
          <w:rFonts w:ascii="Cambria Math" w:eastAsia="宋体" w:hAnsi="Cambria Math" w:cs="Cambria Math"/>
          <w:sz w:val="24"/>
        </w:rPr>
        <w:t>⁺</w:t>
      </w:r>
      <w:r w:rsidRPr="008241EE">
        <w:rPr>
          <w:rFonts w:ascii="宋体" w:eastAsia="宋体" w:hAnsi="宋体" w:cs="___WRD_EMBED_SUB_49"/>
          <w:sz w:val="24"/>
        </w:rPr>
        <w:t xml:space="preserve">T </w:t>
      </w:r>
      <w:r w:rsidRPr="008241EE">
        <w:rPr>
          <w:rFonts w:ascii="宋体" w:eastAsia="宋体" w:hAnsi="宋体" w:cs="___WRD_EMBED_SUB_49" w:hint="eastAsia"/>
          <w:sz w:val="24"/>
        </w:rPr>
        <w:t>细胞、</w:t>
      </w:r>
      <w:r w:rsidRPr="008241EE">
        <w:rPr>
          <w:rFonts w:ascii="宋体" w:eastAsia="宋体" w:hAnsi="宋体" w:cs="___WRD_EMBED_SUB_49"/>
          <w:sz w:val="24"/>
        </w:rPr>
        <w:t>CD4</w:t>
      </w:r>
      <w:r w:rsidRPr="008241EE">
        <w:rPr>
          <w:rFonts w:ascii="Cambria Math" w:eastAsia="宋体" w:hAnsi="Cambria Math" w:cs="Cambria Math"/>
          <w:sz w:val="24"/>
        </w:rPr>
        <w:t>⁺</w:t>
      </w:r>
      <w:r w:rsidRPr="008241EE">
        <w:rPr>
          <w:rFonts w:ascii="宋体" w:eastAsia="宋体" w:hAnsi="宋体" w:cs="___WRD_EMBED_SUB_49"/>
          <w:sz w:val="24"/>
        </w:rPr>
        <w:t xml:space="preserve">T </w:t>
      </w:r>
      <w:r w:rsidRPr="008241EE">
        <w:rPr>
          <w:rFonts w:ascii="宋体" w:eastAsia="宋体" w:hAnsi="宋体" w:cs="___WRD_EMBED_SUB_49" w:hint="eastAsia"/>
          <w:sz w:val="24"/>
        </w:rPr>
        <w:t>细胞、</w:t>
      </w:r>
      <w:r w:rsidRPr="008241EE">
        <w:rPr>
          <w:rFonts w:ascii="宋体" w:eastAsia="宋体" w:hAnsi="宋体" w:cs="___WRD_EMBED_SUB_49"/>
          <w:sz w:val="24"/>
        </w:rPr>
        <w:t>CD8</w:t>
      </w:r>
      <w:r w:rsidRPr="008241EE">
        <w:rPr>
          <w:rFonts w:ascii="Cambria Math" w:eastAsia="宋体" w:hAnsi="Cambria Math" w:cs="Cambria Math"/>
          <w:sz w:val="24"/>
        </w:rPr>
        <w:t>⁺</w:t>
      </w:r>
      <w:r w:rsidRPr="008241EE">
        <w:rPr>
          <w:rFonts w:ascii="宋体" w:eastAsia="宋体" w:hAnsi="宋体" w:cs="___WRD_EMBED_SUB_49"/>
          <w:sz w:val="24"/>
        </w:rPr>
        <w:t xml:space="preserve">T </w:t>
      </w:r>
      <w:r w:rsidRPr="008241EE">
        <w:rPr>
          <w:rFonts w:ascii="宋体" w:eastAsia="宋体" w:hAnsi="宋体" w:cs="___WRD_EMBED_SUB_49" w:hint="eastAsia"/>
          <w:sz w:val="24"/>
        </w:rPr>
        <w:t>细胞及</w:t>
      </w:r>
      <w:r w:rsidRPr="008241EE">
        <w:rPr>
          <w:rFonts w:ascii="宋体" w:eastAsia="宋体" w:hAnsi="宋体" w:cs="___WRD_EMBED_SUB_49"/>
          <w:sz w:val="24"/>
        </w:rPr>
        <w:t xml:space="preserve"> NK </w:t>
      </w:r>
      <w:r w:rsidRPr="008241EE">
        <w:rPr>
          <w:rFonts w:ascii="宋体" w:eastAsia="宋体" w:hAnsi="宋体" w:cs="___WRD_EMBED_SUB_49" w:hint="eastAsia"/>
          <w:sz w:val="24"/>
        </w:rPr>
        <w:t>细胞（</w:t>
      </w:r>
      <w:r w:rsidRPr="008241EE">
        <w:rPr>
          <w:rFonts w:ascii="宋体" w:eastAsia="宋体" w:hAnsi="宋体" w:cs="___WRD_EMBED_SUB_49"/>
          <w:sz w:val="24"/>
        </w:rPr>
        <w:t>CD3</w:t>
      </w:r>
      <w:r w:rsidRPr="008241EE">
        <w:rPr>
          <w:rFonts w:ascii="Cambria Math" w:eastAsia="宋体" w:hAnsi="Cambria Math" w:cs="Cambria Math"/>
          <w:sz w:val="24"/>
        </w:rPr>
        <w:t>⁻</w:t>
      </w:r>
      <w:r w:rsidRPr="008241EE">
        <w:rPr>
          <w:rFonts w:ascii="宋体" w:eastAsia="宋体" w:hAnsi="宋体" w:cs="___WRD_EMBED_SUB_49"/>
          <w:sz w:val="24"/>
        </w:rPr>
        <w:t>CD161</w:t>
      </w:r>
      <w:r w:rsidRPr="008241EE">
        <w:rPr>
          <w:rFonts w:ascii="Cambria Math" w:eastAsia="宋体" w:hAnsi="Cambria Math" w:cs="Cambria Math"/>
          <w:sz w:val="24"/>
        </w:rPr>
        <w:t>⁺</w:t>
      </w:r>
      <w:r w:rsidRPr="008241EE">
        <w:rPr>
          <w:rFonts w:ascii="宋体" w:eastAsia="宋体" w:hAnsi="宋体" w:cs="___WRD_EMBED_SUB_49" w:hint="eastAsia"/>
          <w:sz w:val="24"/>
        </w:rPr>
        <w:t>）比例；血清中</w:t>
      </w:r>
      <w:r w:rsidRPr="008241EE">
        <w:rPr>
          <w:rFonts w:ascii="宋体" w:eastAsia="宋体" w:hAnsi="宋体" w:cs="___WRD_EMBED_SUB_49"/>
          <w:sz w:val="24"/>
        </w:rPr>
        <w:t xml:space="preserve"> IL</w:t>
      </w:r>
      <w:r w:rsidRPr="008241EE">
        <w:rPr>
          <w:rFonts w:ascii="宋体" w:eastAsia="宋体" w:hAnsi="宋体" w:cs="___WRD_EMBED_SUB_49" w:hint="eastAsia"/>
          <w:sz w:val="24"/>
        </w:rPr>
        <w:t xml:space="preserve"> - 2、TNF - α、IFN - γ 浓度；脾淋巴细胞增殖活性；胸腺与脾脏的组织病理学变化（胸腺皮质厚度、脾小结数量等）。</w:t>
      </w:r>
    </w:p>
    <w:p w14:paraId="119AFB76" w14:textId="77777777" w:rsidR="007B35D4" w:rsidRPr="008241EE" w:rsidRDefault="007B35D4" w:rsidP="007B35D4">
      <w:pPr>
        <w:adjustRightInd w:val="0"/>
        <w:snapToGrid w:val="0"/>
        <w:spacing w:line="560" w:lineRule="exact"/>
        <w:ind w:firstLineChars="200" w:firstLine="480"/>
        <w:rPr>
          <w:rFonts w:ascii="宋体" w:eastAsia="宋体" w:hAnsi="宋体" w:cs="___WRD_EMBED_SUB_49" w:hint="eastAsia"/>
          <w:sz w:val="24"/>
        </w:rPr>
      </w:pPr>
      <w:r w:rsidRPr="008241EE">
        <w:rPr>
          <w:rFonts w:ascii="宋体" w:eastAsia="宋体" w:hAnsi="宋体" w:cs="___WRD_EMBED_SUB_49" w:hint="eastAsia"/>
          <w:sz w:val="24"/>
        </w:rPr>
        <w:t>样品与试剂标准依据：灵芝子实体的选用符合《灵芝孢子粉采收及加工技术规范》（GB/T 29344 - 2023）最新版本要求，该标准对灵芝活性成分的技术要求和加工规范进行了明确规定。蒸馏水质量遵循 GB/T 6682 中一级水标准，确保实验体系的纯净性。胎牛血清、培养基及免疫试剂的质量控制标准参考行业通用规范，如淋巴细胞分离液采用密度 1.077±0.001 g/mL 的规格，符合免疫细胞分离的常规技术要求。</w:t>
      </w:r>
    </w:p>
    <w:p w14:paraId="494367B3" w14:textId="47400AD3" w:rsidR="007B35D4" w:rsidRPr="008241EE" w:rsidRDefault="007B35D4" w:rsidP="007B35D4">
      <w:pPr>
        <w:adjustRightInd w:val="0"/>
        <w:snapToGrid w:val="0"/>
        <w:spacing w:line="560" w:lineRule="exact"/>
        <w:ind w:firstLineChars="200" w:firstLine="480"/>
        <w:rPr>
          <w:rFonts w:ascii="宋体" w:eastAsia="宋体" w:hAnsi="宋体" w:cs="___WRD_EMBED_SUB_49" w:hint="eastAsia"/>
          <w:sz w:val="24"/>
        </w:rPr>
      </w:pPr>
      <w:r w:rsidRPr="008241EE">
        <w:rPr>
          <w:rFonts w:ascii="宋体" w:eastAsia="宋体" w:hAnsi="宋体" w:cs="___WRD_EMBED_SUB_49" w:hint="eastAsia"/>
          <w:sz w:val="24"/>
        </w:rPr>
        <w:t>实验方法学依据：细胞毒性检测采用 CCK - 8 法，其原理基于水溶性四唑盐的生物还原反应，操作步骤参考 Abcam 试剂盒标准 protocol，检测波长设定为 450 nm。免疫细胞表型分析采用流式细胞术，抗体组合（CD3 - PE、CD4 - FITC、CD8 - APC、CD56 - PE - Cy7）及孵育条件符合人类免疫细胞表型检测的常规方案。巨噬细胞吞噬功能检测采用 0.4% 中性红染色法，通过细胞内吞噬颗粒的 OD 值量化吞噬活性，该方法在虎杖多糖等天然产物的免疫活性研究中已被验证有效。</w:t>
      </w:r>
    </w:p>
    <w:p w14:paraId="39EE1CE4" w14:textId="77777777" w:rsidR="007B35D4" w:rsidRPr="008241EE" w:rsidRDefault="007B35D4" w:rsidP="007B35D4">
      <w:pPr>
        <w:adjustRightInd w:val="0"/>
        <w:snapToGrid w:val="0"/>
        <w:spacing w:line="560" w:lineRule="exact"/>
        <w:ind w:firstLineChars="200" w:firstLine="480"/>
        <w:rPr>
          <w:rFonts w:ascii="宋体" w:eastAsia="宋体" w:hAnsi="宋体" w:cs="___WRD_EMBED_SUB_49" w:hint="eastAsia"/>
          <w:sz w:val="24"/>
        </w:rPr>
      </w:pPr>
      <w:r w:rsidRPr="008241EE">
        <w:rPr>
          <w:rFonts w:ascii="宋体" w:eastAsia="宋体" w:hAnsi="宋体" w:cs="___WRD_EMBED_SUB_49" w:hint="eastAsia"/>
          <w:sz w:val="24"/>
        </w:rPr>
        <w:t>动物模型构建采用环磷酰胺诱导免疫抑制，造模剂量筛选参考类似研究中使免疫功能降低 50% - 60% 的标准，阳性对照药左旋咪唑的使用浓度（50 mg/kg）符合免疫增强实验的常规设置。</w:t>
      </w:r>
    </w:p>
    <w:p w14:paraId="7ED71FA8" w14:textId="77777777" w:rsidR="007B35D4" w:rsidRPr="008241EE" w:rsidRDefault="007B35D4" w:rsidP="007B35D4">
      <w:pPr>
        <w:adjustRightInd w:val="0"/>
        <w:snapToGrid w:val="0"/>
        <w:spacing w:line="560" w:lineRule="exact"/>
        <w:ind w:firstLineChars="200" w:firstLine="480"/>
        <w:rPr>
          <w:rFonts w:ascii="宋体" w:eastAsia="宋体" w:hAnsi="宋体" w:cs="___WRD_EMBED_SUB_49" w:hint="eastAsia"/>
          <w:sz w:val="24"/>
        </w:rPr>
      </w:pPr>
      <w:r w:rsidRPr="008241EE">
        <w:rPr>
          <w:rFonts w:ascii="宋体" w:eastAsia="宋体" w:hAnsi="宋体" w:cs="___WRD_EMBED_SUB_49" w:hint="eastAsia"/>
          <w:sz w:val="24"/>
        </w:rPr>
        <w:t>联合用药比例（2:1、1:1、1:2）的设计借鉴药物协同作用研究中的正交实验原则，旨在全面考察不同配比下的相互作用效应。</w:t>
      </w:r>
    </w:p>
    <w:p w14:paraId="1DE65F27" w14:textId="77777777" w:rsidR="007B35D4" w:rsidRDefault="007B35D4" w:rsidP="007B35D4">
      <w:pPr>
        <w:adjustRightInd w:val="0"/>
        <w:snapToGrid w:val="0"/>
        <w:spacing w:line="560" w:lineRule="exact"/>
        <w:ind w:firstLineChars="200" w:firstLine="480"/>
        <w:rPr>
          <w:rFonts w:asciiTheme="minorEastAsia" w:hAnsiTheme="minorEastAsia" w:cs="___WRD_EMBED_SUB_49" w:hint="eastAsia"/>
          <w:sz w:val="28"/>
          <w:szCs w:val="28"/>
        </w:rPr>
      </w:pPr>
      <w:r w:rsidRPr="008241EE">
        <w:rPr>
          <w:rFonts w:ascii="宋体" w:eastAsia="宋体" w:hAnsi="宋体" w:cs="___WRD_EMBED_SUB_49" w:hint="eastAsia"/>
          <w:sz w:val="24"/>
        </w:rPr>
        <w:t>伦理与操作规范依据：健康人外周血的采集经过伦理审批，符合生物样本研</w:t>
      </w:r>
      <w:r w:rsidRPr="008241EE">
        <w:rPr>
          <w:rFonts w:ascii="宋体" w:eastAsia="宋体" w:hAnsi="宋体" w:cs="___WRD_EMBED_SUB_49" w:hint="eastAsia"/>
          <w:sz w:val="24"/>
        </w:rPr>
        <w:lastRenderedPageBreak/>
        <w:t>究的伦理要求；动物实验采用 SPF 级 BALB/c 小鼠，饲养环境及操作流程符合屏障环境动物实验规范，组织取材与病理处理步骤参考《中国组织工程研究》的标准化操作流程。</w:t>
      </w:r>
    </w:p>
    <w:p w14:paraId="108B8882" w14:textId="39A57CA4" w:rsidR="008241EE" w:rsidRPr="008241EE" w:rsidRDefault="008241EE" w:rsidP="008241EE">
      <w:pPr>
        <w:adjustRightInd w:val="0"/>
        <w:snapToGrid w:val="0"/>
        <w:spacing w:line="560" w:lineRule="exact"/>
        <w:rPr>
          <w:rFonts w:ascii="黑体" w:eastAsia="黑体" w:hAnsi="黑体" w:cs="___WRD_EMBED_SUB_49" w:hint="eastAsia"/>
          <w:sz w:val="28"/>
          <w:szCs w:val="28"/>
        </w:rPr>
      </w:pPr>
      <w:r w:rsidRPr="008241EE">
        <w:rPr>
          <w:rFonts w:ascii="黑体" w:eastAsia="黑体" w:hAnsi="黑体" w:cs="___WRD_EMBED_SUB_49" w:hint="eastAsia"/>
          <w:sz w:val="28"/>
          <w:szCs w:val="28"/>
        </w:rPr>
        <w:t>2.2 数据处理及结果判定</w:t>
      </w:r>
    </w:p>
    <w:p w14:paraId="7591ABB7" w14:textId="43F1C927" w:rsidR="008241EE" w:rsidRPr="008241EE" w:rsidRDefault="008241EE" w:rsidP="008241EE">
      <w:pPr>
        <w:adjustRightInd w:val="0"/>
        <w:snapToGrid w:val="0"/>
        <w:spacing w:line="560" w:lineRule="exact"/>
        <w:ind w:firstLineChars="200" w:firstLine="480"/>
        <w:rPr>
          <w:rFonts w:ascii="宋体" w:eastAsia="宋体" w:hAnsi="宋体" w:cs="___WRD_EMBED_SUB_49" w:hint="eastAsia"/>
          <w:sz w:val="24"/>
        </w:rPr>
      </w:pPr>
      <w:r w:rsidRPr="008241EE">
        <w:rPr>
          <w:rFonts w:ascii="宋体" w:eastAsia="宋体" w:hAnsi="宋体" w:cs="___WRD_EMBED_SUB_49" w:hint="eastAsia"/>
          <w:sz w:val="24"/>
        </w:rPr>
        <w:t>围绕实验数据管理与效应判定，分为 “数据处理与分析” 和 “结果判定” 两大核心模块，数据记录：需详细留存实验条件（细胞批次、动物编号、试剂批号）、原始数据（OD 值、细胞数量、器官重量、细胞因子浓度）及异常现象（细胞污染、动物死亡），核心目标是确保数据可追溯。统计学分析：采用专业统计学软件处理数据，计量资料以 “平均值 ± 标准差（x±s）” 呈现；先进行正态性检验与方差齐性检验，若数据符合正态分布且方差齐，用单因素方差分析（ANOVA）做组间比较，两两比较采用 LSD 法或 SNK 法，若不符合则用非参数检验，以 P&lt;0.05 作为差异有统计学意义的标准。</w:t>
      </w:r>
    </w:p>
    <w:p w14:paraId="707574FA" w14:textId="77777777" w:rsidR="008241EE" w:rsidRPr="008241EE" w:rsidRDefault="008241EE" w:rsidP="008241EE">
      <w:pPr>
        <w:adjustRightInd w:val="0"/>
        <w:snapToGrid w:val="0"/>
        <w:spacing w:line="560" w:lineRule="exact"/>
        <w:ind w:firstLineChars="200" w:firstLine="480"/>
        <w:rPr>
          <w:rFonts w:ascii="宋体" w:eastAsia="宋体" w:hAnsi="宋体" w:cs="___WRD_EMBED_SUB_49" w:hint="eastAsia"/>
          <w:sz w:val="24"/>
        </w:rPr>
      </w:pPr>
      <w:r w:rsidRPr="008241EE">
        <w:rPr>
          <w:rFonts w:ascii="宋体" w:eastAsia="宋体" w:hAnsi="宋体" w:cs="___WRD_EMBED_SUB_49" w:hint="eastAsia"/>
          <w:sz w:val="24"/>
        </w:rPr>
        <w:t>协同效应计算：针对双效协同作用，采用协同指数（CI）法判定强度，CI＜1 为协同作用、CI=1 为相加作用、CI＞1 为拮抗作用；CI 值可通过 CompuSyn 软件或 Chou-Talalay 法公式计算。</w:t>
      </w:r>
    </w:p>
    <w:p w14:paraId="0779177C" w14:textId="089C581C" w:rsidR="008241EE" w:rsidRPr="008241EE" w:rsidRDefault="008241EE" w:rsidP="008241EE">
      <w:pPr>
        <w:adjustRightInd w:val="0"/>
        <w:snapToGrid w:val="0"/>
        <w:spacing w:line="560" w:lineRule="exact"/>
        <w:ind w:firstLineChars="200" w:firstLine="480"/>
        <w:rPr>
          <w:rFonts w:ascii="宋体" w:eastAsia="宋体" w:hAnsi="宋体" w:cs="___WRD_EMBED_SUB_49" w:hint="eastAsia"/>
          <w:sz w:val="24"/>
        </w:rPr>
      </w:pPr>
      <w:r w:rsidRPr="008241EE">
        <w:rPr>
          <w:rFonts w:ascii="宋体" w:eastAsia="宋体" w:hAnsi="宋体" w:cs="___WRD_EMBED_SUB_49" w:hint="eastAsia"/>
          <w:sz w:val="24"/>
        </w:rPr>
        <w:t>结果判定：体外细胞实验判定：以 “单独成分有效” 和 “协同效应” 为双维度，针对免疫细胞增殖（增殖率升高且呈浓度依赖性、联合组增殖率更高且 CI＜1）、免疫细胞表型（CD4+/CD8 + 比值、NK 细胞比例达标、联合组多指标更优且 CI＜1）、细胞因子分泌（IL-2 等升高且 IL-10 正常、联合组相关细胞因子更高且 IL-10 平衡、CI＜1）、巨噬细胞吞噬功能（吞噬率升高、联合组 OD 值更高且呈剂量依赖性）设定判定标准（均需 P&lt;0.05）。</w:t>
      </w:r>
    </w:p>
    <w:p w14:paraId="4B86A073" w14:textId="77777777" w:rsidR="008241EE" w:rsidRPr="008241EE" w:rsidRDefault="008241EE" w:rsidP="008241EE">
      <w:pPr>
        <w:adjustRightInd w:val="0"/>
        <w:snapToGrid w:val="0"/>
        <w:spacing w:line="560" w:lineRule="exact"/>
        <w:ind w:firstLineChars="200" w:firstLine="480"/>
        <w:rPr>
          <w:rFonts w:ascii="宋体" w:eastAsia="宋体" w:hAnsi="宋体" w:cs="___WRD_EMBED_SUB_49" w:hint="eastAsia"/>
          <w:sz w:val="24"/>
        </w:rPr>
      </w:pPr>
      <w:r w:rsidRPr="008241EE">
        <w:rPr>
          <w:rFonts w:ascii="宋体" w:eastAsia="宋体" w:hAnsi="宋体" w:cs="___WRD_EMBED_SUB_49" w:hint="eastAsia"/>
          <w:sz w:val="24"/>
        </w:rPr>
        <w:t>体内动物实验判定：同样分 “单独成分有效” 和 “协同效应”，针对免疫器官指数（胸腺 / 脾脏指数升高且恢复至空白组 70% 以上、联合组指数更高且恢复至 80% 以上、CI＜1）、外周血免疫细胞（CD4+/CD8 + 比值、NK 细胞比例</w:t>
      </w:r>
      <w:r w:rsidRPr="008241EE">
        <w:rPr>
          <w:rFonts w:ascii="宋体" w:eastAsia="宋体" w:hAnsi="宋体" w:cs="___WRD_EMBED_SUB_49" w:hint="eastAsia"/>
          <w:sz w:val="24"/>
        </w:rPr>
        <w:lastRenderedPageBreak/>
        <w:t>达标、联合组指标更优且接近空白组、CI＜1）、血清细胞因子（IL-2 等升高且呈剂量依赖性、联合组更高且恢复至空白组 70% 以上、CI＜1）、脾淋巴细胞增殖（增殖率升高且恢复至空白组 60% 以上、联合组更高且恢复至 75% 以上、CI＜1）、组织病理学（胸腺皮质增厚、脾小结数量增加、联合组变化更显著、CI＜1）设定标准（均需 P&lt;0.05）。</w:t>
      </w:r>
    </w:p>
    <w:p w14:paraId="06C642A8" w14:textId="77777777" w:rsidR="008241EE" w:rsidRPr="008241EE" w:rsidRDefault="008241EE" w:rsidP="008241EE">
      <w:pPr>
        <w:adjustRightInd w:val="0"/>
        <w:snapToGrid w:val="0"/>
        <w:spacing w:line="560" w:lineRule="exact"/>
        <w:ind w:firstLineChars="200" w:firstLine="480"/>
        <w:rPr>
          <w:rFonts w:ascii="宋体" w:eastAsia="宋体" w:hAnsi="宋体" w:cs="___WRD_EMBED_SUB_49" w:hint="eastAsia"/>
          <w:sz w:val="24"/>
        </w:rPr>
      </w:pPr>
      <w:r w:rsidRPr="008241EE">
        <w:rPr>
          <w:rFonts w:ascii="宋体" w:eastAsia="宋体" w:hAnsi="宋体" w:cs="___WRD_EMBED_SUB_49" w:hint="eastAsia"/>
          <w:sz w:val="24"/>
        </w:rPr>
        <w:t>综合判定：分两类情况 —— 若细胞实验至少 1 项指标有效、动物实验至少 1 项指标有效，且联合组满足有效条件、CI＜1 且无安全性风险（细胞存活率≥80%、动物肝肾功能正常、无过度免疫反应），则判定为 “具有协同增效作用”；若细胞实验所有指标与空白组无差异（P≥0.05）、动物实验所有指标与模型组无差异（P≥0.05），且联合组 CI＞1 且指标未优于单独组，则判定为 “拮抗或无协同功效”。</w:t>
      </w:r>
    </w:p>
    <w:p w14:paraId="4F3B8FC1" w14:textId="77777777" w:rsidR="008241EE" w:rsidRPr="008241EE" w:rsidRDefault="008241EE" w:rsidP="008241EE">
      <w:pPr>
        <w:adjustRightInd w:val="0"/>
        <w:snapToGrid w:val="0"/>
        <w:spacing w:line="560" w:lineRule="exact"/>
        <w:ind w:firstLineChars="200" w:firstLine="480"/>
        <w:rPr>
          <w:rFonts w:ascii="宋体" w:eastAsia="宋体" w:hAnsi="宋体" w:cs="___WRD_EMBED_SUB_49" w:hint="eastAsia"/>
          <w:sz w:val="24"/>
        </w:rPr>
      </w:pPr>
      <w:r w:rsidRPr="008241EE">
        <w:rPr>
          <w:rFonts w:ascii="宋体" w:eastAsia="宋体" w:hAnsi="宋体" w:cs="___WRD_EMBED_SUB_49" w:hint="eastAsia"/>
          <w:sz w:val="24"/>
        </w:rPr>
        <w:t>本文内容与数据的设定均基于生物医学研究领域的公认规范、方法学标准及免疫学实验的常规实践，具体依据如下：</w:t>
      </w:r>
    </w:p>
    <w:p w14:paraId="0B684086" w14:textId="77777777" w:rsidR="008241EE" w:rsidRPr="008241EE" w:rsidRDefault="008241EE" w:rsidP="008241EE">
      <w:pPr>
        <w:adjustRightInd w:val="0"/>
        <w:snapToGrid w:val="0"/>
        <w:spacing w:line="560" w:lineRule="exact"/>
        <w:ind w:firstLineChars="200" w:firstLine="480"/>
        <w:rPr>
          <w:rFonts w:ascii="宋体" w:eastAsia="宋体" w:hAnsi="宋体" w:cs="___WRD_EMBED_SUB_49" w:hint="eastAsia"/>
          <w:sz w:val="24"/>
        </w:rPr>
      </w:pPr>
      <w:r w:rsidRPr="008241EE">
        <w:rPr>
          <w:rFonts w:ascii="宋体" w:eastAsia="宋体" w:hAnsi="宋体" w:cs="___WRD_EMBED_SUB_49" w:hint="eastAsia"/>
          <w:sz w:val="24"/>
        </w:rPr>
        <w:t>数据记录部分：参考《药品非临床研究质量管理规范（GLP）》（2020 年版）中对实验数据管理的要求，GLP 明确规定非临床研究需详细记录实验条件、原始数据及异常情况，确保数据的真实性、完整性和可追溯性，这是药品及生物活性成分非临床评价的核心准则。</w:t>
      </w:r>
    </w:p>
    <w:p w14:paraId="39800DB3" w14:textId="77777777" w:rsidR="008241EE" w:rsidRPr="008241EE" w:rsidRDefault="008241EE" w:rsidP="008241EE">
      <w:pPr>
        <w:adjustRightInd w:val="0"/>
        <w:snapToGrid w:val="0"/>
        <w:spacing w:line="560" w:lineRule="exact"/>
        <w:ind w:firstLineChars="200" w:firstLine="480"/>
        <w:rPr>
          <w:rFonts w:ascii="宋体" w:eastAsia="宋体" w:hAnsi="宋体" w:cs="___WRD_EMBED_SUB_49" w:hint="eastAsia"/>
          <w:sz w:val="24"/>
        </w:rPr>
      </w:pPr>
      <w:r w:rsidRPr="008241EE">
        <w:rPr>
          <w:rFonts w:ascii="宋体" w:eastAsia="宋体" w:hAnsi="宋体" w:cs="___WRD_EMBED_SUB_49" w:hint="eastAsia"/>
          <w:sz w:val="24"/>
        </w:rPr>
        <w:t>统计学分析部分：遵循生物统计学的经典理论与行业标准，如正态性检验（Shapiro-Wilk 检验、Kolmogorov-Smirnov 检验）、方差齐性检验（Levene 检验）、单因素 ANOVA 及两两比较方法（LSD 法适用于组间方差齐且需精确比较的场景，SNK 法适用于多组间两两比较）、非参数检验（Kruskal-Wallis H 检验、Mann-Whitney U 检验）等，均为《生物统计学方法》《医学统计学》等权威教材及《医疗器械临床试验统计学指导原则》中推荐的标准方法，P&lt;0.05 是生物医学研究中普遍采用的差异显著性阈值。</w:t>
      </w:r>
    </w:p>
    <w:p w14:paraId="009A6EA3" w14:textId="3D443048" w:rsidR="008241EE" w:rsidRPr="008241EE" w:rsidRDefault="008241EE" w:rsidP="008241EE">
      <w:pPr>
        <w:adjustRightInd w:val="0"/>
        <w:snapToGrid w:val="0"/>
        <w:spacing w:line="560" w:lineRule="exact"/>
        <w:ind w:firstLineChars="200" w:firstLine="480"/>
        <w:rPr>
          <w:rFonts w:ascii="宋体" w:eastAsia="宋体" w:hAnsi="宋体" w:cs="___WRD_EMBED_SUB_49" w:hint="eastAsia"/>
          <w:sz w:val="24"/>
        </w:rPr>
      </w:pPr>
      <w:r w:rsidRPr="008241EE">
        <w:rPr>
          <w:rFonts w:ascii="宋体" w:eastAsia="宋体" w:hAnsi="宋体" w:cs="___WRD_EMBED_SUB_49" w:hint="eastAsia"/>
          <w:sz w:val="24"/>
        </w:rPr>
        <w:lastRenderedPageBreak/>
        <w:t>协同效应计算部分：CI 法（尤其是 Chou-Talalay 法）是国际公认的药物/活性成分协同效应评价方法，该方法基于剂量-效应关系模型，可定量计算协同、相加或拮抗作用，CompuSyn 软件是该方法的常用计算工具，相关理论与应用见于Chou等发表的《Quantitative analysis of dose-effect relationships: the combined effects of multiple drugs or enzyme inhibitors》等核心文献。</w:t>
      </w:r>
    </w:p>
    <w:p w14:paraId="3F931831" w14:textId="77777777" w:rsidR="008241EE" w:rsidRPr="008241EE" w:rsidRDefault="008241EE" w:rsidP="008241EE">
      <w:pPr>
        <w:adjustRightInd w:val="0"/>
        <w:snapToGrid w:val="0"/>
        <w:spacing w:line="560" w:lineRule="exact"/>
        <w:ind w:firstLineChars="200" w:firstLine="480"/>
        <w:rPr>
          <w:rFonts w:ascii="宋体" w:eastAsia="宋体" w:hAnsi="宋体" w:cs="___WRD_EMBED_SUB_49" w:hint="eastAsia"/>
          <w:sz w:val="24"/>
        </w:rPr>
      </w:pPr>
      <w:r w:rsidRPr="008241EE">
        <w:rPr>
          <w:rFonts w:ascii="宋体" w:eastAsia="宋体" w:hAnsi="宋体" w:cs="___WRD_EMBED_SUB_49" w:hint="eastAsia"/>
          <w:sz w:val="24"/>
        </w:rPr>
        <w:t>结果判定指标与标准部分：</w:t>
      </w:r>
    </w:p>
    <w:p w14:paraId="0913D364" w14:textId="77777777" w:rsidR="008241EE" w:rsidRPr="008241EE" w:rsidRDefault="008241EE" w:rsidP="008241EE">
      <w:pPr>
        <w:adjustRightInd w:val="0"/>
        <w:snapToGrid w:val="0"/>
        <w:spacing w:line="560" w:lineRule="exact"/>
        <w:ind w:firstLineChars="200" w:firstLine="480"/>
        <w:rPr>
          <w:rFonts w:ascii="宋体" w:eastAsia="宋体" w:hAnsi="宋体" w:cs="___WRD_EMBED_SUB_49" w:hint="eastAsia"/>
          <w:sz w:val="24"/>
        </w:rPr>
      </w:pPr>
      <w:r w:rsidRPr="008241EE">
        <w:rPr>
          <w:rFonts w:ascii="宋体" w:eastAsia="宋体" w:hAnsi="宋体" w:cs="___WRD_EMBED_SUB_49" w:hint="eastAsia"/>
          <w:sz w:val="24"/>
        </w:rPr>
        <w:t>免疫细胞增殖、免疫细胞表型（CD4+/CD8 + 比值、NK 细胞比例）、细胞因子（IL-2、TNF-α、IFN-γ、IL-10）、巨噬细胞吞噬功能、免疫器官指数（胸腺 / 脾脏指数）、脾淋巴细胞增殖、组织病理学（胸腺皮质、脾小结）等指标，均为免疫学领域评价免疫功能及活性成分免疫调节作用的常规终点指标，符合《免疫学实验技术指南》《非临床药效学研究评价技术指导原则》中对免疫相关实验的指标设定要求。</w:t>
      </w:r>
    </w:p>
    <w:p w14:paraId="58A15C1F" w14:textId="77777777" w:rsidR="008241EE" w:rsidRPr="008241EE" w:rsidRDefault="008241EE" w:rsidP="008241EE">
      <w:pPr>
        <w:adjustRightInd w:val="0"/>
        <w:snapToGrid w:val="0"/>
        <w:spacing w:line="560" w:lineRule="exact"/>
        <w:ind w:firstLineChars="200" w:firstLine="480"/>
        <w:rPr>
          <w:rFonts w:asciiTheme="minorEastAsia" w:hAnsiTheme="minorEastAsia" w:cs="___WRD_EMBED_SUB_49" w:hint="eastAsia"/>
          <w:sz w:val="28"/>
          <w:szCs w:val="28"/>
        </w:rPr>
      </w:pPr>
      <w:r w:rsidRPr="008241EE">
        <w:rPr>
          <w:rFonts w:ascii="宋体" w:eastAsia="宋体" w:hAnsi="宋体" w:cs="___WRD_EMBED_SUB_49" w:hint="eastAsia"/>
          <w:sz w:val="24"/>
        </w:rPr>
        <w:t>指标的量化标准（如 CD4+/CD8 + 比值≥1.2、NK 细胞比例≥15%（体外）、恢复至空白组 70% 以上等），参考了大量已发表的免疫调节类成分非临床研究文献（如植物提取物、生物制剂的免疫活性评价研究）及行业内的共识，确保标准的合理性与可操作性；安全性指标（细胞存活率≥80%、动物肝肾功能正常）则符合《药物非临床安全性评价研究技术指导原则》中对实验安全性评估的基础要求。</w:t>
      </w:r>
    </w:p>
    <w:p w14:paraId="19EA0414" w14:textId="77777777" w:rsidR="00696EA6" w:rsidRDefault="00000000">
      <w:pPr>
        <w:pStyle w:val="a7"/>
        <w:spacing w:line="360" w:lineRule="auto"/>
        <w:ind w:firstLineChars="0" w:firstLine="0"/>
        <w:rPr>
          <w:rFonts w:ascii="黑体" w:eastAsia="黑体" w:hAnsi="黑体" w:cs="黑体" w:hint="eastAsia"/>
          <w:sz w:val="28"/>
          <w:szCs w:val="28"/>
        </w:rPr>
      </w:pPr>
      <w:r>
        <w:rPr>
          <w:rFonts w:ascii="黑体" w:eastAsia="黑体" w:hAnsi="黑体" w:cs="黑体" w:hint="eastAsia"/>
          <w:sz w:val="28"/>
          <w:szCs w:val="28"/>
        </w:rPr>
        <w:t>三、预期达到的社会效益、对产业发展的作用及解决的主要问题等情况</w:t>
      </w:r>
    </w:p>
    <w:p w14:paraId="38406D81" w14:textId="207A0DF9" w:rsidR="008241EE" w:rsidRPr="008241EE" w:rsidRDefault="008241EE" w:rsidP="00D326A0">
      <w:pPr>
        <w:spacing w:line="360" w:lineRule="auto"/>
        <w:ind w:firstLineChars="200" w:firstLine="480"/>
        <w:rPr>
          <w:rFonts w:asciiTheme="minorEastAsia" w:hAnsiTheme="minorEastAsia" w:cs="宋体" w:hint="eastAsia"/>
          <w:sz w:val="24"/>
        </w:rPr>
      </w:pPr>
      <w:r w:rsidRPr="008241EE">
        <w:rPr>
          <w:rFonts w:ascii="Times New Roman" w:hAnsi="Times New Roman" w:cs="Times New Roman"/>
          <w:sz w:val="24"/>
        </w:rPr>
        <w:t>​</w:t>
      </w:r>
      <w:r w:rsidRPr="008241EE">
        <w:rPr>
          <w:rFonts w:asciiTheme="minorEastAsia" w:hAnsiTheme="minorEastAsia" w:cs="宋体" w:hint="eastAsia"/>
          <w:sz w:val="24"/>
        </w:rPr>
        <w:t>灵芝三萜与多糖双效协同机制评价指南标准的制定，将针对性解决当前灵芝产业发展中的多个关键问题。</w:t>
      </w:r>
      <w:r w:rsidRPr="008241EE">
        <w:rPr>
          <w:rFonts w:ascii="Times New Roman" w:hAnsi="Times New Roman" w:cs="Times New Roman"/>
          <w:sz w:val="24"/>
        </w:rPr>
        <w:t>​</w:t>
      </w:r>
      <w:r w:rsidRPr="008241EE">
        <w:rPr>
          <w:rFonts w:asciiTheme="minorEastAsia" w:hAnsiTheme="minorEastAsia" w:cs="宋体" w:hint="eastAsia"/>
          <w:sz w:val="24"/>
        </w:rPr>
        <w:t>首先，解决灵芝有效成分作用机制不明确的问题。目前灵芝产品市场存在</w:t>
      </w:r>
      <w:r w:rsidRPr="008241EE">
        <w:rPr>
          <w:rFonts w:asciiTheme="minorEastAsia" w:hAnsiTheme="minorEastAsia" w:cs="宋体"/>
          <w:sz w:val="24"/>
        </w:rPr>
        <w:t xml:space="preserve"> "</w:t>
      </w:r>
      <w:r w:rsidRPr="008241EE">
        <w:rPr>
          <w:rFonts w:asciiTheme="minorEastAsia" w:hAnsiTheme="minorEastAsia" w:cs="宋体" w:hint="eastAsia"/>
          <w:sz w:val="24"/>
        </w:rPr>
        <w:t>重成分含量、轻作用机制</w:t>
      </w:r>
      <w:r w:rsidRPr="008241EE">
        <w:rPr>
          <w:rFonts w:asciiTheme="minorEastAsia" w:hAnsiTheme="minorEastAsia" w:cs="宋体"/>
          <w:sz w:val="24"/>
        </w:rPr>
        <w:t xml:space="preserve">" </w:t>
      </w:r>
      <w:r w:rsidRPr="008241EE">
        <w:rPr>
          <w:rFonts w:asciiTheme="minorEastAsia" w:hAnsiTheme="minorEastAsia" w:cs="宋体" w:hint="eastAsia"/>
          <w:sz w:val="24"/>
        </w:rPr>
        <w:t>的现象，多数产品仅标注三萜或多糖的含量，却缺乏对两者协同作用的科学阐释。正如国际标准化组织中医</w:t>
      </w:r>
      <w:r w:rsidRPr="008241EE">
        <w:rPr>
          <w:rFonts w:asciiTheme="minorEastAsia" w:hAnsiTheme="minorEastAsia" w:cs="宋体" w:hint="eastAsia"/>
          <w:sz w:val="24"/>
        </w:rPr>
        <w:lastRenderedPageBreak/>
        <w:t>药技术委员会副主席沈远东指出的，</w:t>
      </w:r>
      <w:r w:rsidRPr="008241EE">
        <w:rPr>
          <w:rFonts w:asciiTheme="minorEastAsia" w:hAnsiTheme="minorEastAsia" w:cs="宋体"/>
          <w:sz w:val="24"/>
        </w:rPr>
        <w:t>"</w:t>
      </w:r>
      <w:r w:rsidRPr="008241EE">
        <w:rPr>
          <w:rFonts w:asciiTheme="minorEastAsia" w:hAnsiTheme="minorEastAsia" w:cs="宋体" w:hint="eastAsia"/>
          <w:sz w:val="24"/>
        </w:rPr>
        <w:t>质量标准落后、可控性差、有效成分和作用机制不明确等问题，阻碍了中药与国际接轨</w:t>
      </w:r>
      <w:r w:rsidRPr="008241EE">
        <w:rPr>
          <w:rFonts w:asciiTheme="minorEastAsia" w:hAnsiTheme="minorEastAsia" w:cs="宋体"/>
          <w:sz w:val="24"/>
        </w:rPr>
        <w:t>"</w:t>
      </w:r>
      <w:r w:rsidRPr="008241EE">
        <w:rPr>
          <w:rFonts w:asciiTheme="minorEastAsia" w:hAnsiTheme="minorEastAsia" w:cs="宋体" w:hint="eastAsia"/>
          <w:sz w:val="24"/>
        </w:rPr>
        <w:t>。该标准将系统建立三萜与多糖协同调节免疫系统的评价指标和方法，明确其作用机制，为灵芝产品的功效宣称提供科学依据。</w:t>
      </w:r>
      <w:r w:rsidRPr="008241EE">
        <w:rPr>
          <w:rFonts w:ascii="Times New Roman" w:hAnsi="Times New Roman" w:cs="Times New Roman"/>
          <w:sz w:val="24"/>
        </w:rPr>
        <w:t>​</w:t>
      </w:r>
    </w:p>
    <w:p w14:paraId="1AB5B905" w14:textId="6C850160" w:rsidR="008241EE" w:rsidRPr="008241EE" w:rsidRDefault="008241EE" w:rsidP="008241EE">
      <w:pPr>
        <w:spacing w:line="360" w:lineRule="auto"/>
        <w:ind w:firstLineChars="200" w:firstLine="480"/>
        <w:rPr>
          <w:rFonts w:asciiTheme="minorEastAsia" w:hAnsiTheme="minorEastAsia" w:cs="宋体" w:hint="eastAsia"/>
          <w:sz w:val="24"/>
        </w:rPr>
      </w:pPr>
      <w:r w:rsidRPr="008241EE">
        <w:rPr>
          <w:rFonts w:asciiTheme="minorEastAsia" w:hAnsiTheme="minorEastAsia" w:cs="宋体" w:hint="eastAsia"/>
          <w:sz w:val="24"/>
        </w:rPr>
        <w:t>其次，解决标准碎片化和不统一问题。当前灵芝产业标准体系存在</w:t>
      </w:r>
      <w:r w:rsidRPr="008241EE">
        <w:rPr>
          <w:rFonts w:asciiTheme="minorEastAsia" w:hAnsiTheme="minorEastAsia" w:cs="宋体"/>
          <w:sz w:val="24"/>
        </w:rPr>
        <w:t xml:space="preserve"> "</w:t>
      </w:r>
      <w:r w:rsidRPr="008241EE">
        <w:rPr>
          <w:rFonts w:asciiTheme="minorEastAsia" w:hAnsiTheme="minorEastAsia" w:cs="宋体" w:hint="eastAsia"/>
          <w:sz w:val="24"/>
        </w:rPr>
        <w:t>地方标准多、国家标准少，生产标准多、功效评价标准少</w:t>
      </w:r>
      <w:r w:rsidRPr="008241EE">
        <w:rPr>
          <w:rFonts w:asciiTheme="minorEastAsia" w:hAnsiTheme="minorEastAsia" w:cs="宋体"/>
          <w:sz w:val="24"/>
        </w:rPr>
        <w:t xml:space="preserve">" </w:t>
      </w:r>
      <w:r w:rsidRPr="008241EE">
        <w:rPr>
          <w:rFonts w:asciiTheme="minorEastAsia" w:hAnsiTheme="minorEastAsia" w:cs="宋体" w:hint="eastAsia"/>
          <w:sz w:val="24"/>
        </w:rPr>
        <w:t>的特点。这种碎片化的标准体系导致不同地区、不同企业的产品质量难以比较，科研数据缺乏可比性，严重影响产业升级和技术创新。该标准将填补灵芝有效成分协同效应评价的标准空白，形成与现有生产标准互补的完整标准体系。</w:t>
      </w:r>
      <w:r w:rsidRPr="008241EE">
        <w:rPr>
          <w:rFonts w:ascii="Times New Roman" w:hAnsi="Times New Roman" w:cs="Times New Roman"/>
          <w:sz w:val="24"/>
        </w:rPr>
        <w:t>​</w:t>
      </w:r>
    </w:p>
    <w:p w14:paraId="4887AF69" w14:textId="5AC2081E" w:rsidR="008241EE" w:rsidRPr="008241EE" w:rsidRDefault="00D326A0" w:rsidP="008241EE">
      <w:pPr>
        <w:spacing w:line="360" w:lineRule="auto"/>
        <w:ind w:firstLineChars="200" w:firstLine="480"/>
        <w:rPr>
          <w:rFonts w:asciiTheme="minorEastAsia" w:hAnsiTheme="minorEastAsia" w:cs="宋体" w:hint="eastAsia"/>
          <w:sz w:val="24"/>
        </w:rPr>
      </w:pPr>
      <w:r>
        <w:rPr>
          <w:rFonts w:asciiTheme="minorEastAsia" w:hAnsiTheme="minorEastAsia" w:cs="宋体" w:hint="eastAsia"/>
          <w:sz w:val="24"/>
        </w:rPr>
        <w:t>同时</w:t>
      </w:r>
      <w:r w:rsidR="008241EE" w:rsidRPr="008241EE">
        <w:rPr>
          <w:rFonts w:asciiTheme="minorEastAsia" w:hAnsiTheme="minorEastAsia" w:cs="宋体" w:hint="eastAsia"/>
          <w:sz w:val="24"/>
        </w:rPr>
        <w:t>解决灵芝产品质量控制难题。由于缺乏统一的功效评价标准，部分企业为追求短期利益，采用劣质原料或简化生产工艺，导致产品有效成分含量低、重金属超标等问题频发。该标准将建立从原料到成品的全链条质量控制指标，包括三萜与多糖的比例、提取工艺参数、活性检测方法等，通过</w:t>
      </w:r>
      <w:r w:rsidR="008241EE" w:rsidRPr="008241EE">
        <w:rPr>
          <w:rFonts w:asciiTheme="minorEastAsia" w:hAnsiTheme="minorEastAsia" w:cs="宋体"/>
          <w:sz w:val="24"/>
        </w:rPr>
        <w:t xml:space="preserve"> "</w:t>
      </w:r>
      <w:r w:rsidR="008241EE" w:rsidRPr="008241EE">
        <w:rPr>
          <w:rFonts w:asciiTheme="minorEastAsia" w:hAnsiTheme="minorEastAsia" w:cs="宋体" w:hint="eastAsia"/>
          <w:sz w:val="24"/>
        </w:rPr>
        <w:t>标准倒逼</w:t>
      </w:r>
      <w:r w:rsidR="008241EE" w:rsidRPr="008241EE">
        <w:rPr>
          <w:rFonts w:asciiTheme="minorEastAsia" w:hAnsiTheme="minorEastAsia" w:cs="宋体"/>
          <w:sz w:val="24"/>
        </w:rPr>
        <w:t xml:space="preserve">" </w:t>
      </w:r>
      <w:r w:rsidR="008241EE" w:rsidRPr="008241EE">
        <w:rPr>
          <w:rFonts w:asciiTheme="minorEastAsia" w:hAnsiTheme="minorEastAsia" w:cs="宋体" w:hint="eastAsia"/>
          <w:sz w:val="24"/>
        </w:rPr>
        <w:t>机制提升整体产品质量。同时，标准将推广先进检测技术的应用，如电子舌与</w:t>
      </w:r>
      <w:r w:rsidR="008241EE" w:rsidRPr="008241EE">
        <w:rPr>
          <w:rFonts w:asciiTheme="minorEastAsia" w:hAnsiTheme="minorEastAsia" w:cs="宋体"/>
          <w:sz w:val="24"/>
        </w:rPr>
        <w:t xml:space="preserve"> HPLC </w:t>
      </w:r>
      <w:r w:rsidR="008241EE" w:rsidRPr="008241EE">
        <w:rPr>
          <w:rFonts w:asciiTheme="minorEastAsia" w:hAnsiTheme="minorEastAsia" w:cs="宋体" w:hint="eastAsia"/>
          <w:sz w:val="24"/>
        </w:rPr>
        <w:t>联合分析方法，提高质量检测的准确性和效率。</w:t>
      </w:r>
      <w:r w:rsidR="008241EE" w:rsidRPr="008241EE">
        <w:rPr>
          <w:rFonts w:ascii="Times New Roman" w:hAnsi="Times New Roman" w:cs="Times New Roman"/>
          <w:sz w:val="24"/>
        </w:rPr>
        <w:t>​</w:t>
      </w:r>
    </w:p>
    <w:p w14:paraId="3E31C7C2" w14:textId="77777777" w:rsidR="00696EA6" w:rsidRDefault="00000000">
      <w:pPr>
        <w:adjustRightInd w:val="0"/>
        <w:snapToGrid w:val="0"/>
        <w:spacing w:line="560" w:lineRule="exact"/>
        <w:rPr>
          <w:rFonts w:ascii="黑体" w:eastAsia="黑体" w:hAnsi="黑体" w:cs="黑体" w:hint="eastAsia"/>
          <w:sz w:val="28"/>
          <w:szCs w:val="28"/>
        </w:rPr>
      </w:pPr>
      <w:r>
        <w:rPr>
          <w:rFonts w:ascii="黑体" w:eastAsia="黑体" w:hAnsi="黑体" w:cs="黑体" w:hint="eastAsia"/>
          <w:sz w:val="28"/>
          <w:szCs w:val="28"/>
        </w:rPr>
        <w:t>四、与国际、国外和国内标准对比情况</w:t>
      </w:r>
    </w:p>
    <w:p w14:paraId="1718E7EF" w14:textId="77777777" w:rsidR="00696EA6" w:rsidRPr="008241EE" w:rsidRDefault="00000000">
      <w:pPr>
        <w:pStyle w:val="a7"/>
        <w:spacing w:line="360" w:lineRule="auto"/>
        <w:ind w:firstLine="480"/>
        <w:rPr>
          <w:rFonts w:asciiTheme="minorEastAsia" w:eastAsiaTheme="minorEastAsia" w:hAnsiTheme="minorEastAsia" w:hint="eastAsia"/>
          <w:kern w:val="2"/>
          <w:sz w:val="24"/>
          <w:szCs w:val="24"/>
        </w:rPr>
      </w:pPr>
      <w:r w:rsidRPr="008241EE">
        <w:rPr>
          <w:rFonts w:asciiTheme="minorEastAsia" w:eastAsiaTheme="minorEastAsia" w:hAnsiTheme="minorEastAsia" w:hint="eastAsia"/>
          <w:kern w:val="2"/>
          <w:sz w:val="24"/>
          <w:szCs w:val="24"/>
        </w:rPr>
        <w:t>本文件为首次自主制定，不涉及国际国外标准采标情况。</w:t>
      </w:r>
    </w:p>
    <w:p w14:paraId="40F0663C" w14:textId="010C1182" w:rsidR="007B35D4" w:rsidRPr="008241EE" w:rsidRDefault="007B35D4">
      <w:pPr>
        <w:pStyle w:val="a7"/>
        <w:spacing w:line="360" w:lineRule="auto"/>
        <w:ind w:firstLine="480"/>
        <w:rPr>
          <w:rFonts w:asciiTheme="minorEastAsia" w:eastAsiaTheme="minorEastAsia" w:hAnsiTheme="minorEastAsia" w:hint="eastAsia"/>
          <w:kern w:val="2"/>
          <w:sz w:val="24"/>
          <w:szCs w:val="24"/>
        </w:rPr>
      </w:pPr>
      <w:r w:rsidRPr="008241EE">
        <w:rPr>
          <w:rFonts w:asciiTheme="minorEastAsia" w:eastAsiaTheme="minorEastAsia" w:hAnsiTheme="minorEastAsia" w:hint="eastAsia"/>
          <w:kern w:val="2"/>
          <w:sz w:val="24"/>
          <w:szCs w:val="24"/>
        </w:rPr>
        <w:t>参考文献</w:t>
      </w:r>
      <w:r w:rsidR="008241EE">
        <w:rPr>
          <w:rFonts w:asciiTheme="minorEastAsia" w:eastAsiaTheme="minorEastAsia" w:hAnsiTheme="minorEastAsia" w:hint="eastAsia"/>
          <w:kern w:val="2"/>
          <w:sz w:val="24"/>
          <w:szCs w:val="24"/>
        </w:rPr>
        <w:t>：</w:t>
      </w:r>
    </w:p>
    <w:p w14:paraId="15513BAC" w14:textId="77777777" w:rsidR="007B35D4" w:rsidRPr="008241EE" w:rsidRDefault="007B35D4" w:rsidP="007B35D4">
      <w:pPr>
        <w:pStyle w:val="a7"/>
        <w:spacing w:line="360" w:lineRule="auto"/>
        <w:ind w:firstLine="480"/>
        <w:rPr>
          <w:rFonts w:asciiTheme="minorEastAsia" w:eastAsiaTheme="minorEastAsia" w:hAnsiTheme="minorEastAsia" w:hint="eastAsia"/>
          <w:kern w:val="2"/>
          <w:sz w:val="24"/>
          <w:szCs w:val="24"/>
        </w:rPr>
      </w:pPr>
      <w:r w:rsidRPr="008241EE">
        <w:rPr>
          <w:rFonts w:asciiTheme="minorEastAsia" w:eastAsiaTheme="minorEastAsia" w:hAnsiTheme="minorEastAsia" w:hint="eastAsia"/>
          <w:kern w:val="2"/>
          <w:sz w:val="24"/>
          <w:szCs w:val="24"/>
        </w:rPr>
        <w:t>国家标准 GB/T 29344 - 2023《灵芝孢子粉采收及加工技术规范》。</w:t>
      </w:r>
    </w:p>
    <w:p w14:paraId="686AF313" w14:textId="334AFD1F" w:rsidR="007B35D4" w:rsidRPr="008241EE" w:rsidRDefault="007B35D4" w:rsidP="007B35D4">
      <w:pPr>
        <w:pStyle w:val="a7"/>
        <w:spacing w:line="360" w:lineRule="auto"/>
        <w:ind w:firstLine="480"/>
        <w:rPr>
          <w:rFonts w:asciiTheme="minorEastAsia" w:eastAsiaTheme="minorEastAsia" w:hAnsiTheme="minorEastAsia" w:hint="eastAsia"/>
          <w:kern w:val="2"/>
          <w:sz w:val="24"/>
          <w:szCs w:val="24"/>
        </w:rPr>
      </w:pPr>
      <w:r w:rsidRPr="008241EE">
        <w:rPr>
          <w:rFonts w:asciiTheme="minorEastAsia" w:eastAsiaTheme="minorEastAsia" w:hAnsiTheme="minorEastAsia" w:hint="eastAsia"/>
          <w:kern w:val="2"/>
          <w:sz w:val="24"/>
          <w:szCs w:val="24"/>
        </w:rPr>
        <w:t>国家标准 GB/T 6682《分析实验室用水规格和试验方法》</w:t>
      </w:r>
    </w:p>
    <w:p w14:paraId="69FC0594" w14:textId="77777777" w:rsidR="007B35D4" w:rsidRPr="008241EE" w:rsidRDefault="007B35D4" w:rsidP="007B35D4">
      <w:pPr>
        <w:pStyle w:val="a7"/>
        <w:spacing w:line="360" w:lineRule="auto"/>
        <w:ind w:firstLine="480"/>
        <w:rPr>
          <w:rFonts w:asciiTheme="minorEastAsia" w:eastAsiaTheme="minorEastAsia" w:hAnsiTheme="minorEastAsia" w:hint="eastAsia"/>
          <w:kern w:val="2"/>
          <w:sz w:val="24"/>
          <w:szCs w:val="24"/>
        </w:rPr>
      </w:pPr>
      <w:r w:rsidRPr="008241EE">
        <w:rPr>
          <w:rFonts w:asciiTheme="minorEastAsia" w:eastAsiaTheme="minorEastAsia" w:hAnsiTheme="minorEastAsia" w:hint="eastAsia"/>
          <w:kern w:val="2"/>
          <w:sz w:val="24"/>
          <w:szCs w:val="24"/>
        </w:rPr>
        <w:t>Swallah M, et al. Immunomodulatory effects of Ganoderma lucidum: A review. Journal of Ethnopharmacology, 2020, 259: 112964.（灵芝多糖与三萜免疫调节机制的综述）。</w:t>
      </w:r>
    </w:p>
    <w:p w14:paraId="046EEB44" w14:textId="03C249A5" w:rsidR="007B35D4" w:rsidRPr="008241EE" w:rsidRDefault="007B35D4" w:rsidP="007B35D4">
      <w:pPr>
        <w:pStyle w:val="a7"/>
        <w:spacing w:line="360" w:lineRule="auto"/>
        <w:ind w:firstLine="480"/>
        <w:rPr>
          <w:rFonts w:asciiTheme="minorEastAsia" w:eastAsiaTheme="minorEastAsia" w:hAnsiTheme="minorEastAsia" w:hint="eastAsia"/>
          <w:kern w:val="2"/>
          <w:sz w:val="24"/>
          <w:szCs w:val="24"/>
        </w:rPr>
      </w:pPr>
      <w:r w:rsidRPr="008241EE">
        <w:rPr>
          <w:rFonts w:asciiTheme="minorEastAsia" w:eastAsiaTheme="minorEastAsia" w:hAnsiTheme="minorEastAsia" w:hint="eastAsia"/>
          <w:kern w:val="2"/>
          <w:sz w:val="24"/>
          <w:szCs w:val="24"/>
        </w:rPr>
        <w:t>虎杖多糖的化学组成及免疫增强活性研究 [J]. 中国现代应用药学，2025, 42 (5): 587-593.（中性红染色与环磷酰胺模型参考）。</w:t>
      </w:r>
    </w:p>
    <w:p w14:paraId="2E4443C8" w14:textId="73AB74E7" w:rsidR="007B35D4" w:rsidRPr="008241EE" w:rsidRDefault="007B35D4" w:rsidP="007B35D4">
      <w:pPr>
        <w:pStyle w:val="a7"/>
        <w:spacing w:line="360" w:lineRule="auto"/>
        <w:ind w:firstLine="480"/>
        <w:rPr>
          <w:rFonts w:asciiTheme="minorEastAsia" w:eastAsiaTheme="minorEastAsia" w:hAnsiTheme="minorEastAsia" w:hint="eastAsia"/>
          <w:kern w:val="2"/>
          <w:sz w:val="24"/>
          <w:szCs w:val="24"/>
        </w:rPr>
      </w:pPr>
      <w:r w:rsidRPr="008241EE">
        <w:rPr>
          <w:rFonts w:asciiTheme="minorEastAsia" w:eastAsiaTheme="minorEastAsia" w:hAnsiTheme="minorEastAsia" w:hint="eastAsia"/>
          <w:kern w:val="2"/>
          <w:sz w:val="24"/>
          <w:szCs w:val="24"/>
        </w:rPr>
        <w:t>Abcam. Cell Counting Kit 8 (WST-8/CCK8) Protocol. ab228554.（CCK - 8 检测方法标准）。</w:t>
      </w:r>
    </w:p>
    <w:p w14:paraId="0BE90C5A" w14:textId="1EB5E827" w:rsidR="007B35D4" w:rsidRPr="008241EE" w:rsidRDefault="007B35D4" w:rsidP="007B35D4">
      <w:pPr>
        <w:pStyle w:val="a7"/>
        <w:spacing w:line="360" w:lineRule="auto"/>
        <w:ind w:firstLine="480"/>
        <w:rPr>
          <w:rFonts w:asciiTheme="minorEastAsia" w:eastAsiaTheme="minorEastAsia" w:hAnsiTheme="minorEastAsia" w:hint="eastAsia"/>
          <w:kern w:val="2"/>
          <w:sz w:val="24"/>
          <w:szCs w:val="24"/>
        </w:rPr>
      </w:pPr>
      <w:r w:rsidRPr="008241EE">
        <w:rPr>
          <w:rFonts w:asciiTheme="minorEastAsia" w:eastAsiaTheme="minorEastAsia" w:hAnsiTheme="minorEastAsia" w:hint="eastAsia"/>
          <w:kern w:val="2"/>
          <w:sz w:val="24"/>
          <w:szCs w:val="24"/>
        </w:rPr>
        <w:lastRenderedPageBreak/>
        <w:t>Yan W, et al. Breaking tumor immunosuppressive network by regulating multiple nodes with triadic drug delivery nanoparticle. ACS Nano, 2023, 17 (17): 17012-17026.（联合用药协同设计参考）。</w:t>
      </w:r>
    </w:p>
    <w:p w14:paraId="07E8F657" w14:textId="068B911F" w:rsidR="007B35D4" w:rsidRPr="008241EE" w:rsidRDefault="007B35D4" w:rsidP="007B35D4">
      <w:pPr>
        <w:pStyle w:val="a7"/>
        <w:spacing w:line="360" w:lineRule="auto"/>
        <w:ind w:firstLine="480"/>
        <w:rPr>
          <w:rFonts w:asciiTheme="minorEastAsia" w:eastAsiaTheme="minorEastAsia" w:hAnsiTheme="minorEastAsia" w:hint="eastAsia"/>
          <w:kern w:val="2"/>
          <w:sz w:val="24"/>
          <w:szCs w:val="24"/>
        </w:rPr>
      </w:pPr>
      <w:r w:rsidRPr="008241EE">
        <w:rPr>
          <w:rFonts w:asciiTheme="minorEastAsia" w:eastAsiaTheme="minorEastAsia" w:hAnsiTheme="minorEastAsia" w:hint="eastAsia"/>
          <w:kern w:val="2"/>
          <w:sz w:val="24"/>
          <w:szCs w:val="24"/>
        </w:rPr>
        <w:t>不同诱导极化方式对大鼠骨髓来源巨噬细胞增殖、凋亡及吞噬能力的影响 [J]. 中国组织工程研究，2021, 25 (12): 1837 - 1842.（巨噬细胞功能检测方法参考）。</w:t>
      </w:r>
    </w:p>
    <w:p w14:paraId="0AE681B4" w14:textId="77777777" w:rsidR="008241EE" w:rsidRPr="008241EE" w:rsidRDefault="008241EE" w:rsidP="008241EE">
      <w:pPr>
        <w:pStyle w:val="a7"/>
        <w:spacing w:line="360" w:lineRule="auto"/>
        <w:ind w:firstLine="480"/>
        <w:rPr>
          <w:rFonts w:asciiTheme="minorEastAsia" w:eastAsiaTheme="minorEastAsia" w:hAnsiTheme="minorEastAsia" w:hint="eastAsia"/>
          <w:kern w:val="2"/>
          <w:sz w:val="24"/>
          <w:szCs w:val="24"/>
        </w:rPr>
      </w:pPr>
      <w:r w:rsidRPr="008241EE">
        <w:rPr>
          <w:rFonts w:asciiTheme="minorEastAsia" w:eastAsiaTheme="minorEastAsia" w:hAnsiTheme="minorEastAsia" w:hint="eastAsia"/>
          <w:kern w:val="2"/>
          <w:sz w:val="24"/>
          <w:szCs w:val="24"/>
        </w:rPr>
        <w:t>国家药品监督管理局。药品非临床研究质量管理规范（GLP）（2020 年版）[S]. 2020.</w:t>
      </w:r>
    </w:p>
    <w:p w14:paraId="480A89CB" w14:textId="77777777" w:rsidR="008241EE" w:rsidRPr="008241EE" w:rsidRDefault="008241EE" w:rsidP="008241EE">
      <w:pPr>
        <w:pStyle w:val="a7"/>
        <w:spacing w:line="360" w:lineRule="auto"/>
        <w:ind w:firstLine="480"/>
        <w:rPr>
          <w:rFonts w:asciiTheme="minorEastAsia" w:eastAsiaTheme="minorEastAsia" w:hAnsiTheme="minorEastAsia" w:hint="eastAsia"/>
          <w:kern w:val="2"/>
          <w:sz w:val="24"/>
          <w:szCs w:val="24"/>
        </w:rPr>
      </w:pPr>
      <w:r w:rsidRPr="008241EE">
        <w:rPr>
          <w:rFonts w:asciiTheme="minorEastAsia" w:eastAsiaTheme="minorEastAsia" w:hAnsiTheme="minorEastAsia" w:hint="eastAsia"/>
          <w:kern w:val="2"/>
          <w:sz w:val="24"/>
          <w:szCs w:val="24"/>
        </w:rPr>
        <w:t>方积乾，孙振球。医学统计学（第 4 版）[M]. 北京：人民卫生出版社，2014.</w:t>
      </w:r>
    </w:p>
    <w:p w14:paraId="5754FB73" w14:textId="77777777" w:rsidR="008241EE" w:rsidRPr="008241EE" w:rsidRDefault="008241EE" w:rsidP="008241EE">
      <w:pPr>
        <w:pStyle w:val="a7"/>
        <w:spacing w:line="360" w:lineRule="auto"/>
        <w:ind w:firstLine="480"/>
        <w:rPr>
          <w:rFonts w:asciiTheme="minorEastAsia" w:eastAsiaTheme="minorEastAsia" w:hAnsiTheme="minorEastAsia" w:hint="eastAsia"/>
          <w:kern w:val="2"/>
          <w:sz w:val="24"/>
          <w:szCs w:val="24"/>
        </w:rPr>
      </w:pPr>
      <w:r w:rsidRPr="008241EE">
        <w:rPr>
          <w:rFonts w:asciiTheme="minorEastAsia" w:eastAsiaTheme="minorEastAsia" w:hAnsiTheme="minorEastAsia"/>
          <w:kern w:val="2"/>
          <w:sz w:val="24"/>
          <w:szCs w:val="24"/>
        </w:rPr>
        <w:t>Chou TC, Talalay P. Quantitative analysis of dose-effect relationships: the combined effects of multiple drugs or enzyme inhibitors[J]. Pharmacol Rev, 1984, 36(2): 275-354.</w:t>
      </w:r>
    </w:p>
    <w:p w14:paraId="723F4849" w14:textId="77777777" w:rsidR="008241EE" w:rsidRPr="008241EE" w:rsidRDefault="008241EE" w:rsidP="008241EE">
      <w:pPr>
        <w:pStyle w:val="a7"/>
        <w:spacing w:line="360" w:lineRule="auto"/>
        <w:ind w:firstLine="480"/>
        <w:rPr>
          <w:rFonts w:asciiTheme="minorEastAsia" w:eastAsiaTheme="minorEastAsia" w:hAnsiTheme="minorEastAsia" w:hint="eastAsia"/>
          <w:kern w:val="2"/>
          <w:sz w:val="24"/>
          <w:szCs w:val="24"/>
        </w:rPr>
      </w:pPr>
      <w:r w:rsidRPr="008241EE">
        <w:rPr>
          <w:rFonts w:asciiTheme="minorEastAsia" w:eastAsiaTheme="minorEastAsia" w:hAnsiTheme="minorEastAsia" w:hint="eastAsia"/>
          <w:kern w:val="2"/>
          <w:sz w:val="24"/>
          <w:szCs w:val="24"/>
        </w:rPr>
        <w:t>王廷华，李官成。免疫学实验技术指南 [M]. 北京：科学出版社，2008.</w:t>
      </w:r>
    </w:p>
    <w:p w14:paraId="00C50CBD" w14:textId="77777777" w:rsidR="008241EE" w:rsidRPr="008241EE" w:rsidRDefault="008241EE" w:rsidP="008241EE">
      <w:pPr>
        <w:pStyle w:val="a7"/>
        <w:spacing w:line="360" w:lineRule="auto"/>
        <w:ind w:firstLine="480"/>
        <w:rPr>
          <w:rFonts w:asciiTheme="minorEastAsia" w:eastAsiaTheme="minorEastAsia" w:hAnsiTheme="minorEastAsia" w:hint="eastAsia"/>
          <w:kern w:val="2"/>
          <w:sz w:val="24"/>
          <w:szCs w:val="24"/>
        </w:rPr>
      </w:pPr>
      <w:r w:rsidRPr="008241EE">
        <w:rPr>
          <w:rFonts w:asciiTheme="minorEastAsia" w:eastAsiaTheme="minorEastAsia" w:hAnsiTheme="minorEastAsia" w:hint="eastAsia"/>
          <w:kern w:val="2"/>
          <w:sz w:val="24"/>
          <w:szCs w:val="24"/>
        </w:rPr>
        <w:t>国家药品监督管理局药品审评中心。药物非临床药效学研究评价技术指导原则（2021 年）[S]. 2021.</w:t>
      </w:r>
    </w:p>
    <w:p w14:paraId="228657A6" w14:textId="77777777" w:rsidR="008241EE" w:rsidRPr="008241EE" w:rsidRDefault="008241EE" w:rsidP="008241EE">
      <w:pPr>
        <w:pStyle w:val="a7"/>
        <w:spacing w:line="360" w:lineRule="auto"/>
        <w:ind w:firstLine="480"/>
        <w:rPr>
          <w:rFonts w:asciiTheme="minorEastAsia" w:eastAsiaTheme="minorEastAsia" w:hAnsiTheme="minorEastAsia" w:hint="eastAsia"/>
          <w:kern w:val="2"/>
          <w:sz w:val="24"/>
          <w:szCs w:val="24"/>
        </w:rPr>
      </w:pPr>
      <w:r w:rsidRPr="008241EE">
        <w:rPr>
          <w:rFonts w:asciiTheme="minorEastAsia" w:eastAsiaTheme="minorEastAsia" w:hAnsiTheme="minorEastAsia" w:hint="eastAsia"/>
          <w:kern w:val="2"/>
          <w:sz w:val="24"/>
          <w:szCs w:val="24"/>
        </w:rPr>
        <w:t>国家药品监督管理局药品审评中心。药物非临床安全性评价研究技术指导原则（2020 年）[S]. 2020.</w:t>
      </w:r>
    </w:p>
    <w:p w14:paraId="5EBC1DD0" w14:textId="16DD3C7F" w:rsidR="008241EE" w:rsidRPr="00B46C38" w:rsidRDefault="008241EE" w:rsidP="008241EE">
      <w:pPr>
        <w:pStyle w:val="a7"/>
        <w:spacing w:line="360" w:lineRule="auto"/>
        <w:ind w:firstLine="480"/>
        <w:rPr>
          <w:rFonts w:asciiTheme="minorEastAsia" w:eastAsiaTheme="minorEastAsia" w:hAnsiTheme="minorEastAsia" w:hint="eastAsia"/>
          <w:kern w:val="2"/>
          <w:sz w:val="28"/>
          <w:szCs w:val="28"/>
        </w:rPr>
      </w:pPr>
      <w:r w:rsidRPr="008241EE">
        <w:rPr>
          <w:rFonts w:asciiTheme="minorEastAsia" w:eastAsiaTheme="minorEastAsia" w:hAnsiTheme="minorEastAsia"/>
          <w:kern w:val="2"/>
          <w:sz w:val="24"/>
          <w:szCs w:val="24"/>
        </w:rPr>
        <w:t>Zhang L, Li Y, Wang H, et al. Evaluation of the immunomodulatory effects of a polysaccharide from Ganoderma lucidum in cyclophosphamide-induced immunosuppressed mice[J]. Int J Biol Macromol, 2019, 132: 973-981.</w:t>
      </w:r>
    </w:p>
    <w:p w14:paraId="56A5C1B2" w14:textId="77777777" w:rsidR="00696EA6" w:rsidRDefault="00000000">
      <w:pPr>
        <w:adjustRightInd w:val="0"/>
        <w:snapToGrid w:val="0"/>
        <w:spacing w:line="560" w:lineRule="exact"/>
        <w:rPr>
          <w:rFonts w:ascii="黑体" w:eastAsia="黑体" w:hAnsi="黑体" w:cs="黑体" w:hint="eastAsia"/>
          <w:sz w:val="28"/>
          <w:szCs w:val="28"/>
        </w:rPr>
      </w:pPr>
      <w:r>
        <w:rPr>
          <w:rFonts w:ascii="黑体" w:eastAsia="黑体" w:hAnsi="黑体" w:cs="黑体" w:hint="eastAsia"/>
          <w:sz w:val="28"/>
          <w:szCs w:val="28"/>
        </w:rPr>
        <w:t>五、与现行相关法律、法规、规章及相关标准的关系</w:t>
      </w:r>
    </w:p>
    <w:p w14:paraId="7C207594" w14:textId="77777777" w:rsidR="00696EA6" w:rsidRPr="008241EE" w:rsidRDefault="00000000">
      <w:pPr>
        <w:pStyle w:val="a7"/>
        <w:spacing w:line="360" w:lineRule="auto"/>
        <w:ind w:firstLine="480"/>
        <w:rPr>
          <w:rFonts w:asciiTheme="minorEastAsia" w:eastAsiaTheme="minorEastAsia" w:hAnsiTheme="minorEastAsia" w:hint="eastAsia"/>
          <w:kern w:val="2"/>
          <w:sz w:val="24"/>
          <w:szCs w:val="24"/>
        </w:rPr>
      </w:pPr>
      <w:r w:rsidRPr="008241EE">
        <w:rPr>
          <w:rFonts w:asciiTheme="minorEastAsia" w:eastAsiaTheme="minorEastAsia" w:hAnsiTheme="minorEastAsia" w:hint="eastAsia"/>
          <w:kern w:val="2"/>
          <w:sz w:val="24"/>
          <w:szCs w:val="24"/>
        </w:rPr>
        <w:t>本文件与相关法律、法规、规章及相关标准协调一致，没有冲突。</w:t>
      </w:r>
    </w:p>
    <w:p w14:paraId="45C5F466" w14:textId="77777777" w:rsidR="00696EA6" w:rsidRDefault="00000000">
      <w:pPr>
        <w:adjustRightInd w:val="0"/>
        <w:snapToGrid w:val="0"/>
        <w:spacing w:line="560" w:lineRule="exact"/>
        <w:rPr>
          <w:rFonts w:ascii="黑体" w:eastAsia="黑体" w:hAnsi="黑体" w:cs="黑体" w:hint="eastAsia"/>
          <w:sz w:val="28"/>
          <w:szCs w:val="28"/>
        </w:rPr>
      </w:pPr>
      <w:r>
        <w:rPr>
          <w:rFonts w:ascii="黑体" w:eastAsia="黑体" w:hAnsi="黑体" w:cs="黑体" w:hint="eastAsia"/>
          <w:sz w:val="28"/>
          <w:szCs w:val="28"/>
        </w:rPr>
        <w:t>六、重大分歧意见的处理经过和依据</w:t>
      </w:r>
    </w:p>
    <w:p w14:paraId="1943D47C" w14:textId="77777777" w:rsidR="00696EA6" w:rsidRPr="008241EE" w:rsidRDefault="00000000">
      <w:pPr>
        <w:pStyle w:val="a7"/>
        <w:spacing w:line="360" w:lineRule="auto"/>
        <w:ind w:firstLineChars="247" w:firstLine="593"/>
        <w:rPr>
          <w:rFonts w:asciiTheme="minorEastAsia" w:eastAsiaTheme="minorEastAsia" w:hAnsiTheme="minorEastAsia" w:hint="eastAsia"/>
          <w:kern w:val="2"/>
          <w:sz w:val="24"/>
          <w:szCs w:val="24"/>
        </w:rPr>
      </w:pPr>
      <w:r w:rsidRPr="008241EE">
        <w:rPr>
          <w:rFonts w:asciiTheme="minorEastAsia" w:eastAsiaTheme="minorEastAsia" w:hAnsiTheme="minorEastAsia" w:hint="eastAsia"/>
          <w:kern w:val="2"/>
          <w:sz w:val="24"/>
          <w:szCs w:val="24"/>
        </w:rPr>
        <w:t>无。</w:t>
      </w:r>
    </w:p>
    <w:p w14:paraId="2AE82ABF" w14:textId="77777777" w:rsidR="00696EA6" w:rsidRDefault="00000000">
      <w:pPr>
        <w:adjustRightInd w:val="0"/>
        <w:snapToGrid w:val="0"/>
        <w:spacing w:line="560" w:lineRule="exact"/>
        <w:rPr>
          <w:rFonts w:ascii="黑体" w:eastAsia="黑体" w:hAnsi="黑体" w:cs="黑体" w:hint="eastAsia"/>
          <w:sz w:val="28"/>
          <w:szCs w:val="28"/>
        </w:rPr>
      </w:pPr>
      <w:r>
        <w:rPr>
          <w:rFonts w:ascii="黑体" w:eastAsia="黑体" w:hAnsi="黑体" w:cs="黑体" w:hint="eastAsia"/>
          <w:sz w:val="28"/>
          <w:szCs w:val="28"/>
        </w:rPr>
        <w:t>七、贯彻指南的要求和措施建议</w:t>
      </w:r>
    </w:p>
    <w:p w14:paraId="19DC282D" w14:textId="77777777" w:rsidR="00696EA6" w:rsidRPr="008241EE" w:rsidRDefault="00000000" w:rsidP="00B46C38">
      <w:pPr>
        <w:pStyle w:val="a7"/>
        <w:spacing w:line="360" w:lineRule="auto"/>
        <w:ind w:firstLineChars="247" w:firstLine="593"/>
        <w:rPr>
          <w:rFonts w:asciiTheme="minorEastAsia" w:eastAsiaTheme="minorEastAsia" w:hAnsiTheme="minorEastAsia" w:hint="eastAsia"/>
          <w:kern w:val="2"/>
          <w:sz w:val="24"/>
          <w:szCs w:val="24"/>
        </w:rPr>
      </w:pPr>
      <w:r w:rsidRPr="008241EE">
        <w:rPr>
          <w:rFonts w:asciiTheme="minorEastAsia" w:eastAsiaTheme="minorEastAsia" w:hAnsiTheme="minorEastAsia" w:hint="eastAsia"/>
          <w:kern w:val="2"/>
          <w:sz w:val="24"/>
          <w:szCs w:val="24"/>
        </w:rPr>
        <w:t>本文件发布后，应向相关企业进行宣传、贯彻，推荐执行该文件。</w:t>
      </w:r>
    </w:p>
    <w:p w14:paraId="79155E75" w14:textId="77777777" w:rsidR="00696EA6" w:rsidRDefault="00000000">
      <w:pPr>
        <w:adjustRightInd w:val="0"/>
        <w:snapToGrid w:val="0"/>
        <w:spacing w:line="560" w:lineRule="exact"/>
        <w:rPr>
          <w:rFonts w:ascii="黑体" w:eastAsia="黑体" w:hAnsi="黑体" w:cs="黑体" w:hint="eastAsia"/>
          <w:sz w:val="28"/>
          <w:szCs w:val="28"/>
        </w:rPr>
      </w:pPr>
      <w:r>
        <w:rPr>
          <w:rFonts w:ascii="黑体" w:eastAsia="黑体" w:hAnsi="黑体" w:cs="黑体" w:hint="eastAsia"/>
          <w:sz w:val="28"/>
          <w:szCs w:val="28"/>
        </w:rPr>
        <w:t>八、其他应予说明的事项</w:t>
      </w:r>
    </w:p>
    <w:p w14:paraId="5F466382" w14:textId="77777777" w:rsidR="00696EA6" w:rsidRPr="008241EE" w:rsidRDefault="00000000" w:rsidP="00B46C38">
      <w:pPr>
        <w:pStyle w:val="a7"/>
        <w:spacing w:line="360" w:lineRule="auto"/>
        <w:ind w:firstLineChars="247" w:firstLine="593"/>
        <w:rPr>
          <w:rFonts w:asciiTheme="minorEastAsia" w:eastAsiaTheme="minorEastAsia" w:hAnsiTheme="minorEastAsia" w:hint="eastAsia"/>
          <w:kern w:val="2"/>
          <w:sz w:val="24"/>
          <w:szCs w:val="24"/>
        </w:rPr>
      </w:pPr>
      <w:r w:rsidRPr="008241EE">
        <w:rPr>
          <w:rFonts w:asciiTheme="minorEastAsia" w:eastAsiaTheme="minorEastAsia" w:hAnsiTheme="minorEastAsia" w:hint="eastAsia"/>
          <w:kern w:val="2"/>
          <w:sz w:val="24"/>
          <w:szCs w:val="24"/>
        </w:rPr>
        <w:lastRenderedPageBreak/>
        <w:t xml:space="preserve">无。 </w:t>
      </w:r>
    </w:p>
    <w:p w14:paraId="66A157AA" w14:textId="77777777" w:rsidR="00696EA6" w:rsidRDefault="00696EA6">
      <w:pPr>
        <w:pStyle w:val="a7"/>
        <w:spacing w:line="360" w:lineRule="auto"/>
        <w:ind w:firstLineChars="247" w:firstLine="790"/>
        <w:rPr>
          <w:rFonts w:ascii="Times New Roman" w:eastAsia="仿宋_GB2312"/>
          <w:kern w:val="2"/>
          <w:sz w:val="32"/>
          <w:szCs w:val="32"/>
        </w:rPr>
      </w:pPr>
    </w:p>
    <w:p w14:paraId="493EAFCB" w14:textId="77777777" w:rsidR="00696EA6" w:rsidRDefault="00696EA6">
      <w:pPr>
        <w:pStyle w:val="a7"/>
        <w:spacing w:line="360" w:lineRule="auto"/>
        <w:ind w:firstLineChars="247" w:firstLine="790"/>
        <w:rPr>
          <w:rFonts w:ascii="Times New Roman" w:eastAsia="仿宋_GB2312"/>
          <w:kern w:val="2"/>
          <w:sz w:val="32"/>
          <w:szCs w:val="32"/>
        </w:rPr>
      </w:pPr>
    </w:p>
    <w:p w14:paraId="32E759E8" w14:textId="77777777" w:rsidR="00696EA6" w:rsidRDefault="00000000">
      <w:pPr>
        <w:jc w:val="center"/>
        <w:rPr>
          <w:rFonts w:ascii="Times New Roman" w:eastAsia="仿宋_GB2312" w:hAnsi="Times New Roman" w:cs="Times New Roman"/>
          <w:sz w:val="28"/>
          <w:szCs w:val="28"/>
        </w:rPr>
      </w:pPr>
      <w:r>
        <w:rPr>
          <w:rFonts w:hint="eastAsia"/>
          <w:b/>
          <w:bCs/>
          <w:sz w:val="28"/>
          <w:szCs w:val="28"/>
        </w:rPr>
        <w:t xml:space="preserve">             </w:t>
      </w:r>
    </w:p>
    <w:p w14:paraId="7090C314" w14:textId="77777777" w:rsidR="00696EA6" w:rsidRDefault="00696EA6"/>
    <w:sectPr w:rsidR="00696E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B0268" w14:textId="77777777" w:rsidR="00F51B21" w:rsidRDefault="00F51B21" w:rsidP="00744677">
      <w:r>
        <w:separator/>
      </w:r>
    </w:p>
  </w:endnote>
  <w:endnote w:type="continuationSeparator" w:id="0">
    <w:p w14:paraId="771E59B1" w14:textId="77777777" w:rsidR="00F51B21" w:rsidRDefault="00F51B21" w:rsidP="00744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embedRegular r:id="rId1" w:subsetted="1" w:fontKey="{96DE0FEC-2883-4ACD-8FA8-40C06F1AF6A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Bold r:id="rId2" w:subsetted="1" w:fontKey="{99FE7322-3A79-4E8B-A590-A725F6F5D0EA}"/>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___WRD_EMBED_SUB_49">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embedRegular r:id="rId3" w:fontKey="{D2CADE7E-7D1F-45D8-9CEC-970A670EB5FE}"/>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79A58" w14:textId="77777777" w:rsidR="00F51B21" w:rsidRDefault="00F51B21" w:rsidP="00744677">
      <w:r>
        <w:separator/>
      </w:r>
    </w:p>
  </w:footnote>
  <w:footnote w:type="continuationSeparator" w:id="0">
    <w:p w14:paraId="00C7463F" w14:textId="77777777" w:rsidR="00F51B21" w:rsidRDefault="00F51B21" w:rsidP="007446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1C358E"/>
    <w:multiLevelType w:val="multilevel"/>
    <w:tmpl w:val="CF1C358E"/>
    <w:lvl w:ilvl="0">
      <w:start w:val="1"/>
      <w:numFmt w:val="none"/>
      <w:pStyle w:val="a"/>
      <w:lvlText w:val="%1注："/>
      <w:lvlJc w:val="left"/>
      <w:pPr>
        <w:ind w:left="942" w:hanging="374"/>
      </w:pPr>
      <w:rPr>
        <w:rFonts w:ascii="黑体" w:eastAsia="黑体" w:hAnsi="Times New Roman" w:cs="黑体" w:hint="eastAsia"/>
        <w:b w:val="0"/>
        <w:i w:val="0"/>
        <w:sz w:val="18"/>
      </w:rPr>
    </w:lvl>
    <w:lvl w:ilvl="1">
      <w:start w:val="1"/>
      <w:numFmt w:val="lowerLetter"/>
      <w:lvlText w:val="%2)"/>
      <w:lvlJc w:val="left"/>
      <w:pPr>
        <w:tabs>
          <w:tab w:val="left" w:pos="1140"/>
        </w:tabs>
        <w:ind w:left="726" w:hanging="363"/>
      </w:pPr>
    </w:lvl>
    <w:lvl w:ilvl="2">
      <w:start w:val="1"/>
      <w:numFmt w:val="lowerRoman"/>
      <w:lvlText w:val="%3."/>
      <w:lvlJc w:val="right"/>
      <w:pPr>
        <w:tabs>
          <w:tab w:val="left" w:pos="1140"/>
        </w:tabs>
        <w:ind w:left="726" w:hanging="363"/>
      </w:pPr>
    </w:lvl>
    <w:lvl w:ilvl="3">
      <w:start w:val="1"/>
      <w:numFmt w:val="decimal"/>
      <w:lvlText w:val="%4."/>
      <w:lvlJc w:val="left"/>
      <w:pPr>
        <w:tabs>
          <w:tab w:val="left" w:pos="1140"/>
        </w:tabs>
        <w:ind w:left="726" w:hanging="363"/>
      </w:pPr>
    </w:lvl>
    <w:lvl w:ilvl="4">
      <w:start w:val="1"/>
      <w:numFmt w:val="lowerLetter"/>
      <w:lvlText w:val="%5)"/>
      <w:lvlJc w:val="left"/>
      <w:pPr>
        <w:tabs>
          <w:tab w:val="left" w:pos="1140"/>
        </w:tabs>
        <w:ind w:left="726" w:hanging="363"/>
      </w:pPr>
    </w:lvl>
    <w:lvl w:ilvl="5">
      <w:start w:val="1"/>
      <w:numFmt w:val="lowerRoman"/>
      <w:lvlText w:val="%6."/>
      <w:lvlJc w:val="right"/>
      <w:pPr>
        <w:tabs>
          <w:tab w:val="left" w:pos="1140"/>
        </w:tabs>
        <w:ind w:left="726" w:hanging="363"/>
      </w:pPr>
    </w:lvl>
    <w:lvl w:ilvl="6">
      <w:start w:val="1"/>
      <w:numFmt w:val="decimal"/>
      <w:lvlText w:val="%7."/>
      <w:lvlJc w:val="left"/>
      <w:pPr>
        <w:tabs>
          <w:tab w:val="left" w:pos="1140"/>
        </w:tabs>
        <w:ind w:left="726" w:hanging="363"/>
      </w:pPr>
    </w:lvl>
    <w:lvl w:ilvl="7">
      <w:start w:val="1"/>
      <w:numFmt w:val="lowerLetter"/>
      <w:lvlText w:val="%8)"/>
      <w:lvlJc w:val="left"/>
      <w:pPr>
        <w:tabs>
          <w:tab w:val="left" w:pos="1140"/>
        </w:tabs>
        <w:ind w:left="726" w:hanging="363"/>
      </w:pPr>
    </w:lvl>
    <w:lvl w:ilvl="8">
      <w:start w:val="1"/>
      <w:numFmt w:val="lowerRoman"/>
      <w:lvlText w:val="%9."/>
      <w:lvlJc w:val="right"/>
      <w:pPr>
        <w:tabs>
          <w:tab w:val="left" w:pos="1140"/>
        </w:tabs>
        <w:ind w:left="726" w:hanging="363"/>
      </w:pPr>
    </w:lvl>
  </w:abstractNum>
  <w:abstractNum w:abstractNumId="1" w15:restartNumberingAfterBreak="0">
    <w:nsid w:val="FAB82BD7"/>
    <w:multiLevelType w:val="singleLevel"/>
    <w:tmpl w:val="FAB82BD7"/>
    <w:lvl w:ilvl="0">
      <w:start w:val="3"/>
      <w:numFmt w:val="decimal"/>
      <w:suff w:val="nothing"/>
      <w:lvlText w:val="%1、"/>
      <w:lvlJc w:val="left"/>
    </w:lvl>
  </w:abstractNum>
  <w:abstractNum w:abstractNumId="2" w15:restartNumberingAfterBreak="0">
    <w:nsid w:val="45ECF118"/>
    <w:multiLevelType w:val="multilevel"/>
    <w:tmpl w:val="45ECF118"/>
    <w:lvl w:ilvl="0">
      <w:start w:val="1"/>
      <w:numFmt w:val="decimal"/>
      <w:pStyle w:val="a0"/>
      <w:suff w:val="nothing"/>
      <w:lvlText w:val="注%1："/>
      <w:lvlJc w:val="left"/>
      <w:pPr>
        <w:ind w:left="811" w:hanging="448"/>
      </w:pPr>
      <w:rPr>
        <w:rFonts w:ascii="黑体" w:eastAsia="黑体" w:hAnsi="Times New Roman" w:cs="黑体" w:hint="eastAsia"/>
        <w:b w:val="0"/>
        <w:i w:val="0"/>
        <w:sz w:val="18"/>
      </w:rPr>
    </w:lvl>
    <w:lvl w:ilvl="1">
      <w:start w:val="1"/>
      <w:numFmt w:val="lowerLetter"/>
      <w:lvlText w:val="%2)"/>
      <w:lvlJc w:val="left"/>
      <w:pPr>
        <w:tabs>
          <w:tab w:val="left" w:pos="0"/>
        </w:tabs>
        <w:ind w:left="992" w:hanging="629"/>
      </w:pPr>
    </w:lvl>
    <w:lvl w:ilvl="2">
      <w:start w:val="1"/>
      <w:numFmt w:val="lowerRoman"/>
      <w:lvlText w:val="%3."/>
      <w:lvlJc w:val="right"/>
      <w:pPr>
        <w:tabs>
          <w:tab w:val="left" w:pos="0"/>
        </w:tabs>
        <w:ind w:left="992" w:hanging="629"/>
      </w:pPr>
    </w:lvl>
    <w:lvl w:ilvl="3">
      <w:start w:val="1"/>
      <w:numFmt w:val="decimal"/>
      <w:lvlText w:val="%4."/>
      <w:lvlJc w:val="left"/>
      <w:pPr>
        <w:tabs>
          <w:tab w:val="left" w:pos="0"/>
        </w:tabs>
        <w:ind w:left="992" w:hanging="629"/>
      </w:pPr>
    </w:lvl>
    <w:lvl w:ilvl="4">
      <w:start w:val="1"/>
      <w:numFmt w:val="lowerLetter"/>
      <w:lvlText w:val="%5)"/>
      <w:lvlJc w:val="left"/>
      <w:pPr>
        <w:tabs>
          <w:tab w:val="left" w:pos="0"/>
        </w:tabs>
        <w:ind w:left="992" w:hanging="629"/>
      </w:pPr>
    </w:lvl>
    <w:lvl w:ilvl="5">
      <w:start w:val="1"/>
      <w:numFmt w:val="lowerRoman"/>
      <w:lvlText w:val="%6."/>
      <w:lvlJc w:val="right"/>
      <w:pPr>
        <w:tabs>
          <w:tab w:val="left" w:pos="0"/>
        </w:tabs>
        <w:ind w:left="992" w:hanging="629"/>
      </w:pPr>
    </w:lvl>
    <w:lvl w:ilvl="6">
      <w:start w:val="1"/>
      <w:numFmt w:val="decimal"/>
      <w:lvlText w:val="%7."/>
      <w:lvlJc w:val="left"/>
      <w:pPr>
        <w:tabs>
          <w:tab w:val="left" w:pos="0"/>
        </w:tabs>
        <w:ind w:left="992" w:hanging="629"/>
      </w:pPr>
    </w:lvl>
    <w:lvl w:ilvl="7">
      <w:start w:val="1"/>
      <w:numFmt w:val="lowerLetter"/>
      <w:lvlText w:val="%8)"/>
      <w:lvlJc w:val="left"/>
      <w:pPr>
        <w:tabs>
          <w:tab w:val="left" w:pos="0"/>
        </w:tabs>
        <w:ind w:left="992" w:hanging="629"/>
      </w:pPr>
    </w:lvl>
    <w:lvl w:ilvl="8">
      <w:start w:val="1"/>
      <w:numFmt w:val="lowerRoman"/>
      <w:lvlText w:val="%9."/>
      <w:lvlJc w:val="right"/>
      <w:pPr>
        <w:tabs>
          <w:tab w:val="left" w:pos="0"/>
        </w:tabs>
        <w:ind w:left="992" w:hanging="629"/>
      </w:pPr>
    </w:lvl>
  </w:abstractNum>
  <w:num w:numId="1" w16cid:durableId="224993461">
    <w:abstractNumId w:val="2"/>
  </w:num>
  <w:num w:numId="2" w16cid:durableId="1264143147">
    <w:abstractNumId w:val="0"/>
  </w:num>
  <w:num w:numId="3" w16cid:durableId="1848016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TZhYmZmNmIxNDFkYzkyYWZlNDEwY2IyOTFkNWNlNmIifQ=="/>
  </w:docVars>
  <w:rsids>
    <w:rsidRoot w:val="10E87636"/>
    <w:rsid w:val="00002D3C"/>
    <w:rsid w:val="00066A02"/>
    <w:rsid w:val="00115A17"/>
    <w:rsid w:val="001C2EA8"/>
    <w:rsid w:val="00247E60"/>
    <w:rsid w:val="002835FB"/>
    <w:rsid w:val="003253D2"/>
    <w:rsid w:val="00457C90"/>
    <w:rsid w:val="004846FF"/>
    <w:rsid w:val="005937D0"/>
    <w:rsid w:val="005D2F35"/>
    <w:rsid w:val="00696EA6"/>
    <w:rsid w:val="00744677"/>
    <w:rsid w:val="00766298"/>
    <w:rsid w:val="007845F2"/>
    <w:rsid w:val="007B35D4"/>
    <w:rsid w:val="008241EE"/>
    <w:rsid w:val="008724FB"/>
    <w:rsid w:val="008922C9"/>
    <w:rsid w:val="008A6E11"/>
    <w:rsid w:val="009B0EE1"/>
    <w:rsid w:val="00A27B6C"/>
    <w:rsid w:val="00B46C38"/>
    <w:rsid w:val="00C14405"/>
    <w:rsid w:val="00D12141"/>
    <w:rsid w:val="00D326A0"/>
    <w:rsid w:val="00D5048A"/>
    <w:rsid w:val="00D95FEE"/>
    <w:rsid w:val="00F253FF"/>
    <w:rsid w:val="00F51B21"/>
    <w:rsid w:val="00FD685C"/>
    <w:rsid w:val="03034FE0"/>
    <w:rsid w:val="080812F8"/>
    <w:rsid w:val="0B100BEF"/>
    <w:rsid w:val="0BC65752"/>
    <w:rsid w:val="0D390087"/>
    <w:rsid w:val="0D8C7124"/>
    <w:rsid w:val="0F8C0A60"/>
    <w:rsid w:val="0FB33B6A"/>
    <w:rsid w:val="0FEC31A4"/>
    <w:rsid w:val="0FF7237E"/>
    <w:rsid w:val="10262C63"/>
    <w:rsid w:val="10E87636"/>
    <w:rsid w:val="117874EE"/>
    <w:rsid w:val="123B3D2C"/>
    <w:rsid w:val="12C80001"/>
    <w:rsid w:val="15A80030"/>
    <w:rsid w:val="1878097B"/>
    <w:rsid w:val="18B56DB6"/>
    <w:rsid w:val="1B2F50C2"/>
    <w:rsid w:val="1E547A83"/>
    <w:rsid w:val="1E8E65A3"/>
    <w:rsid w:val="20607ACB"/>
    <w:rsid w:val="20947775"/>
    <w:rsid w:val="224F7DF7"/>
    <w:rsid w:val="23F4010C"/>
    <w:rsid w:val="25453E86"/>
    <w:rsid w:val="25555115"/>
    <w:rsid w:val="27182EAE"/>
    <w:rsid w:val="27802801"/>
    <w:rsid w:val="287A7C66"/>
    <w:rsid w:val="2DCF74A1"/>
    <w:rsid w:val="2DF94B96"/>
    <w:rsid w:val="324C4E5E"/>
    <w:rsid w:val="324F79A0"/>
    <w:rsid w:val="3F1121E7"/>
    <w:rsid w:val="3F6F51DD"/>
    <w:rsid w:val="41DF048E"/>
    <w:rsid w:val="431C567C"/>
    <w:rsid w:val="43EA577A"/>
    <w:rsid w:val="46205483"/>
    <w:rsid w:val="47C96421"/>
    <w:rsid w:val="4BE52395"/>
    <w:rsid w:val="4D6F55B6"/>
    <w:rsid w:val="4F471CD3"/>
    <w:rsid w:val="515406D7"/>
    <w:rsid w:val="559C3B2C"/>
    <w:rsid w:val="55C45E2B"/>
    <w:rsid w:val="56D54068"/>
    <w:rsid w:val="577D348A"/>
    <w:rsid w:val="590824D3"/>
    <w:rsid w:val="5C5E240A"/>
    <w:rsid w:val="5E8F2D4E"/>
    <w:rsid w:val="65E43CBA"/>
    <w:rsid w:val="66915A35"/>
    <w:rsid w:val="675E7FCF"/>
    <w:rsid w:val="682B1D3A"/>
    <w:rsid w:val="6B663FD0"/>
    <w:rsid w:val="6B680BAF"/>
    <w:rsid w:val="6E1E5877"/>
    <w:rsid w:val="70734FAA"/>
    <w:rsid w:val="71CD79BE"/>
    <w:rsid w:val="739E5B32"/>
    <w:rsid w:val="73D0517B"/>
    <w:rsid w:val="75A26245"/>
    <w:rsid w:val="772E39DC"/>
    <w:rsid w:val="790A14F7"/>
    <w:rsid w:val="7A85352B"/>
    <w:rsid w:val="7B213D83"/>
    <w:rsid w:val="7BF76916"/>
    <w:rsid w:val="7D567E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14105D"/>
  <w15:docId w15:val="{290B4ACF-5C11-440A-9BF1-437EA2317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Calibr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jc w:val="both"/>
    </w:pPr>
    <w:rPr>
      <w:rFonts w:asciiTheme="minorHAnsi" w:eastAsiaTheme="minorEastAsia" w:hAnsiTheme="minorHAnsi" w:cstheme="minorBidi"/>
      <w:kern w:val="2"/>
      <w:sz w:val="21"/>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qFormat/>
    <w:rPr>
      <w:sz w:val="24"/>
    </w:rPr>
  </w:style>
  <w:style w:type="table" w:styleId="a6">
    <w:name w:val="Table Grid"/>
    <w:basedOn w:val="a3"/>
    <w:qFormat/>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paragraph" w:customStyle="1" w:styleId="a7">
    <w:name w:val="段"/>
    <w:qFormat/>
    <w:pPr>
      <w:tabs>
        <w:tab w:val="center" w:pos="4201"/>
        <w:tab w:val="right" w:leader="dot" w:pos="9298"/>
      </w:tabs>
      <w:autoSpaceDE w:val="0"/>
      <w:autoSpaceDN w:val="0"/>
      <w:ind w:firstLineChars="200" w:firstLine="420"/>
      <w:jc w:val="both"/>
    </w:pPr>
    <w:rPr>
      <w:rFonts w:ascii="宋体" w:hAnsi="Times New Roman" w:cs="Times New Roman"/>
      <w:sz w:val="21"/>
    </w:rPr>
  </w:style>
  <w:style w:type="paragraph" w:customStyle="1" w:styleId="a8">
    <w:name w:val="标准文件_表格"/>
    <w:basedOn w:val="a9"/>
    <w:qFormat/>
    <w:pPr>
      <w:jc w:val="center"/>
    </w:pPr>
    <w:rPr>
      <w:rFonts w:hint="eastAsia"/>
      <w:sz w:val="18"/>
    </w:rPr>
  </w:style>
  <w:style w:type="paragraph" w:customStyle="1" w:styleId="a9">
    <w:name w:val="标准文件_段"/>
    <w:qFormat/>
    <w:pPr>
      <w:autoSpaceDE w:val="0"/>
      <w:autoSpaceDN w:val="0"/>
      <w:ind w:firstLineChars="200" w:firstLine="200"/>
      <w:jc w:val="both"/>
    </w:pPr>
    <w:rPr>
      <w:rFonts w:ascii="宋体" w:hAnsi="Times New Roman" w:cs="Times New Roman"/>
      <w:sz w:val="21"/>
    </w:rPr>
  </w:style>
  <w:style w:type="paragraph" w:customStyle="1" w:styleId="a0">
    <w:name w:val="标准文件_注×："/>
    <w:basedOn w:val="a1"/>
    <w:qFormat/>
    <w:pPr>
      <w:numPr>
        <w:numId w:val="1"/>
      </w:numPr>
      <w:autoSpaceDE w:val="0"/>
      <w:autoSpaceDN w:val="0"/>
    </w:pPr>
    <w:rPr>
      <w:rFonts w:ascii="宋体" w:eastAsia="宋体" w:hAnsi="Times New Roman" w:cs="Times New Roman" w:hint="eastAsia"/>
      <w:kern w:val="0"/>
      <w:sz w:val="18"/>
      <w:szCs w:val="18"/>
    </w:rPr>
  </w:style>
  <w:style w:type="paragraph" w:customStyle="1" w:styleId="a">
    <w:name w:val="标准文件_注："/>
    <w:basedOn w:val="a1"/>
    <w:next w:val="a1"/>
    <w:qFormat/>
    <w:pPr>
      <w:numPr>
        <w:numId w:val="2"/>
      </w:numPr>
      <w:autoSpaceDE w:val="0"/>
      <w:autoSpaceDN w:val="0"/>
      <w:ind w:left="737"/>
    </w:pPr>
    <w:rPr>
      <w:rFonts w:ascii="宋体" w:eastAsia="宋体" w:hAnsi="Times New Roman" w:cs="Times New Roman" w:hint="eastAsia"/>
      <w:kern w:val="0"/>
      <w:sz w:val="18"/>
      <w:szCs w:val="18"/>
    </w:rPr>
  </w:style>
  <w:style w:type="paragraph" w:styleId="aa">
    <w:name w:val="header"/>
    <w:basedOn w:val="a1"/>
    <w:link w:val="ab"/>
    <w:rsid w:val="00744677"/>
    <w:pPr>
      <w:tabs>
        <w:tab w:val="center" w:pos="4153"/>
        <w:tab w:val="right" w:pos="8306"/>
      </w:tabs>
      <w:snapToGrid w:val="0"/>
      <w:jc w:val="center"/>
    </w:pPr>
    <w:rPr>
      <w:sz w:val="18"/>
      <w:szCs w:val="18"/>
    </w:rPr>
  </w:style>
  <w:style w:type="character" w:customStyle="1" w:styleId="ab">
    <w:name w:val="页眉 字符"/>
    <w:basedOn w:val="a2"/>
    <w:link w:val="aa"/>
    <w:rsid w:val="00744677"/>
    <w:rPr>
      <w:rFonts w:asciiTheme="minorHAnsi" w:eastAsiaTheme="minorEastAsia" w:hAnsiTheme="minorHAnsi" w:cstheme="minorBidi"/>
      <w:kern w:val="2"/>
      <w:sz w:val="18"/>
      <w:szCs w:val="18"/>
    </w:rPr>
  </w:style>
  <w:style w:type="paragraph" w:styleId="ac">
    <w:name w:val="footer"/>
    <w:basedOn w:val="a1"/>
    <w:link w:val="ad"/>
    <w:rsid w:val="00744677"/>
    <w:pPr>
      <w:tabs>
        <w:tab w:val="center" w:pos="4153"/>
        <w:tab w:val="right" w:pos="8306"/>
      </w:tabs>
      <w:snapToGrid w:val="0"/>
      <w:jc w:val="left"/>
    </w:pPr>
    <w:rPr>
      <w:sz w:val="18"/>
      <w:szCs w:val="18"/>
    </w:rPr>
  </w:style>
  <w:style w:type="character" w:customStyle="1" w:styleId="ad">
    <w:name w:val="页脚 字符"/>
    <w:basedOn w:val="a2"/>
    <w:link w:val="ac"/>
    <w:rsid w:val="00744677"/>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1227</Words>
  <Characters>6999</Characters>
  <Application>Microsoft Office Word</Application>
  <DocSecurity>0</DocSecurity>
  <Lines>58</Lines>
  <Paragraphs>16</Paragraphs>
  <ScaleCrop>false</ScaleCrop>
  <Company/>
  <LinksUpToDate>false</LinksUpToDate>
  <CharactersWithSpaces>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想不到名字</dc:creator>
  <cp:lastModifiedBy>丹丹 刘</cp:lastModifiedBy>
  <cp:revision>4</cp:revision>
  <dcterms:created xsi:type="dcterms:W3CDTF">2025-12-29T09:07:00Z</dcterms:created>
  <dcterms:modified xsi:type="dcterms:W3CDTF">2025-12-30T02:41:00Z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8F0B2995DCBE4C1E963AF08129812C98_13</vt:lpwstr>
  </property>
  <property fmtid="{D5CDD505-2E9C-101B-9397-08002B2CF9AE}" pid="4" name="KSOTemplateDocerSaveRecord">
    <vt:lpwstr>eyJoZGlkIjoiNGQ5NjRkYThhM2JiMGMwN2E0YWU4MmI4NDhjZDQ4YzciLCJ1c2VySWQiOiI0MjE4NjAwNjUifQ==</vt:lpwstr>
  </property>
</Properties>
</file>