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49685">
      <w:pPr>
        <w:spacing w:before="960" w:after="3120" w:afterLines="1000"/>
        <w:ind w:left="108"/>
        <w:jc w:val="center"/>
        <w:rPr>
          <w:rFonts w:hint="eastAsia" w:ascii="黑体" w:hAnsi="黑体" w:eastAsia="黑体"/>
          <w:sz w:val="84"/>
          <w:szCs w:val="84"/>
          <w:lang w:eastAsia="zh-CN"/>
        </w:rPr>
      </w:pPr>
      <w:r>
        <w:rPr>
          <w:rFonts w:hint="eastAsia" w:ascii="黑体" w:hAnsi="黑体" w:eastAsia="黑体"/>
          <w:sz w:val="84"/>
          <w:szCs w:val="84"/>
          <w:lang w:eastAsia="zh-CN"/>
        </w:rPr>
        <w:t>团 体 标 准</w:t>
      </w:r>
    </w:p>
    <w:p w14:paraId="511F3466">
      <w:pPr>
        <w:ind w:left="108"/>
        <w:jc w:val="center"/>
        <w:rPr>
          <w:rFonts w:hint="eastAsia" w:ascii="黑体" w:hAnsi="黑体" w:eastAsia="黑体"/>
          <w:sz w:val="32"/>
          <w:szCs w:val="32"/>
          <w:lang w:eastAsia="zh-CN"/>
        </w:rPr>
      </w:pPr>
      <w:r>
        <w:rPr>
          <w:rFonts w:hint="eastAsia" w:ascii="黑体" w:hAnsi="黑体" w:eastAsia="黑体"/>
          <w:sz w:val="32"/>
          <w:szCs w:val="32"/>
          <w:lang w:eastAsia="zh-CN"/>
        </w:rPr>
        <w:t xml:space="preserve"> 《适合中国人体质的中式体型管理科学指南》</w:t>
      </w:r>
    </w:p>
    <w:p w14:paraId="3529FCDB">
      <w:pPr>
        <w:ind w:left="108"/>
        <w:jc w:val="center"/>
        <w:rPr>
          <w:rFonts w:hint="eastAsia" w:ascii="黑体" w:hAnsi="黑体" w:eastAsia="黑体"/>
          <w:sz w:val="32"/>
          <w:szCs w:val="32"/>
          <w:lang w:eastAsia="zh-CN"/>
        </w:rPr>
      </w:pPr>
      <w:r>
        <w:rPr>
          <w:rFonts w:hint="eastAsia" w:ascii="黑体" w:hAnsi="黑体" w:eastAsia="黑体"/>
          <w:sz w:val="32"/>
          <w:szCs w:val="32"/>
          <w:lang w:eastAsia="zh-CN"/>
        </w:rPr>
        <w:t>（征求意见稿）</w:t>
      </w:r>
    </w:p>
    <w:p w14:paraId="26D62232">
      <w:pPr>
        <w:spacing w:after="4368" w:afterLines="1400"/>
        <w:ind w:left="108"/>
        <w:jc w:val="center"/>
        <w:rPr>
          <w:rFonts w:hint="eastAsia" w:ascii="黑体" w:hAnsi="黑体" w:eastAsia="黑体"/>
          <w:sz w:val="32"/>
          <w:szCs w:val="32"/>
          <w:lang w:eastAsia="zh-CN" w:bidi="ar-SA"/>
        </w:rPr>
      </w:pPr>
      <w:r>
        <w:rPr>
          <w:rFonts w:ascii="黑体" w:hAnsi="黑体" w:eastAsia="黑体"/>
          <w:sz w:val="32"/>
          <w:szCs w:val="32"/>
          <w:lang w:eastAsia="zh-CN" w:bidi="ar-SA"/>
        </w:rPr>
        <w:t>编制说明</w:t>
      </w:r>
    </w:p>
    <w:p w14:paraId="7FEA9A52">
      <w:pPr>
        <w:spacing w:before="2184" w:beforeLines="700"/>
        <w:ind w:left="108"/>
        <w:jc w:val="center"/>
        <w:rPr>
          <w:rFonts w:hint="eastAsia" w:ascii="黑体" w:hAnsi="黑体" w:eastAsia="黑体"/>
          <w:sz w:val="28"/>
          <w:szCs w:val="28"/>
          <w:lang w:eastAsia="zh-CN"/>
        </w:rPr>
      </w:pPr>
      <w:r>
        <w:rPr>
          <w:rFonts w:hint="eastAsia" w:ascii="黑体" w:hAnsi="黑体" w:eastAsia="黑体"/>
          <w:sz w:val="28"/>
          <w:szCs w:val="28"/>
          <w:lang w:eastAsia="zh-CN"/>
        </w:rPr>
        <w:t>标准起草工作组</w:t>
      </w:r>
    </w:p>
    <w:p w14:paraId="662F4AE6">
      <w:pPr>
        <w:ind w:left="108"/>
        <w:jc w:val="center"/>
        <w:rPr>
          <w:rFonts w:hint="eastAsia" w:ascii="黑体" w:hAnsi="黑体" w:eastAsia="黑体"/>
          <w:sz w:val="28"/>
          <w:szCs w:val="28"/>
          <w:lang w:eastAsia="zh-CN"/>
        </w:rPr>
      </w:pPr>
      <w:r>
        <w:rPr>
          <w:rFonts w:hint="eastAsia" w:ascii="黑体" w:hAnsi="黑体" w:eastAsia="黑体"/>
          <w:sz w:val="28"/>
          <w:szCs w:val="28"/>
          <w:lang w:eastAsia="zh-CN"/>
        </w:rPr>
        <w:t>202</w:t>
      </w:r>
      <w:r>
        <w:rPr>
          <w:rFonts w:hint="eastAsia" w:ascii="黑体" w:hAnsi="黑体" w:eastAsia="黑体"/>
          <w:sz w:val="28"/>
          <w:szCs w:val="28"/>
          <w:lang w:val="en-US" w:eastAsia="zh-CN"/>
        </w:rPr>
        <w:t>5</w:t>
      </w:r>
      <w:r>
        <w:rPr>
          <w:rFonts w:hint="eastAsia" w:ascii="黑体" w:hAnsi="黑体" w:eastAsia="黑体"/>
          <w:sz w:val="28"/>
          <w:szCs w:val="28"/>
          <w:lang w:eastAsia="zh-CN"/>
        </w:rPr>
        <w:t>年</w:t>
      </w:r>
      <w:r>
        <w:rPr>
          <w:rFonts w:hint="eastAsia" w:ascii="黑体" w:hAnsi="黑体" w:eastAsia="黑体"/>
          <w:sz w:val="28"/>
          <w:szCs w:val="28"/>
          <w:lang w:val="en-US" w:eastAsia="zh-CN"/>
        </w:rPr>
        <w:t>12</w:t>
      </w:r>
      <w:r>
        <w:rPr>
          <w:rFonts w:hint="eastAsia" w:ascii="黑体" w:hAnsi="黑体" w:eastAsia="黑体"/>
          <w:sz w:val="28"/>
          <w:szCs w:val="28"/>
          <w:lang w:eastAsia="zh-CN"/>
        </w:rPr>
        <w:t>月</w:t>
      </w:r>
    </w:p>
    <w:p w14:paraId="261C8A92">
      <w:pPr>
        <w:tabs>
          <w:tab w:val="left" w:pos="1815"/>
        </w:tabs>
        <w:jc w:val="center"/>
        <w:rPr>
          <w:rFonts w:hint="eastAsia" w:ascii="黑体" w:hAnsi="黑体" w:eastAsia="黑体"/>
          <w:sz w:val="36"/>
          <w:szCs w:val="36"/>
          <w:lang w:eastAsia="zh-CN"/>
        </w:rPr>
      </w:pPr>
    </w:p>
    <w:p w14:paraId="4FFD26F1">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一、工作简况</w:t>
      </w:r>
    </w:p>
    <w:p w14:paraId="3DCBBAFA">
      <w:pPr>
        <w:tabs>
          <w:tab w:val="left" w:pos="1815"/>
        </w:tabs>
        <w:spacing w:line="360" w:lineRule="auto"/>
        <w:rPr>
          <w:rFonts w:hint="eastAsia" w:ascii="黑体" w:hAnsi="黑体" w:eastAsia="黑体"/>
          <w:sz w:val="24"/>
          <w:szCs w:val="24"/>
          <w:lang w:eastAsia="zh-CN"/>
        </w:rPr>
      </w:pPr>
      <w:r>
        <w:rPr>
          <w:rFonts w:hint="eastAsia" w:ascii="黑体" w:hAnsi="黑体" w:eastAsia="黑体"/>
          <w:sz w:val="24"/>
          <w:szCs w:val="24"/>
          <w:lang w:eastAsia="zh-CN"/>
        </w:rPr>
        <w:t>（一）任务来源</w:t>
      </w:r>
    </w:p>
    <w:p w14:paraId="16E00D4E">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根据2</w:t>
      </w:r>
      <w:r>
        <w:rPr>
          <w:rFonts w:eastAsia="宋体"/>
          <w:sz w:val="24"/>
          <w:szCs w:val="24"/>
          <w:lang w:eastAsia="zh-CN"/>
        </w:rPr>
        <w:t>02</w:t>
      </w:r>
      <w:r>
        <w:rPr>
          <w:rFonts w:hint="eastAsia" w:eastAsia="宋体"/>
          <w:sz w:val="24"/>
          <w:szCs w:val="24"/>
          <w:lang w:val="en-US" w:eastAsia="zh-CN"/>
        </w:rPr>
        <w:t>5</w:t>
      </w:r>
      <w:r>
        <w:rPr>
          <w:rFonts w:hint="eastAsia" w:eastAsia="宋体"/>
          <w:sz w:val="24"/>
          <w:szCs w:val="24"/>
          <w:lang w:eastAsia="zh-CN"/>
        </w:rPr>
        <w:t>年全国标准化工作要点</w:t>
      </w:r>
      <w:r>
        <w:rPr>
          <w:rFonts w:eastAsia="宋体"/>
          <w:sz w:val="24"/>
          <w:szCs w:val="24"/>
          <w:lang w:eastAsia="zh-CN"/>
        </w:rPr>
        <w:t>，加强质量支撑和标准引领，深入推进国家标准化发展纲要各项重点任务实施</w:t>
      </w:r>
      <w:r>
        <w:rPr>
          <w:rFonts w:hint="eastAsia" w:eastAsia="宋体"/>
          <w:sz w:val="24"/>
          <w:szCs w:val="24"/>
          <w:lang w:eastAsia="zh-CN"/>
        </w:rPr>
        <w:t>，</w:t>
      </w:r>
      <w:r>
        <w:rPr>
          <w:rFonts w:eastAsia="宋体"/>
          <w:sz w:val="24"/>
          <w:szCs w:val="24"/>
          <w:lang w:eastAsia="zh-CN"/>
        </w:rPr>
        <w:t>以标准有力引领现代化产业体系建设，推动标准化更好服务经济社会高质量发展。依据《中华人民</w:t>
      </w:r>
      <w:r>
        <w:rPr>
          <w:rFonts w:hint="eastAsia" w:eastAsia="宋体"/>
          <w:sz w:val="24"/>
          <w:szCs w:val="24"/>
          <w:lang w:eastAsia="zh-CN"/>
        </w:rPr>
        <w:t>共和国</w:t>
      </w:r>
      <w:r>
        <w:rPr>
          <w:rFonts w:eastAsia="宋体"/>
          <w:sz w:val="24"/>
          <w:szCs w:val="24"/>
          <w:lang w:eastAsia="zh-CN"/>
        </w:rPr>
        <w:t>标准化法》</w:t>
      </w:r>
      <w:r>
        <w:rPr>
          <w:rFonts w:hint="eastAsia" w:eastAsia="宋体"/>
          <w:sz w:val="24"/>
          <w:szCs w:val="24"/>
          <w:lang w:eastAsia="zh-CN"/>
        </w:rPr>
        <w:t>和</w:t>
      </w:r>
      <w:r>
        <w:rPr>
          <w:rFonts w:eastAsia="宋体"/>
          <w:sz w:val="24"/>
          <w:szCs w:val="24"/>
          <w:lang w:eastAsia="zh-CN"/>
        </w:rPr>
        <w:t>《团体标准管理规定》</w:t>
      </w:r>
      <w:r>
        <w:rPr>
          <w:rFonts w:hint="eastAsia" w:eastAsia="宋体"/>
          <w:sz w:val="24"/>
          <w:szCs w:val="24"/>
          <w:lang w:eastAsia="zh-CN"/>
        </w:rPr>
        <w:t>（国标委联[</w:t>
      </w:r>
      <w:r>
        <w:rPr>
          <w:rFonts w:eastAsia="宋体"/>
          <w:sz w:val="24"/>
          <w:szCs w:val="24"/>
          <w:lang w:eastAsia="zh-CN"/>
        </w:rPr>
        <w:t>2019]1</w:t>
      </w:r>
      <w:r>
        <w:rPr>
          <w:rFonts w:hint="eastAsia" w:eastAsia="宋体"/>
          <w:sz w:val="24"/>
          <w:szCs w:val="24"/>
          <w:lang w:eastAsia="zh-CN"/>
        </w:rPr>
        <w:t>号）的</w:t>
      </w:r>
      <w:r>
        <w:rPr>
          <w:rFonts w:eastAsia="宋体"/>
          <w:sz w:val="24"/>
          <w:szCs w:val="24"/>
          <w:lang w:eastAsia="zh-CN"/>
        </w:rPr>
        <w:t>相关</w:t>
      </w:r>
      <w:r>
        <w:rPr>
          <w:rFonts w:hint="eastAsia" w:eastAsia="宋体"/>
          <w:sz w:val="24"/>
          <w:szCs w:val="24"/>
          <w:lang w:eastAsia="zh-CN"/>
        </w:rPr>
        <w:t>要求</w:t>
      </w:r>
      <w:r>
        <w:rPr>
          <w:rFonts w:eastAsia="宋体"/>
          <w:sz w:val="24"/>
          <w:szCs w:val="24"/>
          <w:lang w:eastAsia="zh-CN"/>
        </w:rPr>
        <w:t>，</w:t>
      </w:r>
      <w:r>
        <w:rPr>
          <w:rFonts w:hint="eastAsia" w:eastAsia="宋体"/>
          <w:sz w:val="24"/>
          <w:szCs w:val="24"/>
          <w:lang w:eastAsia="zh-CN"/>
        </w:rPr>
        <w:t>中国食品药品企业质量安全促进会批准立项并联合相关单位共同制定《适合中国人体质的中式体型管理科学指南》团体标准。</w:t>
      </w:r>
    </w:p>
    <w:p w14:paraId="10D4839A">
      <w:pPr>
        <w:tabs>
          <w:tab w:val="left" w:pos="1815"/>
        </w:tabs>
        <w:spacing w:line="360" w:lineRule="auto"/>
        <w:rPr>
          <w:rFonts w:hint="eastAsia" w:ascii="黑体" w:hAnsi="黑体" w:eastAsia="黑体"/>
          <w:sz w:val="24"/>
          <w:szCs w:val="24"/>
          <w:lang w:eastAsia="zh-CN"/>
        </w:rPr>
      </w:pPr>
      <w:r>
        <w:rPr>
          <w:rFonts w:hint="eastAsia" w:ascii="黑体" w:hAnsi="黑体" w:eastAsia="黑体"/>
          <w:sz w:val="24"/>
          <w:szCs w:val="24"/>
          <w:lang w:eastAsia="zh-CN"/>
        </w:rPr>
        <w:t>（二）制定背景</w:t>
      </w:r>
    </w:p>
    <w:p w14:paraId="6EE3C287">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 xml:space="preserve">中式体型管理科学指南的核心目的，是打破 “照搬西方模式” 的误区，围绕中国人体质特征、饮食文化与生活习惯，构建一套 “适配性强、可落地、少风险” 的科学管理体系。西方体型管理常以 “高蛋白质、低碳水”“高强度间歇训练（HIIT）” 为核心，但其基于欧美人群 “肌肉量基础高、乳糖耐受度强、代谢速率快” 的体质特点。而中国人普遍存在乳糖不耐受比例超 60% 、肌肉量峰值比欧美人群低 8%-10% 、中心性肥胖（腰腹脂肪堆积）发生率是全身性肥胖的 2.3 倍 等生理差异。若直接套用西方方案，易引发 “断碳后低血糖”“过量乳清蛋白导致肠胃不适”“高强度训练损伤关节” 等问题。指南的首要目的，就是通过 “体质适配性调整”，让体型管理方案与中国人的生理基础相匹配，避免健康风险。 </w:t>
      </w:r>
    </w:p>
    <w:p w14:paraId="76A561A0">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中式体型管理的关键痛点之一，是 “方案与生活习惯脱节”—— 例如要求 “完全不吃米饭、面条” 违背中国人 “主食依赖” 的饮食文化，要求 “每天 1 小时健身房训练” 难以适配上班族 “碎片化时间” 现状。指南的重要目的，是将科学管理融入中式生活场景：饮食上保留 “粥、面、杂粮饭” 等主食，通过 “粗细搭配”“控量不戒断” 实现热量平衡；运动上结合 “太极拳、八段锦” 等传统功法，可利用 “晨起 10 分钟”“饭后散步” 等碎片化时间完成；作息上呼应中医 “子午觉” 理念，贴合中国人 “早睡早起” 的传统作息偏好。最终让体型管理从 “需要刻意坚持的任务”，转变为 “融入日常的生活习惯”。</w:t>
      </w:r>
    </w:p>
    <w:p w14:paraId="17DBF6D4">
      <w:pPr>
        <w:tabs>
          <w:tab w:val="left" w:pos="1815"/>
        </w:tabs>
        <w:spacing w:line="360" w:lineRule="auto"/>
        <w:ind w:firstLine="480" w:firstLineChars="200"/>
        <w:rPr>
          <w:rFonts w:eastAsia="宋体"/>
          <w:sz w:val="24"/>
          <w:szCs w:val="24"/>
          <w:lang w:eastAsia="zh-CN"/>
        </w:rPr>
      </w:pPr>
      <w:r>
        <w:rPr>
          <w:rFonts w:hint="eastAsia" w:eastAsia="宋体"/>
          <w:sz w:val="24"/>
          <w:szCs w:val="24"/>
          <w:lang w:eastAsia="zh-CN"/>
        </w:rPr>
        <w:t>适合中国人体质的中式体型管理科学指南，不仅是个体优化体型的 “工具”，更是纠正健康误区、传承中式智慧、助力公共卫生的 “载体”。在当前中国人健康需求升级、体型管理问题凸显的背景下，其目的的精准性、意义的多维性、必要性的现实性，决定了它对提升中国人群健康水平的重要价值</w:t>
      </w:r>
      <w:r>
        <w:rPr>
          <w:rFonts w:eastAsia="宋体"/>
          <w:sz w:val="24"/>
          <w:szCs w:val="24"/>
          <w:lang w:eastAsia="zh-CN"/>
        </w:rPr>
        <w:t>。</w:t>
      </w:r>
    </w:p>
    <w:p w14:paraId="1A15DAF4">
      <w:pPr>
        <w:tabs>
          <w:tab w:val="left" w:pos="1815"/>
        </w:tabs>
        <w:spacing w:line="360" w:lineRule="auto"/>
        <w:ind w:firstLine="480" w:firstLineChars="200"/>
        <w:rPr>
          <w:rFonts w:hint="eastAsia" w:eastAsia="宋体"/>
          <w:sz w:val="24"/>
          <w:szCs w:val="24"/>
          <w:lang w:eastAsia="zh-CN"/>
        </w:rPr>
      </w:pPr>
      <w:r>
        <w:rPr>
          <w:rFonts w:hint="eastAsia" w:eastAsia="宋体"/>
          <w:sz w:val="24"/>
          <w:szCs w:val="24"/>
          <w:lang w:eastAsia="zh-CN"/>
        </w:rPr>
        <w:t>本项目旨在借助标准化手段，针对细分行业的特点，制定相应的标准，填补本行业标准空白，促进产业标准化应用水平升级，引领行业高质量发展。</w:t>
      </w:r>
    </w:p>
    <w:p w14:paraId="7668CE96">
      <w:pPr>
        <w:tabs>
          <w:tab w:val="left" w:pos="1815"/>
        </w:tabs>
        <w:spacing w:line="360" w:lineRule="auto"/>
        <w:rPr>
          <w:rFonts w:hint="eastAsia" w:ascii="黑体" w:hAnsi="黑体" w:eastAsia="黑体"/>
          <w:sz w:val="24"/>
          <w:szCs w:val="24"/>
          <w:lang w:eastAsia="zh-CN"/>
        </w:rPr>
      </w:pPr>
      <w:r>
        <w:rPr>
          <w:rFonts w:hint="eastAsia" w:ascii="黑体" w:hAnsi="黑体" w:eastAsia="黑体"/>
          <w:sz w:val="24"/>
          <w:szCs w:val="24"/>
          <w:lang w:eastAsia="zh-CN"/>
        </w:rPr>
        <w:t>（三）起草过程</w:t>
      </w:r>
    </w:p>
    <w:p w14:paraId="2DCA398B">
      <w:pPr>
        <w:tabs>
          <w:tab w:val="left" w:pos="1815"/>
        </w:tabs>
        <w:spacing w:line="360" w:lineRule="auto"/>
        <w:rPr>
          <w:rFonts w:hint="eastAsia" w:eastAsia="宋体"/>
          <w:sz w:val="24"/>
          <w:szCs w:val="24"/>
          <w:lang w:eastAsia="zh-CN"/>
        </w:rPr>
      </w:pPr>
      <w:r>
        <w:rPr>
          <w:rFonts w:eastAsia="宋体"/>
          <w:sz w:val="24"/>
          <w:szCs w:val="24"/>
          <w:lang w:eastAsia="zh-CN"/>
        </w:rPr>
        <w:t>3.1 标准研制阶段</w:t>
      </w:r>
    </w:p>
    <w:p w14:paraId="22268E16">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2025年10月，起草组通过企业调研，了解企业实际生产情况，并组织收集、整理相关标准化资料、专业文献等，经成分分析、研讨、论证后编写完成《适合中国人体质的中式体型管理科学指南》立项申请书及标准框架相关内容，并向中国食品药品企业质量安全促进会提出标准立项申请。</w:t>
      </w:r>
    </w:p>
    <w:p w14:paraId="0CFB4CAC">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3.2 标准立项阶段</w:t>
      </w:r>
    </w:p>
    <w:p w14:paraId="60E9A1DF">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2025年10月，中国食品药品企业质量安全促进会正式发布了《适合中国人体质的中式体型管理科学指南》团体标准立项通知，并在全国团体标准信息平台进行公示。</w:t>
      </w:r>
    </w:p>
    <w:p w14:paraId="7734EB58">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3.3 标准起草阶段</w:t>
      </w:r>
    </w:p>
    <w:p w14:paraId="7FF5C6B0">
      <w:pPr>
        <w:tabs>
          <w:tab w:val="left" w:pos="1815"/>
        </w:tabs>
        <w:spacing w:line="360" w:lineRule="auto"/>
        <w:ind w:firstLine="480" w:firstLineChars="200"/>
        <w:rPr>
          <w:rFonts w:hint="eastAsia" w:eastAsia="宋体"/>
          <w:color w:val="000000"/>
          <w:sz w:val="24"/>
          <w:szCs w:val="24"/>
          <w:lang w:eastAsia="zh-CN"/>
        </w:rPr>
      </w:pPr>
      <w:r>
        <w:rPr>
          <w:rFonts w:hint="eastAsia" w:eastAsia="宋体"/>
          <w:color w:val="000000"/>
          <w:sz w:val="24"/>
          <w:szCs w:val="24"/>
          <w:lang w:eastAsia="zh-CN"/>
        </w:rPr>
        <w:t>2025年11月，依据《中华人民共和国标准化法》、《国务院关于深化标准化工作改革方案》等文件的要求，按照团体标准的制修订程序组织有关技术人员成立标准起草工作组，通过相关信息化手段进行多次内容讨论和交流，并向相关单位和专家咨询，在广泛听取各方意见和充分论证的基础上，对标准初稿进行了完善和修改后经起草组确认，同意作为征求意见稿，公开征求意见。</w:t>
      </w:r>
    </w:p>
    <w:p w14:paraId="4DA483E6">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二、编制原则</w:t>
      </w:r>
    </w:p>
    <w:p w14:paraId="3B64DE0E">
      <w:pPr>
        <w:tabs>
          <w:tab w:val="left" w:pos="1815"/>
        </w:tabs>
        <w:spacing w:line="360" w:lineRule="auto"/>
        <w:ind w:firstLine="360" w:firstLineChars="150"/>
        <w:rPr>
          <w:rFonts w:hint="eastAsia" w:eastAsia="宋体"/>
          <w:sz w:val="24"/>
          <w:szCs w:val="24"/>
          <w:lang w:eastAsia="zh-CN"/>
        </w:rPr>
      </w:pPr>
      <w:r>
        <w:rPr>
          <w:rFonts w:eastAsia="宋体"/>
          <w:sz w:val="24"/>
          <w:szCs w:val="24"/>
          <w:lang w:eastAsia="zh-CN"/>
        </w:rPr>
        <w:t>在标准制定过程中，标准起草工作组按照GB/T 1.1</w:t>
      </w:r>
      <w:r>
        <w:rPr>
          <w:rFonts w:hint="eastAsia" w:eastAsia="宋体"/>
          <w:sz w:val="24"/>
          <w:szCs w:val="24"/>
          <w:lang w:eastAsia="zh-CN"/>
        </w:rPr>
        <w:t>—</w:t>
      </w:r>
      <w:r>
        <w:rPr>
          <w:rFonts w:eastAsia="宋体"/>
          <w:sz w:val="24"/>
          <w:szCs w:val="24"/>
          <w:lang w:eastAsia="zh-CN"/>
        </w:rPr>
        <w:t xml:space="preserve">2020 给出的规则编写，主要遵循以下原则： </w:t>
      </w:r>
    </w:p>
    <w:p w14:paraId="27A78E36">
      <w:pPr>
        <w:tabs>
          <w:tab w:val="left" w:pos="1815"/>
        </w:tabs>
        <w:spacing w:line="360" w:lineRule="auto"/>
        <w:ind w:firstLine="360" w:firstLineChars="150"/>
        <w:rPr>
          <w:rFonts w:hint="eastAsia" w:eastAsia="宋体"/>
          <w:sz w:val="24"/>
          <w:szCs w:val="24"/>
          <w:lang w:eastAsia="zh-CN"/>
        </w:rPr>
      </w:pPr>
      <w:r>
        <w:rPr>
          <w:rFonts w:eastAsia="宋体"/>
          <w:sz w:val="24"/>
          <w:szCs w:val="24"/>
          <w:lang w:eastAsia="zh-CN"/>
        </w:rPr>
        <w:t>（1）协调性:</w:t>
      </w:r>
      <w:r>
        <w:rPr>
          <w:rFonts w:hint="eastAsia" w:eastAsia="宋体"/>
          <w:sz w:val="24"/>
          <w:szCs w:val="24"/>
          <w:lang w:eastAsia="zh-CN"/>
        </w:rPr>
        <w:t xml:space="preserve"> </w:t>
      </w:r>
      <w:r>
        <w:rPr>
          <w:rFonts w:eastAsia="宋体"/>
          <w:sz w:val="24"/>
          <w:szCs w:val="24"/>
          <w:lang w:eastAsia="zh-CN"/>
        </w:rPr>
        <w:t xml:space="preserve">保证标准与国内现行国家标准、行业标准协调一致。 </w:t>
      </w:r>
    </w:p>
    <w:p w14:paraId="62078043">
      <w:pPr>
        <w:tabs>
          <w:tab w:val="left" w:pos="1815"/>
        </w:tabs>
        <w:spacing w:line="360" w:lineRule="auto"/>
        <w:ind w:firstLine="360" w:firstLineChars="150"/>
        <w:rPr>
          <w:rFonts w:hint="eastAsia" w:eastAsia="宋体"/>
          <w:sz w:val="24"/>
          <w:szCs w:val="24"/>
          <w:lang w:eastAsia="zh-CN"/>
        </w:rPr>
      </w:pPr>
      <w:r>
        <w:rPr>
          <w:rFonts w:eastAsia="宋体"/>
          <w:sz w:val="24"/>
          <w:szCs w:val="24"/>
          <w:lang w:eastAsia="zh-CN"/>
        </w:rPr>
        <w:t>（2）规范性</w:t>
      </w:r>
      <w:r>
        <w:rPr>
          <w:rFonts w:hint="eastAsia" w:eastAsia="宋体"/>
          <w:sz w:val="24"/>
          <w:szCs w:val="24"/>
          <w:lang w:eastAsia="zh-CN"/>
        </w:rPr>
        <w:t>：</w:t>
      </w:r>
      <w:r>
        <w:rPr>
          <w:rFonts w:eastAsia="宋体"/>
          <w:sz w:val="24"/>
          <w:szCs w:val="24"/>
          <w:lang w:eastAsia="zh-CN"/>
        </w:rPr>
        <w:t>严格按照GB/T 1.1</w:t>
      </w:r>
      <w:r>
        <w:rPr>
          <w:rFonts w:hint="eastAsia" w:eastAsia="宋体"/>
          <w:sz w:val="24"/>
          <w:szCs w:val="24"/>
          <w:lang w:eastAsia="zh-CN"/>
        </w:rPr>
        <w:t>—</w:t>
      </w:r>
      <w:r>
        <w:rPr>
          <w:rFonts w:eastAsia="宋体"/>
          <w:sz w:val="24"/>
          <w:szCs w:val="24"/>
          <w:lang w:eastAsia="zh-CN"/>
        </w:rPr>
        <w:t>20</w:t>
      </w:r>
      <w:r>
        <w:rPr>
          <w:rFonts w:hint="eastAsia" w:eastAsia="宋体"/>
          <w:sz w:val="24"/>
          <w:szCs w:val="24"/>
          <w:lang w:eastAsia="zh-CN"/>
        </w:rPr>
        <w:t>20</w:t>
      </w:r>
      <w:r>
        <w:rPr>
          <w:rFonts w:eastAsia="宋体"/>
          <w:sz w:val="24"/>
          <w:szCs w:val="24"/>
          <w:lang w:eastAsia="zh-CN"/>
        </w:rPr>
        <w:t>《</w:t>
      </w:r>
      <w:r>
        <w:rPr>
          <w:rFonts w:hint="eastAsia" w:eastAsia="宋体"/>
          <w:sz w:val="24"/>
          <w:szCs w:val="24"/>
          <w:lang w:eastAsia="zh-CN"/>
        </w:rPr>
        <w:t>标准化工作导则</w:t>
      </w:r>
      <w:r>
        <w:rPr>
          <w:rFonts w:eastAsia="宋体"/>
          <w:sz w:val="24"/>
          <w:szCs w:val="24"/>
          <w:lang w:eastAsia="zh-CN"/>
        </w:rPr>
        <w:t xml:space="preserve"> 第1部分：标准化文件的结构和起草规则》给出的规则起草</w:t>
      </w:r>
      <w:r>
        <w:rPr>
          <w:rFonts w:hint="eastAsia" w:eastAsia="宋体"/>
          <w:sz w:val="24"/>
          <w:szCs w:val="24"/>
          <w:lang w:eastAsia="zh-CN"/>
        </w:rPr>
        <w:t>，</w:t>
      </w:r>
      <w:r>
        <w:rPr>
          <w:rFonts w:eastAsia="宋体"/>
          <w:sz w:val="24"/>
          <w:szCs w:val="24"/>
          <w:lang w:eastAsia="zh-CN"/>
        </w:rPr>
        <w:t>保证标准的编写质量</w:t>
      </w:r>
      <w:r>
        <w:rPr>
          <w:rFonts w:hint="eastAsia" w:eastAsia="宋体"/>
          <w:sz w:val="24"/>
          <w:szCs w:val="24"/>
          <w:lang w:eastAsia="zh-CN"/>
        </w:rPr>
        <w:t>。</w:t>
      </w:r>
    </w:p>
    <w:p w14:paraId="54D07197">
      <w:pPr>
        <w:tabs>
          <w:tab w:val="left" w:pos="1815"/>
        </w:tabs>
        <w:spacing w:line="360" w:lineRule="auto"/>
        <w:ind w:firstLine="360" w:firstLineChars="150"/>
        <w:rPr>
          <w:rFonts w:hint="eastAsia" w:eastAsia="宋体"/>
          <w:sz w:val="24"/>
          <w:szCs w:val="24"/>
          <w:lang w:eastAsia="zh-CN"/>
        </w:rPr>
      </w:pPr>
      <w:r>
        <w:rPr>
          <w:rFonts w:hint="eastAsia" w:eastAsia="宋体"/>
          <w:sz w:val="24"/>
          <w:szCs w:val="24"/>
          <w:lang w:eastAsia="zh-CN"/>
        </w:rPr>
        <w:t>（3）</w:t>
      </w:r>
      <w:r>
        <w:rPr>
          <w:rFonts w:eastAsia="宋体"/>
          <w:sz w:val="24"/>
          <w:szCs w:val="24"/>
          <w:lang w:eastAsia="zh-CN"/>
        </w:rPr>
        <w:t>适用性：结合生产企业管理实践和产品的主要环境影响，提出对企业产品的具体质量要求和生产经营规范。</w:t>
      </w:r>
    </w:p>
    <w:p w14:paraId="5BA2933B">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三、主要技术内容及其确定依据</w:t>
      </w:r>
    </w:p>
    <w:p w14:paraId="6F975426">
      <w:pPr>
        <w:tabs>
          <w:tab w:val="left" w:pos="1815"/>
        </w:tabs>
        <w:spacing w:line="360" w:lineRule="auto"/>
        <w:ind w:firstLine="360" w:firstLineChars="150"/>
        <w:rPr>
          <w:rFonts w:eastAsia="宋体"/>
          <w:sz w:val="24"/>
          <w:szCs w:val="24"/>
          <w:lang w:eastAsia="zh-CN"/>
        </w:rPr>
      </w:pPr>
      <w:r>
        <w:rPr>
          <w:rFonts w:hint="eastAsia" w:eastAsia="宋体"/>
          <w:sz w:val="24"/>
          <w:szCs w:val="24"/>
          <w:lang w:eastAsia="zh-CN"/>
        </w:rPr>
        <w:t>根据适合中国人体质的中式体型管理</w:t>
      </w:r>
      <w:r>
        <w:rPr>
          <w:rFonts w:hint="eastAsia" w:eastAsia="宋体"/>
          <w:sz w:val="24"/>
          <w:szCs w:val="24"/>
          <w:lang w:val="en-US" w:eastAsia="zh-CN"/>
        </w:rPr>
        <w:t>技术</w:t>
      </w:r>
      <w:r>
        <w:rPr>
          <w:rFonts w:hint="eastAsia" w:eastAsia="宋体"/>
          <w:sz w:val="24"/>
          <w:szCs w:val="24"/>
          <w:lang w:eastAsia="zh-CN"/>
        </w:rPr>
        <w:t>情况，确定本文件主要技术内容。</w:t>
      </w:r>
    </w:p>
    <w:p w14:paraId="4D668276">
      <w:pPr>
        <w:tabs>
          <w:tab w:val="left" w:pos="1815"/>
        </w:tabs>
        <w:spacing w:before="156" w:beforeLines="50" w:after="156" w:afterLines="50"/>
        <w:ind w:firstLine="480" w:firstLineChars="200"/>
        <w:rPr>
          <w:rFonts w:hint="eastAsia" w:ascii="宋体" w:hAnsi="宋体" w:eastAsia="宋体" w:cs="宋体"/>
          <w:kern w:val="0"/>
          <w:sz w:val="24"/>
          <w:szCs w:val="24"/>
          <w:lang w:val="en-US" w:eastAsia="zh-CN" w:bidi="en-US"/>
        </w:rPr>
      </w:pPr>
      <w:r>
        <w:rPr>
          <w:rFonts w:hint="eastAsia" w:eastAsia="宋体"/>
          <w:sz w:val="24"/>
          <w:szCs w:val="24"/>
          <w:lang w:eastAsia="zh-CN"/>
        </w:rPr>
        <w:t>技术</w:t>
      </w:r>
      <w:r>
        <w:rPr>
          <w:rFonts w:hint="eastAsia" w:eastAsia="宋体"/>
          <w:sz w:val="24"/>
          <w:szCs w:val="24"/>
          <w:lang w:val="en-US" w:eastAsia="zh-CN"/>
        </w:rPr>
        <w:t>内容</w:t>
      </w:r>
      <w:r>
        <w:rPr>
          <w:rFonts w:hint="eastAsia" w:eastAsia="宋体"/>
          <w:sz w:val="24"/>
          <w:szCs w:val="24"/>
          <w:lang w:eastAsia="zh-CN"/>
        </w:rPr>
        <w:t>包含</w:t>
      </w:r>
      <w:r>
        <w:rPr>
          <w:rFonts w:hint="eastAsia" w:eastAsia="宋体"/>
          <w:sz w:val="24"/>
          <w:szCs w:val="24"/>
          <w:lang w:val="en-US" w:eastAsia="zh-CN"/>
        </w:rPr>
        <w:t>基本原则、管理要求、效果评估与调整等有关信息</w:t>
      </w:r>
      <w:r>
        <w:rPr>
          <w:rFonts w:hint="eastAsia" w:eastAsia="宋体"/>
          <w:sz w:val="24"/>
          <w:szCs w:val="24"/>
          <w:lang w:eastAsia="zh-CN"/>
        </w:rPr>
        <w:t>等。</w:t>
      </w:r>
      <w:bookmarkStart w:id="0" w:name="_GoBack"/>
      <w:bookmarkEnd w:id="0"/>
    </w:p>
    <w:p w14:paraId="1B8C6FE5">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四、标准中如果涉及专利，应有明确的知识产权说明</w:t>
      </w:r>
    </w:p>
    <w:p w14:paraId="75AD6108">
      <w:pPr>
        <w:pStyle w:val="25"/>
        <w:spacing w:before="0" w:after="0" w:line="360" w:lineRule="auto"/>
        <w:ind w:left="220" w:leftChars="100" w:firstLine="240" w:firstLineChars="100"/>
        <w:rPr>
          <w:rFonts w:hint="eastAsia" w:hAnsi="宋体" w:cs="宋体"/>
          <w:sz w:val="24"/>
          <w:szCs w:val="24"/>
          <w:lang w:bidi="en-US"/>
        </w:rPr>
      </w:pPr>
      <w:r>
        <w:rPr>
          <w:rFonts w:hint="eastAsia" w:hAnsi="宋体" w:cs="宋体"/>
          <w:sz w:val="24"/>
          <w:szCs w:val="24"/>
          <w:lang w:bidi="en-US"/>
        </w:rPr>
        <w:t>本文件不涉及专利及知识产权问题。</w:t>
      </w:r>
    </w:p>
    <w:p w14:paraId="17705CA1">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五、采用国际标准和国外先进标准情况，与国际、国内同类标准水平的对比情况</w:t>
      </w:r>
    </w:p>
    <w:p w14:paraId="4C9E558B">
      <w:pPr>
        <w:pStyle w:val="25"/>
        <w:spacing w:before="0" w:after="0" w:line="360" w:lineRule="auto"/>
        <w:ind w:left="220" w:leftChars="100" w:firstLine="240" w:firstLineChars="100"/>
        <w:rPr>
          <w:rFonts w:hint="eastAsia" w:hAnsi="宋体" w:cs="宋体"/>
          <w:sz w:val="24"/>
          <w:szCs w:val="24"/>
          <w:lang w:bidi="en-US"/>
        </w:rPr>
      </w:pPr>
      <w:r>
        <w:rPr>
          <w:rFonts w:hint="eastAsia" w:hAnsi="宋体" w:cs="宋体"/>
          <w:sz w:val="24"/>
          <w:szCs w:val="24"/>
          <w:lang w:bidi="en-US"/>
        </w:rPr>
        <w:t>本文件为首次自主制定，不涉及国际国外标准采标情况。本文件参考依据：</w:t>
      </w:r>
    </w:p>
    <w:p w14:paraId="4272BDB7">
      <w:pPr>
        <w:tabs>
          <w:tab w:val="left" w:pos="1815"/>
        </w:tabs>
        <w:spacing w:before="156" w:beforeLines="50" w:after="156" w:afterLines="50"/>
        <w:ind w:firstLine="480" w:firstLineChars="200"/>
        <w:rPr>
          <w:rFonts w:hint="eastAsia" w:eastAsia="宋体"/>
          <w:sz w:val="24"/>
          <w:szCs w:val="24"/>
          <w:lang w:eastAsia="zh-CN"/>
        </w:rPr>
      </w:pPr>
      <w:r>
        <w:rPr>
          <w:rFonts w:hint="eastAsia" w:eastAsia="宋体"/>
          <w:sz w:val="24"/>
          <w:szCs w:val="24"/>
          <w:lang w:eastAsia="zh-CN"/>
        </w:rPr>
        <w:t>GB/T 44714—2024  养老机构　认知障碍友好环境设置导则</w:t>
      </w:r>
    </w:p>
    <w:p w14:paraId="0EC2F1D4">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六、与有关现行法律、法规和强制性国家标准的关系</w:t>
      </w:r>
    </w:p>
    <w:p w14:paraId="67C3FF6C">
      <w:pPr>
        <w:tabs>
          <w:tab w:val="left" w:pos="1815"/>
        </w:tabs>
        <w:spacing w:before="156" w:beforeLines="50" w:after="156" w:afterLines="50"/>
        <w:ind w:firstLine="480" w:firstLineChars="200"/>
        <w:rPr>
          <w:rFonts w:hint="eastAsia" w:eastAsia="宋体"/>
          <w:sz w:val="24"/>
          <w:szCs w:val="24"/>
          <w:lang w:eastAsia="zh-CN"/>
        </w:rPr>
      </w:pPr>
      <w:r>
        <w:rPr>
          <w:rFonts w:eastAsia="宋体"/>
          <w:sz w:val="24"/>
          <w:szCs w:val="24"/>
          <w:lang w:eastAsia="zh-CN"/>
        </w:rPr>
        <w:t>本文件与相关法律、法规、规章及相关标准协调一致，没有冲突。</w:t>
      </w:r>
    </w:p>
    <w:p w14:paraId="652AAEEB">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七、重大分歧意见的处理经过和依据</w:t>
      </w:r>
    </w:p>
    <w:p w14:paraId="318561A9">
      <w:pPr>
        <w:tabs>
          <w:tab w:val="left" w:pos="1815"/>
        </w:tabs>
        <w:spacing w:before="156" w:beforeLines="50" w:after="156" w:afterLines="50"/>
        <w:ind w:firstLine="480" w:firstLineChars="200"/>
        <w:rPr>
          <w:rFonts w:hint="eastAsia" w:eastAsia="宋体"/>
          <w:sz w:val="24"/>
          <w:szCs w:val="24"/>
          <w:lang w:eastAsia="zh-CN"/>
        </w:rPr>
      </w:pPr>
      <w:r>
        <w:rPr>
          <w:rFonts w:hint="eastAsia" w:eastAsia="宋体"/>
          <w:sz w:val="24"/>
          <w:szCs w:val="24"/>
          <w:lang w:eastAsia="zh-CN"/>
        </w:rPr>
        <w:t>本文件在制定过程中未出现重大分歧意见。</w:t>
      </w:r>
    </w:p>
    <w:p w14:paraId="650066A3">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八、贯彻标准的要求和措施建议</w:t>
      </w:r>
    </w:p>
    <w:p w14:paraId="5B6E57AD">
      <w:pPr>
        <w:tabs>
          <w:tab w:val="left" w:pos="1815"/>
        </w:tabs>
        <w:spacing w:before="156" w:beforeLines="50" w:after="156" w:afterLines="50"/>
        <w:ind w:firstLine="480" w:firstLineChars="200"/>
        <w:rPr>
          <w:rFonts w:hint="eastAsia" w:eastAsia="宋体"/>
          <w:sz w:val="24"/>
          <w:szCs w:val="24"/>
          <w:lang w:eastAsia="zh-CN"/>
        </w:rPr>
      </w:pPr>
      <w:r>
        <w:rPr>
          <w:rFonts w:hint="eastAsia" w:eastAsia="宋体"/>
          <w:sz w:val="24"/>
          <w:szCs w:val="24"/>
          <w:lang w:eastAsia="zh-CN"/>
        </w:rPr>
        <w:t>本文件发布后，应</w:t>
      </w:r>
      <w:r>
        <w:rPr>
          <w:rFonts w:eastAsia="宋体"/>
          <w:sz w:val="24"/>
          <w:szCs w:val="24"/>
          <w:lang w:eastAsia="zh-CN"/>
        </w:rPr>
        <w:t>向相关企业进行宣传、贯彻，推荐执行该</w:t>
      </w:r>
      <w:r>
        <w:rPr>
          <w:rFonts w:hint="eastAsia" w:eastAsia="宋体"/>
          <w:sz w:val="24"/>
          <w:szCs w:val="24"/>
          <w:lang w:eastAsia="zh-CN"/>
        </w:rPr>
        <w:t>文件。</w:t>
      </w:r>
    </w:p>
    <w:p w14:paraId="3326673C">
      <w:pPr>
        <w:tabs>
          <w:tab w:val="left" w:pos="1815"/>
        </w:tabs>
        <w:spacing w:before="156" w:beforeLines="50" w:after="156" w:afterLines="50"/>
        <w:rPr>
          <w:rFonts w:hint="eastAsia" w:ascii="黑体" w:hAnsi="黑体" w:eastAsia="黑体"/>
          <w:sz w:val="28"/>
          <w:szCs w:val="28"/>
          <w:lang w:eastAsia="zh-CN"/>
        </w:rPr>
      </w:pPr>
      <w:r>
        <w:rPr>
          <w:rFonts w:hint="eastAsia" w:ascii="黑体" w:hAnsi="黑体" w:eastAsia="黑体"/>
          <w:sz w:val="28"/>
          <w:szCs w:val="28"/>
          <w:lang w:eastAsia="zh-CN"/>
        </w:rPr>
        <w:t>九、其他应当说明的事项</w:t>
      </w:r>
    </w:p>
    <w:p w14:paraId="652DFFCA">
      <w:pPr>
        <w:tabs>
          <w:tab w:val="left" w:pos="1815"/>
        </w:tabs>
        <w:spacing w:before="156" w:beforeLines="50" w:after="156" w:afterLines="50"/>
        <w:ind w:firstLine="480" w:firstLineChars="200"/>
        <w:rPr>
          <w:rFonts w:hint="eastAsia" w:eastAsia="宋体"/>
          <w:sz w:val="24"/>
          <w:szCs w:val="24"/>
          <w:lang w:eastAsia="zh-CN"/>
        </w:rPr>
      </w:pPr>
      <w:r>
        <w:rPr>
          <w:rFonts w:hint="eastAsia" w:eastAsia="宋体"/>
          <w:sz w:val="24"/>
          <w:szCs w:val="24"/>
          <w:lang w:eastAsia="zh-CN"/>
        </w:rPr>
        <w:t>无</w:t>
      </w:r>
      <w:r>
        <w:rPr>
          <w:rFonts w:eastAsia="宋体"/>
          <w:sz w:val="24"/>
          <w:szCs w:val="24"/>
          <w:lang w:eastAsia="zh-CN"/>
        </w:rPr>
        <w:t>。</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4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2C5917C3"/>
    <w:multiLevelType w:val="multilevel"/>
    <w:tmpl w:val="2C5917C3"/>
    <w:lvl w:ilvl="0" w:tentative="0">
      <w:start w:val="1"/>
      <w:numFmt w:val="none"/>
      <w:pStyle w:val="37"/>
      <w:lvlText w:val="%1——"/>
      <w:lvlJc w:val="left"/>
      <w:pPr>
        <w:tabs>
          <w:tab w:val="left" w:pos="851"/>
        </w:tabs>
        <w:ind w:left="397" w:firstLine="28"/>
      </w:pPr>
      <w:rPr>
        <w:rFonts w:hint="eastAsia" w:ascii="宋体" w:hAnsi="Times New Roman" w:eastAsia="宋体"/>
        <w:b w:val="0"/>
        <w:i w:val="0"/>
        <w:sz w:val="21"/>
      </w:rPr>
    </w:lvl>
    <w:lvl w:ilvl="1" w:tentative="0">
      <w:start w:val="1"/>
      <w:numFmt w:val="none"/>
      <w:pStyle w:val="42"/>
      <w:lvlText w:val=""/>
      <w:lvlJc w:val="left"/>
      <w:pPr>
        <w:ind w:left="851" w:hanging="431"/>
      </w:pPr>
      <w:rPr>
        <w:rFonts w:hint="default" w:ascii="Symbol" w:hAnsi="Symbol"/>
        <w:sz w:val="21"/>
      </w:rPr>
    </w:lvl>
    <w:lvl w:ilvl="2" w:tentative="0">
      <w:start w:val="1"/>
      <w:numFmt w:val="bullet"/>
      <w:pStyle w:val="3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59"/>
      <w:lvlText w:val="%1)"/>
      <w:lvlJc w:val="left"/>
      <w:pPr>
        <w:tabs>
          <w:tab w:val="left" w:pos="851"/>
        </w:tabs>
        <w:ind w:left="0" w:firstLine="425"/>
      </w:pPr>
      <w:rPr>
        <w:rFonts w:hint="eastAsia" w:ascii="宋体" w:hAnsi="Times New Roman" w:eastAsia="宋体"/>
        <w:sz w:val="21"/>
      </w:rPr>
    </w:lvl>
    <w:lvl w:ilvl="1" w:tentative="0">
      <w:start w:val="1"/>
      <w:numFmt w:val="decimal"/>
      <w:pStyle w:val="54"/>
      <w:lvlText w:val="%2)"/>
      <w:lvlJc w:val="left"/>
      <w:pPr>
        <w:tabs>
          <w:tab w:val="left" w:pos="1276"/>
        </w:tabs>
        <w:ind w:left="1276" w:hanging="425"/>
      </w:pPr>
      <w:rPr>
        <w:rFonts w:hint="eastAsia" w:ascii="宋体" w:hAnsi="Times New Roman" w:eastAsia="宋体"/>
        <w:sz w:val="21"/>
      </w:rPr>
    </w:lvl>
    <w:lvl w:ilvl="2" w:tentative="0">
      <w:start w:val="1"/>
      <w:numFmt w:val="decimal"/>
      <w:pStyle w:val="5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4632751"/>
    <w:multiLevelType w:val="multilevel"/>
    <w:tmpl w:val="54632751"/>
    <w:lvl w:ilvl="0" w:tentative="0">
      <w:start w:val="1"/>
      <w:numFmt w:val="none"/>
      <w:pStyle w:val="4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
    <w:nsid w:val="557C2AF5"/>
    <w:multiLevelType w:val="multilevel"/>
    <w:tmpl w:val="557C2AF5"/>
    <w:lvl w:ilvl="0" w:tentative="0">
      <w:start w:val="1"/>
      <w:numFmt w:val="decimal"/>
      <w:pStyle w:val="1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5C265CB6"/>
    <w:multiLevelType w:val="multilevel"/>
    <w:tmpl w:val="5C265CB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34"/>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646260FA"/>
    <w:multiLevelType w:val="multilevel"/>
    <w:tmpl w:val="646260FA"/>
    <w:lvl w:ilvl="0" w:tentative="0">
      <w:start w:val="1"/>
      <w:numFmt w:val="decimal"/>
      <w:pStyle w:val="17"/>
      <w:suff w:val="nothing"/>
      <w:lvlText w:val="表%1　"/>
      <w:lvlJc w:val="left"/>
      <w:pPr>
        <w:ind w:left="4111"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pStyle w:val="56"/>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pStyle w:val="57"/>
      <w:lvlText w:val="%1.%2.%3.%4.%5"/>
      <w:lvlJc w:val="left"/>
      <w:pPr>
        <w:tabs>
          <w:tab w:val="left" w:pos="2551"/>
        </w:tabs>
        <w:ind w:left="2551" w:hanging="850"/>
      </w:pPr>
      <w:rPr>
        <w:rFonts w:hint="eastAsia"/>
      </w:rPr>
    </w:lvl>
    <w:lvl w:ilvl="5" w:tentative="0">
      <w:start w:val="1"/>
      <w:numFmt w:val="decimal"/>
      <w:pStyle w:val="58"/>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33"/>
      <w:suff w:val="nothing"/>
      <w:lvlText w:val="%1"/>
      <w:lvlJc w:val="left"/>
      <w:pPr>
        <w:ind w:left="0" w:firstLine="0"/>
      </w:pPr>
      <w:rPr>
        <w:rFonts w:hint="eastAsia"/>
      </w:rPr>
    </w:lvl>
    <w:lvl w:ilvl="1" w:tentative="0">
      <w:start w:val="1"/>
      <w:numFmt w:val="decimal"/>
      <w:pStyle w:val="30"/>
      <w:suff w:val="nothing"/>
      <w:lvlText w:val="%1%2　"/>
      <w:lvlJc w:val="left"/>
      <w:pPr>
        <w:ind w:left="0" w:firstLine="0"/>
      </w:pPr>
      <w:rPr>
        <w:rFonts w:hint="eastAsia" w:ascii="黑体" w:eastAsia="黑体"/>
        <w:b w:val="0"/>
        <w:i w:val="0"/>
        <w:sz w:val="21"/>
      </w:rPr>
    </w:lvl>
    <w:lvl w:ilvl="2" w:tentative="0">
      <w:start w:val="1"/>
      <w:numFmt w:val="decimal"/>
      <w:pStyle w:val="31"/>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6"/>
      <w:suff w:val="nothing"/>
      <w:lvlText w:val="%1%2.%3.%4　"/>
      <w:lvlJc w:val="left"/>
      <w:pPr>
        <w:ind w:left="0" w:firstLine="0"/>
      </w:pPr>
      <w:rPr>
        <w:rFonts w:hint="eastAsia" w:ascii="黑体" w:eastAsia="黑体"/>
        <w:b w:val="0"/>
        <w:i w:val="0"/>
        <w:sz w:val="21"/>
      </w:rPr>
    </w:lvl>
    <w:lvl w:ilvl="4" w:tentative="0">
      <w:start w:val="1"/>
      <w:numFmt w:val="decimal"/>
      <w:pStyle w:val="27"/>
      <w:suff w:val="nothing"/>
      <w:lvlText w:val="%1%2.%3.%4.%5　"/>
      <w:lvlJc w:val="left"/>
      <w:pPr>
        <w:ind w:left="0" w:firstLine="0"/>
      </w:pPr>
      <w:rPr>
        <w:rFonts w:hint="eastAsia" w:ascii="黑体" w:eastAsia="黑体"/>
        <w:b w:val="0"/>
        <w:i w:val="0"/>
        <w:sz w:val="21"/>
      </w:rPr>
    </w:lvl>
    <w:lvl w:ilvl="5" w:tentative="0">
      <w:start w:val="1"/>
      <w:numFmt w:val="decimal"/>
      <w:pStyle w:val="28"/>
      <w:suff w:val="nothing"/>
      <w:lvlText w:val="%1%2.%3.%4.%5.%6　"/>
      <w:lvlJc w:val="left"/>
      <w:pPr>
        <w:ind w:left="0" w:firstLine="0"/>
      </w:pPr>
      <w:rPr>
        <w:rFonts w:hint="eastAsia" w:ascii="黑体" w:eastAsia="黑体"/>
        <w:b w:val="0"/>
        <w:i w:val="0"/>
        <w:sz w:val="21"/>
      </w:rPr>
    </w:lvl>
    <w:lvl w:ilvl="6" w:tentative="0">
      <w:start w:val="1"/>
      <w:numFmt w:val="decimal"/>
      <w:pStyle w:val="2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4"/>
  </w:num>
  <w:num w:numId="3">
    <w:abstractNumId w:val="7"/>
  </w:num>
  <w:num w:numId="4">
    <w:abstractNumId w:val="5"/>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606D"/>
    <w:rsid w:val="00022BDE"/>
    <w:rsid w:val="00026ED5"/>
    <w:rsid w:val="000270CF"/>
    <w:rsid w:val="00027171"/>
    <w:rsid w:val="000553EA"/>
    <w:rsid w:val="00083318"/>
    <w:rsid w:val="0009387F"/>
    <w:rsid w:val="00095D42"/>
    <w:rsid w:val="000B1EDC"/>
    <w:rsid w:val="000C2080"/>
    <w:rsid w:val="000E0C08"/>
    <w:rsid w:val="000E2F3C"/>
    <w:rsid w:val="000E57B2"/>
    <w:rsid w:val="000E76A1"/>
    <w:rsid w:val="000F3905"/>
    <w:rsid w:val="00115C6A"/>
    <w:rsid w:val="00126D01"/>
    <w:rsid w:val="00135D47"/>
    <w:rsid w:val="001618C9"/>
    <w:rsid w:val="00171C5E"/>
    <w:rsid w:val="00186B06"/>
    <w:rsid w:val="00191117"/>
    <w:rsid w:val="001B2A6B"/>
    <w:rsid w:val="001B66FD"/>
    <w:rsid w:val="001D31DE"/>
    <w:rsid w:val="001D3AF2"/>
    <w:rsid w:val="001F0ED0"/>
    <w:rsid w:val="001F373D"/>
    <w:rsid w:val="00206311"/>
    <w:rsid w:val="00212780"/>
    <w:rsid w:val="002150B4"/>
    <w:rsid w:val="00220BAA"/>
    <w:rsid w:val="00223D97"/>
    <w:rsid w:val="002435DD"/>
    <w:rsid w:val="00257733"/>
    <w:rsid w:val="002577AE"/>
    <w:rsid w:val="002A18F0"/>
    <w:rsid w:val="002A6D38"/>
    <w:rsid w:val="002E7983"/>
    <w:rsid w:val="002F0A3B"/>
    <w:rsid w:val="002F4B63"/>
    <w:rsid w:val="00301000"/>
    <w:rsid w:val="00313769"/>
    <w:rsid w:val="003210BE"/>
    <w:rsid w:val="0032488F"/>
    <w:rsid w:val="00372B4C"/>
    <w:rsid w:val="003736F0"/>
    <w:rsid w:val="00385B41"/>
    <w:rsid w:val="00394EE5"/>
    <w:rsid w:val="0039606D"/>
    <w:rsid w:val="003B443D"/>
    <w:rsid w:val="003B760A"/>
    <w:rsid w:val="003C5787"/>
    <w:rsid w:val="003D527F"/>
    <w:rsid w:val="003F4B21"/>
    <w:rsid w:val="004052E3"/>
    <w:rsid w:val="00416D4D"/>
    <w:rsid w:val="00440D54"/>
    <w:rsid w:val="00443CD0"/>
    <w:rsid w:val="00452702"/>
    <w:rsid w:val="0046165E"/>
    <w:rsid w:val="0049596B"/>
    <w:rsid w:val="004A6B36"/>
    <w:rsid w:val="004E1739"/>
    <w:rsid w:val="004E1B0B"/>
    <w:rsid w:val="004F15BE"/>
    <w:rsid w:val="00503D30"/>
    <w:rsid w:val="00503F20"/>
    <w:rsid w:val="00520BB2"/>
    <w:rsid w:val="00520E9D"/>
    <w:rsid w:val="005555B2"/>
    <w:rsid w:val="00557912"/>
    <w:rsid w:val="005922F1"/>
    <w:rsid w:val="005A17B2"/>
    <w:rsid w:val="005B0B24"/>
    <w:rsid w:val="005B220D"/>
    <w:rsid w:val="005B63E2"/>
    <w:rsid w:val="005D7ADB"/>
    <w:rsid w:val="00630422"/>
    <w:rsid w:val="00632696"/>
    <w:rsid w:val="006559D0"/>
    <w:rsid w:val="0066376A"/>
    <w:rsid w:val="0067324F"/>
    <w:rsid w:val="006763F6"/>
    <w:rsid w:val="00686487"/>
    <w:rsid w:val="00694D0B"/>
    <w:rsid w:val="006B0E19"/>
    <w:rsid w:val="006D67CE"/>
    <w:rsid w:val="006E6332"/>
    <w:rsid w:val="0070541A"/>
    <w:rsid w:val="00721B4F"/>
    <w:rsid w:val="007266E4"/>
    <w:rsid w:val="00743ABA"/>
    <w:rsid w:val="007453A5"/>
    <w:rsid w:val="007503A6"/>
    <w:rsid w:val="007538F4"/>
    <w:rsid w:val="00756AB0"/>
    <w:rsid w:val="0076109F"/>
    <w:rsid w:val="00777512"/>
    <w:rsid w:val="007934FC"/>
    <w:rsid w:val="00794A36"/>
    <w:rsid w:val="007C4BA3"/>
    <w:rsid w:val="007D1F7A"/>
    <w:rsid w:val="0080261E"/>
    <w:rsid w:val="008444EC"/>
    <w:rsid w:val="008778E7"/>
    <w:rsid w:val="008A1ED9"/>
    <w:rsid w:val="009232FE"/>
    <w:rsid w:val="00930A33"/>
    <w:rsid w:val="00932DBE"/>
    <w:rsid w:val="00945728"/>
    <w:rsid w:val="00972023"/>
    <w:rsid w:val="00981AB6"/>
    <w:rsid w:val="00986252"/>
    <w:rsid w:val="00990BAF"/>
    <w:rsid w:val="009E3F1D"/>
    <w:rsid w:val="009E4ACB"/>
    <w:rsid w:val="009E79F7"/>
    <w:rsid w:val="009F65A7"/>
    <w:rsid w:val="00A22DA1"/>
    <w:rsid w:val="00A46011"/>
    <w:rsid w:val="00A46BF9"/>
    <w:rsid w:val="00A605DD"/>
    <w:rsid w:val="00A83268"/>
    <w:rsid w:val="00A84441"/>
    <w:rsid w:val="00A90804"/>
    <w:rsid w:val="00AA0284"/>
    <w:rsid w:val="00AB0C57"/>
    <w:rsid w:val="00AB0D6D"/>
    <w:rsid w:val="00AB14C3"/>
    <w:rsid w:val="00AB4715"/>
    <w:rsid w:val="00AC17D2"/>
    <w:rsid w:val="00AC6497"/>
    <w:rsid w:val="00AE013B"/>
    <w:rsid w:val="00B14A29"/>
    <w:rsid w:val="00B36D7E"/>
    <w:rsid w:val="00B528C3"/>
    <w:rsid w:val="00B95210"/>
    <w:rsid w:val="00B96A7E"/>
    <w:rsid w:val="00B97046"/>
    <w:rsid w:val="00BA1CCE"/>
    <w:rsid w:val="00BB017A"/>
    <w:rsid w:val="00BB4BEE"/>
    <w:rsid w:val="00BC6FEB"/>
    <w:rsid w:val="00BD2D98"/>
    <w:rsid w:val="00BE547D"/>
    <w:rsid w:val="00BF5D14"/>
    <w:rsid w:val="00BF7B23"/>
    <w:rsid w:val="00C05E64"/>
    <w:rsid w:val="00C05E9A"/>
    <w:rsid w:val="00C1451D"/>
    <w:rsid w:val="00C34A6D"/>
    <w:rsid w:val="00C52ED5"/>
    <w:rsid w:val="00C5474E"/>
    <w:rsid w:val="00C6475D"/>
    <w:rsid w:val="00C71115"/>
    <w:rsid w:val="00C967C2"/>
    <w:rsid w:val="00CB51BA"/>
    <w:rsid w:val="00CB7A17"/>
    <w:rsid w:val="00CE23DA"/>
    <w:rsid w:val="00CE5833"/>
    <w:rsid w:val="00CF2BAD"/>
    <w:rsid w:val="00D21AC1"/>
    <w:rsid w:val="00D23365"/>
    <w:rsid w:val="00D237D1"/>
    <w:rsid w:val="00D6022C"/>
    <w:rsid w:val="00D64C82"/>
    <w:rsid w:val="00D747BD"/>
    <w:rsid w:val="00D80697"/>
    <w:rsid w:val="00D8356F"/>
    <w:rsid w:val="00D93B8F"/>
    <w:rsid w:val="00D941F9"/>
    <w:rsid w:val="00DA2C4B"/>
    <w:rsid w:val="00DA6729"/>
    <w:rsid w:val="00DA7712"/>
    <w:rsid w:val="00DB1364"/>
    <w:rsid w:val="00DB6CED"/>
    <w:rsid w:val="00DD1C43"/>
    <w:rsid w:val="00DE385D"/>
    <w:rsid w:val="00E10453"/>
    <w:rsid w:val="00E32AF7"/>
    <w:rsid w:val="00E42D4A"/>
    <w:rsid w:val="00E43D5D"/>
    <w:rsid w:val="00E65CB1"/>
    <w:rsid w:val="00E71C6C"/>
    <w:rsid w:val="00E72843"/>
    <w:rsid w:val="00EA1301"/>
    <w:rsid w:val="00EB010B"/>
    <w:rsid w:val="00EB4DCA"/>
    <w:rsid w:val="00EC1EBB"/>
    <w:rsid w:val="00ED78E0"/>
    <w:rsid w:val="00EE4349"/>
    <w:rsid w:val="00EF1E09"/>
    <w:rsid w:val="00F07CA1"/>
    <w:rsid w:val="00F11A71"/>
    <w:rsid w:val="00F80FCD"/>
    <w:rsid w:val="00F8295F"/>
    <w:rsid w:val="00FB33A2"/>
    <w:rsid w:val="00FB68F9"/>
    <w:rsid w:val="00FD001F"/>
    <w:rsid w:val="00FD4A24"/>
    <w:rsid w:val="00FD5CA6"/>
    <w:rsid w:val="00FD684D"/>
    <w:rsid w:val="00FD7064"/>
    <w:rsid w:val="00FF6EB4"/>
    <w:rsid w:val="09B57E6C"/>
    <w:rsid w:val="0FC662EE"/>
    <w:rsid w:val="4BC31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Times New Roman" w:cs="宋体"/>
      <w:kern w:val="0"/>
      <w:sz w:val="22"/>
      <w:szCs w:val="22"/>
      <w:lang w:val="en-US" w:eastAsia="en-US" w:bidi="en-US"/>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rPr>
      <w:rFonts w:eastAsia="宋体"/>
      <w:sz w:val="21"/>
      <w:szCs w:val="21"/>
    </w:rPr>
  </w:style>
  <w:style w:type="paragraph" w:styleId="4">
    <w:name w:val="Date"/>
    <w:basedOn w:val="1"/>
    <w:next w:val="1"/>
    <w:link w:val="43"/>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正文文本 字符"/>
    <w:basedOn w:val="9"/>
    <w:link w:val="3"/>
    <w:qFormat/>
    <w:uiPriority w:val="1"/>
    <w:rPr>
      <w:rFonts w:ascii="宋体" w:hAnsi="宋体" w:eastAsia="宋体" w:cs="宋体"/>
      <w:kern w:val="0"/>
      <w:szCs w:val="21"/>
      <w:lang w:eastAsia="en-US" w:bidi="en-US"/>
    </w:rPr>
  </w:style>
  <w:style w:type="paragraph" w:customStyle="1" w:styleId="13">
    <w:name w:val="段"/>
    <w:link w:val="1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4">
    <w:name w:val="段 Char"/>
    <w:link w:val="13"/>
    <w:qFormat/>
    <w:uiPriority w:val="0"/>
    <w:rPr>
      <w:rFonts w:ascii="宋体" w:hAnsi="Times New Roman" w:eastAsia="宋体" w:cs="Times New Roman"/>
      <w:kern w:val="0"/>
      <w:szCs w:val="20"/>
    </w:rPr>
  </w:style>
  <w:style w:type="character" w:customStyle="1" w:styleId="15">
    <w:name w:val="标题 1 字符"/>
    <w:basedOn w:val="9"/>
    <w:link w:val="2"/>
    <w:qFormat/>
    <w:uiPriority w:val="9"/>
    <w:rPr>
      <w:rFonts w:ascii="宋体" w:hAnsi="宋体" w:eastAsia="Times New Roman" w:cs="宋体"/>
      <w:b/>
      <w:bCs/>
      <w:kern w:val="44"/>
      <w:sz w:val="44"/>
      <w:szCs w:val="44"/>
      <w:lang w:eastAsia="en-US" w:bidi="en-US"/>
    </w:rPr>
  </w:style>
  <w:style w:type="paragraph" w:customStyle="1" w:styleId="16">
    <w:name w:val="正文表标题"/>
    <w:next w:val="13"/>
    <w:qFormat/>
    <w:uiPriority w:val="0"/>
    <w:pPr>
      <w:tabs>
        <w:tab w:val="left" w:pos="720"/>
      </w:tabs>
      <w:spacing w:beforeLines="50" w:afterLines="50"/>
      <w:ind w:left="720" w:hanging="720"/>
      <w:jc w:val="center"/>
    </w:pPr>
    <w:rPr>
      <w:rFonts w:ascii="黑体" w:hAnsi="Times New Roman" w:eastAsia="黑体" w:cs="Times New Roman"/>
      <w:kern w:val="0"/>
      <w:sz w:val="21"/>
      <w:szCs w:val="20"/>
      <w:lang w:val="en-US" w:eastAsia="zh-CN" w:bidi="ar-SA"/>
    </w:rPr>
  </w:style>
  <w:style w:type="paragraph" w:customStyle="1" w:styleId="17">
    <w:name w:val="正文图标题"/>
    <w:next w:val="13"/>
    <w:qFormat/>
    <w:uiPriority w:val="0"/>
    <w:pPr>
      <w:numPr>
        <w:ilvl w:val="0"/>
        <w:numId w:val="1"/>
      </w:numPr>
      <w:tabs>
        <w:tab w:val="left" w:pos="360"/>
      </w:tabs>
      <w:spacing w:beforeLines="50" w:afterLines="50"/>
      <w:ind w:left="0"/>
      <w:jc w:val="center"/>
    </w:pPr>
    <w:rPr>
      <w:rFonts w:ascii="黑体" w:hAnsi="Times New Roman" w:eastAsia="黑体" w:cs="Times New Roman"/>
      <w:kern w:val="0"/>
      <w:sz w:val="21"/>
      <w:szCs w:val="20"/>
      <w:lang w:val="en-US" w:eastAsia="zh-CN" w:bidi="ar-SA"/>
    </w:rPr>
  </w:style>
  <w:style w:type="paragraph" w:customStyle="1" w:styleId="18">
    <w:name w:val="其他发布日期"/>
    <w:basedOn w:val="1"/>
    <w:qFormat/>
    <w:uiPriority w:val="0"/>
    <w:pPr>
      <w:framePr w:w="3997" w:h="471" w:hRule="exact" w:vSpace="181" w:wrap="around" w:vAnchor="page" w:hAnchor="page" w:x="1419" w:y="14097" w:anchorLock="1"/>
      <w:widowControl/>
      <w:numPr>
        <w:ilvl w:val="0"/>
        <w:numId w:val="2"/>
      </w:numPr>
      <w:autoSpaceDE/>
      <w:autoSpaceDN/>
    </w:pPr>
    <w:rPr>
      <w:rFonts w:ascii="Times New Roman" w:hAnsi="Times New Roman" w:eastAsia="黑体" w:cs="Times New Roman"/>
      <w:sz w:val="28"/>
      <w:szCs w:val="20"/>
      <w:lang w:eastAsia="zh-CN" w:bidi="ar-SA"/>
    </w:rPr>
  </w:style>
  <w:style w:type="paragraph" w:customStyle="1" w:styleId="19">
    <w:name w:val="一级条标题"/>
    <w:next w:val="13"/>
    <w:qFormat/>
    <w:uiPriority w:val="0"/>
    <w:pPr>
      <w:tabs>
        <w:tab w:val="left" w:pos="1440"/>
      </w:tabs>
      <w:spacing w:beforeLines="50" w:afterLines="50"/>
      <w:ind w:left="1440" w:hanging="720"/>
      <w:outlineLvl w:val="2"/>
    </w:pPr>
    <w:rPr>
      <w:rFonts w:ascii="黑体" w:hAnsi="Times New Roman" w:eastAsia="黑体" w:cs="Times New Roman"/>
      <w:kern w:val="0"/>
      <w:sz w:val="21"/>
      <w:szCs w:val="21"/>
      <w:lang w:val="en-US" w:eastAsia="zh-CN" w:bidi="ar-SA"/>
    </w:rPr>
  </w:style>
  <w:style w:type="paragraph" w:customStyle="1" w:styleId="20">
    <w:name w:val="章标题"/>
    <w:next w:val="13"/>
    <w:qFormat/>
    <w:uiPriority w:val="0"/>
    <w:pPr>
      <w:tabs>
        <w:tab w:val="left" w:pos="720"/>
      </w:tabs>
      <w:spacing w:beforeLines="100" w:afterLines="100"/>
      <w:ind w:left="720" w:hanging="720"/>
      <w:jc w:val="both"/>
      <w:outlineLvl w:val="1"/>
    </w:pPr>
    <w:rPr>
      <w:rFonts w:ascii="黑体" w:hAnsi="Times New Roman" w:eastAsia="黑体" w:cs="Times New Roman"/>
      <w:kern w:val="0"/>
      <w:sz w:val="21"/>
      <w:szCs w:val="20"/>
      <w:lang w:val="en-US" w:eastAsia="zh-CN" w:bidi="ar-SA"/>
    </w:rPr>
  </w:style>
  <w:style w:type="paragraph" w:customStyle="1" w:styleId="21">
    <w:name w:val="二级条标题"/>
    <w:basedOn w:val="19"/>
    <w:next w:val="13"/>
    <w:qFormat/>
    <w:uiPriority w:val="0"/>
    <w:pPr>
      <w:spacing w:before="50" w:after="50"/>
      <w:ind w:left="284" w:hanging="720"/>
      <w:outlineLvl w:val="3"/>
    </w:pPr>
  </w:style>
  <w:style w:type="paragraph" w:customStyle="1" w:styleId="22">
    <w:name w:val="三级条标题"/>
    <w:basedOn w:val="21"/>
    <w:next w:val="13"/>
    <w:qFormat/>
    <w:uiPriority w:val="0"/>
    <w:pPr>
      <w:ind w:left="284" w:hanging="720"/>
      <w:outlineLvl w:val="4"/>
    </w:pPr>
  </w:style>
  <w:style w:type="paragraph" w:customStyle="1" w:styleId="23">
    <w:name w:val="四级条标题"/>
    <w:basedOn w:val="22"/>
    <w:next w:val="13"/>
    <w:qFormat/>
    <w:uiPriority w:val="0"/>
    <w:pPr>
      <w:ind w:left="284" w:hanging="720"/>
      <w:outlineLvl w:val="5"/>
    </w:pPr>
  </w:style>
  <w:style w:type="paragraph" w:customStyle="1" w:styleId="24">
    <w:name w:val="五级条标题"/>
    <w:basedOn w:val="23"/>
    <w:next w:val="13"/>
    <w:qFormat/>
    <w:uiPriority w:val="0"/>
    <w:pPr>
      <w:ind w:left="284" w:hanging="720"/>
      <w:outlineLvl w:val="6"/>
    </w:pPr>
  </w:style>
  <w:style w:type="paragraph" w:customStyle="1" w:styleId="25">
    <w:name w:val="二级无"/>
    <w:basedOn w:val="21"/>
    <w:qFormat/>
    <w:uiPriority w:val="0"/>
    <w:pPr>
      <w:spacing w:beforeLines="0" w:afterLines="0"/>
      <w:ind w:left="284" w:hanging="720"/>
    </w:pPr>
    <w:rPr>
      <w:rFonts w:ascii="宋体" w:eastAsia="宋体"/>
    </w:rPr>
  </w:style>
  <w:style w:type="paragraph" w:customStyle="1" w:styleId="26">
    <w:name w:val="标准文件_二级条标题"/>
    <w:next w:val="1"/>
    <w:qFormat/>
    <w:uiPriority w:val="99"/>
    <w:pPr>
      <w:widowControl w:val="0"/>
      <w:numPr>
        <w:ilvl w:val="3"/>
        <w:numId w:val="3"/>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paragraph" w:customStyle="1" w:styleId="27">
    <w:name w:val="标准文件_三级条标题"/>
    <w:basedOn w:val="26"/>
    <w:next w:val="1"/>
    <w:qFormat/>
    <w:uiPriority w:val="99"/>
    <w:pPr>
      <w:widowControl/>
      <w:numPr>
        <w:ilvl w:val="4"/>
      </w:numPr>
      <w:outlineLvl w:val="3"/>
    </w:pPr>
  </w:style>
  <w:style w:type="paragraph" w:customStyle="1" w:styleId="28">
    <w:name w:val="标准文件_四级条标题"/>
    <w:next w:val="1"/>
    <w:qFormat/>
    <w:uiPriority w:val="99"/>
    <w:pPr>
      <w:widowControl w:val="0"/>
      <w:numPr>
        <w:ilvl w:val="5"/>
        <w:numId w:val="3"/>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paragraph" w:customStyle="1" w:styleId="29">
    <w:name w:val="标准文件_五级条标题"/>
    <w:next w:val="1"/>
    <w:qFormat/>
    <w:uiPriority w:val="99"/>
    <w:pPr>
      <w:widowControl w:val="0"/>
      <w:numPr>
        <w:ilvl w:val="6"/>
        <w:numId w:val="3"/>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30">
    <w:name w:val="标准文件_章标题"/>
    <w:next w:val="1"/>
    <w:qFormat/>
    <w:uiPriority w:val="0"/>
    <w:pPr>
      <w:numPr>
        <w:ilvl w:val="1"/>
        <w:numId w:val="3"/>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31">
    <w:name w:val="标准文件_一级条标题"/>
    <w:basedOn w:val="30"/>
    <w:next w:val="1"/>
    <w:qFormat/>
    <w:uiPriority w:val="99"/>
    <w:pPr>
      <w:numPr>
        <w:ilvl w:val="2"/>
      </w:numPr>
      <w:spacing w:before="50" w:beforeLines="50" w:after="50" w:afterLines="50"/>
      <w:outlineLvl w:val="1"/>
    </w:pPr>
  </w:style>
  <w:style w:type="paragraph" w:customStyle="1" w:styleId="32">
    <w:name w:val="标准文件_正文表标题"/>
    <w:next w:val="1"/>
    <w:qFormat/>
    <w:uiPriority w:val="0"/>
    <w:pPr>
      <w:tabs>
        <w:tab w:val="left" w:pos="0"/>
      </w:tabs>
      <w:spacing w:before="50" w:beforeLines="50" w:after="50" w:afterLines="50"/>
      <w:jc w:val="center"/>
    </w:pPr>
    <w:rPr>
      <w:rFonts w:ascii="黑体" w:hAnsi="Times New Roman" w:eastAsia="黑体" w:cs="Times New Roman"/>
      <w:kern w:val="0"/>
      <w:sz w:val="21"/>
      <w:szCs w:val="20"/>
      <w:lang w:val="en-US" w:eastAsia="zh-CN" w:bidi="ar-SA"/>
    </w:rPr>
  </w:style>
  <w:style w:type="paragraph" w:customStyle="1" w:styleId="33">
    <w:name w:val="前言标题"/>
    <w:next w:val="1"/>
    <w:qFormat/>
    <w:uiPriority w:val="99"/>
    <w:pPr>
      <w:numPr>
        <w:ilvl w:val="0"/>
        <w:numId w:val="3"/>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paragraph" w:customStyle="1" w:styleId="34">
    <w:name w:val="标准文件_二级无标题"/>
    <w:basedOn w:val="26"/>
    <w:qFormat/>
    <w:uiPriority w:val="0"/>
    <w:pPr>
      <w:numPr>
        <w:numId w:val="4"/>
      </w:numPr>
      <w:tabs>
        <w:tab w:val="left" w:pos="2880"/>
      </w:tabs>
      <w:spacing w:before="0" w:beforeLines="0" w:after="0" w:afterLines="0"/>
      <w:outlineLvl w:val="9"/>
    </w:pPr>
    <w:rPr>
      <w:rFonts w:ascii="宋体" w:eastAsia="宋体"/>
    </w:rPr>
  </w:style>
  <w:style w:type="paragraph" w:styleId="35">
    <w:name w:val="List Paragraph"/>
    <w:basedOn w:val="1"/>
    <w:qFormat/>
    <w:uiPriority w:val="34"/>
    <w:pPr>
      <w:ind w:firstLine="420" w:firstLineChars="200"/>
    </w:pPr>
  </w:style>
  <w:style w:type="paragraph" w:customStyle="1" w:styleId="36">
    <w:name w:val="标准文件_段"/>
    <w:link w:val="4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37">
    <w:name w:val="标准文件_一级项"/>
    <w:qFormat/>
    <w:uiPriority w:val="0"/>
    <w:pPr>
      <w:numPr>
        <w:ilvl w:val="0"/>
        <w:numId w:val="5"/>
      </w:numPr>
    </w:pPr>
    <w:rPr>
      <w:rFonts w:ascii="宋体" w:hAnsi="Times New Roman" w:eastAsia="宋体" w:cs="Times New Roman"/>
      <w:kern w:val="0"/>
      <w:sz w:val="21"/>
      <w:szCs w:val="20"/>
      <w:lang w:val="en-US" w:eastAsia="zh-CN" w:bidi="ar-SA"/>
    </w:rPr>
  </w:style>
  <w:style w:type="paragraph" w:customStyle="1" w:styleId="38">
    <w:name w:val="标准文件_三级项"/>
    <w:basedOn w:val="1"/>
    <w:qFormat/>
    <w:uiPriority w:val="0"/>
    <w:pPr>
      <w:numPr>
        <w:ilvl w:val="2"/>
        <w:numId w:val="5"/>
      </w:numPr>
      <w:autoSpaceDE/>
      <w:autoSpaceDN/>
      <w:adjustRightInd w:val="0"/>
      <w:spacing w:line="536870612" w:lineRule="auto"/>
      <w:jc w:val="both"/>
    </w:pPr>
    <w:rPr>
      <w:rFonts w:ascii="Times New Roman" w:hAnsi="Times New Roman" w:eastAsia="宋体" w:cs="Times New Roman"/>
      <w:kern w:val="2"/>
      <w:sz w:val="21"/>
      <w:szCs w:val="21"/>
      <w:lang w:eastAsia="zh-CN" w:bidi="ar-SA"/>
    </w:rPr>
  </w:style>
  <w:style w:type="paragraph" w:customStyle="1" w:styleId="39">
    <w:name w:val="标准文件_表格"/>
    <w:basedOn w:val="36"/>
    <w:qFormat/>
    <w:uiPriority w:val="0"/>
    <w:pPr>
      <w:ind w:firstLine="0" w:firstLineChars="0"/>
      <w:jc w:val="center"/>
    </w:pPr>
    <w:rPr>
      <w:sz w:val="18"/>
    </w:rPr>
  </w:style>
  <w:style w:type="paragraph" w:customStyle="1" w:styleId="40">
    <w:name w:val="标准文件_注×："/>
    <w:qFormat/>
    <w:uiPriority w:val="0"/>
    <w:pPr>
      <w:widowControl w:val="0"/>
      <w:numPr>
        <w:ilvl w:val="0"/>
        <w:numId w:val="6"/>
      </w:numPr>
      <w:autoSpaceDE w:val="0"/>
      <w:autoSpaceDN w:val="0"/>
      <w:jc w:val="both"/>
    </w:pPr>
    <w:rPr>
      <w:rFonts w:ascii="宋体" w:hAnsi="Times New Roman" w:eastAsia="宋体" w:cs="Times New Roman"/>
      <w:kern w:val="0"/>
      <w:sz w:val="18"/>
      <w:szCs w:val="18"/>
      <w:lang w:val="en-US" w:eastAsia="zh-CN" w:bidi="ar-SA"/>
    </w:rPr>
  </w:style>
  <w:style w:type="character" w:customStyle="1" w:styleId="41">
    <w:name w:val="标准文件_段 Char"/>
    <w:link w:val="36"/>
    <w:qFormat/>
    <w:uiPriority w:val="0"/>
    <w:rPr>
      <w:rFonts w:ascii="宋体" w:hAnsi="Times New Roman" w:eastAsia="宋体" w:cs="Times New Roman"/>
      <w:kern w:val="0"/>
      <w:szCs w:val="20"/>
    </w:rPr>
  </w:style>
  <w:style w:type="paragraph" w:customStyle="1" w:styleId="42">
    <w:name w:val="标准文件_二级项2"/>
    <w:basedOn w:val="36"/>
    <w:qFormat/>
    <w:uiPriority w:val="0"/>
    <w:pPr>
      <w:numPr>
        <w:ilvl w:val="1"/>
        <w:numId w:val="5"/>
      </w:numPr>
      <w:ind w:firstLineChars="0"/>
    </w:pPr>
  </w:style>
  <w:style w:type="character" w:customStyle="1" w:styleId="43">
    <w:name w:val="日期 字符"/>
    <w:basedOn w:val="9"/>
    <w:link w:val="4"/>
    <w:semiHidden/>
    <w:qFormat/>
    <w:uiPriority w:val="99"/>
    <w:rPr>
      <w:rFonts w:ascii="宋体" w:hAnsi="宋体" w:eastAsia="Times New Roman" w:cs="宋体"/>
      <w:kern w:val="0"/>
      <w:sz w:val="22"/>
      <w:lang w:eastAsia="en-US" w:bidi="en-US"/>
    </w:rPr>
  </w:style>
  <w:style w:type="table" w:customStyle="1" w:styleId="44">
    <w:name w:val="网格型1"/>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3"/>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4"/>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标准文件_破折号列项（二级）"/>
    <w:basedOn w:val="1"/>
    <w:qFormat/>
    <w:uiPriority w:val="0"/>
    <w:pPr>
      <w:widowControl/>
      <w:numPr>
        <w:ilvl w:val="0"/>
        <w:numId w:val="7"/>
      </w:numPr>
      <w:autoSpaceDE/>
      <w:autoSpaceDN/>
      <w:adjustRightInd w:val="0"/>
      <w:snapToGrid w:val="0"/>
      <w:ind w:firstLine="200" w:firstLineChars="200"/>
    </w:pPr>
    <w:rPr>
      <w:rFonts w:ascii="Times New Roman" w:hAnsi="Times New Roman" w:eastAsia="宋体" w:cs="Times New Roman"/>
      <w:sz w:val="21"/>
      <w:szCs w:val="20"/>
      <w:lang w:eastAsia="zh-CN" w:bidi="ar-SA"/>
    </w:rPr>
  </w:style>
  <w:style w:type="table" w:customStyle="1" w:styleId="49">
    <w:name w:val="网格型5"/>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6"/>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7"/>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8"/>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9"/>
    <w:basedOn w:val="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标准文件_数字编号列项（二级）"/>
    <w:qFormat/>
    <w:uiPriority w:val="0"/>
    <w:pPr>
      <w:numPr>
        <w:ilvl w:val="1"/>
        <w:numId w:val="8"/>
      </w:numPr>
      <w:tabs>
        <w:tab w:val="left" w:pos="851"/>
      </w:tabs>
      <w:jc w:val="both"/>
    </w:pPr>
    <w:rPr>
      <w:rFonts w:ascii="宋体" w:hAnsi="Times New Roman" w:eastAsia="宋体" w:cs="Times New Roman"/>
      <w:kern w:val="0"/>
      <w:sz w:val="21"/>
      <w:szCs w:val="20"/>
      <w:lang w:val="en-US" w:eastAsia="zh-CN" w:bidi="ar-SA"/>
    </w:rPr>
  </w:style>
  <w:style w:type="paragraph" w:customStyle="1" w:styleId="55">
    <w:name w:val="标准文件_编号列项（三级）"/>
    <w:qFormat/>
    <w:uiPriority w:val="0"/>
    <w:pPr>
      <w:numPr>
        <w:ilvl w:val="2"/>
        <w:numId w:val="8"/>
      </w:numPr>
      <w:tabs>
        <w:tab w:val="left" w:pos="851"/>
      </w:tabs>
    </w:pPr>
    <w:rPr>
      <w:rFonts w:ascii="宋体" w:hAnsi="Times New Roman" w:eastAsia="宋体" w:cs="Times New Roman"/>
      <w:kern w:val="0"/>
      <w:sz w:val="21"/>
      <w:szCs w:val="20"/>
      <w:lang w:val="en-US" w:eastAsia="zh-CN" w:bidi="ar-SA"/>
    </w:rPr>
  </w:style>
  <w:style w:type="paragraph" w:customStyle="1" w:styleId="56">
    <w:name w:val="标准文件_一级无标题"/>
    <w:basedOn w:val="31"/>
    <w:qFormat/>
    <w:uiPriority w:val="0"/>
    <w:pPr>
      <w:numPr>
        <w:numId w:val="1"/>
      </w:numPr>
      <w:tabs>
        <w:tab w:val="left" w:pos="1418"/>
      </w:tabs>
      <w:spacing w:before="0" w:beforeLines="0" w:after="0" w:afterLines="0"/>
      <w:outlineLvl w:val="9"/>
    </w:pPr>
    <w:rPr>
      <w:rFonts w:ascii="宋体" w:eastAsia="宋体"/>
    </w:rPr>
  </w:style>
  <w:style w:type="paragraph" w:customStyle="1" w:styleId="57">
    <w:name w:val="标准文件_三级无标题"/>
    <w:basedOn w:val="27"/>
    <w:qFormat/>
    <w:uiPriority w:val="0"/>
    <w:pPr>
      <w:numPr>
        <w:numId w:val="1"/>
      </w:numPr>
      <w:tabs>
        <w:tab w:val="left" w:pos="2551"/>
      </w:tabs>
      <w:spacing w:before="0" w:beforeLines="0" w:after="0" w:afterLines="0"/>
      <w:outlineLvl w:val="9"/>
    </w:pPr>
    <w:rPr>
      <w:rFonts w:ascii="宋体" w:eastAsia="宋体"/>
    </w:rPr>
  </w:style>
  <w:style w:type="paragraph" w:customStyle="1" w:styleId="58">
    <w:name w:val="标准文件_四级无标题"/>
    <w:basedOn w:val="28"/>
    <w:qFormat/>
    <w:uiPriority w:val="0"/>
    <w:pPr>
      <w:numPr>
        <w:numId w:val="1"/>
      </w:numPr>
      <w:tabs>
        <w:tab w:val="left" w:pos="3260"/>
      </w:tabs>
      <w:spacing w:before="0" w:beforeLines="0" w:after="0" w:afterLines="0"/>
      <w:outlineLvl w:val="9"/>
    </w:pPr>
    <w:rPr>
      <w:rFonts w:ascii="宋体" w:hAnsi="黑体" w:eastAsia="宋体"/>
      <w:szCs w:val="52"/>
    </w:rPr>
  </w:style>
  <w:style w:type="paragraph" w:customStyle="1" w:styleId="59">
    <w:name w:val="标准文件_字母编号列项（一级）"/>
    <w:qFormat/>
    <w:uiPriority w:val="0"/>
    <w:pPr>
      <w:numPr>
        <w:ilvl w:val="0"/>
        <w:numId w:val="8"/>
      </w:numPr>
      <w:jc w:val="both"/>
    </w:pPr>
    <w:rPr>
      <w:rFonts w:ascii="宋体" w:hAnsi="Times New Roman" w:eastAsia="宋体" w:cs="Times New Roman"/>
      <w:kern w:val="0"/>
      <w:sz w:val="21"/>
      <w:szCs w:val="20"/>
      <w:lang w:val="en-US" w:eastAsia="zh-CN" w:bidi="ar-SA"/>
    </w:rPr>
  </w:style>
  <w:style w:type="character" w:customStyle="1" w:styleId="60">
    <w:name w:val="段 字符"/>
    <w:basedOn w:val="9"/>
    <w:qFormat/>
    <w:uiPriority w:val="0"/>
    <w:rPr>
      <w:rFonts w:ascii="Times New Roman" w:hAnsi="Times New Roman" w:cs="Calibri"/>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1671</Words>
  <Characters>1729</Characters>
  <Lines>76</Lines>
  <Paragraphs>21</Paragraphs>
  <TotalTime>0</TotalTime>
  <ScaleCrop>false</ScaleCrop>
  <LinksUpToDate>false</LinksUpToDate>
  <CharactersWithSpaces>1747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2021-10-22T09:34:00Z</dcterms:created>
  <dc:creator>中尉</dc:creator>
  <cp:lastModifiedBy>宗</cp:lastModifiedBy>
  <cp:lastPrinted>2022-03-19T01:18:00Z</cp:lastPrinted>
  <dcterms:modified xsi:type="dcterms:W3CDTF">2025-12-31T01:14:26Z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16153CEFDA454B6082590298AEADB0F0_12</vt:lpwstr>
  </property>
  <property fmtid="{D5CDD505-2E9C-101B-9397-08002B2CF9AE}" pid="4" name="KSOTemplateDocerSaveRecord">
    <vt:lpwstr>eyJoZGlkIjoiNGViYzU2ZWVkNzY5OTM5NzlmMTk1NDFlYjUzNjc5MzciLCJ1c2VySWQiOiIxNTEwMzYxMTYzIn0=</vt:lpwstr>
  </property>
</Properties>
</file>