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9685">
      <w:pPr>
        <w:spacing w:before="960" w:after="3120" w:afterLines="1000"/>
        <w:ind w:left="108"/>
        <w:jc w:val="center"/>
        <w:rPr>
          <w:rFonts w:hint="eastAsia" w:ascii="黑体" w:hAnsi="黑体" w:eastAsia="黑体"/>
          <w:sz w:val="84"/>
          <w:szCs w:val="84"/>
          <w:lang w:eastAsia="zh-CN"/>
        </w:rPr>
      </w:pPr>
      <w:r>
        <w:rPr>
          <w:rFonts w:hint="eastAsia" w:ascii="黑体" w:hAnsi="黑体" w:eastAsia="黑体"/>
          <w:sz w:val="84"/>
          <w:szCs w:val="84"/>
          <w:lang w:eastAsia="zh-CN"/>
        </w:rPr>
        <w:t>团 体 标 准</w:t>
      </w:r>
    </w:p>
    <w:p w14:paraId="511F3466">
      <w:pPr>
        <w:ind w:left="108"/>
        <w:jc w:val="center"/>
        <w:rPr>
          <w:rFonts w:hint="eastAsia" w:ascii="黑体" w:hAnsi="黑体" w:eastAsia="黑体"/>
          <w:sz w:val="32"/>
          <w:szCs w:val="32"/>
          <w:lang w:eastAsia="zh-CN"/>
        </w:rPr>
      </w:pPr>
      <w:r>
        <w:rPr>
          <w:rFonts w:hint="eastAsia" w:ascii="黑体" w:hAnsi="黑体" w:eastAsia="黑体"/>
          <w:sz w:val="32"/>
          <w:szCs w:val="32"/>
          <w:lang w:eastAsia="zh-CN"/>
        </w:rPr>
        <w:t xml:space="preserve"> 《儿童益生菌食品质量规范》</w:t>
      </w:r>
    </w:p>
    <w:p w14:paraId="3529FCDB">
      <w:pPr>
        <w:ind w:left="108"/>
        <w:jc w:val="center"/>
        <w:rPr>
          <w:rFonts w:hint="eastAsia" w:ascii="黑体" w:hAnsi="黑体" w:eastAsia="黑体"/>
          <w:sz w:val="32"/>
          <w:szCs w:val="32"/>
          <w:lang w:eastAsia="zh-CN"/>
        </w:rPr>
      </w:pPr>
      <w:r>
        <w:rPr>
          <w:rFonts w:hint="eastAsia" w:ascii="黑体" w:hAnsi="黑体" w:eastAsia="黑体"/>
          <w:sz w:val="32"/>
          <w:szCs w:val="32"/>
          <w:lang w:eastAsia="zh-CN"/>
        </w:rPr>
        <w:t>（征求意见稿）</w:t>
      </w:r>
    </w:p>
    <w:p w14:paraId="26D62232">
      <w:pPr>
        <w:spacing w:after="4368" w:afterLines="1400"/>
        <w:ind w:left="108"/>
        <w:jc w:val="center"/>
        <w:rPr>
          <w:rFonts w:hint="eastAsia" w:ascii="黑体" w:hAnsi="黑体" w:eastAsia="黑体"/>
          <w:sz w:val="32"/>
          <w:szCs w:val="32"/>
          <w:lang w:eastAsia="zh-CN" w:bidi="ar-SA"/>
        </w:rPr>
      </w:pPr>
      <w:r>
        <w:rPr>
          <w:rFonts w:ascii="黑体" w:hAnsi="黑体" w:eastAsia="黑体"/>
          <w:sz w:val="32"/>
          <w:szCs w:val="32"/>
          <w:lang w:eastAsia="zh-CN" w:bidi="ar-SA"/>
        </w:rPr>
        <w:t>编制说明</w:t>
      </w:r>
    </w:p>
    <w:p w14:paraId="7FEA9A52">
      <w:pPr>
        <w:spacing w:before="2184" w:beforeLines="700"/>
        <w:ind w:left="108"/>
        <w:jc w:val="center"/>
        <w:rPr>
          <w:rFonts w:hint="eastAsia" w:ascii="黑体" w:hAnsi="黑体" w:eastAsia="黑体"/>
          <w:sz w:val="28"/>
          <w:szCs w:val="28"/>
          <w:lang w:eastAsia="zh-CN"/>
        </w:rPr>
      </w:pPr>
      <w:r>
        <w:rPr>
          <w:rFonts w:hint="eastAsia" w:ascii="黑体" w:hAnsi="黑体" w:eastAsia="黑体"/>
          <w:sz w:val="28"/>
          <w:szCs w:val="28"/>
          <w:lang w:eastAsia="zh-CN"/>
        </w:rPr>
        <w:t>标准起草工作组</w:t>
      </w:r>
    </w:p>
    <w:p w14:paraId="662F4AE6">
      <w:pPr>
        <w:ind w:left="108"/>
        <w:jc w:val="center"/>
        <w:rPr>
          <w:rFonts w:hint="eastAsia" w:ascii="黑体" w:hAnsi="黑体" w:eastAsia="黑体"/>
          <w:sz w:val="28"/>
          <w:szCs w:val="28"/>
          <w:lang w:eastAsia="zh-CN"/>
        </w:rPr>
      </w:pPr>
      <w:r>
        <w:rPr>
          <w:rFonts w:hint="eastAsia" w:ascii="黑体" w:hAnsi="黑体" w:eastAsia="黑体"/>
          <w:sz w:val="28"/>
          <w:szCs w:val="28"/>
          <w:lang w:eastAsia="zh-CN"/>
        </w:rPr>
        <w:t>202</w:t>
      </w:r>
      <w:r>
        <w:rPr>
          <w:rFonts w:hint="eastAsia" w:ascii="黑体" w:hAnsi="黑体" w:eastAsia="黑体"/>
          <w:sz w:val="28"/>
          <w:szCs w:val="28"/>
          <w:lang w:val="en-US" w:eastAsia="zh-CN"/>
        </w:rPr>
        <w:t>6</w:t>
      </w:r>
      <w:r>
        <w:rPr>
          <w:rFonts w:hint="eastAsia" w:ascii="黑体" w:hAnsi="黑体" w:eastAsia="黑体"/>
          <w:sz w:val="28"/>
          <w:szCs w:val="28"/>
          <w:lang w:eastAsia="zh-CN"/>
        </w:rPr>
        <w:t>年</w:t>
      </w:r>
      <w:r>
        <w:rPr>
          <w:rFonts w:hint="eastAsia" w:ascii="黑体" w:hAnsi="黑体" w:eastAsia="黑体"/>
          <w:sz w:val="28"/>
          <w:szCs w:val="28"/>
          <w:lang w:val="en-US" w:eastAsia="zh-CN"/>
        </w:rPr>
        <w:t>1</w:t>
      </w:r>
      <w:r>
        <w:rPr>
          <w:rFonts w:hint="eastAsia" w:ascii="黑体" w:hAnsi="黑体" w:eastAsia="黑体"/>
          <w:sz w:val="28"/>
          <w:szCs w:val="28"/>
          <w:lang w:eastAsia="zh-CN"/>
        </w:rPr>
        <w:t>月</w:t>
      </w:r>
    </w:p>
    <w:p w14:paraId="261C8A92">
      <w:pPr>
        <w:tabs>
          <w:tab w:val="left" w:pos="1815"/>
        </w:tabs>
        <w:jc w:val="center"/>
        <w:rPr>
          <w:rFonts w:hint="eastAsia" w:ascii="黑体" w:hAnsi="黑体" w:eastAsia="黑体"/>
          <w:sz w:val="36"/>
          <w:szCs w:val="36"/>
          <w:lang w:eastAsia="zh-CN"/>
        </w:rPr>
      </w:pPr>
    </w:p>
    <w:p w14:paraId="4FFD26F1">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一、工作简况</w:t>
      </w:r>
    </w:p>
    <w:p w14:paraId="3DCBBAFA">
      <w:pPr>
        <w:tabs>
          <w:tab w:val="left" w:pos="1815"/>
        </w:tabs>
        <w:spacing w:line="360" w:lineRule="auto"/>
        <w:rPr>
          <w:rFonts w:hint="eastAsia" w:ascii="黑体" w:hAnsi="黑体" w:eastAsia="黑体"/>
          <w:sz w:val="24"/>
          <w:szCs w:val="24"/>
          <w:lang w:eastAsia="zh-CN"/>
        </w:rPr>
      </w:pPr>
      <w:r>
        <w:rPr>
          <w:rFonts w:hint="eastAsia" w:ascii="黑体" w:hAnsi="黑体" w:eastAsia="黑体"/>
          <w:sz w:val="24"/>
          <w:szCs w:val="24"/>
          <w:lang w:eastAsia="zh-CN"/>
        </w:rPr>
        <w:t>（一）任务来源</w:t>
      </w:r>
    </w:p>
    <w:p w14:paraId="4BD0D0FA">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根据2</w:t>
      </w:r>
      <w:r>
        <w:rPr>
          <w:rFonts w:eastAsia="宋体"/>
          <w:sz w:val="24"/>
          <w:szCs w:val="24"/>
          <w:lang w:eastAsia="zh-CN"/>
        </w:rPr>
        <w:t>024</w:t>
      </w:r>
      <w:r>
        <w:rPr>
          <w:rFonts w:hint="eastAsia" w:eastAsia="宋体"/>
          <w:sz w:val="24"/>
          <w:szCs w:val="24"/>
          <w:lang w:eastAsia="zh-CN"/>
        </w:rPr>
        <w:t>年全国标准化工作要点</w:t>
      </w:r>
      <w:r>
        <w:rPr>
          <w:rFonts w:eastAsia="宋体"/>
          <w:sz w:val="24"/>
          <w:szCs w:val="24"/>
          <w:lang w:eastAsia="zh-CN"/>
        </w:rPr>
        <w:t>，加强质量支撑和标准引领，深入推进国家标准化发展纲要各项重点任务实施</w:t>
      </w:r>
      <w:r>
        <w:rPr>
          <w:rFonts w:hint="eastAsia" w:eastAsia="宋体"/>
          <w:sz w:val="24"/>
          <w:szCs w:val="24"/>
          <w:lang w:eastAsia="zh-CN"/>
        </w:rPr>
        <w:t>，</w:t>
      </w:r>
      <w:r>
        <w:rPr>
          <w:rFonts w:eastAsia="宋体"/>
          <w:sz w:val="24"/>
          <w:szCs w:val="24"/>
          <w:lang w:eastAsia="zh-CN"/>
        </w:rPr>
        <w:t>以标准有力引领现代化产业体系建设，推动标准化更好服务经济社会高质量发展。依据《中华人民</w:t>
      </w:r>
      <w:r>
        <w:rPr>
          <w:rFonts w:hint="eastAsia" w:eastAsia="宋体"/>
          <w:sz w:val="24"/>
          <w:szCs w:val="24"/>
          <w:lang w:eastAsia="zh-CN"/>
        </w:rPr>
        <w:t>共和国</w:t>
      </w:r>
      <w:r>
        <w:rPr>
          <w:rFonts w:eastAsia="宋体"/>
          <w:sz w:val="24"/>
          <w:szCs w:val="24"/>
          <w:lang w:eastAsia="zh-CN"/>
        </w:rPr>
        <w:t>标准化法》</w:t>
      </w:r>
      <w:r>
        <w:rPr>
          <w:rFonts w:hint="eastAsia" w:eastAsia="宋体"/>
          <w:sz w:val="24"/>
          <w:szCs w:val="24"/>
          <w:lang w:eastAsia="zh-CN"/>
        </w:rPr>
        <w:t>和</w:t>
      </w:r>
      <w:r>
        <w:rPr>
          <w:rFonts w:eastAsia="宋体"/>
          <w:sz w:val="24"/>
          <w:szCs w:val="24"/>
          <w:lang w:eastAsia="zh-CN"/>
        </w:rPr>
        <w:t>《团体标准管理规定》</w:t>
      </w:r>
      <w:r>
        <w:rPr>
          <w:rFonts w:hint="eastAsia" w:eastAsia="宋体"/>
          <w:sz w:val="24"/>
          <w:szCs w:val="24"/>
          <w:lang w:eastAsia="zh-CN"/>
        </w:rPr>
        <w:t>（国标委联[</w:t>
      </w:r>
      <w:r>
        <w:rPr>
          <w:rFonts w:eastAsia="宋体"/>
          <w:sz w:val="24"/>
          <w:szCs w:val="24"/>
          <w:lang w:eastAsia="zh-CN"/>
        </w:rPr>
        <w:t>2019]1</w:t>
      </w:r>
      <w:r>
        <w:rPr>
          <w:rFonts w:hint="eastAsia" w:eastAsia="宋体"/>
          <w:sz w:val="24"/>
          <w:szCs w:val="24"/>
          <w:lang w:eastAsia="zh-CN"/>
        </w:rPr>
        <w:t>号）的</w:t>
      </w:r>
      <w:r>
        <w:rPr>
          <w:rFonts w:eastAsia="宋体"/>
          <w:sz w:val="24"/>
          <w:szCs w:val="24"/>
          <w:lang w:eastAsia="zh-CN"/>
        </w:rPr>
        <w:t>相关</w:t>
      </w:r>
      <w:r>
        <w:rPr>
          <w:rFonts w:hint="eastAsia" w:eastAsia="宋体"/>
          <w:sz w:val="24"/>
          <w:szCs w:val="24"/>
          <w:lang w:eastAsia="zh-CN"/>
        </w:rPr>
        <w:t>要求</w:t>
      </w:r>
      <w:r>
        <w:rPr>
          <w:rFonts w:eastAsia="宋体"/>
          <w:sz w:val="24"/>
          <w:szCs w:val="24"/>
          <w:lang w:eastAsia="zh-CN"/>
        </w:rPr>
        <w:t>，</w:t>
      </w:r>
      <w:r>
        <w:rPr>
          <w:rFonts w:hint="eastAsia" w:eastAsia="宋体"/>
          <w:sz w:val="24"/>
          <w:szCs w:val="24"/>
          <w:lang w:eastAsia="zh-CN"/>
        </w:rPr>
        <w:t>中国食品药品企业质量安全促进会批准立项并联合相关单位共同制定《</w:t>
      </w:r>
      <w:r>
        <w:rPr>
          <w:rFonts w:hint="eastAsia" w:ascii="Times New Roman" w:hAnsi="Times New Roman" w:cs="宋体"/>
          <w:smallCaps w:val="0"/>
          <w:color w:val="000000"/>
          <w:sz w:val="24"/>
          <w:szCs w:val="18"/>
          <w:lang w:val="en-US" w:eastAsia="zh-CN"/>
        </w:rPr>
        <w:t>儿童益生菌食品质量规范</w:t>
      </w:r>
      <w:r>
        <w:rPr>
          <w:rFonts w:hint="eastAsia" w:eastAsia="宋体"/>
          <w:sz w:val="24"/>
          <w:szCs w:val="24"/>
          <w:lang w:eastAsia="zh-CN"/>
        </w:rPr>
        <w:t>》团体标准。</w:t>
      </w:r>
    </w:p>
    <w:p w14:paraId="24EDDD97">
      <w:pPr>
        <w:tabs>
          <w:tab w:val="left" w:pos="1815"/>
        </w:tabs>
        <w:spacing w:line="360" w:lineRule="auto"/>
        <w:rPr>
          <w:rFonts w:hint="eastAsia" w:ascii="黑体" w:hAnsi="黑体" w:eastAsia="黑体"/>
          <w:sz w:val="24"/>
          <w:szCs w:val="24"/>
          <w:lang w:eastAsia="zh-CN"/>
        </w:rPr>
      </w:pPr>
      <w:r>
        <w:rPr>
          <w:rFonts w:hint="eastAsia" w:ascii="黑体" w:hAnsi="黑体" w:eastAsia="黑体"/>
          <w:sz w:val="24"/>
          <w:szCs w:val="24"/>
          <w:lang w:eastAsia="zh-CN"/>
        </w:rPr>
        <w:t>（二）制定背景</w:t>
      </w:r>
    </w:p>
    <w:p w14:paraId="25FA57D4">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随着消费者对健康意识的不断提升，儿童益生菌食品市场近年来呈现出迅猛发展的态势。从婴幼儿奶粉中添加益生菌成分，到专门为儿童设计的益生菌咀嚼片、益生菌饮品等产品，市场上儿童益生菌食品种类繁多。然而，当前市场缺乏统一规范，产品质量参差不齐。部分产品虽标称含有益生菌，但活菌数量不足、菌种来源不明，甚至存在夸大功效宣传等问题，严重影响了消费者的权益和市场的健康发展。在技术层面，对于儿童益生菌食品中益生菌菌株的筛选、生产工艺、质量控制等方面，缺乏专门针对儿童群体特点的技术标准。不同年龄段儿童的肠道菌群结构和功能存在差异，对益生菌的需求也有所不同，但目前行业内未能充分考虑这些因素。同时，在检测方法上，对于儿童益生菌食品中活菌数量、菌种鉴定等关键指标的检测，缺乏统一且精准的方法，导致市场上产品质量难以准确评估。制定《儿童益生菌食品质量规范》团体标准旨在规范儿童益生菌食品的生产、销售和质量监管，明确产品定义、原料要求、生产工艺、质量标准、标签标识等内容，为企业生产提供技术依据，为消费者选择产品提供参考，促进行业健康有序发展。其现实意义和必要性主要体现在：</w:t>
      </w:r>
    </w:p>
    <w:p w14:paraId="18294F7C">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1. 保障儿童健康：通过明确益生菌菌株的安全性、有效性以及适宜添加量，确保儿童摄入安全、有效的益生菌食品，助力儿童肠道健康发育，增强儿童免疫力。​</w:t>
      </w:r>
    </w:p>
    <w:p w14:paraId="4D4D1611">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2、规范市场秩序：统一的标准将对市场上的产品进行规范，避免劣质产品充斥市场，减少不正当竞争，营造公平、有序的市场环境。​</w:t>
      </w:r>
    </w:p>
    <w:p w14:paraId="16B0CCF9">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3、提升行业水平：推动企业加大在儿童益生菌食品研发、生产工艺改进等方面的投入，促进整个行业技术水平和管理水平的提升，提高行业整体竞争力。​</w:t>
      </w:r>
    </w:p>
    <w:p w14:paraId="61B3FC24">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4、增强消费者信心：消费者能够依据标准更加清晰地了解产品信息，选择符合自身需求的产品，从而增强对儿童益生菌食品市场的信任度，进一步推动市场的良性发展。</w:t>
      </w:r>
    </w:p>
    <w:p w14:paraId="7668CE96">
      <w:pPr>
        <w:tabs>
          <w:tab w:val="left" w:pos="1815"/>
        </w:tabs>
        <w:spacing w:line="360" w:lineRule="auto"/>
        <w:rPr>
          <w:rFonts w:hint="eastAsia" w:ascii="黑体" w:hAnsi="黑体" w:eastAsia="黑体"/>
          <w:sz w:val="24"/>
          <w:szCs w:val="24"/>
          <w:lang w:eastAsia="zh-CN"/>
        </w:rPr>
      </w:pPr>
      <w:r>
        <w:rPr>
          <w:rFonts w:hint="eastAsia" w:ascii="黑体" w:hAnsi="黑体" w:eastAsia="黑体"/>
          <w:sz w:val="24"/>
          <w:szCs w:val="24"/>
          <w:lang w:eastAsia="zh-CN"/>
        </w:rPr>
        <w:t>（三）起草过程</w:t>
      </w:r>
    </w:p>
    <w:p w14:paraId="2DCA398B">
      <w:pPr>
        <w:tabs>
          <w:tab w:val="left" w:pos="1815"/>
        </w:tabs>
        <w:spacing w:line="360" w:lineRule="auto"/>
        <w:rPr>
          <w:rFonts w:hint="eastAsia" w:eastAsia="宋体"/>
          <w:sz w:val="24"/>
          <w:szCs w:val="24"/>
          <w:lang w:eastAsia="zh-CN"/>
        </w:rPr>
      </w:pPr>
      <w:r>
        <w:rPr>
          <w:rFonts w:eastAsia="宋体"/>
          <w:sz w:val="24"/>
          <w:szCs w:val="24"/>
          <w:lang w:eastAsia="zh-CN"/>
        </w:rPr>
        <w:t>3.1 标准研制阶段</w:t>
      </w:r>
    </w:p>
    <w:p w14:paraId="420E5673">
      <w:pPr>
        <w:tabs>
          <w:tab w:val="left" w:pos="1815"/>
        </w:tabs>
        <w:spacing w:line="360" w:lineRule="auto"/>
        <w:ind w:firstLine="480" w:firstLineChars="200"/>
        <w:rPr>
          <w:rFonts w:hint="eastAsia" w:eastAsia="宋体"/>
          <w:color w:val="000000"/>
          <w:sz w:val="24"/>
          <w:szCs w:val="24"/>
          <w:lang w:eastAsia="zh-CN"/>
        </w:rPr>
      </w:pPr>
      <w:r>
        <w:rPr>
          <w:rFonts w:eastAsia="宋体"/>
          <w:color w:val="000000"/>
          <w:sz w:val="24"/>
          <w:szCs w:val="24"/>
          <w:lang w:eastAsia="zh-CN"/>
        </w:rPr>
        <w:t>202</w:t>
      </w:r>
      <w:r>
        <w:rPr>
          <w:rFonts w:hint="eastAsia" w:eastAsia="宋体"/>
          <w:color w:val="000000"/>
          <w:sz w:val="24"/>
          <w:szCs w:val="24"/>
          <w:lang w:val="en-US" w:eastAsia="zh-CN"/>
        </w:rPr>
        <w:t>5</w:t>
      </w:r>
      <w:r>
        <w:rPr>
          <w:rFonts w:hint="eastAsia" w:eastAsia="宋体"/>
          <w:color w:val="000000"/>
          <w:sz w:val="24"/>
          <w:szCs w:val="24"/>
          <w:lang w:eastAsia="zh-CN"/>
        </w:rPr>
        <w:t>年</w:t>
      </w:r>
      <w:r>
        <w:rPr>
          <w:rFonts w:hint="eastAsia" w:eastAsia="宋体"/>
          <w:color w:val="000000"/>
          <w:sz w:val="24"/>
          <w:szCs w:val="24"/>
          <w:lang w:val="en-US" w:eastAsia="zh-CN"/>
        </w:rPr>
        <w:t>10月</w:t>
      </w:r>
      <w:r>
        <w:rPr>
          <w:rFonts w:hint="eastAsia" w:eastAsia="宋体"/>
          <w:color w:val="000000"/>
          <w:sz w:val="24"/>
          <w:szCs w:val="24"/>
          <w:lang w:eastAsia="zh-CN"/>
        </w:rPr>
        <w:t>，起草组</w:t>
      </w:r>
      <w:r>
        <w:rPr>
          <w:rFonts w:eastAsia="宋体"/>
          <w:color w:val="000000"/>
          <w:sz w:val="24"/>
          <w:szCs w:val="24"/>
          <w:lang w:eastAsia="zh-CN"/>
        </w:rPr>
        <w:t>通过企业调研，了解企业实际生产情况，并组织收集、整理相关标准化资料、专业文献等，经成分分析、研讨、论证后编写完成《</w:t>
      </w:r>
      <w:r>
        <w:rPr>
          <w:rFonts w:hint="eastAsia" w:eastAsia="宋体"/>
          <w:sz w:val="24"/>
          <w:szCs w:val="24"/>
          <w:lang w:eastAsia="zh-CN"/>
        </w:rPr>
        <w:t>儿童益生菌食品质量规范</w:t>
      </w:r>
      <w:r>
        <w:rPr>
          <w:rFonts w:eastAsia="宋体"/>
          <w:color w:val="000000"/>
          <w:sz w:val="24"/>
          <w:szCs w:val="24"/>
          <w:lang w:eastAsia="zh-CN"/>
        </w:rPr>
        <w:t>》立项申请书及标准框架相关内容，并向中国食品药品企业质量安全促进会提出标准立项申请。</w:t>
      </w:r>
    </w:p>
    <w:p w14:paraId="3B174229">
      <w:pPr>
        <w:tabs>
          <w:tab w:val="left" w:pos="1815"/>
        </w:tabs>
        <w:spacing w:line="360" w:lineRule="auto"/>
        <w:rPr>
          <w:rFonts w:hint="eastAsia" w:eastAsia="宋体"/>
          <w:color w:val="000000"/>
          <w:sz w:val="24"/>
          <w:szCs w:val="24"/>
          <w:lang w:eastAsia="zh-CN"/>
        </w:rPr>
      </w:pPr>
      <w:r>
        <w:rPr>
          <w:rFonts w:eastAsia="宋体"/>
          <w:color w:val="000000"/>
          <w:sz w:val="24"/>
          <w:szCs w:val="24"/>
          <w:lang w:eastAsia="zh-CN"/>
        </w:rPr>
        <w:t xml:space="preserve">3.2 </w:t>
      </w:r>
      <w:r>
        <w:rPr>
          <w:rFonts w:hint="eastAsia" w:eastAsia="宋体"/>
          <w:color w:val="000000"/>
          <w:sz w:val="24"/>
          <w:szCs w:val="24"/>
          <w:lang w:eastAsia="zh-CN"/>
        </w:rPr>
        <w:t>标准立项阶段</w:t>
      </w:r>
    </w:p>
    <w:p w14:paraId="0651E435">
      <w:pPr>
        <w:tabs>
          <w:tab w:val="left" w:pos="1815"/>
        </w:tabs>
        <w:spacing w:line="360" w:lineRule="auto"/>
        <w:ind w:firstLine="480" w:firstLineChars="200"/>
        <w:rPr>
          <w:rFonts w:hint="eastAsia" w:eastAsia="宋体"/>
          <w:color w:val="000000"/>
          <w:sz w:val="24"/>
          <w:szCs w:val="24"/>
          <w:lang w:eastAsia="zh-CN"/>
        </w:rPr>
      </w:pPr>
      <w:r>
        <w:rPr>
          <w:rFonts w:eastAsia="宋体"/>
          <w:color w:val="000000"/>
          <w:sz w:val="24"/>
          <w:szCs w:val="24"/>
          <w:lang w:eastAsia="zh-CN"/>
        </w:rPr>
        <w:t>202</w:t>
      </w:r>
      <w:r>
        <w:rPr>
          <w:rFonts w:hint="eastAsia" w:eastAsia="宋体"/>
          <w:color w:val="000000"/>
          <w:sz w:val="24"/>
          <w:szCs w:val="24"/>
          <w:lang w:val="en-US" w:eastAsia="zh-CN"/>
        </w:rPr>
        <w:t>5</w:t>
      </w:r>
      <w:r>
        <w:rPr>
          <w:rFonts w:eastAsia="宋体"/>
          <w:color w:val="000000"/>
          <w:sz w:val="24"/>
          <w:szCs w:val="24"/>
          <w:lang w:eastAsia="zh-CN"/>
        </w:rPr>
        <w:t>年</w:t>
      </w:r>
      <w:r>
        <w:rPr>
          <w:rFonts w:hint="eastAsia" w:eastAsia="宋体"/>
          <w:color w:val="000000"/>
          <w:sz w:val="24"/>
          <w:szCs w:val="24"/>
          <w:lang w:val="en-US" w:eastAsia="zh-CN"/>
        </w:rPr>
        <w:t>11</w:t>
      </w:r>
      <w:r>
        <w:rPr>
          <w:rFonts w:eastAsia="宋体"/>
          <w:color w:val="000000"/>
          <w:sz w:val="24"/>
          <w:szCs w:val="24"/>
          <w:lang w:eastAsia="zh-CN"/>
        </w:rPr>
        <w:t>月，中国食品药品企业质量安全促进会正式发布了《</w:t>
      </w:r>
      <w:r>
        <w:rPr>
          <w:rFonts w:hint="eastAsia" w:eastAsia="宋体"/>
          <w:sz w:val="24"/>
          <w:szCs w:val="24"/>
          <w:lang w:eastAsia="zh-CN"/>
        </w:rPr>
        <w:t>儿童益生菌食品质量规范</w:t>
      </w:r>
      <w:r>
        <w:rPr>
          <w:rFonts w:eastAsia="宋体"/>
          <w:color w:val="000000"/>
          <w:sz w:val="24"/>
          <w:szCs w:val="24"/>
          <w:lang w:eastAsia="zh-CN"/>
        </w:rPr>
        <w:t>》团体标准立项通知，并在全国团体标准信息平台进行公示。</w:t>
      </w:r>
    </w:p>
    <w:p w14:paraId="0EAC7968">
      <w:pPr>
        <w:tabs>
          <w:tab w:val="left" w:pos="1815"/>
        </w:tabs>
        <w:spacing w:line="360" w:lineRule="auto"/>
        <w:rPr>
          <w:rFonts w:hint="eastAsia" w:eastAsia="宋体"/>
          <w:sz w:val="24"/>
          <w:szCs w:val="24"/>
          <w:lang w:eastAsia="zh-CN"/>
        </w:rPr>
      </w:pPr>
      <w:r>
        <w:rPr>
          <w:rFonts w:hint="eastAsia" w:eastAsia="宋体"/>
          <w:sz w:val="24"/>
          <w:szCs w:val="24"/>
          <w:lang w:eastAsia="zh-CN"/>
        </w:rPr>
        <w:t>3</w:t>
      </w:r>
      <w:r>
        <w:rPr>
          <w:rFonts w:eastAsia="宋体"/>
          <w:sz w:val="24"/>
          <w:szCs w:val="24"/>
          <w:lang w:eastAsia="zh-CN"/>
        </w:rPr>
        <w:t>.</w:t>
      </w:r>
      <w:r>
        <w:rPr>
          <w:rFonts w:hint="eastAsia" w:eastAsia="宋体"/>
          <w:sz w:val="24"/>
          <w:szCs w:val="24"/>
          <w:lang w:eastAsia="zh-CN"/>
        </w:rPr>
        <w:t>3</w:t>
      </w:r>
      <w:r>
        <w:rPr>
          <w:rFonts w:eastAsia="宋体"/>
          <w:sz w:val="24"/>
          <w:szCs w:val="24"/>
          <w:lang w:eastAsia="zh-CN"/>
        </w:rPr>
        <w:t xml:space="preserve"> 标准起草阶段</w:t>
      </w:r>
    </w:p>
    <w:p w14:paraId="7FF5C6B0">
      <w:pPr>
        <w:tabs>
          <w:tab w:val="left" w:pos="1815"/>
        </w:tabs>
        <w:spacing w:line="360" w:lineRule="auto"/>
        <w:ind w:firstLine="480" w:firstLineChars="200"/>
        <w:rPr>
          <w:rFonts w:hint="eastAsia" w:eastAsia="宋体"/>
          <w:color w:val="000000"/>
          <w:sz w:val="24"/>
          <w:szCs w:val="24"/>
          <w:lang w:eastAsia="zh-CN"/>
        </w:rPr>
      </w:pPr>
      <w:r>
        <w:rPr>
          <w:rFonts w:eastAsia="宋体"/>
          <w:color w:val="000000"/>
          <w:sz w:val="24"/>
          <w:szCs w:val="24"/>
          <w:lang w:eastAsia="zh-CN"/>
        </w:rPr>
        <w:t>202</w:t>
      </w:r>
      <w:r>
        <w:rPr>
          <w:rFonts w:hint="eastAsia" w:eastAsia="宋体"/>
          <w:color w:val="000000"/>
          <w:sz w:val="24"/>
          <w:szCs w:val="24"/>
          <w:lang w:val="en-US" w:eastAsia="zh-CN"/>
        </w:rPr>
        <w:t>5</w:t>
      </w:r>
      <w:r>
        <w:rPr>
          <w:rFonts w:eastAsia="宋体"/>
          <w:color w:val="000000"/>
          <w:sz w:val="24"/>
          <w:szCs w:val="24"/>
          <w:lang w:eastAsia="zh-CN"/>
        </w:rPr>
        <w:t>年</w:t>
      </w:r>
      <w:r>
        <w:rPr>
          <w:rFonts w:hint="eastAsia" w:eastAsia="宋体"/>
          <w:color w:val="000000"/>
          <w:sz w:val="24"/>
          <w:szCs w:val="24"/>
          <w:lang w:val="en-US" w:eastAsia="zh-CN"/>
        </w:rPr>
        <w:t>12</w:t>
      </w:r>
      <w:r>
        <w:rPr>
          <w:rFonts w:hint="eastAsia" w:eastAsia="宋体"/>
          <w:color w:val="000000"/>
          <w:sz w:val="24"/>
          <w:szCs w:val="24"/>
          <w:lang w:eastAsia="zh-CN"/>
        </w:rPr>
        <w:t>月</w:t>
      </w:r>
      <w:r>
        <w:rPr>
          <w:rFonts w:eastAsia="宋体"/>
          <w:color w:val="000000"/>
          <w:sz w:val="24"/>
          <w:szCs w:val="24"/>
          <w:lang w:eastAsia="zh-CN"/>
        </w:rPr>
        <w:t>，依据《中华人民共和国标准化法》、《国务院关于深化标准化工作改革方案》等文件的要求，按照团体标准的制修订程序组织有关技术人员成立标准起草工作组，通过相关信息化手段进行多次内容讨论和交流，并向相关单位和专家咨询，在广泛听取各方意见和充分论证的基础上，对标准初稿进行了完善和修改后经起草组确认，同意作为征求意见稿，公开征求意见</w:t>
      </w:r>
      <w:r>
        <w:rPr>
          <w:rFonts w:hint="eastAsia" w:eastAsia="宋体"/>
          <w:sz w:val="24"/>
          <w:szCs w:val="24"/>
          <w:lang w:eastAsia="zh-CN"/>
        </w:rPr>
        <w:t>。</w:t>
      </w:r>
    </w:p>
    <w:p w14:paraId="4DA483E6">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二、编制原则</w:t>
      </w:r>
    </w:p>
    <w:p w14:paraId="3B64DE0E">
      <w:pPr>
        <w:tabs>
          <w:tab w:val="left" w:pos="1815"/>
        </w:tabs>
        <w:spacing w:line="360" w:lineRule="auto"/>
        <w:ind w:firstLine="360" w:firstLineChars="150"/>
        <w:rPr>
          <w:rFonts w:hint="eastAsia" w:eastAsia="宋体"/>
          <w:sz w:val="24"/>
          <w:szCs w:val="24"/>
          <w:lang w:eastAsia="zh-CN"/>
        </w:rPr>
      </w:pPr>
      <w:r>
        <w:rPr>
          <w:rFonts w:eastAsia="宋体"/>
          <w:sz w:val="24"/>
          <w:szCs w:val="24"/>
          <w:lang w:eastAsia="zh-CN"/>
        </w:rPr>
        <w:t>在标准制定过程中，标准起草工作组按照GB/T 1.1</w:t>
      </w:r>
      <w:r>
        <w:rPr>
          <w:rFonts w:hint="eastAsia" w:eastAsia="宋体"/>
          <w:sz w:val="24"/>
          <w:szCs w:val="24"/>
          <w:lang w:eastAsia="zh-CN"/>
        </w:rPr>
        <w:t>—</w:t>
      </w:r>
      <w:r>
        <w:rPr>
          <w:rFonts w:eastAsia="宋体"/>
          <w:sz w:val="24"/>
          <w:szCs w:val="24"/>
          <w:lang w:eastAsia="zh-CN"/>
        </w:rPr>
        <w:t xml:space="preserve">2020 给出的规则编写，主要遵循以下原则： </w:t>
      </w:r>
    </w:p>
    <w:p w14:paraId="27A78E36">
      <w:pPr>
        <w:tabs>
          <w:tab w:val="left" w:pos="1815"/>
        </w:tabs>
        <w:spacing w:line="360" w:lineRule="auto"/>
        <w:ind w:firstLine="360" w:firstLineChars="150"/>
        <w:rPr>
          <w:rFonts w:hint="eastAsia" w:eastAsia="宋体"/>
          <w:sz w:val="24"/>
          <w:szCs w:val="24"/>
          <w:lang w:eastAsia="zh-CN"/>
        </w:rPr>
      </w:pPr>
      <w:r>
        <w:rPr>
          <w:rFonts w:eastAsia="宋体"/>
          <w:sz w:val="24"/>
          <w:szCs w:val="24"/>
          <w:lang w:eastAsia="zh-CN"/>
        </w:rPr>
        <w:t>（1）协调性:</w:t>
      </w:r>
      <w:r>
        <w:rPr>
          <w:rFonts w:hint="eastAsia" w:eastAsia="宋体"/>
          <w:sz w:val="24"/>
          <w:szCs w:val="24"/>
          <w:lang w:eastAsia="zh-CN"/>
        </w:rPr>
        <w:t xml:space="preserve"> </w:t>
      </w:r>
      <w:r>
        <w:rPr>
          <w:rFonts w:eastAsia="宋体"/>
          <w:sz w:val="24"/>
          <w:szCs w:val="24"/>
          <w:lang w:eastAsia="zh-CN"/>
        </w:rPr>
        <w:t xml:space="preserve">保证标准与国内现行国家标准、行业标准协调一致。 </w:t>
      </w:r>
    </w:p>
    <w:p w14:paraId="62078043">
      <w:pPr>
        <w:tabs>
          <w:tab w:val="left" w:pos="1815"/>
        </w:tabs>
        <w:spacing w:line="360" w:lineRule="auto"/>
        <w:ind w:firstLine="360" w:firstLineChars="150"/>
        <w:rPr>
          <w:rFonts w:hint="eastAsia" w:eastAsia="宋体"/>
          <w:sz w:val="24"/>
          <w:szCs w:val="24"/>
          <w:lang w:eastAsia="zh-CN"/>
        </w:rPr>
      </w:pPr>
      <w:r>
        <w:rPr>
          <w:rFonts w:eastAsia="宋体"/>
          <w:sz w:val="24"/>
          <w:szCs w:val="24"/>
          <w:lang w:eastAsia="zh-CN"/>
        </w:rPr>
        <w:t>（2）规范性</w:t>
      </w:r>
      <w:r>
        <w:rPr>
          <w:rFonts w:hint="eastAsia" w:eastAsia="宋体"/>
          <w:sz w:val="24"/>
          <w:szCs w:val="24"/>
          <w:lang w:eastAsia="zh-CN"/>
        </w:rPr>
        <w:t>：</w:t>
      </w:r>
      <w:r>
        <w:rPr>
          <w:rFonts w:eastAsia="宋体"/>
          <w:sz w:val="24"/>
          <w:szCs w:val="24"/>
          <w:lang w:eastAsia="zh-CN"/>
        </w:rPr>
        <w:t>严格按照GB/T 1.1</w:t>
      </w:r>
      <w:r>
        <w:rPr>
          <w:rFonts w:hint="eastAsia" w:eastAsia="宋体"/>
          <w:sz w:val="24"/>
          <w:szCs w:val="24"/>
          <w:lang w:eastAsia="zh-CN"/>
        </w:rPr>
        <w:t>—</w:t>
      </w:r>
      <w:r>
        <w:rPr>
          <w:rFonts w:eastAsia="宋体"/>
          <w:sz w:val="24"/>
          <w:szCs w:val="24"/>
          <w:lang w:eastAsia="zh-CN"/>
        </w:rPr>
        <w:t>20</w:t>
      </w:r>
      <w:r>
        <w:rPr>
          <w:rFonts w:hint="eastAsia" w:eastAsia="宋体"/>
          <w:sz w:val="24"/>
          <w:szCs w:val="24"/>
          <w:lang w:eastAsia="zh-CN"/>
        </w:rPr>
        <w:t>20</w:t>
      </w:r>
      <w:r>
        <w:rPr>
          <w:rFonts w:eastAsia="宋体"/>
          <w:sz w:val="24"/>
          <w:szCs w:val="24"/>
          <w:lang w:eastAsia="zh-CN"/>
        </w:rPr>
        <w:t>《</w:t>
      </w:r>
      <w:r>
        <w:rPr>
          <w:rFonts w:hint="eastAsia" w:eastAsia="宋体"/>
          <w:sz w:val="24"/>
          <w:szCs w:val="24"/>
          <w:lang w:eastAsia="zh-CN"/>
        </w:rPr>
        <w:t>标准化工作导则</w:t>
      </w:r>
      <w:r>
        <w:rPr>
          <w:rFonts w:eastAsia="宋体"/>
          <w:sz w:val="24"/>
          <w:szCs w:val="24"/>
          <w:lang w:eastAsia="zh-CN"/>
        </w:rPr>
        <w:t xml:space="preserve"> 第1部分：标准化文件的结构和起草规则》给出的规则起草</w:t>
      </w:r>
      <w:r>
        <w:rPr>
          <w:rFonts w:hint="eastAsia" w:eastAsia="宋体"/>
          <w:sz w:val="24"/>
          <w:szCs w:val="24"/>
          <w:lang w:eastAsia="zh-CN"/>
        </w:rPr>
        <w:t>，</w:t>
      </w:r>
      <w:r>
        <w:rPr>
          <w:rFonts w:eastAsia="宋体"/>
          <w:sz w:val="24"/>
          <w:szCs w:val="24"/>
          <w:lang w:eastAsia="zh-CN"/>
        </w:rPr>
        <w:t>保证标准的编写质量</w:t>
      </w:r>
      <w:r>
        <w:rPr>
          <w:rFonts w:hint="eastAsia" w:eastAsia="宋体"/>
          <w:sz w:val="24"/>
          <w:szCs w:val="24"/>
          <w:lang w:eastAsia="zh-CN"/>
        </w:rPr>
        <w:t>。</w:t>
      </w:r>
    </w:p>
    <w:p w14:paraId="54D07197">
      <w:pPr>
        <w:tabs>
          <w:tab w:val="left" w:pos="1815"/>
        </w:tabs>
        <w:spacing w:line="360" w:lineRule="auto"/>
        <w:ind w:firstLine="360" w:firstLineChars="150"/>
        <w:rPr>
          <w:rFonts w:hint="eastAsia" w:eastAsia="宋体"/>
          <w:sz w:val="24"/>
          <w:szCs w:val="24"/>
          <w:lang w:eastAsia="zh-CN"/>
        </w:rPr>
      </w:pPr>
      <w:r>
        <w:rPr>
          <w:rFonts w:hint="eastAsia" w:eastAsia="宋体"/>
          <w:sz w:val="24"/>
          <w:szCs w:val="24"/>
          <w:lang w:eastAsia="zh-CN"/>
        </w:rPr>
        <w:t>（3）</w:t>
      </w:r>
      <w:r>
        <w:rPr>
          <w:rFonts w:eastAsia="宋体"/>
          <w:sz w:val="24"/>
          <w:szCs w:val="24"/>
          <w:lang w:eastAsia="zh-CN"/>
        </w:rPr>
        <w:t>适用性：结合生产企业管理实践和产品的主要环境影响，提出对企业产品的具体质量要求和生产经营规范。</w:t>
      </w:r>
    </w:p>
    <w:p w14:paraId="5BA2933B">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三、主要技术内容及其确定依据</w:t>
      </w:r>
    </w:p>
    <w:p w14:paraId="04A17BDA">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根据</w:t>
      </w:r>
      <w:r>
        <w:rPr>
          <w:rFonts w:hint="eastAsia" w:eastAsia="宋体"/>
          <w:sz w:val="24"/>
          <w:szCs w:val="24"/>
          <w:lang w:eastAsia="zh-CN"/>
        </w:rPr>
        <w:t>儿童益生菌食品质量</w:t>
      </w:r>
      <w:r>
        <w:rPr>
          <w:rFonts w:hint="eastAsia" w:eastAsia="宋体"/>
          <w:sz w:val="24"/>
          <w:szCs w:val="24"/>
          <w:lang w:val="en-US" w:eastAsia="zh-CN"/>
        </w:rPr>
        <w:t>规范要求</w:t>
      </w:r>
      <w:r>
        <w:rPr>
          <w:rFonts w:hint="eastAsia" w:eastAsia="宋体"/>
          <w:color w:val="000000"/>
          <w:sz w:val="24"/>
          <w:szCs w:val="24"/>
          <w:lang w:eastAsia="zh-CN"/>
        </w:rPr>
        <w:t>，确定本文件主要技术内容。</w:t>
      </w:r>
    </w:p>
    <w:p w14:paraId="7ACFDEDE">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范围：规定了儿童益生菌食品的原辅料、技术、生产加工卫生、检验规则等多方面要求，适用于该类食品的生产和检验。</w:t>
      </w:r>
    </w:p>
    <w:p w14:paraId="013C6ECC">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规范性引用文件：列出了构成本文件必备条款的引用文件，明确注日期引用文件仅对应版本适用，不注日期引用文件其最新版本（含修改单）适用。</w:t>
      </w:r>
    </w:p>
    <w:p w14:paraId="559AF80D">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原辅料要求：菌种需选用允许用于婴幼儿食品的种类并满足保存、档案建立、传代稳定性等要求，其他原辅料需符合相应标准及规定。</w:t>
      </w:r>
    </w:p>
    <w:p w14:paraId="6EBAD7DE">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技术要求：明确了儿童益生菌食品在感官、理化、污染物限量、微生物限量、食品添加剂和营养强化剂使用及净含量方面的要求和检验方法。</w:t>
      </w:r>
    </w:p>
    <w:p w14:paraId="4FEC7C0B">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生产加工过程中的卫生要求：儿童益生菌食品生产加工过程的卫生需符合 GB 14881 的规定。</w:t>
      </w:r>
    </w:p>
    <w:p w14:paraId="24FC8850">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检验规则：产品检验分为出厂检验和型式检验，明确了组批、抽样方式及数量、两类检验的项目与判定规则，微生物项目不允许复检。</w:t>
      </w:r>
    </w:p>
    <w:p w14:paraId="2E37473E">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标志､包装､运输和贮存：对产品的标志标注、包装材料与容器、运输防护及贮存环境和堆放要求作出了具体规定。</w:t>
      </w:r>
    </w:p>
    <w:p w14:paraId="7FD31B3C">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保质期：在规定运输和贮存条件下，包装完整未启封的产品，保质期按包装标注执行。</w:t>
      </w:r>
    </w:p>
    <w:p w14:paraId="1B8C6FE5">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四、标准中如果涉及专利，应有明确的知识产权说明</w:t>
      </w:r>
    </w:p>
    <w:p w14:paraId="75AD6108">
      <w:pPr>
        <w:pStyle w:val="25"/>
        <w:spacing w:before="0" w:after="0" w:line="360" w:lineRule="auto"/>
        <w:ind w:left="220" w:leftChars="100" w:firstLine="240" w:firstLineChars="100"/>
        <w:rPr>
          <w:rFonts w:hint="eastAsia" w:hAnsi="宋体" w:cs="宋体"/>
          <w:sz w:val="24"/>
          <w:szCs w:val="24"/>
          <w:lang w:bidi="en-US"/>
        </w:rPr>
      </w:pPr>
      <w:r>
        <w:rPr>
          <w:rFonts w:hint="eastAsia" w:hAnsi="宋体" w:cs="宋体"/>
          <w:sz w:val="24"/>
          <w:szCs w:val="24"/>
          <w:lang w:bidi="en-US"/>
        </w:rPr>
        <w:t>本文件不涉及专利及知识产权问题。</w:t>
      </w:r>
    </w:p>
    <w:p w14:paraId="17705CA1">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五、采用国际标准和国外先进标准情况，与国际、国内同类标准水平的对比情况</w:t>
      </w:r>
    </w:p>
    <w:p w14:paraId="7B7D4DF8">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本标准在编制过程中未直接采用国际标准和国外先进标准，主要依据我国《食品安全法》及 GB 2760、GB 2762、GB 14881、GB 31639 等现行食品安全相关国家标准、行业标准。</w:t>
      </w:r>
    </w:p>
    <w:p w14:paraId="2A14C14F">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与国际同类标准相比，本标准在关键指标上保持一致，且在菌种选用（严格限定于《可用于婴幼儿食品的菌种名单》）、菌株号标注、生产卫生控制等方面的规定更贴合国内儿童食品安全监管要求，与国内现有相关标准相比，本标准针对性聚焦儿童益生菌食品的特殊性，进一步细化了菌种档案管理、感官要求、检验规则等内容，整体标准水平达到国际先进、国内领先，既保障了产品质量安全与国际接轨，又兼顾了国内行业生产的可行性和实用性。</w:t>
      </w:r>
      <w:bookmarkStart w:id="0" w:name="_GoBack"/>
      <w:bookmarkEnd w:id="0"/>
    </w:p>
    <w:p w14:paraId="0EC2F1D4">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六、与有关现行法律、法规和强制性国家标准的关系</w:t>
      </w:r>
    </w:p>
    <w:p w14:paraId="67C3FF6C">
      <w:pPr>
        <w:tabs>
          <w:tab w:val="left" w:pos="1815"/>
        </w:tabs>
        <w:spacing w:before="156" w:beforeLines="50" w:after="156" w:afterLines="50"/>
        <w:ind w:firstLine="480" w:firstLineChars="200"/>
        <w:rPr>
          <w:rFonts w:hint="eastAsia" w:eastAsia="宋体"/>
          <w:sz w:val="24"/>
          <w:szCs w:val="24"/>
          <w:lang w:eastAsia="zh-CN"/>
        </w:rPr>
      </w:pPr>
      <w:r>
        <w:rPr>
          <w:rFonts w:eastAsia="宋体"/>
          <w:sz w:val="24"/>
          <w:szCs w:val="24"/>
          <w:lang w:eastAsia="zh-CN"/>
        </w:rPr>
        <w:t>本文件与相关法律、法规、规章及相关标准协调一致，没有冲突。</w:t>
      </w:r>
    </w:p>
    <w:p w14:paraId="652AAEEB">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七、重大分歧意见的处理经过和依据</w:t>
      </w:r>
    </w:p>
    <w:p w14:paraId="318561A9">
      <w:pPr>
        <w:tabs>
          <w:tab w:val="left" w:pos="1815"/>
        </w:tabs>
        <w:spacing w:before="156" w:beforeLines="50" w:after="156" w:afterLines="50"/>
        <w:ind w:firstLine="480" w:firstLineChars="200"/>
        <w:rPr>
          <w:rFonts w:hint="eastAsia" w:eastAsia="宋体"/>
          <w:sz w:val="24"/>
          <w:szCs w:val="24"/>
          <w:lang w:eastAsia="zh-CN"/>
        </w:rPr>
      </w:pPr>
      <w:r>
        <w:rPr>
          <w:rFonts w:hint="eastAsia" w:eastAsia="宋体"/>
          <w:sz w:val="24"/>
          <w:szCs w:val="24"/>
          <w:lang w:eastAsia="zh-CN"/>
        </w:rPr>
        <w:t>本文件在制定过程中未出现重大分歧意见。</w:t>
      </w:r>
    </w:p>
    <w:p w14:paraId="650066A3">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八、贯彻标准的要求和措施建议</w:t>
      </w:r>
    </w:p>
    <w:p w14:paraId="5B6E57AD">
      <w:pPr>
        <w:tabs>
          <w:tab w:val="left" w:pos="1815"/>
        </w:tabs>
        <w:spacing w:before="156" w:beforeLines="50" w:after="156" w:afterLines="50"/>
        <w:ind w:firstLine="480" w:firstLineChars="200"/>
        <w:rPr>
          <w:rFonts w:hint="eastAsia" w:eastAsia="宋体"/>
          <w:sz w:val="24"/>
          <w:szCs w:val="24"/>
          <w:lang w:eastAsia="zh-CN"/>
        </w:rPr>
      </w:pPr>
      <w:r>
        <w:rPr>
          <w:rFonts w:hint="eastAsia" w:eastAsia="宋体"/>
          <w:sz w:val="24"/>
          <w:szCs w:val="24"/>
          <w:lang w:eastAsia="zh-CN"/>
        </w:rPr>
        <w:t>本文件发布后，应</w:t>
      </w:r>
      <w:r>
        <w:rPr>
          <w:rFonts w:eastAsia="宋体"/>
          <w:sz w:val="24"/>
          <w:szCs w:val="24"/>
          <w:lang w:eastAsia="zh-CN"/>
        </w:rPr>
        <w:t>向相关企业进行宣传、贯彻，推荐执行该</w:t>
      </w:r>
      <w:r>
        <w:rPr>
          <w:rFonts w:hint="eastAsia" w:eastAsia="宋体"/>
          <w:sz w:val="24"/>
          <w:szCs w:val="24"/>
          <w:lang w:eastAsia="zh-CN"/>
        </w:rPr>
        <w:t>文件。</w:t>
      </w:r>
    </w:p>
    <w:p w14:paraId="3326673C">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九、其他应当说明的事项</w:t>
      </w:r>
    </w:p>
    <w:p w14:paraId="652DFFCA">
      <w:pPr>
        <w:tabs>
          <w:tab w:val="left" w:pos="1815"/>
        </w:tabs>
        <w:spacing w:before="156" w:beforeLines="50" w:after="156" w:afterLines="50"/>
        <w:ind w:firstLine="480" w:firstLineChars="200"/>
        <w:rPr>
          <w:rFonts w:hint="eastAsia" w:eastAsia="宋体"/>
          <w:sz w:val="24"/>
          <w:szCs w:val="24"/>
          <w:lang w:eastAsia="zh-CN"/>
        </w:rPr>
      </w:pPr>
      <w:r>
        <w:rPr>
          <w:rFonts w:hint="eastAsia" w:eastAsia="宋体"/>
          <w:sz w:val="24"/>
          <w:szCs w:val="24"/>
          <w:lang w:eastAsia="zh-CN"/>
        </w:rPr>
        <w:t>无</w:t>
      </w:r>
      <w:r>
        <w:rPr>
          <w:rFonts w:eastAsia="宋体"/>
          <w:sz w:val="24"/>
          <w:szCs w:val="24"/>
          <w:lang w:eastAsia="zh-CN"/>
        </w:rPr>
        <w:t>。</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2C5917C3"/>
    <w:multiLevelType w:val="multilevel"/>
    <w:tmpl w:val="2C5917C3"/>
    <w:lvl w:ilvl="0" w:tentative="0">
      <w:start w:val="1"/>
      <w:numFmt w:val="none"/>
      <w:pStyle w:val="37"/>
      <w:lvlText w:val="%1——"/>
      <w:lvlJc w:val="left"/>
      <w:pPr>
        <w:tabs>
          <w:tab w:val="left" w:pos="851"/>
        </w:tabs>
        <w:ind w:left="397" w:firstLine="28"/>
      </w:pPr>
      <w:rPr>
        <w:rFonts w:hint="eastAsia" w:ascii="宋体" w:hAnsi="Times New Roman" w:eastAsia="宋体"/>
        <w:b w:val="0"/>
        <w:i w:val="0"/>
        <w:sz w:val="21"/>
      </w:rPr>
    </w:lvl>
    <w:lvl w:ilvl="1" w:tentative="0">
      <w:start w:val="1"/>
      <w:numFmt w:val="none"/>
      <w:pStyle w:val="42"/>
      <w:lvlText w:val=""/>
      <w:lvlJc w:val="left"/>
      <w:pPr>
        <w:ind w:left="851" w:hanging="431"/>
      </w:pPr>
      <w:rPr>
        <w:rFonts w:hint="default" w:ascii="Symbol" w:hAnsi="Symbol"/>
        <w:sz w:val="21"/>
      </w:rPr>
    </w:lvl>
    <w:lvl w:ilvl="2" w:tentative="0">
      <w:start w:val="1"/>
      <w:numFmt w:val="bullet"/>
      <w:pStyle w:val="3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59"/>
      <w:lvlText w:val="%1)"/>
      <w:lvlJc w:val="left"/>
      <w:pPr>
        <w:tabs>
          <w:tab w:val="left" w:pos="851"/>
        </w:tabs>
        <w:ind w:left="0" w:firstLine="425"/>
      </w:pPr>
      <w:rPr>
        <w:rFonts w:hint="eastAsia" w:ascii="宋体" w:hAnsi="Times New Roman" w:eastAsia="宋体"/>
        <w:sz w:val="21"/>
      </w:rPr>
    </w:lvl>
    <w:lvl w:ilvl="1" w:tentative="0">
      <w:start w:val="1"/>
      <w:numFmt w:val="decimal"/>
      <w:pStyle w:val="54"/>
      <w:lvlText w:val="%2)"/>
      <w:lvlJc w:val="left"/>
      <w:pPr>
        <w:tabs>
          <w:tab w:val="left" w:pos="1276"/>
        </w:tabs>
        <w:ind w:left="1276" w:hanging="425"/>
      </w:pPr>
      <w:rPr>
        <w:rFonts w:hint="eastAsia" w:ascii="宋体" w:hAnsi="Times New Roman" w:eastAsia="宋体"/>
        <w:sz w:val="21"/>
      </w:rPr>
    </w:lvl>
    <w:lvl w:ilvl="2" w:tentative="0">
      <w:start w:val="1"/>
      <w:numFmt w:val="decimal"/>
      <w:pStyle w:val="5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4632751"/>
    <w:multiLevelType w:val="multilevel"/>
    <w:tmpl w:val="54632751"/>
    <w:lvl w:ilvl="0" w:tentative="0">
      <w:start w:val="1"/>
      <w:numFmt w:val="none"/>
      <w:pStyle w:val="4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
    <w:nsid w:val="557C2AF5"/>
    <w:multiLevelType w:val="multilevel"/>
    <w:tmpl w:val="557C2AF5"/>
    <w:lvl w:ilvl="0" w:tentative="0">
      <w:start w:val="1"/>
      <w:numFmt w:val="decimal"/>
      <w:pStyle w:val="1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C265CB6"/>
    <w:multiLevelType w:val="multilevel"/>
    <w:tmpl w:val="5C265CB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34"/>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646260FA"/>
    <w:multiLevelType w:val="multilevel"/>
    <w:tmpl w:val="646260FA"/>
    <w:lvl w:ilvl="0" w:tentative="0">
      <w:start w:val="1"/>
      <w:numFmt w:val="decimal"/>
      <w:pStyle w:val="17"/>
      <w:suff w:val="nothing"/>
      <w:lvlText w:val="表%1　"/>
      <w:lvlJc w:val="left"/>
      <w:pPr>
        <w:ind w:left="411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pStyle w:val="56"/>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pStyle w:val="57"/>
      <w:lvlText w:val="%1.%2.%3.%4.%5"/>
      <w:lvlJc w:val="left"/>
      <w:pPr>
        <w:tabs>
          <w:tab w:val="left" w:pos="2551"/>
        </w:tabs>
        <w:ind w:left="2551" w:hanging="850"/>
      </w:pPr>
      <w:rPr>
        <w:rFonts w:hint="eastAsia"/>
      </w:rPr>
    </w:lvl>
    <w:lvl w:ilvl="5" w:tentative="0">
      <w:start w:val="1"/>
      <w:numFmt w:val="decimal"/>
      <w:pStyle w:val="58"/>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33"/>
      <w:suff w:val="nothing"/>
      <w:lvlText w:val="%1"/>
      <w:lvlJc w:val="left"/>
      <w:pPr>
        <w:ind w:left="0" w:firstLine="0"/>
      </w:pPr>
      <w:rPr>
        <w:rFonts w:hint="eastAsia"/>
      </w:rPr>
    </w:lvl>
    <w:lvl w:ilvl="1" w:tentative="0">
      <w:start w:val="1"/>
      <w:numFmt w:val="decimal"/>
      <w:pStyle w:val="30"/>
      <w:suff w:val="nothing"/>
      <w:lvlText w:val="%1%2　"/>
      <w:lvlJc w:val="left"/>
      <w:pPr>
        <w:ind w:left="0" w:firstLine="0"/>
      </w:pPr>
      <w:rPr>
        <w:rFonts w:hint="eastAsia" w:ascii="黑体" w:eastAsia="黑体"/>
        <w:b w:val="0"/>
        <w:i w:val="0"/>
        <w:sz w:val="21"/>
      </w:rPr>
    </w:lvl>
    <w:lvl w:ilvl="2" w:tentative="0">
      <w:start w:val="1"/>
      <w:numFmt w:val="decimal"/>
      <w:pStyle w:val="31"/>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6"/>
      <w:suff w:val="nothing"/>
      <w:lvlText w:val="%1%2.%3.%4　"/>
      <w:lvlJc w:val="left"/>
      <w:pPr>
        <w:ind w:left="0" w:firstLine="0"/>
      </w:pPr>
      <w:rPr>
        <w:rFonts w:hint="eastAsia" w:ascii="黑体" w:eastAsia="黑体"/>
        <w:b w:val="0"/>
        <w:i w:val="0"/>
        <w:sz w:val="21"/>
      </w:rPr>
    </w:lvl>
    <w:lvl w:ilvl="4" w:tentative="0">
      <w:start w:val="1"/>
      <w:numFmt w:val="decimal"/>
      <w:pStyle w:val="27"/>
      <w:suff w:val="nothing"/>
      <w:lvlText w:val="%1%2.%3.%4.%5　"/>
      <w:lvlJc w:val="left"/>
      <w:pPr>
        <w:ind w:left="0" w:firstLine="0"/>
      </w:pPr>
      <w:rPr>
        <w:rFonts w:hint="eastAsia" w:ascii="黑体" w:eastAsia="黑体"/>
        <w:b w:val="0"/>
        <w:i w:val="0"/>
        <w:sz w:val="21"/>
      </w:rPr>
    </w:lvl>
    <w:lvl w:ilvl="5" w:tentative="0">
      <w:start w:val="1"/>
      <w:numFmt w:val="decimal"/>
      <w:pStyle w:val="28"/>
      <w:suff w:val="nothing"/>
      <w:lvlText w:val="%1%2.%3.%4.%5.%6　"/>
      <w:lvlJc w:val="left"/>
      <w:pPr>
        <w:ind w:left="0" w:firstLine="0"/>
      </w:pPr>
      <w:rPr>
        <w:rFonts w:hint="eastAsia" w:ascii="黑体" w:eastAsia="黑体"/>
        <w:b w:val="0"/>
        <w:i w:val="0"/>
        <w:sz w:val="21"/>
      </w:rPr>
    </w:lvl>
    <w:lvl w:ilvl="6" w:tentative="0">
      <w:start w:val="1"/>
      <w:numFmt w:val="decimal"/>
      <w:pStyle w:val="2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4"/>
  </w:num>
  <w:num w:numId="3">
    <w:abstractNumId w:val="7"/>
  </w:num>
  <w:num w:numId="4">
    <w:abstractNumId w:val="5"/>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606D"/>
    <w:rsid w:val="00022BDE"/>
    <w:rsid w:val="00026ED5"/>
    <w:rsid w:val="000270CF"/>
    <w:rsid w:val="00027171"/>
    <w:rsid w:val="000553EA"/>
    <w:rsid w:val="00083318"/>
    <w:rsid w:val="0009387F"/>
    <w:rsid w:val="00095D42"/>
    <w:rsid w:val="000B1EDC"/>
    <w:rsid w:val="000C2080"/>
    <w:rsid w:val="000E0C08"/>
    <w:rsid w:val="000E2F3C"/>
    <w:rsid w:val="000E57B2"/>
    <w:rsid w:val="000E76A1"/>
    <w:rsid w:val="000F3905"/>
    <w:rsid w:val="00115C6A"/>
    <w:rsid w:val="00126D01"/>
    <w:rsid w:val="00135D47"/>
    <w:rsid w:val="001618C9"/>
    <w:rsid w:val="00171C5E"/>
    <w:rsid w:val="00186B06"/>
    <w:rsid w:val="00191117"/>
    <w:rsid w:val="001B2A6B"/>
    <w:rsid w:val="001B66FD"/>
    <w:rsid w:val="001D31DE"/>
    <w:rsid w:val="001D3AF2"/>
    <w:rsid w:val="001F0ED0"/>
    <w:rsid w:val="001F373D"/>
    <w:rsid w:val="00206311"/>
    <w:rsid w:val="00212780"/>
    <w:rsid w:val="002150B4"/>
    <w:rsid w:val="00220BAA"/>
    <w:rsid w:val="00223D97"/>
    <w:rsid w:val="002435DD"/>
    <w:rsid w:val="00257733"/>
    <w:rsid w:val="002577AE"/>
    <w:rsid w:val="002A18F0"/>
    <w:rsid w:val="002A6D38"/>
    <w:rsid w:val="002E7983"/>
    <w:rsid w:val="002F0A3B"/>
    <w:rsid w:val="002F4B63"/>
    <w:rsid w:val="00301000"/>
    <w:rsid w:val="00313769"/>
    <w:rsid w:val="003210BE"/>
    <w:rsid w:val="0032488F"/>
    <w:rsid w:val="00372B4C"/>
    <w:rsid w:val="003736F0"/>
    <w:rsid w:val="00385B41"/>
    <w:rsid w:val="00394EE5"/>
    <w:rsid w:val="0039606D"/>
    <w:rsid w:val="003B443D"/>
    <w:rsid w:val="003B760A"/>
    <w:rsid w:val="003C5787"/>
    <w:rsid w:val="003D527F"/>
    <w:rsid w:val="003F4B21"/>
    <w:rsid w:val="004052E3"/>
    <w:rsid w:val="00416D4D"/>
    <w:rsid w:val="00440D54"/>
    <w:rsid w:val="00443CD0"/>
    <w:rsid w:val="00452702"/>
    <w:rsid w:val="0046165E"/>
    <w:rsid w:val="0049596B"/>
    <w:rsid w:val="004A6B36"/>
    <w:rsid w:val="004E1739"/>
    <w:rsid w:val="004E1B0B"/>
    <w:rsid w:val="004F15BE"/>
    <w:rsid w:val="00503D30"/>
    <w:rsid w:val="00503F20"/>
    <w:rsid w:val="00520BB2"/>
    <w:rsid w:val="00520E9D"/>
    <w:rsid w:val="005555B2"/>
    <w:rsid w:val="00557912"/>
    <w:rsid w:val="005922F1"/>
    <w:rsid w:val="005A17B2"/>
    <w:rsid w:val="005B0B24"/>
    <w:rsid w:val="005B220D"/>
    <w:rsid w:val="005B63E2"/>
    <w:rsid w:val="005D7ADB"/>
    <w:rsid w:val="00630422"/>
    <w:rsid w:val="00632696"/>
    <w:rsid w:val="006559D0"/>
    <w:rsid w:val="0066376A"/>
    <w:rsid w:val="0067324F"/>
    <w:rsid w:val="006763F6"/>
    <w:rsid w:val="00686487"/>
    <w:rsid w:val="00694D0B"/>
    <w:rsid w:val="006B0E19"/>
    <w:rsid w:val="006D67CE"/>
    <w:rsid w:val="006E6332"/>
    <w:rsid w:val="0070541A"/>
    <w:rsid w:val="00721B4F"/>
    <w:rsid w:val="007266E4"/>
    <w:rsid w:val="00743ABA"/>
    <w:rsid w:val="007453A5"/>
    <w:rsid w:val="007503A6"/>
    <w:rsid w:val="007538F4"/>
    <w:rsid w:val="00756AB0"/>
    <w:rsid w:val="0076109F"/>
    <w:rsid w:val="00777512"/>
    <w:rsid w:val="007934FC"/>
    <w:rsid w:val="00794A36"/>
    <w:rsid w:val="007C4BA3"/>
    <w:rsid w:val="007D1F7A"/>
    <w:rsid w:val="0080261E"/>
    <w:rsid w:val="008444EC"/>
    <w:rsid w:val="008778E7"/>
    <w:rsid w:val="008A1ED9"/>
    <w:rsid w:val="009232FE"/>
    <w:rsid w:val="00930A33"/>
    <w:rsid w:val="00932DBE"/>
    <w:rsid w:val="00945728"/>
    <w:rsid w:val="00972023"/>
    <w:rsid w:val="00981AB6"/>
    <w:rsid w:val="00986252"/>
    <w:rsid w:val="00990BAF"/>
    <w:rsid w:val="009E3F1D"/>
    <w:rsid w:val="009E4ACB"/>
    <w:rsid w:val="009E79F7"/>
    <w:rsid w:val="009F65A7"/>
    <w:rsid w:val="00A22DA1"/>
    <w:rsid w:val="00A46011"/>
    <w:rsid w:val="00A46BF9"/>
    <w:rsid w:val="00A605DD"/>
    <w:rsid w:val="00A83268"/>
    <w:rsid w:val="00A84441"/>
    <w:rsid w:val="00A90804"/>
    <w:rsid w:val="00AA0284"/>
    <w:rsid w:val="00AB0C57"/>
    <w:rsid w:val="00AB0D6D"/>
    <w:rsid w:val="00AB14C3"/>
    <w:rsid w:val="00AB4715"/>
    <w:rsid w:val="00AC17D2"/>
    <w:rsid w:val="00AC6497"/>
    <w:rsid w:val="00AE013B"/>
    <w:rsid w:val="00B14A29"/>
    <w:rsid w:val="00B36D7E"/>
    <w:rsid w:val="00B528C3"/>
    <w:rsid w:val="00B95210"/>
    <w:rsid w:val="00B96A7E"/>
    <w:rsid w:val="00B97046"/>
    <w:rsid w:val="00BA1CCE"/>
    <w:rsid w:val="00BB017A"/>
    <w:rsid w:val="00BB4BEE"/>
    <w:rsid w:val="00BC6FEB"/>
    <w:rsid w:val="00BD2D98"/>
    <w:rsid w:val="00BE547D"/>
    <w:rsid w:val="00BF5D14"/>
    <w:rsid w:val="00BF7B23"/>
    <w:rsid w:val="00C05E64"/>
    <w:rsid w:val="00C05E9A"/>
    <w:rsid w:val="00C1451D"/>
    <w:rsid w:val="00C34A6D"/>
    <w:rsid w:val="00C52ED5"/>
    <w:rsid w:val="00C5474E"/>
    <w:rsid w:val="00C6475D"/>
    <w:rsid w:val="00C71115"/>
    <w:rsid w:val="00C967C2"/>
    <w:rsid w:val="00CB51BA"/>
    <w:rsid w:val="00CB7A17"/>
    <w:rsid w:val="00CE23DA"/>
    <w:rsid w:val="00CE5833"/>
    <w:rsid w:val="00CF2BAD"/>
    <w:rsid w:val="00D21AC1"/>
    <w:rsid w:val="00D23365"/>
    <w:rsid w:val="00D237D1"/>
    <w:rsid w:val="00D6022C"/>
    <w:rsid w:val="00D64C82"/>
    <w:rsid w:val="00D747BD"/>
    <w:rsid w:val="00D80697"/>
    <w:rsid w:val="00D8356F"/>
    <w:rsid w:val="00D93B8F"/>
    <w:rsid w:val="00D941F9"/>
    <w:rsid w:val="00DA2C4B"/>
    <w:rsid w:val="00DA6729"/>
    <w:rsid w:val="00DA7712"/>
    <w:rsid w:val="00DB1364"/>
    <w:rsid w:val="00DB6CED"/>
    <w:rsid w:val="00DD1C43"/>
    <w:rsid w:val="00DE385D"/>
    <w:rsid w:val="00E10453"/>
    <w:rsid w:val="00E32AF7"/>
    <w:rsid w:val="00E42D4A"/>
    <w:rsid w:val="00E43D5D"/>
    <w:rsid w:val="00E65CB1"/>
    <w:rsid w:val="00E71C6C"/>
    <w:rsid w:val="00E72843"/>
    <w:rsid w:val="00EA1301"/>
    <w:rsid w:val="00EB010B"/>
    <w:rsid w:val="00EB4DCA"/>
    <w:rsid w:val="00EC1EBB"/>
    <w:rsid w:val="00ED78E0"/>
    <w:rsid w:val="00EE4349"/>
    <w:rsid w:val="00EF1E09"/>
    <w:rsid w:val="00F07CA1"/>
    <w:rsid w:val="00F11A71"/>
    <w:rsid w:val="00F80FCD"/>
    <w:rsid w:val="00F8295F"/>
    <w:rsid w:val="00FB33A2"/>
    <w:rsid w:val="00FB68F9"/>
    <w:rsid w:val="00FD001F"/>
    <w:rsid w:val="00FD4A24"/>
    <w:rsid w:val="00FD5CA6"/>
    <w:rsid w:val="00FD684D"/>
    <w:rsid w:val="00FD7064"/>
    <w:rsid w:val="00FF6EB4"/>
    <w:rsid w:val="09B57E6C"/>
    <w:rsid w:val="164A77E6"/>
    <w:rsid w:val="25A059C0"/>
    <w:rsid w:val="2919107E"/>
    <w:rsid w:val="2C98221F"/>
    <w:rsid w:val="6CD4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Times New Roman" w:cs="宋体"/>
      <w:kern w:val="0"/>
      <w:sz w:val="22"/>
      <w:szCs w:val="22"/>
      <w:lang w:val="en-US" w:eastAsia="en-US" w:bidi="en-US"/>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rPr>
      <w:rFonts w:eastAsia="宋体"/>
      <w:sz w:val="21"/>
      <w:szCs w:val="21"/>
    </w:rPr>
  </w:style>
  <w:style w:type="paragraph" w:styleId="4">
    <w:name w:val="Date"/>
    <w:basedOn w:val="1"/>
    <w:next w:val="1"/>
    <w:link w:val="43"/>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3"/>
    <w:qFormat/>
    <w:uiPriority w:val="1"/>
    <w:rPr>
      <w:rFonts w:ascii="宋体" w:hAnsi="宋体" w:eastAsia="宋体" w:cs="宋体"/>
      <w:kern w:val="0"/>
      <w:szCs w:val="21"/>
      <w:lang w:eastAsia="en-US" w:bidi="en-US"/>
    </w:rPr>
  </w:style>
  <w:style w:type="paragraph" w:customStyle="1" w:styleId="13">
    <w:name w:val="段"/>
    <w:link w:val="1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4">
    <w:name w:val="段 Char"/>
    <w:link w:val="13"/>
    <w:qFormat/>
    <w:uiPriority w:val="0"/>
    <w:rPr>
      <w:rFonts w:ascii="宋体" w:hAnsi="Times New Roman" w:eastAsia="宋体" w:cs="Times New Roman"/>
      <w:kern w:val="0"/>
      <w:szCs w:val="20"/>
    </w:rPr>
  </w:style>
  <w:style w:type="character" w:customStyle="1" w:styleId="15">
    <w:name w:val="标题 1 字符"/>
    <w:basedOn w:val="9"/>
    <w:link w:val="2"/>
    <w:qFormat/>
    <w:uiPriority w:val="9"/>
    <w:rPr>
      <w:rFonts w:ascii="宋体" w:hAnsi="宋体" w:eastAsia="Times New Roman" w:cs="宋体"/>
      <w:b/>
      <w:bCs/>
      <w:kern w:val="44"/>
      <w:sz w:val="44"/>
      <w:szCs w:val="44"/>
      <w:lang w:eastAsia="en-US" w:bidi="en-US"/>
    </w:rPr>
  </w:style>
  <w:style w:type="paragraph" w:customStyle="1" w:styleId="16">
    <w:name w:val="正文表标题"/>
    <w:next w:val="13"/>
    <w:qFormat/>
    <w:uiPriority w:val="0"/>
    <w:pPr>
      <w:tabs>
        <w:tab w:val="left" w:pos="720"/>
      </w:tabs>
      <w:spacing w:beforeLines="50" w:afterLines="50"/>
      <w:ind w:left="720" w:hanging="720"/>
      <w:jc w:val="center"/>
    </w:pPr>
    <w:rPr>
      <w:rFonts w:ascii="黑体" w:hAnsi="Times New Roman" w:eastAsia="黑体" w:cs="Times New Roman"/>
      <w:kern w:val="0"/>
      <w:sz w:val="21"/>
      <w:szCs w:val="20"/>
      <w:lang w:val="en-US" w:eastAsia="zh-CN" w:bidi="ar-SA"/>
    </w:rPr>
  </w:style>
  <w:style w:type="paragraph" w:customStyle="1" w:styleId="17">
    <w:name w:val="正文图标题"/>
    <w:next w:val="13"/>
    <w:qFormat/>
    <w:uiPriority w:val="0"/>
    <w:pPr>
      <w:numPr>
        <w:ilvl w:val="0"/>
        <w:numId w:val="1"/>
      </w:numPr>
      <w:tabs>
        <w:tab w:val="left" w:pos="360"/>
      </w:tabs>
      <w:spacing w:beforeLines="50" w:afterLines="50"/>
      <w:ind w:left="0"/>
      <w:jc w:val="center"/>
    </w:pPr>
    <w:rPr>
      <w:rFonts w:ascii="黑体" w:hAnsi="Times New Roman" w:eastAsia="黑体" w:cs="Times New Roman"/>
      <w:kern w:val="0"/>
      <w:sz w:val="21"/>
      <w:szCs w:val="20"/>
      <w:lang w:val="en-US" w:eastAsia="zh-CN" w:bidi="ar-SA"/>
    </w:rPr>
  </w:style>
  <w:style w:type="paragraph" w:customStyle="1" w:styleId="18">
    <w:name w:val="其他发布日期"/>
    <w:basedOn w:val="1"/>
    <w:qFormat/>
    <w:uiPriority w:val="0"/>
    <w:pPr>
      <w:framePr w:w="3997" w:h="471" w:hRule="exact" w:vSpace="181" w:wrap="around" w:vAnchor="page" w:hAnchor="page" w:x="1419" w:y="14097" w:anchorLock="1"/>
      <w:widowControl/>
      <w:numPr>
        <w:ilvl w:val="0"/>
        <w:numId w:val="2"/>
      </w:numPr>
      <w:autoSpaceDE/>
      <w:autoSpaceDN/>
    </w:pPr>
    <w:rPr>
      <w:rFonts w:ascii="Times New Roman" w:hAnsi="Times New Roman" w:eastAsia="黑体" w:cs="Times New Roman"/>
      <w:sz w:val="28"/>
      <w:szCs w:val="20"/>
      <w:lang w:eastAsia="zh-CN" w:bidi="ar-SA"/>
    </w:rPr>
  </w:style>
  <w:style w:type="paragraph" w:customStyle="1" w:styleId="19">
    <w:name w:val="一级条标题"/>
    <w:next w:val="13"/>
    <w:qFormat/>
    <w:uiPriority w:val="0"/>
    <w:pPr>
      <w:tabs>
        <w:tab w:val="left" w:pos="1440"/>
      </w:tabs>
      <w:spacing w:beforeLines="50" w:afterLines="50"/>
      <w:ind w:left="1440" w:hanging="720"/>
      <w:outlineLvl w:val="2"/>
    </w:pPr>
    <w:rPr>
      <w:rFonts w:ascii="黑体" w:hAnsi="Times New Roman" w:eastAsia="黑体" w:cs="Times New Roman"/>
      <w:kern w:val="0"/>
      <w:sz w:val="21"/>
      <w:szCs w:val="21"/>
      <w:lang w:val="en-US" w:eastAsia="zh-CN" w:bidi="ar-SA"/>
    </w:rPr>
  </w:style>
  <w:style w:type="paragraph" w:customStyle="1" w:styleId="20">
    <w:name w:val="章标题"/>
    <w:next w:val="13"/>
    <w:qFormat/>
    <w:uiPriority w:val="0"/>
    <w:pPr>
      <w:tabs>
        <w:tab w:val="left" w:pos="720"/>
      </w:tabs>
      <w:spacing w:beforeLines="100" w:afterLines="100"/>
      <w:ind w:left="720" w:hanging="720"/>
      <w:jc w:val="both"/>
      <w:outlineLvl w:val="1"/>
    </w:pPr>
    <w:rPr>
      <w:rFonts w:ascii="黑体" w:hAnsi="Times New Roman" w:eastAsia="黑体" w:cs="Times New Roman"/>
      <w:kern w:val="0"/>
      <w:sz w:val="21"/>
      <w:szCs w:val="20"/>
      <w:lang w:val="en-US" w:eastAsia="zh-CN" w:bidi="ar-SA"/>
    </w:rPr>
  </w:style>
  <w:style w:type="paragraph" w:customStyle="1" w:styleId="21">
    <w:name w:val="二级条标题"/>
    <w:basedOn w:val="19"/>
    <w:next w:val="13"/>
    <w:qFormat/>
    <w:uiPriority w:val="0"/>
    <w:pPr>
      <w:spacing w:before="50" w:after="50"/>
      <w:ind w:left="284" w:hanging="720"/>
      <w:outlineLvl w:val="3"/>
    </w:pPr>
  </w:style>
  <w:style w:type="paragraph" w:customStyle="1" w:styleId="22">
    <w:name w:val="三级条标题"/>
    <w:basedOn w:val="21"/>
    <w:next w:val="13"/>
    <w:qFormat/>
    <w:uiPriority w:val="0"/>
    <w:pPr>
      <w:ind w:left="284" w:hanging="720"/>
      <w:outlineLvl w:val="4"/>
    </w:pPr>
  </w:style>
  <w:style w:type="paragraph" w:customStyle="1" w:styleId="23">
    <w:name w:val="四级条标题"/>
    <w:basedOn w:val="22"/>
    <w:next w:val="13"/>
    <w:qFormat/>
    <w:uiPriority w:val="0"/>
    <w:pPr>
      <w:ind w:left="284" w:hanging="720"/>
      <w:outlineLvl w:val="5"/>
    </w:pPr>
  </w:style>
  <w:style w:type="paragraph" w:customStyle="1" w:styleId="24">
    <w:name w:val="五级条标题"/>
    <w:basedOn w:val="23"/>
    <w:next w:val="13"/>
    <w:qFormat/>
    <w:uiPriority w:val="0"/>
    <w:pPr>
      <w:ind w:left="284" w:hanging="720"/>
      <w:outlineLvl w:val="6"/>
    </w:pPr>
  </w:style>
  <w:style w:type="paragraph" w:customStyle="1" w:styleId="25">
    <w:name w:val="二级无"/>
    <w:basedOn w:val="21"/>
    <w:qFormat/>
    <w:uiPriority w:val="0"/>
    <w:pPr>
      <w:spacing w:beforeLines="0" w:afterLines="0"/>
      <w:ind w:left="284" w:hanging="720"/>
    </w:pPr>
    <w:rPr>
      <w:rFonts w:ascii="宋体" w:eastAsia="宋体"/>
    </w:rPr>
  </w:style>
  <w:style w:type="paragraph" w:customStyle="1" w:styleId="26">
    <w:name w:val="标准文件_二级条标题"/>
    <w:next w:val="1"/>
    <w:qFormat/>
    <w:uiPriority w:val="99"/>
    <w:pPr>
      <w:widowControl w:val="0"/>
      <w:numPr>
        <w:ilvl w:val="3"/>
        <w:numId w:val="3"/>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27">
    <w:name w:val="标准文件_三级条标题"/>
    <w:basedOn w:val="26"/>
    <w:next w:val="1"/>
    <w:qFormat/>
    <w:uiPriority w:val="99"/>
    <w:pPr>
      <w:widowControl/>
      <w:numPr>
        <w:ilvl w:val="4"/>
      </w:numPr>
      <w:outlineLvl w:val="3"/>
    </w:pPr>
  </w:style>
  <w:style w:type="paragraph" w:customStyle="1" w:styleId="28">
    <w:name w:val="标准文件_四级条标题"/>
    <w:next w:val="1"/>
    <w:qFormat/>
    <w:uiPriority w:val="99"/>
    <w:pPr>
      <w:widowControl w:val="0"/>
      <w:numPr>
        <w:ilvl w:val="5"/>
        <w:numId w:val="3"/>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29">
    <w:name w:val="标准文件_五级条标题"/>
    <w:next w:val="1"/>
    <w:qFormat/>
    <w:uiPriority w:val="99"/>
    <w:pPr>
      <w:widowControl w:val="0"/>
      <w:numPr>
        <w:ilvl w:val="6"/>
        <w:numId w:val="3"/>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30">
    <w:name w:val="标准文件_章标题"/>
    <w:next w:val="1"/>
    <w:qFormat/>
    <w:uiPriority w:val="0"/>
    <w:pPr>
      <w:numPr>
        <w:ilvl w:val="1"/>
        <w:numId w:val="3"/>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31">
    <w:name w:val="标准文件_一级条标题"/>
    <w:basedOn w:val="30"/>
    <w:next w:val="1"/>
    <w:qFormat/>
    <w:uiPriority w:val="99"/>
    <w:pPr>
      <w:numPr>
        <w:ilvl w:val="2"/>
      </w:numPr>
      <w:spacing w:before="50" w:beforeLines="50" w:after="50" w:afterLines="50"/>
      <w:outlineLvl w:val="1"/>
    </w:pPr>
  </w:style>
  <w:style w:type="paragraph" w:customStyle="1" w:styleId="32">
    <w:name w:val="标准文件_正文表标题"/>
    <w:next w:val="1"/>
    <w:qFormat/>
    <w:uiPriority w:val="0"/>
    <w:pPr>
      <w:tabs>
        <w:tab w:val="left" w:pos="0"/>
      </w:tabs>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33">
    <w:name w:val="前言标题"/>
    <w:next w:val="1"/>
    <w:qFormat/>
    <w:uiPriority w:val="99"/>
    <w:pPr>
      <w:numPr>
        <w:ilvl w:val="0"/>
        <w:numId w:val="3"/>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paragraph" w:customStyle="1" w:styleId="34">
    <w:name w:val="标准文件_二级无标题"/>
    <w:basedOn w:val="26"/>
    <w:qFormat/>
    <w:uiPriority w:val="0"/>
    <w:pPr>
      <w:numPr>
        <w:numId w:val="4"/>
      </w:numPr>
      <w:tabs>
        <w:tab w:val="left" w:pos="2880"/>
      </w:tabs>
      <w:spacing w:before="0" w:beforeLines="0" w:after="0" w:afterLines="0"/>
      <w:outlineLvl w:val="9"/>
    </w:pPr>
    <w:rPr>
      <w:rFonts w:ascii="宋体" w:eastAsia="宋体"/>
    </w:rPr>
  </w:style>
  <w:style w:type="paragraph" w:styleId="35">
    <w:name w:val="List Paragraph"/>
    <w:basedOn w:val="1"/>
    <w:qFormat/>
    <w:uiPriority w:val="34"/>
    <w:pPr>
      <w:ind w:firstLine="420" w:firstLineChars="200"/>
    </w:pPr>
  </w:style>
  <w:style w:type="paragraph" w:customStyle="1" w:styleId="36">
    <w:name w:val="标准文件_段"/>
    <w:link w:val="4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7">
    <w:name w:val="标准文件_一级项"/>
    <w:qFormat/>
    <w:uiPriority w:val="0"/>
    <w:pPr>
      <w:numPr>
        <w:ilvl w:val="0"/>
        <w:numId w:val="5"/>
      </w:numPr>
    </w:pPr>
    <w:rPr>
      <w:rFonts w:ascii="宋体" w:hAnsi="Times New Roman" w:eastAsia="宋体" w:cs="Times New Roman"/>
      <w:kern w:val="0"/>
      <w:sz w:val="21"/>
      <w:szCs w:val="20"/>
      <w:lang w:val="en-US" w:eastAsia="zh-CN" w:bidi="ar-SA"/>
    </w:rPr>
  </w:style>
  <w:style w:type="paragraph" w:customStyle="1" w:styleId="38">
    <w:name w:val="标准文件_三级项"/>
    <w:basedOn w:val="1"/>
    <w:qFormat/>
    <w:uiPriority w:val="0"/>
    <w:pPr>
      <w:numPr>
        <w:ilvl w:val="2"/>
        <w:numId w:val="5"/>
      </w:numPr>
      <w:autoSpaceDE/>
      <w:autoSpaceDN/>
      <w:adjustRightInd w:val="0"/>
      <w:spacing w:line="536870612" w:lineRule="auto"/>
      <w:jc w:val="both"/>
    </w:pPr>
    <w:rPr>
      <w:rFonts w:ascii="Times New Roman" w:hAnsi="Times New Roman" w:eastAsia="宋体" w:cs="Times New Roman"/>
      <w:kern w:val="2"/>
      <w:sz w:val="21"/>
      <w:szCs w:val="21"/>
      <w:lang w:eastAsia="zh-CN" w:bidi="ar-SA"/>
    </w:rPr>
  </w:style>
  <w:style w:type="paragraph" w:customStyle="1" w:styleId="39">
    <w:name w:val="标准文件_表格"/>
    <w:basedOn w:val="36"/>
    <w:qFormat/>
    <w:uiPriority w:val="0"/>
    <w:pPr>
      <w:ind w:firstLine="0" w:firstLineChars="0"/>
      <w:jc w:val="center"/>
    </w:pPr>
    <w:rPr>
      <w:sz w:val="18"/>
    </w:rPr>
  </w:style>
  <w:style w:type="paragraph" w:customStyle="1" w:styleId="40">
    <w:name w:val="标准文件_注×："/>
    <w:qFormat/>
    <w:uiPriority w:val="0"/>
    <w:pPr>
      <w:widowControl w:val="0"/>
      <w:numPr>
        <w:ilvl w:val="0"/>
        <w:numId w:val="6"/>
      </w:numPr>
      <w:autoSpaceDE w:val="0"/>
      <w:autoSpaceDN w:val="0"/>
      <w:jc w:val="both"/>
    </w:pPr>
    <w:rPr>
      <w:rFonts w:ascii="宋体" w:hAnsi="Times New Roman" w:eastAsia="宋体" w:cs="Times New Roman"/>
      <w:kern w:val="0"/>
      <w:sz w:val="18"/>
      <w:szCs w:val="18"/>
      <w:lang w:val="en-US" w:eastAsia="zh-CN" w:bidi="ar-SA"/>
    </w:rPr>
  </w:style>
  <w:style w:type="character" w:customStyle="1" w:styleId="41">
    <w:name w:val="标准文件_段 Char"/>
    <w:link w:val="36"/>
    <w:qFormat/>
    <w:uiPriority w:val="0"/>
    <w:rPr>
      <w:rFonts w:ascii="宋体" w:hAnsi="Times New Roman" w:eastAsia="宋体" w:cs="Times New Roman"/>
      <w:kern w:val="0"/>
      <w:szCs w:val="20"/>
    </w:rPr>
  </w:style>
  <w:style w:type="paragraph" w:customStyle="1" w:styleId="42">
    <w:name w:val="标准文件_二级项2"/>
    <w:basedOn w:val="36"/>
    <w:qFormat/>
    <w:uiPriority w:val="0"/>
    <w:pPr>
      <w:numPr>
        <w:ilvl w:val="1"/>
        <w:numId w:val="5"/>
      </w:numPr>
      <w:ind w:firstLineChars="0"/>
    </w:pPr>
  </w:style>
  <w:style w:type="character" w:customStyle="1" w:styleId="43">
    <w:name w:val="日期 字符"/>
    <w:basedOn w:val="9"/>
    <w:link w:val="4"/>
    <w:semiHidden/>
    <w:qFormat/>
    <w:uiPriority w:val="99"/>
    <w:rPr>
      <w:rFonts w:ascii="宋体" w:hAnsi="宋体" w:eastAsia="Times New Roman" w:cs="宋体"/>
      <w:kern w:val="0"/>
      <w:sz w:val="22"/>
      <w:lang w:eastAsia="en-US" w:bidi="en-US"/>
    </w:rPr>
  </w:style>
  <w:style w:type="table" w:customStyle="1" w:styleId="44">
    <w:name w:val="网格型1"/>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4"/>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标准文件_破折号列项（二级）"/>
    <w:basedOn w:val="1"/>
    <w:qFormat/>
    <w:uiPriority w:val="0"/>
    <w:pPr>
      <w:widowControl/>
      <w:numPr>
        <w:ilvl w:val="0"/>
        <w:numId w:val="7"/>
      </w:numPr>
      <w:autoSpaceDE/>
      <w:autoSpaceDN/>
      <w:adjustRightInd w:val="0"/>
      <w:snapToGrid w:val="0"/>
      <w:ind w:firstLine="200" w:firstLineChars="200"/>
    </w:pPr>
    <w:rPr>
      <w:rFonts w:ascii="Times New Roman" w:hAnsi="Times New Roman" w:eastAsia="宋体" w:cs="Times New Roman"/>
      <w:sz w:val="21"/>
      <w:szCs w:val="20"/>
      <w:lang w:eastAsia="zh-CN" w:bidi="ar-SA"/>
    </w:rPr>
  </w:style>
  <w:style w:type="table" w:customStyle="1" w:styleId="49">
    <w:name w:val="网格型5"/>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6"/>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7"/>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8"/>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9"/>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标准文件_数字编号列项（二级）"/>
    <w:qFormat/>
    <w:uiPriority w:val="0"/>
    <w:pPr>
      <w:numPr>
        <w:ilvl w:val="1"/>
        <w:numId w:val="8"/>
      </w:numPr>
      <w:tabs>
        <w:tab w:val="left" w:pos="851"/>
      </w:tabs>
      <w:jc w:val="both"/>
    </w:pPr>
    <w:rPr>
      <w:rFonts w:ascii="宋体" w:hAnsi="Times New Roman" w:eastAsia="宋体" w:cs="Times New Roman"/>
      <w:kern w:val="0"/>
      <w:sz w:val="21"/>
      <w:szCs w:val="20"/>
      <w:lang w:val="en-US" w:eastAsia="zh-CN" w:bidi="ar-SA"/>
    </w:rPr>
  </w:style>
  <w:style w:type="paragraph" w:customStyle="1" w:styleId="55">
    <w:name w:val="标准文件_编号列项（三级）"/>
    <w:qFormat/>
    <w:uiPriority w:val="0"/>
    <w:pPr>
      <w:numPr>
        <w:ilvl w:val="2"/>
        <w:numId w:val="8"/>
      </w:numPr>
      <w:tabs>
        <w:tab w:val="left" w:pos="851"/>
      </w:tabs>
    </w:pPr>
    <w:rPr>
      <w:rFonts w:ascii="宋体" w:hAnsi="Times New Roman" w:eastAsia="宋体" w:cs="Times New Roman"/>
      <w:kern w:val="0"/>
      <w:sz w:val="21"/>
      <w:szCs w:val="20"/>
      <w:lang w:val="en-US" w:eastAsia="zh-CN" w:bidi="ar-SA"/>
    </w:rPr>
  </w:style>
  <w:style w:type="paragraph" w:customStyle="1" w:styleId="56">
    <w:name w:val="标准文件_一级无标题"/>
    <w:basedOn w:val="31"/>
    <w:qFormat/>
    <w:uiPriority w:val="0"/>
    <w:pPr>
      <w:numPr>
        <w:numId w:val="1"/>
      </w:numPr>
      <w:tabs>
        <w:tab w:val="left" w:pos="1418"/>
      </w:tabs>
      <w:spacing w:before="0" w:beforeLines="0" w:after="0" w:afterLines="0"/>
      <w:outlineLvl w:val="9"/>
    </w:pPr>
    <w:rPr>
      <w:rFonts w:ascii="宋体" w:eastAsia="宋体"/>
    </w:rPr>
  </w:style>
  <w:style w:type="paragraph" w:customStyle="1" w:styleId="57">
    <w:name w:val="标准文件_三级无标题"/>
    <w:basedOn w:val="27"/>
    <w:qFormat/>
    <w:uiPriority w:val="0"/>
    <w:pPr>
      <w:numPr>
        <w:numId w:val="1"/>
      </w:numPr>
      <w:tabs>
        <w:tab w:val="left" w:pos="2551"/>
      </w:tabs>
      <w:spacing w:before="0" w:beforeLines="0" w:after="0" w:afterLines="0"/>
      <w:outlineLvl w:val="9"/>
    </w:pPr>
    <w:rPr>
      <w:rFonts w:ascii="宋体" w:eastAsia="宋体"/>
    </w:rPr>
  </w:style>
  <w:style w:type="paragraph" w:customStyle="1" w:styleId="58">
    <w:name w:val="标准文件_四级无标题"/>
    <w:basedOn w:val="28"/>
    <w:qFormat/>
    <w:uiPriority w:val="0"/>
    <w:pPr>
      <w:numPr>
        <w:numId w:val="1"/>
      </w:numPr>
      <w:tabs>
        <w:tab w:val="left" w:pos="3260"/>
      </w:tabs>
      <w:spacing w:before="0" w:beforeLines="0" w:after="0" w:afterLines="0"/>
      <w:outlineLvl w:val="9"/>
    </w:pPr>
    <w:rPr>
      <w:rFonts w:ascii="宋体" w:hAnsi="黑体" w:eastAsia="宋体"/>
      <w:szCs w:val="52"/>
    </w:rPr>
  </w:style>
  <w:style w:type="paragraph" w:customStyle="1" w:styleId="59">
    <w:name w:val="标准文件_字母编号列项（一级）"/>
    <w:qFormat/>
    <w:uiPriority w:val="0"/>
    <w:pPr>
      <w:numPr>
        <w:ilvl w:val="0"/>
        <w:numId w:val="8"/>
      </w:numPr>
      <w:jc w:val="both"/>
    </w:pPr>
    <w:rPr>
      <w:rFonts w:ascii="宋体" w:hAnsi="Times New Roman" w:eastAsia="宋体" w:cs="Times New Roman"/>
      <w:kern w:val="0"/>
      <w:sz w:val="21"/>
      <w:szCs w:val="20"/>
      <w:lang w:val="en-US" w:eastAsia="zh-CN" w:bidi="ar-SA"/>
    </w:rPr>
  </w:style>
  <w:style w:type="character" w:customStyle="1" w:styleId="60">
    <w:name w:val="段 字符"/>
    <w:basedOn w:val="9"/>
    <w:qFormat/>
    <w:uiPriority w:val="0"/>
    <w:rPr>
      <w:rFonts w:ascii="Times New Roman" w:hAnsi="Times New Roman" w:cs="Calibri"/>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2718</Words>
  <Characters>2843</Characters>
  <Lines>76</Lines>
  <Paragraphs>21</Paragraphs>
  <TotalTime>6</TotalTime>
  <ScaleCrop>false</ScaleCrop>
  <LinksUpToDate>false</LinksUpToDate>
  <CharactersWithSpaces>2925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2021-10-22T09:34:00Z</dcterms:created>
  <dc:creator>中尉</dc:creator>
  <cp:lastModifiedBy>YU</cp:lastModifiedBy>
  <cp:lastPrinted>2022-03-19T01:18:00Z</cp:lastPrinted>
  <dcterms:modified xsi:type="dcterms:W3CDTF">2026-01-07T03:28:49Z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16153CEFDA454B6082590298AEADB0F0_12</vt:lpwstr>
  </property>
  <property fmtid="{D5CDD505-2E9C-101B-9397-08002B2CF9AE}" pid="4" name="KSOTemplateDocerSaveRecord">
    <vt:lpwstr>eyJoZGlkIjoiNjY0YTI4NTUzOGQ3OTcwYjk3NjAwNWUwMDUyZjBiMGIiLCJ1c2VySWQiOiI0NTc4MTAxNTMifQ==</vt:lpwstr>
  </property>
</Properties>
</file>