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69BB0">
      <w:pPr>
        <w:pStyle w:val="72"/>
        <w:framePr w:wrap="around"/>
        <w:rPr>
          <w:rFonts w:hint="default" w:hAnsi="黑体" w:eastAsia="黑体"/>
          <w:lang w:val="en-US" w:eastAsia="zh-CN"/>
        </w:rPr>
      </w:pPr>
      <w:r>
        <w:rPr>
          <w:rFonts w:ascii="Times New Roman" w:hAnsi="Times New Roman" w:cs="Times New Roman"/>
        </w:rPr>
        <w:t>ICS</w:t>
      </w:r>
      <w:r>
        <w:rPr>
          <w:rFonts w:hAnsi="黑体"/>
        </w:rPr>
        <w:t> </w:t>
      </w:r>
      <w:r>
        <w:rPr>
          <w:rFonts w:hint="eastAsia"/>
          <w:lang w:val="en-US" w:eastAsia="zh-CN"/>
        </w:rPr>
        <w:t>11.020</w:t>
      </w:r>
    </w:p>
    <w:p w14:paraId="4016EFF8">
      <w:pPr>
        <w:pStyle w:val="72"/>
        <w:framePr w:wrap="around"/>
        <w:rPr>
          <w:rFonts w:hint="default" w:hAnsi="黑体" w:eastAsia="黑体"/>
          <w:lang w:val="en-US" w:eastAsia="zh-CN"/>
        </w:rPr>
      </w:pPr>
      <w:r>
        <w:rPr>
          <w:rFonts w:hint="default" w:ascii="Times New Roman" w:hAnsi="Times New Roman" w:cs="Times New Roman"/>
        </w:rPr>
        <w:t>C</w:t>
      </w:r>
      <w:r>
        <w:rPr>
          <w:rFonts w:ascii="Times New Roman" w:hAnsi="Times New Roman" w:cs="Times New Roman"/>
        </w:rPr>
        <w:t xml:space="preserve">CS </w:t>
      </w:r>
      <w:r>
        <w:rPr>
          <w:rFonts w:hint="default" w:ascii="Times New Roman" w:hAnsi="Times New Roman" w:cs="Times New Roman"/>
          <w:lang w:val="en-US" w:eastAsia="zh-CN"/>
        </w:rPr>
        <w:t>C</w:t>
      </w:r>
      <w:r>
        <w:rPr>
          <w:rFonts w:hint="eastAsia" w:hAnsi="黑体"/>
          <w:lang w:val="en-US" w:eastAsia="zh-CN"/>
        </w:rPr>
        <w:t xml:space="preserve"> 05</w:t>
      </w:r>
    </w:p>
    <w:p w14:paraId="2E811DF7">
      <w:pPr>
        <w:pStyle w:val="108"/>
        <w:framePr w:wrap="around"/>
      </w:pPr>
    </w:p>
    <w:p w14:paraId="48A524D3">
      <w:pPr>
        <w:pStyle w:val="122"/>
        <w:framePr w:wrap="around"/>
        <w:spacing w:before="0" w:line="240" w:lineRule="exact"/>
        <w:rPr>
          <w:rFonts w:hAnsi="黑体"/>
        </w:rPr>
      </w:pPr>
    </w:p>
    <w:p w14:paraId="17382A44">
      <w:pPr>
        <w:pStyle w:val="122"/>
        <w:framePr w:wrap="around"/>
        <w:spacing w:before="0" w:line="300" w:lineRule="exact"/>
        <w:ind w:right="280"/>
        <w:rPr>
          <w:rFonts w:hAnsi="黑体"/>
        </w:rPr>
      </w:pPr>
      <w:r>
        <w:rPr>
          <w:rFonts w:ascii="Times New Roman" w:hAnsi="Times New Roman" w:cs="Times New Roman"/>
        </w:rPr>
        <w:t>T/</w:t>
      </w:r>
      <w:r>
        <w:rPr>
          <w:rFonts w:hint="default" w:ascii="Times New Roman" w:hAnsi="Times New Roman" w:cs="Times New Roman"/>
        </w:rPr>
        <w:t>CMEAS</w:t>
      </w:r>
      <w:r>
        <w:rPr>
          <w:rFonts w:hAnsi="黑体"/>
        </w:rPr>
        <w:t xml:space="preserve"> XXXX-XXXX</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3264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4986D647">
            <w:pPr>
              <w:pStyle w:val="122"/>
              <w:framePr w:wrap="around"/>
              <w:spacing w:before="0" w:line="300" w:lineRule="exact"/>
              <w:rPr>
                <w:rFonts w:hAnsi="黑体"/>
                <w:sz w:val="21"/>
                <w:szCs w:val="21"/>
              </w:rPr>
            </w:pPr>
            <w:r>
              <w:rPr>
                <w:rFonts w:hint="eastAsia" w:hAnsi="黑体"/>
                <w:sz w:val="21"/>
                <w:szCs w:val="21"/>
              </w:rPr>
              <w:t xml:space="preserve"> </w:t>
            </w:r>
            <w:r>
              <w:rPr>
                <w:rFonts w:hAnsi="黑体"/>
                <w:sz w:val="21"/>
                <w:szCs w:val="21"/>
              </w:rPr>
              <w:t xml:space="preserve">  </w:t>
            </w:r>
          </w:p>
          <w:p w14:paraId="2072CBCD">
            <w:pPr>
              <w:pStyle w:val="127"/>
              <w:framePr w:wrap="around"/>
              <w:spacing w:before="0" w:line="300" w:lineRule="exact"/>
              <w:rPr>
                <w:rFonts w:hAnsi="宋体"/>
              </w:rPr>
            </w:pPr>
          </w:p>
        </w:tc>
      </w:tr>
    </w:tbl>
    <w:p w14:paraId="68B9C706">
      <w:pPr>
        <w:pStyle w:val="122"/>
        <w:framePr w:wrap="around"/>
        <w:rPr>
          <w:rFonts w:hAnsi="黑体"/>
        </w:rPr>
      </w:pPr>
    </w:p>
    <w:p w14:paraId="5ED2211C">
      <w:pPr>
        <w:pStyle w:val="122"/>
        <w:framePr w:wrap="around"/>
        <w:rPr>
          <w:rFonts w:hAnsi="黑体"/>
        </w:rPr>
      </w:pPr>
    </w:p>
    <w:p w14:paraId="72C628D4">
      <w:pPr>
        <w:pStyle w:val="65"/>
        <w:framePr w:wrap="around"/>
      </w:pPr>
      <w:bookmarkStart w:id="0" w:name="OLE_LINK2"/>
      <w:bookmarkStart w:id="1" w:name="OLE_LINK1"/>
      <w:r>
        <w:rPr>
          <w:rFonts w:hint="eastAsia"/>
        </w:rPr>
        <w:t>细胞制品运输管理</w:t>
      </w:r>
      <w:r>
        <w:rPr>
          <w:rFonts w:hint="eastAsia"/>
          <w:lang w:val="en-US" w:eastAsia="zh-CN"/>
        </w:rPr>
        <w:t>技术</w:t>
      </w:r>
      <w:r>
        <w:rPr>
          <w:rFonts w:hint="eastAsia"/>
        </w:rPr>
        <w:t>规范</w:t>
      </w:r>
      <w:bookmarkEnd w:id="0"/>
      <w:bookmarkEnd w:id="1"/>
    </w:p>
    <w:p w14:paraId="0B66E9CA">
      <w:pPr>
        <w:pStyle w:val="64"/>
        <w:framePr w:wrap="around"/>
      </w:pPr>
      <w:r>
        <w:rPr>
          <w:rFonts w:hint="eastAsia"/>
          <w:b/>
          <w:bCs/>
          <w:lang w:val="en-US" w:eastAsia="zh-CN"/>
        </w:rPr>
        <w:t xml:space="preserve">Technical </w:t>
      </w:r>
      <w:r>
        <w:rPr>
          <w:b/>
          <w:bCs/>
        </w:rPr>
        <w:t>Specification for human cell product transportation practice and management</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3CD2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0843DECA">
            <w:pPr>
              <w:pStyle w:val="76"/>
              <w:framePr w:wrap="around"/>
            </w:pPr>
          </w:p>
        </w:tc>
      </w:tr>
    </w:tbl>
    <w:p w14:paraId="32842ABD">
      <w:pPr>
        <w:pStyle w:val="131"/>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284A6E63">
      <w:pPr>
        <w:pStyle w:val="67"/>
        <w:framePr w:wrap="around"/>
      </w:pPr>
      <w:r>
        <w:rPr>
          <w:rFonts w:ascii="黑体"/>
        </w:rPr>
        <w:t>xxxx - xx - xx</w:t>
      </w:r>
      <w:r>
        <w:rPr>
          <w:rFonts w:hint="eastAsia"/>
        </w:rPr>
        <w:t>实施</w:t>
      </w:r>
    </w:p>
    <w:p w14:paraId="0C7F4550">
      <w:pPr>
        <w:pStyle w:val="97"/>
        <w:framePr w:wrap="around"/>
      </w:pPr>
    </w:p>
    <w:p w14:paraId="0B9E80EB">
      <w:pPr>
        <w:pStyle w:val="96"/>
        <w:framePr w:wrap="around"/>
      </w:pPr>
      <w:r>
        <w:rPr>
          <w:rStyle w:val="140"/>
          <w:rFonts w:hint="eastAsia"/>
        </w:rPr>
        <w:t>中国医药教育协会发布</w:t>
      </w:r>
    </w:p>
    <w:p w14:paraId="4043D0A6">
      <w:pPr>
        <w:pStyle w:val="80"/>
        <w:framePr w:w="6229" w:wrap="around" w:x="3060" w:y="2000"/>
        <w:rPr>
          <w:rFonts w:ascii="Times New Roman" w:hAnsi="Times New Roman"/>
        </w:rPr>
      </w:pPr>
      <w:r>
        <w:rPr>
          <w:sz w:val="72"/>
          <w:szCs w:val="72"/>
        </w:rPr>
        <w:t>团体标</w:t>
      </w:r>
      <w:r>
        <w:rPr>
          <w:rFonts w:ascii="Times New Roman" w:hAnsi="Times New Roman"/>
          <w:sz w:val="72"/>
          <w:szCs w:val="72"/>
        </w:rPr>
        <w:t>准</w:t>
      </w:r>
    </w:p>
    <w:p w14:paraId="0C7F9098">
      <w:pPr>
        <w:pStyle w:val="23"/>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62DA8B84">
      <w:pPr>
        <w:pStyle w:val="83"/>
      </w:pPr>
      <w:bookmarkStart w:id="2" w:name="_Toc25253"/>
      <w:bookmarkStart w:id="3" w:name="_Toc18666"/>
      <w:bookmarkStart w:id="4" w:name="_Toc21438"/>
      <w:bookmarkStart w:id="5" w:name="_Toc25015"/>
      <w:bookmarkStart w:id="6" w:name="_Toc17034"/>
      <w:bookmarkStart w:id="7" w:name="_Toc9809"/>
      <w:bookmarkStart w:id="8" w:name="_Toc28299"/>
      <w:bookmarkStart w:id="9" w:name="_Toc4748"/>
      <w:bookmarkStart w:id="10" w:name="_Toc6636"/>
      <w:bookmarkStart w:id="11" w:name="_Toc15809"/>
      <w:bookmarkStart w:id="12" w:name="_Toc5086"/>
      <w:bookmarkStart w:id="13" w:name="_Toc26375"/>
      <w:bookmarkStart w:id="14" w:name="BKQY"/>
      <w:r>
        <w:rPr>
          <w:rFonts w:hint="eastAsia"/>
        </w:rPr>
        <w:t>目</w:t>
      </w:r>
      <w:bookmarkStart w:id="15" w:name="BKML"/>
      <w:r>
        <w:rPr>
          <w:rFonts w:hAnsi="黑体"/>
        </w:rPr>
        <w:t>  </w:t>
      </w:r>
      <w:r>
        <w:rPr>
          <w:rFonts w:hint="eastAsia"/>
        </w:rPr>
        <w:t>次</w:t>
      </w:r>
      <w:bookmarkEnd w:id="2"/>
      <w:bookmarkEnd w:id="3"/>
      <w:bookmarkEnd w:id="4"/>
      <w:bookmarkEnd w:id="5"/>
      <w:bookmarkEnd w:id="6"/>
      <w:bookmarkEnd w:id="7"/>
      <w:bookmarkEnd w:id="8"/>
      <w:bookmarkEnd w:id="9"/>
      <w:bookmarkEnd w:id="10"/>
      <w:bookmarkEnd w:id="11"/>
      <w:bookmarkEnd w:id="12"/>
      <w:bookmarkEnd w:id="13"/>
      <w:bookmarkEnd w:id="15"/>
    </w:p>
    <w:sdt>
      <w:sdtPr>
        <w:rPr>
          <w:rFonts w:ascii="Times New Roman"/>
          <w:szCs w:val="24"/>
          <w:lang w:val="zh-CN"/>
        </w:rPr>
        <w:id w:val="254176424"/>
        <w:docPartObj>
          <w:docPartGallery w:val="Table of Contents"/>
          <w:docPartUnique/>
        </w:docPartObj>
      </w:sdtPr>
      <w:sdtEndPr>
        <w:rPr>
          <w:rFonts w:ascii="Times New Roman"/>
          <w:szCs w:val="24"/>
          <w:lang w:val="zh-CN"/>
        </w:rPr>
      </w:sdtEndPr>
      <w:sdtContent>
        <w:p w14:paraId="09FEA9CA">
          <w:pPr>
            <w:pStyle w:val="19"/>
            <w:tabs>
              <w:tab w:val="right" w:leader="dot" w:pos="9355"/>
              <w:tab w:val="clear" w:pos="9241"/>
            </w:tabs>
            <w:rPr>
              <w:rFonts w:ascii="Times New Roman" w:hAnsi="Times New Roman" w:cs="Times New Roman"/>
            </w:rPr>
          </w:pPr>
          <w:r>
            <w:fldChar w:fldCharType="begin"/>
          </w:r>
          <w:r>
            <w:instrText xml:space="preserve"> TOC \o "1-3" \h \z \u </w:instrText>
          </w:r>
          <w:r>
            <w:fldChar w:fldCharType="separate"/>
          </w:r>
          <w:r>
            <w:rPr>
              <w:rFonts w:ascii="Times New Roman" w:hAnsi="Times New Roman" w:cs="Times New Roman"/>
              <w:lang w:val="zh-CN"/>
            </w:rPr>
            <w:fldChar w:fldCharType="begin"/>
          </w:r>
          <w:r>
            <w:rPr>
              <w:rFonts w:ascii="Times New Roman" w:hAnsi="Times New Roman" w:cs="Times New Roman"/>
              <w:lang w:val="zh-CN"/>
            </w:rPr>
            <w:instrText xml:space="preserve"> HYPERLINK \l _Toc6424 </w:instrText>
          </w:r>
          <w:r>
            <w:rPr>
              <w:rFonts w:ascii="Times New Roman" w:hAnsi="Times New Roman" w:cs="Times New Roman"/>
              <w:lang w:val="zh-CN"/>
            </w:rPr>
            <w:fldChar w:fldCharType="separate"/>
          </w:r>
          <w:r>
            <w:rPr>
              <w:rFonts w:ascii="Times New Roman" w:hAnsi="Times New Roman" w:cs="Times New Roman"/>
            </w:rPr>
            <w:t>前    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_Toc6424 \h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r>
            <w:rPr>
              <w:rFonts w:ascii="Times New Roman" w:hAnsi="Times New Roman" w:cs="Times New Roman"/>
              <w:lang w:val="zh-CN"/>
            </w:rPr>
            <w:fldChar w:fldCharType="end"/>
          </w:r>
        </w:p>
        <w:p w14:paraId="5CD0C437">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_Toc6236 </w:instrText>
          </w:r>
          <w:r>
            <w:rPr>
              <w:rFonts w:ascii="Times New Roman" w:hAnsi="Times New Roman" w:cs="Times New Roman"/>
              <w:lang w:val="zh-CN"/>
            </w:rPr>
            <w:fldChar w:fldCharType="separate"/>
          </w:r>
          <w:r>
            <w:rPr>
              <w:rFonts w:hint="default" w:ascii="Times New Roman" w:hAnsi="Times New Roman" w:eastAsia="黑体" w:cs="Times New Roman"/>
              <w:i w:val="0"/>
              <w:szCs w:val="21"/>
            </w:rPr>
            <w:t xml:space="preserve">1 </w:t>
          </w:r>
          <w:r>
            <w:rPr>
              <w:rFonts w:ascii="Times New Roman" w:hAnsi="Times New Roman" w:cs="Times New Roman"/>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_Toc6236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lang w:val="zh-CN"/>
            </w:rPr>
            <w:fldChar w:fldCharType="end"/>
          </w:r>
        </w:p>
        <w:p w14:paraId="1AB23A6D">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_Toc22348 </w:instrText>
          </w:r>
          <w:r>
            <w:rPr>
              <w:rFonts w:ascii="Times New Roman" w:hAnsi="Times New Roman" w:cs="Times New Roman"/>
              <w:lang w:val="zh-CN"/>
            </w:rPr>
            <w:fldChar w:fldCharType="separate"/>
          </w:r>
          <w:r>
            <w:rPr>
              <w:rFonts w:hint="default" w:ascii="Times New Roman" w:hAnsi="Times New Roman" w:eastAsia="黑体" w:cs="Times New Roman"/>
              <w:i w:val="0"/>
              <w:szCs w:val="21"/>
            </w:rPr>
            <w:t xml:space="preserve">2 </w:t>
          </w:r>
          <w:r>
            <w:rPr>
              <w:rFonts w:ascii="Times New Roman" w:hAnsi="Times New Roman" w:cs="Times New Roman"/>
            </w:rPr>
            <w:t>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_Toc22348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lang w:val="zh-CN"/>
            </w:rPr>
            <w:fldChar w:fldCharType="end"/>
          </w:r>
        </w:p>
        <w:p w14:paraId="4107A412">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_Toc7541 </w:instrText>
          </w:r>
          <w:r>
            <w:rPr>
              <w:rFonts w:ascii="Times New Roman" w:hAnsi="Times New Roman" w:cs="Times New Roman"/>
              <w:lang w:val="zh-CN"/>
            </w:rPr>
            <w:fldChar w:fldCharType="separate"/>
          </w:r>
          <w:r>
            <w:rPr>
              <w:rFonts w:hint="default" w:ascii="Times New Roman" w:hAnsi="Times New Roman" w:eastAsia="黑体" w:cs="Times New Roman"/>
              <w:i w:val="0"/>
              <w:szCs w:val="21"/>
            </w:rPr>
            <w:t xml:space="preserve">3 </w:t>
          </w:r>
          <w:r>
            <w:rPr>
              <w:rFonts w:ascii="Times New Roman" w:hAnsi="Times New Roman" w:cs="Times New Roman"/>
            </w:rPr>
            <w:t>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_Toc7541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lang w:val="zh-CN"/>
            </w:rPr>
            <w:fldChar w:fldCharType="end"/>
          </w:r>
        </w:p>
        <w:p w14:paraId="02990907">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_Toc22139 </w:instrText>
          </w:r>
          <w:r>
            <w:rPr>
              <w:rFonts w:ascii="Times New Roman" w:hAnsi="Times New Roman" w:cs="Times New Roman"/>
              <w:lang w:val="zh-CN"/>
            </w:rPr>
            <w:fldChar w:fldCharType="separate"/>
          </w:r>
          <w:r>
            <w:rPr>
              <w:rFonts w:hint="default" w:ascii="Times New Roman" w:hAnsi="Times New Roman" w:eastAsia="黑体" w:cs="Times New Roman"/>
              <w:bCs/>
              <w:i w:val="0"/>
              <w:szCs w:val="21"/>
            </w:rPr>
            <w:t xml:space="preserve">4 </w:t>
          </w:r>
          <w:r>
            <w:rPr>
              <w:rFonts w:hint="default" w:ascii="Times New Roman" w:hAnsi="Times New Roman" w:cs="Times New Roman"/>
            </w:rPr>
            <w:t>运输标准要求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_Toc22139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lang w:val="zh-CN"/>
            </w:rPr>
            <w:fldChar w:fldCharType="end"/>
          </w:r>
        </w:p>
        <w:p w14:paraId="29B10829">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_Toc2968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4.1 </w:t>
          </w:r>
          <w:r>
            <w:rPr>
              <w:rFonts w:hint="default" w:ascii="Times New Roman" w:hAnsi="Times New Roman" w:cs="Times New Roman"/>
            </w:rPr>
            <w:t>细胞制品</w:t>
          </w:r>
          <w:r>
            <w:rPr>
              <w:rFonts w:hint="default" w:ascii="Times New Roman" w:hAnsi="Times New Roman" w:cs="Times New Roman"/>
              <w:lang w:val="en-US" w:eastAsia="zh-CN"/>
            </w:rPr>
            <w:t>质量检测核验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_Toc2968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lang w:val="zh-CN"/>
            </w:rPr>
            <w:fldChar w:fldCharType="end"/>
          </w:r>
        </w:p>
        <w:p w14:paraId="77633B0C">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_Toc936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4.2 </w:t>
          </w:r>
          <w:r>
            <w:rPr>
              <w:rFonts w:hint="default" w:ascii="Times New Roman" w:hAnsi="Times New Roman" w:cs="Times New Roman"/>
            </w:rPr>
            <w:t>冷链运输</w:t>
          </w:r>
          <w:r>
            <w:rPr>
              <w:rFonts w:hint="default" w:ascii="Times New Roman" w:hAnsi="Times New Roman" w:cs="Times New Roman"/>
              <w:lang w:val="en-US"/>
            </w:rPr>
            <w:t>设备</w:t>
          </w:r>
          <w:r>
            <w:rPr>
              <w:rFonts w:hint="default" w:ascii="Times New Roman" w:hAnsi="Times New Roman" w:cs="Times New Roman"/>
            </w:rPr>
            <w:t>选择与要求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_Toc936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lang w:val="zh-CN"/>
            </w:rPr>
            <w:fldChar w:fldCharType="end"/>
          </w:r>
        </w:p>
        <w:p w14:paraId="55111B58">
          <w:pPr>
            <w:pStyle w:val="28"/>
            <w:tabs>
              <w:tab w:val="right" w:leader="dot" w:pos="9355"/>
              <w:tab w:val="clear" w:pos="9241"/>
            </w:tabs>
            <w:rPr>
              <w:rFonts w:ascii="Times New Roman" w:hAnsi="Times New Roman" w:cs="Times New Roman"/>
              <w:highlight w:val="none"/>
            </w:rPr>
          </w:pPr>
          <w:r>
            <w:rPr>
              <w:rFonts w:ascii="Times New Roman" w:hAnsi="Times New Roman" w:cs="Times New Roman"/>
              <w:highlight w:val="none"/>
              <w:lang w:val="zh-CN"/>
            </w:rPr>
            <w:fldChar w:fldCharType="begin"/>
          </w:r>
          <w:r>
            <w:rPr>
              <w:rFonts w:ascii="Times New Roman" w:hAnsi="Times New Roman" w:cs="Times New Roman"/>
              <w:highlight w:val="none"/>
              <w:lang w:val="zh-CN"/>
            </w:rPr>
            <w:instrText xml:space="preserve"> HYPERLINK \l _Toc28014 </w:instrText>
          </w:r>
          <w:r>
            <w:rPr>
              <w:rFonts w:ascii="Times New Roman" w:hAnsi="Times New Roman" w:cs="Times New Roman"/>
              <w:highlight w:val="none"/>
              <w:lang w:val="zh-CN"/>
            </w:rPr>
            <w:fldChar w:fldCharType="separate"/>
          </w:r>
          <w:r>
            <w:rPr>
              <w:rFonts w:hint="default" w:ascii="Times New Roman" w:hAnsi="Times New Roman" w:eastAsia="黑体" w:cs="Times New Roman"/>
              <w:i w:val="0"/>
              <w:szCs w:val="21"/>
              <w:highlight w:val="none"/>
            </w:rPr>
            <w:t xml:space="preserve">5 </w:t>
          </w:r>
          <w:r>
            <w:rPr>
              <w:rFonts w:hint="default" w:ascii="Times New Roman" w:hAnsi="Times New Roman" w:cs="Times New Roman"/>
              <w:highlight w:val="none"/>
              <w:lang w:val="en-US" w:eastAsia="zh-CN"/>
            </w:rPr>
            <w:t>运输机构管理</w:t>
          </w:r>
          <w:r>
            <w:rPr>
              <w:rFonts w:hint="eastAsia" w:ascii="Times New Roman" w:cs="Times New Roman"/>
              <w:highlight w:val="none"/>
              <w:lang w:val="en-US" w:eastAsia="zh-CN"/>
            </w:rPr>
            <w:t>要求</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_Toc28014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lang w:val="zh-CN"/>
            </w:rPr>
            <w:fldChar w:fldCharType="end"/>
          </w:r>
        </w:p>
        <w:p w14:paraId="39B447B2">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_Toc12712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5.1 </w:t>
          </w:r>
          <w:r>
            <w:rPr>
              <w:rFonts w:hint="default" w:ascii="Times New Roman" w:hAnsi="Times New Roman" w:cs="Times New Roman"/>
              <w:lang w:val="en-US" w:eastAsia="zh-CN"/>
            </w:rPr>
            <w:t>运输机构资质管理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_Toc12712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lang w:val="zh-CN"/>
            </w:rPr>
            <w:fldChar w:fldCharType="end"/>
          </w:r>
        </w:p>
        <w:p w14:paraId="25697594">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_Toc14859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5.2 </w:t>
          </w:r>
          <w:r>
            <w:rPr>
              <w:rFonts w:hint="default" w:ascii="Times New Roman" w:hAnsi="Times New Roman" w:cs="Times New Roman"/>
            </w:rPr>
            <w:t>运输</w:t>
          </w:r>
          <w:r>
            <w:rPr>
              <w:rFonts w:hint="eastAsia" w:ascii="Times New Roman" w:cs="Times New Roman"/>
              <w:lang w:val="en-US" w:eastAsia="zh-CN"/>
            </w:rPr>
            <w:t>网络与路径优化管</w:t>
          </w:r>
          <w:bookmarkStart w:id="253" w:name="_GoBack"/>
          <w:bookmarkEnd w:id="253"/>
          <w:r>
            <w:rPr>
              <w:rFonts w:hint="eastAsia" w:ascii="Times New Roman" w:cs="Times New Roman"/>
              <w:lang w:val="en-US" w:eastAsia="zh-CN"/>
            </w:rPr>
            <w:t>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_Toc14859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lang w:val="zh-CN"/>
            </w:rPr>
            <w:fldChar w:fldCharType="end"/>
          </w:r>
        </w:p>
        <w:p w14:paraId="49ECA518">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_Toc21666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5.3 </w:t>
          </w:r>
          <w:r>
            <w:rPr>
              <w:rFonts w:hint="default" w:ascii="Times New Roman" w:hAnsi="Times New Roman" w:cs="Times New Roman"/>
            </w:rPr>
            <w:t>运输记录与数据时效管理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_Toc21666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lang w:val="zh-CN"/>
            </w:rPr>
            <w:fldChar w:fldCharType="end"/>
          </w:r>
        </w:p>
        <w:p w14:paraId="7713D856">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_Toc4300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5.4 </w:t>
          </w:r>
          <w:r>
            <w:rPr>
              <w:rFonts w:hint="default" w:ascii="Times New Roman" w:hAnsi="Times New Roman" w:cs="Times New Roman"/>
            </w:rPr>
            <w:t>运输服务管理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_Toc4300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lang w:val="zh-CN"/>
            </w:rPr>
            <w:fldChar w:fldCharType="end"/>
          </w:r>
        </w:p>
        <w:p w14:paraId="0B648C07">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_Toc749 </w:instrText>
          </w:r>
          <w:r>
            <w:rPr>
              <w:rFonts w:ascii="Times New Roman" w:hAnsi="Times New Roman" w:cs="Times New Roman"/>
              <w:lang w:val="zh-CN"/>
            </w:rPr>
            <w:fldChar w:fldCharType="separate"/>
          </w:r>
          <w:r>
            <w:rPr>
              <w:rFonts w:hint="default" w:ascii="Times New Roman" w:hAnsi="Times New Roman" w:eastAsia="黑体" w:cs="Times New Roman"/>
              <w:i w:val="0"/>
              <w:szCs w:val="21"/>
            </w:rPr>
            <w:t xml:space="preserve">6 </w:t>
          </w:r>
          <w:r>
            <w:rPr>
              <w:rFonts w:hint="default" w:ascii="Times New Roman" w:hAnsi="Times New Roman" w:cs="Times New Roman"/>
            </w:rPr>
            <w:t>运输监管链</w:t>
          </w:r>
          <w:r>
            <w:rPr>
              <w:rFonts w:hint="eastAsia" w:ascii="Times New Roman" w:cs="Times New Roman"/>
              <w:lang w:val="en-US" w:eastAsia="zh-CN"/>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_Toc749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lang w:val="zh-CN"/>
            </w:rPr>
            <w:fldChar w:fldCharType="end"/>
          </w:r>
        </w:p>
        <w:p w14:paraId="1F7FFF78">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_Toc6489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6.1 </w:t>
          </w:r>
          <w:r>
            <w:rPr>
              <w:rFonts w:hint="default" w:ascii="Times New Roman" w:hAnsi="Times New Roman" w:cs="Times New Roman"/>
            </w:rPr>
            <w:t>建立防伪追溯管理系统（ATS）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_Toc6489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lang w:val="zh-CN"/>
            </w:rPr>
            <w:fldChar w:fldCharType="end"/>
          </w:r>
        </w:p>
        <w:p w14:paraId="096F0386">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_Toc11674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6.2 </w:t>
          </w:r>
          <w:r>
            <w:rPr>
              <w:rFonts w:hint="default" w:ascii="Times New Roman" w:hAnsi="Times New Roman" w:cs="Times New Roman"/>
            </w:rPr>
            <w:t>建立实时监控系统​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_Toc11674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lang w:val="zh-CN"/>
            </w:rPr>
            <w:fldChar w:fldCharType="end"/>
          </w:r>
        </w:p>
        <w:p w14:paraId="661C6B8D">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_Toc20603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6.3 </w:t>
          </w:r>
          <w:r>
            <w:rPr>
              <w:rFonts w:hint="default" w:ascii="Times New Roman" w:hAnsi="Times New Roman" w:cs="Times New Roman"/>
            </w:rPr>
            <w:t>建立数据记录溯源系统​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_Toc20603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lang w:val="zh-CN"/>
            </w:rPr>
            <w:fldChar w:fldCharType="end"/>
          </w:r>
        </w:p>
        <w:p w14:paraId="7A792258">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_Toc22105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6.4 </w:t>
          </w:r>
          <w:r>
            <w:rPr>
              <w:rFonts w:hint="default" w:ascii="Times New Roman" w:hAnsi="Times New Roman" w:cs="Times New Roman"/>
            </w:rPr>
            <w:t>数据客观性和公允性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_Toc22105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lang w:val="zh-CN"/>
            </w:rPr>
            <w:fldChar w:fldCharType="end"/>
          </w:r>
        </w:p>
        <w:p w14:paraId="4562BE84">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_Toc4330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6.5 </w:t>
          </w:r>
          <w:r>
            <w:rPr>
              <w:rFonts w:hint="default" w:ascii="Times New Roman" w:hAnsi="Times New Roman" w:cs="Times New Roman"/>
            </w:rPr>
            <w:t>信息管理​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_Toc4330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lang w:val="zh-CN"/>
            </w:rPr>
            <w:fldChar w:fldCharType="end"/>
          </w:r>
        </w:p>
        <w:p w14:paraId="5E05F194">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_Toc30124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6.6 </w:t>
          </w:r>
          <w:r>
            <w:rPr>
              <w:rFonts w:hint="default" w:ascii="Times New Roman" w:hAnsi="Times New Roman" w:cs="Times New Roman"/>
            </w:rPr>
            <w:t>文档管理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_Toc30124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lang w:val="zh-CN"/>
            </w:rPr>
            <w:fldChar w:fldCharType="end"/>
          </w:r>
        </w:p>
        <w:p w14:paraId="0AABC6C2">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_Toc24379 </w:instrText>
          </w:r>
          <w:r>
            <w:rPr>
              <w:rFonts w:ascii="Times New Roman" w:hAnsi="Times New Roman" w:cs="Times New Roman"/>
              <w:lang w:val="zh-CN"/>
            </w:rPr>
            <w:fldChar w:fldCharType="separate"/>
          </w:r>
          <w:r>
            <w:rPr>
              <w:rFonts w:hint="default" w:ascii="Times New Roman" w:hAnsi="Times New Roman" w:eastAsia="黑体" w:cs="Times New Roman"/>
              <w:i w:val="0"/>
              <w:szCs w:val="21"/>
            </w:rPr>
            <w:t xml:space="preserve">7 </w:t>
          </w:r>
          <w:r>
            <w:rPr>
              <w:rFonts w:hint="default" w:ascii="Times New Roman" w:hAnsi="Times New Roman" w:cs="Times New Roman"/>
            </w:rPr>
            <w:t>风险评估与控制​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_Toc24379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lang w:val="zh-CN"/>
            </w:rPr>
            <w:fldChar w:fldCharType="end"/>
          </w:r>
        </w:p>
        <w:p w14:paraId="043A50C2">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_Toc7036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7.1 </w:t>
          </w:r>
          <w:r>
            <w:rPr>
              <w:rFonts w:hint="default" w:ascii="Times New Roman" w:hAnsi="Times New Roman" w:cs="Times New Roman"/>
            </w:rPr>
            <w:t>风险评估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_Toc7036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lang w:val="zh-CN"/>
            </w:rPr>
            <w:fldChar w:fldCharType="end"/>
          </w:r>
        </w:p>
        <w:p w14:paraId="11FD4E32">
          <w:pPr>
            <w:pStyle w:val="12"/>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_Toc31386 </w:instrText>
          </w:r>
          <w:r>
            <w:rPr>
              <w:rFonts w:ascii="Times New Roman" w:hAnsi="Times New Roman" w:cs="Times New Roman"/>
              <w:lang w:val="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7.2 </w:t>
          </w:r>
          <w:r>
            <w:rPr>
              <w:rFonts w:hint="default" w:ascii="Times New Roman" w:hAnsi="Times New Roman" w:cs="Times New Roman"/>
            </w:rPr>
            <w:t>风险控制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_Toc31386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lang w:val="zh-CN"/>
            </w:rPr>
            <w:fldChar w:fldCharType="end"/>
          </w:r>
        </w:p>
        <w:p w14:paraId="492ED941">
          <w:pPr>
            <w:pStyle w:val="28"/>
            <w:tabs>
              <w:tab w:val="right" w:leader="dot" w:pos="9355"/>
              <w:tab w:val="clear" w:pos="9241"/>
            </w:tabs>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 xml:space="preserve"> HYPERLINK \l _Toc25999 </w:instrText>
          </w:r>
          <w:r>
            <w:rPr>
              <w:rFonts w:ascii="Times New Roman" w:hAnsi="Times New Roman" w:cs="Times New Roman"/>
              <w:lang w:val="zh-CN"/>
            </w:rPr>
            <w:fldChar w:fldCharType="separate"/>
          </w:r>
          <w:r>
            <w:rPr>
              <w:rFonts w:hint="default" w:ascii="Times New Roman" w:hAnsi="Times New Roman" w:eastAsia="黑体" w:cs="Times New Roman"/>
              <w:i w:val="0"/>
              <w:szCs w:val="21"/>
            </w:rPr>
            <w:t xml:space="preserve">8 </w:t>
          </w:r>
          <w:r>
            <w:rPr>
              <w:rFonts w:hint="default" w:ascii="Times New Roman" w:hAnsi="Times New Roman" w:cs="Times New Roman"/>
            </w:rPr>
            <w:t>应急管理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_Toc25999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lang w:val="zh-CN"/>
            </w:rPr>
            <w:fldChar w:fldCharType="end"/>
          </w:r>
        </w:p>
        <w:p w14:paraId="629A02A2">
          <w:pPr>
            <w:pStyle w:val="19"/>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lang w:val="zh-CN"/>
            </w:rPr>
            <w:fldChar w:fldCharType="begin"/>
          </w:r>
          <w:r>
            <w:rPr>
              <w:rFonts w:hint="default" w:ascii="Times New Roman" w:hAnsi="Times New Roman" w:eastAsia="宋体" w:cs="Times New Roman"/>
              <w:lang w:val="zh-CN"/>
            </w:rPr>
            <w:instrText xml:space="preserve"> HYPERLINK \l _Toc32756 </w:instrText>
          </w:r>
          <w:r>
            <w:rPr>
              <w:rFonts w:hint="default" w:ascii="Times New Roman" w:hAnsi="Times New Roman" w:eastAsia="宋体" w:cs="Times New Roman"/>
              <w:lang w:val="zh-CN"/>
            </w:rPr>
            <w:fldChar w:fldCharType="separate"/>
          </w:r>
          <w:r>
            <w:rPr>
              <w:rFonts w:hint="default" w:ascii="Times New Roman" w:hAnsi="Times New Roman" w:eastAsia="宋体" w:cs="Times New Roman"/>
              <w:i w:val="0"/>
              <w:spacing w:val="0"/>
              <w:w w:val="100"/>
            </w:rPr>
            <w:t xml:space="preserve">附　录　A </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_Toc32756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lang w:val="zh-CN"/>
            </w:rPr>
            <w:fldChar w:fldCharType="end"/>
          </w:r>
        </w:p>
        <w:p w14:paraId="372271FB">
          <w:pPr>
            <w:pStyle w:val="19"/>
            <w:tabs>
              <w:tab w:val="right" w:leader="dot" w:pos="9355"/>
              <w:tab w:val="clear" w:pos="9241"/>
            </w:tabs>
            <w:rPr>
              <w:rFonts w:ascii="Times New Roman" w:hAnsi="Times New Roman" w:cs="Times New Roman"/>
            </w:rPr>
          </w:pPr>
          <w:r>
            <w:rPr>
              <w:rFonts w:hint="default" w:ascii="Times New Roman" w:hAnsi="Times New Roman" w:eastAsia="宋体" w:cs="Times New Roman"/>
              <w:lang w:val="zh-CN"/>
            </w:rPr>
            <w:fldChar w:fldCharType="begin"/>
          </w:r>
          <w:r>
            <w:rPr>
              <w:rFonts w:hint="default" w:ascii="Times New Roman" w:hAnsi="Times New Roman" w:eastAsia="宋体" w:cs="Times New Roman"/>
              <w:lang w:val="zh-CN"/>
            </w:rPr>
            <w:instrText xml:space="preserve"> HYPERLINK \l _Toc622 </w:instrText>
          </w:r>
          <w:r>
            <w:rPr>
              <w:rFonts w:hint="default" w:ascii="Times New Roman" w:hAnsi="Times New Roman" w:eastAsia="宋体" w:cs="Times New Roman"/>
              <w:lang w:val="zh-CN"/>
            </w:rPr>
            <w:fldChar w:fldCharType="separate"/>
          </w:r>
          <w:r>
            <w:rPr>
              <w:rFonts w:hint="default" w:ascii="Times New Roman" w:hAnsi="Times New Roman" w:eastAsia="宋体" w:cs="Times New Roman"/>
              <w:i w:val="0"/>
              <w:spacing w:val="0"/>
              <w:w w:val="100"/>
            </w:rPr>
            <w:t xml:space="preserve">附　录　B </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_Toc622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lang w:val="zh-CN"/>
            </w:rPr>
            <w:fldChar w:fldCharType="end"/>
          </w:r>
        </w:p>
        <w:p w14:paraId="564A5A4B">
          <w:pPr>
            <w:pStyle w:val="19"/>
            <w:tabs>
              <w:tab w:val="right" w:leader="dot" w:pos="9355"/>
              <w:tab w:val="clear" w:pos="9241"/>
            </w:tabs>
          </w:pPr>
          <w:r>
            <w:rPr>
              <w:rFonts w:ascii="Times New Roman" w:hAnsi="Times New Roman" w:cs="Times New Roman"/>
              <w:lang w:val="zh-CN"/>
            </w:rPr>
            <w:fldChar w:fldCharType="begin"/>
          </w:r>
          <w:r>
            <w:rPr>
              <w:rFonts w:ascii="Times New Roman" w:hAnsi="Times New Roman" w:cs="Times New Roman"/>
              <w:lang w:val="zh-CN"/>
            </w:rPr>
            <w:instrText xml:space="preserve"> HYPERLINK \l _Toc7090 </w:instrText>
          </w:r>
          <w:r>
            <w:rPr>
              <w:rFonts w:ascii="Times New Roman" w:hAnsi="Times New Roman" w:cs="Times New Roman"/>
              <w:lang w:val="zh-CN"/>
            </w:rPr>
            <w:fldChar w:fldCharType="separate"/>
          </w:r>
          <w:r>
            <w:rPr>
              <w:rFonts w:ascii="Times New Roman" w:hAnsi="Times New Roman" w:cs="Times New Roman"/>
            </w:rPr>
            <w:t>参 考 文 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_Toc7090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lang w:val="zh-CN"/>
            </w:rPr>
            <w:fldChar w:fldCharType="end"/>
          </w:r>
        </w:p>
        <w:p w14:paraId="6D4EA26F">
          <w:pPr>
            <w:pStyle w:val="12"/>
            <w:ind w:firstLine="0" w:firstLineChars="0"/>
            <w:rPr>
              <w:b/>
              <w:bCs/>
              <w:lang w:val="zh-CN"/>
            </w:rPr>
          </w:pPr>
          <w:r>
            <w:rPr>
              <w:lang w:val="zh-CN"/>
            </w:rPr>
            <w:fldChar w:fldCharType="end"/>
          </w:r>
        </w:p>
      </w:sdtContent>
    </w:sdt>
    <w:p w14:paraId="2325E32C">
      <w:pPr>
        <w:pStyle w:val="19"/>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4BD75656">
      <w:pPr>
        <w:pStyle w:val="79"/>
        <w:sectPr>
          <w:headerReference r:id="rId5" w:type="default"/>
          <w:footerReference r:id="rId6" w:type="default"/>
          <w:footerReference r:id="rId7" w:type="even"/>
          <w:pgSz w:w="11906" w:h="16838"/>
          <w:pgMar w:top="567" w:right="1134" w:bottom="1134" w:left="1417" w:header="1418" w:footer="1134" w:gutter="0"/>
          <w:pgNumType w:fmt="upperRoman" w:start="1" w:chapStyle="1"/>
          <w:cols w:space="720" w:num="1"/>
          <w:formProt w:val="0"/>
          <w:docGrid w:type="lines" w:linePitch="312" w:charSpace="0"/>
        </w:sectPr>
      </w:pPr>
    </w:p>
    <w:p w14:paraId="5765EDD5">
      <w:pPr>
        <w:pStyle w:val="79"/>
      </w:pPr>
      <w:bookmarkStart w:id="16" w:name="_Toc2584"/>
      <w:bookmarkStart w:id="17" w:name="_Toc4274"/>
      <w:bookmarkStart w:id="18" w:name="_Toc20988"/>
      <w:bookmarkStart w:id="19" w:name="_Toc17594"/>
      <w:bookmarkStart w:id="20" w:name="_Toc27250"/>
      <w:bookmarkStart w:id="21" w:name="_Toc10429"/>
      <w:bookmarkStart w:id="22" w:name="_Toc6526"/>
      <w:bookmarkStart w:id="23" w:name="_Toc5017"/>
      <w:bookmarkStart w:id="24" w:name="_Toc6424"/>
      <w:bookmarkStart w:id="25" w:name="_Toc912"/>
      <w:r>
        <w:fldChar w:fldCharType="end"/>
      </w:r>
      <w:bookmarkEnd w:id="14"/>
      <w:r>
        <w:t>前    言</w:t>
      </w:r>
      <w:bookmarkEnd w:id="16"/>
      <w:bookmarkEnd w:id="17"/>
      <w:bookmarkEnd w:id="18"/>
      <w:bookmarkEnd w:id="19"/>
      <w:bookmarkEnd w:id="20"/>
      <w:bookmarkEnd w:id="21"/>
      <w:bookmarkEnd w:id="22"/>
      <w:bookmarkEnd w:id="23"/>
      <w:bookmarkEnd w:id="24"/>
      <w:bookmarkEnd w:id="25"/>
    </w:p>
    <w:p w14:paraId="751DE101">
      <w:pPr>
        <w:pStyle w:val="23"/>
      </w:pPr>
      <w:r>
        <w:t>本</w:t>
      </w:r>
      <w:r>
        <w:rPr>
          <w:rFonts w:hint="eastAsia"/>
        </w:rPr>
        <w:t>文件</w:t>
      </w:r>
      <w:r>
        <w:t>按照</w:t>
      </w:r>
      <w:r>
        <w:rPr>
          <w:rFonts w:hint="eastAsia"/>
        </w:rPr>
        <w:t xml:space="preserve"> </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7323E2AD">
      <w:pPr>
        <w:pStyle w:val="23"/>
      </w:pPr>
      <w:r>
        <w:rPr>
          <w:rFonts w:hint="eastAsia"/>
        </w:rPr>
        <w:t>请注意本文件的某些内容可能涉及专利。本文件的发布机构不承担识别专利的责任。</w:t>
      </w:r>
    </w:p>
    <w:p w14:paraId="66BE10AB">
      <w:pPr>
        <w:pStyle w:val="23"/>
      </w:pPr>
      <w:r>
        <w:t>本</w:t>
      </w:r>
      <w:r>
        <w:rPr>
          <w:rFonts w:hint="eastAsia"/>
        </w:rPr>
        <w:t>文件</w:t>
      </w:r>
      <w:r>
        <w:t>由</w:t>
      </w:r>
      <w:r>
        <w:rPr>
          <w:rFonts w:hint="eastAsia"/>
        </w:rPr>
        <w:t>中国医药教育协会造血干细胞移植及细胞治疗专委会提出。</w:t>
      </w:r>
    </w:p>
    <w:p w14:paraId="5B28A438">
      <w:pPr>
        <w:pStyle w:val="23"/>
      </w:pPr>
      <w:r>
        <w:t>本</w:t>
      </w:r>
      <w:r>
        <w:rPr>
          <w:rFonts w:hint="eastAsia"/>
        </w:rPr>
        <w:t>文件</w:t>
      </w:r>
      <w:r>
        <w:t>由</w:t>
      </w:r>
      <w:r>
        <w:rPr>
          <w:rFonts w:hint="eastAsia"/>
        </w:rPr>
        <w:t>中国医药教育协会</w:t>
      </w:r>
      <w:r>
        <w:t>归口。</w:t>
      </w:r>
    </w:p>
    <w:p w14:paraId="3E6E5C9F">
      <w:pPr>
        <w:pStyle w:val="23"/>
      </w:pPr>
      <w:r>
        <w:t>本</w:t>
      </w:r>
      <w:r>
        <w:rPr>
          <w:rFonts w:hint="eastAsia"/>
        </w:rPr>
        <w:t>文件</w:t>
      </w:r>
      <w:r>
        <w:t>起草单位：本</w:t>
      </w:r>
      <w:r>
        <w:rPr>
          <w:rFonts w:hint="eastAsia"/>
        </w:rPr>
        <w:t>文件主要</w:t>
      </w:r>
      <w:r>
        <w:t>起草人：</w:t>
      </w:r>
    </w:p>
    <w:p w14:paraId="3D428CD1">
      <w:pPr>
        <w:pStyle w:val="82"/>
        <w:sectPr>
          <w:footerReference r:id="rId8" w:type="default"/>
          <w:footerReference r:id="rId9" w:type="even"/>
          <w:pgSz w:w="11906" w:h="16838"/>
          <w:pgMar w:top="567" w:right="1134" w:bottom="1134" w:left="1417" w:header="1418" w:footer="1134" w:gutter="0"/>
          <w:pgNumType w:fmt="upperRoman" w:start="1" w:chapStyle="1"/>
          <w:cols w:space="720" w:num="1"/>
          <w:formProt w:val="0"/>
          <w:docGrid w:type="lines" w:linePitch="312" w:charSpace="0"/>
        </w:sectPr>
      </w:pPr>
    </w:p>
    <w:p w14:paraId="206364E7">
      <w:pPr>
        <w:pStyle w:val="82"/>
        <w:outlineLvl w:val="9"/>
      </w:pPr>
      <w:r>
        <w:rPr>
          <w:rFonts w:hint="eastAsia"/>
        </w:rPr>
        <w:t>细胞制品运输管理</w:t>
      </w:r>
      <w:r>
        <w:rPr>
          <w:rFonts w:hint="eastAsia"/>
          <w:lang w:val="en-US" w:eastAsia="zh-CN"/>
        </w:rPr>
        <w:t>技术</w:t>
      </w:r>
      <w:r>
        <w:rPr>
          <w:rFonts w:hint="eastAsia"/>
        </w:rPr>
        <w:t>规范</w:t>
      </w:r>
    </w:p>
    <w:p w14:paraId="06DEBD81">
      <w:pPr>
        <w:pStyle w:val="45"/>
        <w:spacing w:before="312" w:after="312"/>
      </w:pPr>
      <w:bookmarkStart w:id="26" w:name="_Toc15626"/>
      <w:bookmarkStart w:id="27" w:name="_Toc24098"/>
      <w:bookmarkStart w:id="28" w:name="_Toc353"/>
      <w:bookmarkStart w:id="29" w:name="_Toc26112"/>
      <w:bookmarkStart w:id="30" w:name="_Toc13404"/>
      <w:bookmarkStart w:id="31" w:name="_Toc27587"/>
      <w:bookmarkStart w:id="32" w:name="_Toc3683"/>
      <w:bookmarkStart w:id="33" w:name="_Toc8023"/>
      <w:bookmarkStart w:id="34" w:name="_Toc11777"/>
      <w:bookmarkStart w:id="35" w:name="_Toc6236"/>
      <w:r>
        <w:t>范围</w:t>
      </w:r>
      <w:bookmarkEnd w:id="26"/>
      <w:bookmarkEnd w:id="27"/>
      <w:bookmarkEnd w:id="28"/>
      <w:bookmarkEnd w:id="29"/>
      <w:bookmarkEnd w:id="30"/>
      <w:bookmarkEnd w:id="31"/>
      <w:bookmarkEnd w:id="32"/>
      <w:bookmarkEnd w:id="33"/>
      <w:bookmarkEnd w:id="34"/>
      <w:bookmarkEnd w:id="35"/>
    </w:p>
    <w:p w14:paraId="41451A7F">
      <w:pPr>
        <w:pStyle w:val="23"/>
      </w:pPr>
      <w:r>
        <w:rPr>
          <w:rFonts w:hint="eastAsia"/>
        </w:rPr>
        <w:t>本文件规定了细胞制品运输的标准要求、运输的设备、条件以及运输监管链要求。</w:t>
      </w:r>
    </w:p>
    <w:p w14:paraId="2555BF7F">
      <w:pPr>
        <w:pStyle w:val="23"/>
      </w:pPr>
      <w:r>
        <w:rPr>
          <w:rFonts w:hint="eastAsia"/>
        </w:rPr>
        <w:t>本文件适用于细胞制品在各机构之间的运输。</w:t>
      </w:r>
    </w:p>
    <w:p w14:paraId="41C1B383">
      <w:pPr>
        <w:pStyle w:val="45"/>
        <w:spacing w:before="312" w:after="312"/>
      </w:pPr>
      <w:bookmarkStart w:id="36" w:name="_Toc26815"/>
      <w:bookmarkStart w:id="37" w:name="_Toc5019"/>
      <w:bookmarkStart w:id="38" w:name="_Toc4704"/>
      <w:bookmarkStart w:id="39" w:name="_Toc29547"/>
      <w:bookmarkStart w:id="40" w:name="_Toc13821"/>
      <w:bookmarkStart w:id="41" w:name="_Toc8178"/>
      <w:bookmarkStart w:id="42" w:name="_Toc7192"/>
      <w:bookmarkStart w:id="43" w:name="_Toc3407"/>
      <w:bookmarkStart w:id="44" w:name="_Toc28605"/>
      <w:bookmarkStart w:id="45" w:name="_Toc22348"/>
      <w:r>
        <w:t>规范性引用文件</w:t>
      </w:r>
      <w:bookmarkEnd w:id="36"/>
      <w:bookmarkEnd w:id="37"/>
      <w:bookmarkEnd w:id="38"/>
      <w:bookmarkEnd w:id="39"/>
      <w:bookmarkEnd w:id="40"/>
      <w:bookmarkEnd w:id="41"/>
      <w:bookmarkEnd w:id="42"/>
      <w:bookmarkEnd w:id="43"/>
      <w:bookmarkEnd w:id="44"/>
      <w:bookmarkEnd w:id="45"/>
    </w:p>
    <w:p w14:paraId="56B64451">
      <w:pPr>
        <w:pStyle w:val="2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0AAC96">
      <w:pPr>
        <w:pStyle w:val="23"/>
      </w:pPr>
      <w:r>
        <w:t>YY/T 0086-2020  医用冷藏箱</w:t>
      </w:r>
    </w:p>
    <w:p w14:paraId="28400A5C">
      <w:pPr>
        <w:pStyle w:val="23"/>
      </w:pPr>
      <w:r>
        <w:t>WB/T 1097  药品冷链保温箱通用规范</w:t>
      </w:r>
    </w:p>
    <w:p w14:paraId="4D94BB6C">
      <w:pPr>
        <w:pStyle w:val="23"/>
      </w:pPr>
      <w:r>
        <w:t>WB/T 1104-2020  道路运输  医药产品冷藏车功能配置要求</w:t>
      </w:r>
    </w:p>
    <w:p w14:paraId="4C754672">
      <w:pPr>
        <w:pStyle w:val="23"/>
      </w:pPr>
      <w:r>
        <w:rPr>
          <w:rFonts w:hint="eastAsia"/>
        </w:rPr>
        <w:t>JT/T617-201  危险货物道路运输规则</w:t>
      </w:r>
    </w:p>
    <w:p w14:paraId="42E8845F">
      <w:pPr>
        <w:pStyle w:val="23"/>
      </w:pPr>
      <w:r>
        <w:t>T/CCGA 50003-2019  干冰包装和运输安全技术规程</w:t>
      </w:r>
    </w:p>
    <w:p w14:paraId="0470A954">
      <w:pPr>
        <w:pStyle w:val="23"/>
      </w:pPr>
      <w:r>
        <w:t>GB/T 5458-2012  液氮生物容器</w:t>
      </w:r>
    </w:p>
    <w:p w14:paraId="5DD33BAB">
      <w:pPr>
        <w:pStyle w:val="23"/>
      </w:pPr>
      <w:r>
        <w:t>GB/T 34399-2017  医疗产品冷链物流温控设施 设备验证 性能确认技术规范</w:t>
      </w:r>
    </w:p>
    <w:p w14:paraId="14547856">
      <w:pPr>
        <w:pStyle w:val="23"/>
      </w:pPr>
      <w:r>
        <w:t>GB/T 31086-2025  物流企业冷链服务能力要求与评估指标</w:t>
      </w:r>
    </w:p>
    <w:p w14:paraId="2B9E04FA">
      <w:pPr>
        <w:pStyle w:val="23"/>
      </w:pPr>
      <w:r>
        <w:t>中华人民共和国药典</w:t>
      </w:r>
    </w:p>
    <w:p w14:paraId="23DB598E">
      <w:pPr>
        <w:pStyle w:val="45"/>
        <w:spacing w:before="312" w:after="312"/>
      </w:pPr>
      <w:bookmarkStart w:id="46" w:name="_Toc19131"/>
      <w:bookmarkStart w:id="47" w:name="_Toc3224"/>
      <w:bookmarkStart w:id="48" w:name="_Toc32197"/>
      <w:bookmarkStart w:id="49" w:name="_Toc7541"/>
      <w:bookmarkStart w:id="50" w:name="_Toc165"/>
      <w:bookmarkStart w:id="51" w:name="_Toc11503"/>
      <w:bookmarkStart w:id="52" w:name="_Toc14701"/>
      <w:bookmarkStart w:id="53" w:name="_Toc29883"/>
      <w:bookmarkStart w:id="54" w:name="_Toc4252"/>
      <w:bookmarkStart w:id="55" w:name="_Toc11468"/>
      <w:r>
        <w:t>术语和定义</w:t>
      </w:r>
      <w:bookmarkEnd w:id="46"/>
      <w:bookmarkEnd w:id="47"/>
      <w:bookmarkEnd w:id="48"/>
      <w:bookmarkEnd w:id="49"/>
      <w:bookmarkEnd w:id="50"/>
      <w:bookmarkEnd w:id="51"/>
      <w:bookmarkEnd w:id="52"/>
      <w:bookmarkEnd w:id="53"/>
      <w:bookmarkEnd w:id="54"/>
      <w:bookmarkEnd w:id="55"/>
    </w:p>
    <w:p w14:paraId="33BBA69A">
      <w:pPr>
        <w:pStyle w:val="23"/>
      </w:pPr>
      <w:r>
        <w:rPr>
          <w:rFonts w:hint="eastAsia"/>
        </w:rPr>
        <w:t>下列术语和定义适用于本文件。</w:t>
      </w:r>
    </w:p>
    <w:p w14:paraId="21804F4D">
      <w:pPr>
        <w:pStyle w:val="44"/>
        <w:spacing w:before="156" w:after="156"/>
        <w:outlineLvl w:val="9"/>
      </w:pPr>
    </w:p>
    <w:p w14:paraId="6E56F36C">
      <w:pPr>
        <w:pStyle w:val="23"/>
        <w:rPr>
          <w:rFonts w:ascii="黑体" w:hAnsi="黑体" w:eastAsia="黑体"/>
        </w:rPr>
      </w:pPr>
      <w:r>
        <w:rPr>
          <w:rFonts w:hint="eastAsia" w:ascii="黑体" w:hAnsi="黑体" w:eastAsia="黑体"/>
        </w:rPr>
        <w:t xml:space="preserve">细胞制品 </w:t>
      </w:r>
      <w:r>
        <w:rPr>
          <w:rFonts w:ascii="Times New Roman" w:eastAsia="黑体"/>
          <w:b/>
          <w:bCs/>
        </w:rPr>
        <w:t>cell products</w:t>
      </w:r>
    </w:p>
    <w:p w14:paraId="1909E4E1">
      <w:pPr>
        <w:pStyle w:val="23"/>
      </w:pPr>
      <w:r>
        <w:rPr>
          <w:rFonts w:hint="eastAsia"/>
        </w:rPr>
        <w:t>来源于符合伦理学要求的细胞，按照药品管理规范，经过体外适宜的培养和操作制成的活细胞产品</w:t>
      </w:r>
      <w:r>
        <w:t>。</w:t>
      </w:r>
    </w:p>
    <w:p w14:paraId="7BD9C2EC">
      <w:pPr>
        <w:pStyle w:val="44"/>
        <w:spacing w:before="156" w:after="156"/>
        <w:outlineLvl w:val="9"/>
      </w:pPr>
    </w:p>
    <w:p w14:paraId="25703493">
      <w:pPr>
        <w:pStyle w:val="23"/>
      </w:pPr>
      <w:r>
        <w:rPr>
          <w:rFonts w:hint="eastAsia" w:ascii="黑体" w:hAnsi="黑体" w:eastAsia="黑体"/>
        </w:rPr>
        <w:t xml:space="preserve">低温冷藏 </w:t>
      </w:r>
      <w:r>
        <w:rPr>
          <w:rFonts w:ascii="Times New Roman" w:eastAsia="黑体"/>
          <w:b/>
          <w:bCs/>
        </w:rPr>
        <w:t>Deep Freezing</w:t>
      </w:r>
    </w:p>
    <w:p w14:paraId="05F5ECCB">
      <w:pPr>
        <w:pStyle w:val="23"/>
      </w:pPr>
      <w:r>
        <w:rPr>
          <w:rFonts w:hint="eastAsia"/>
        </w:rPr>
        <w:t>新鲜液态细胞制品，温度要求2</w:t>
      </w:r>
      <w:r>
        <w:rPr>
          <w:rFonts w:hint="eastAsia" w:hAnsi="宋体"/>
        </w:rPr>
        <w:t>～</w:t>
      </w:r>
      <w:r>
        <w:rPr>
          <w:rFonts w:hint="eastAsia"/>
        </w:rPr>
        <w:t>10℃运输，时效48小时。</w:t>
      </w:r>
    </w:p>
    <w:p w14:paraId="4968A787">
      <w:pPr>
        <w:pStyle w:val="44"/>
        <w:spacing w:before="156" w:after="156"/>
        <w:outlineLvl w:val="9"/>
      </w:pPr>
    </w:p>
    <w:p w14:paraId="352F01FA">
      <w:pPr>
        <w:pStyle w:val="23"/>
      </w:pPr>
      <w:r>
        <w:rPr>
          <w:rFonts w:ascii="黑体" w:hAnsi="黑体" w:eastAsia="黑体"/>
        </w:rPr>
        <w:t xml:space="preserve">低温冷冻 </w:t>
      </w:r>
      <w:r>
        <w:rPr>
          <w:rFonts w:ascii="Times New Roman" w:eastAsia="黑体"/>
          <w:b/>
          <w:bCs/>
        </w:rPr>
        <w:t>Low temperature freezing</w:t>
      </w:r>
    </w:p>
    <w:p w14:paraId="3561CCD8">
      <w:pPr>
        <w:pStyle w:val="23"/>
      </w:pPr>
      <w:r>
        <w:rPr>
          <w:rFonts w:hint="eastAsia"/>
        </w:rPr>
        <w:t>冻存固态细胞制品，温度要求低温冷冻：-20℃</w:t>
      </w:r>
      <w:r>
        <w:rPr>
          <w:rFonts w:hint="eastAsia" w:hAnsi="宋体"/>
        </w:rPr>
        <w:t>～</w:t>
      </w:r>
      <w:r>
        <w:rPr>
          <w:rFonts w:hint="eastAsia"/>
        </w:rPr>
        <w:t>-80℃，深低温冷冻：-130℃</w:t>
      </w:r>
      <w:r>
        <w:rPr>
          <w:rFonts w:hint="eastAsia" w:hAnsi="宋体"/>
        </w:rPr>
        <w:t>～</w:t>
      </w:r>
      <w:r>
        <w:rPr>
          <w:rFonts w:hint="eastAsia"/>
        </w:rPr>
        <w:t>-196℃，根据运输设备决定时效性。</w:t>
      </w:r>
    </w:p>
    <w:p w14:paraId="0B09A0DA">
      <w:pPr>
        <w:pStyle w:val="44"/>
        <w:spacing w:before="156" w:after="156"/>
        <w:outlineLvl w:val="9"/>
      </w:pPr>
      <w:bookmarkStart w:id="56" w:name="_Toc15350"/>
      <w:bookmarkEnd w:id="56"/>
    </w:p>
    <w:p w14:paraId="0C5DF616">
      <w:pPr>
        <w:pStyle w:val="23"/>
        <w:rPr>
          <w:b/>
          <w:bCs/>
        </w:rPr>
      </w:pPr>
      <w:r>
        <w:rPr>
          <w:rFonts w:hint="eastAsia" w:ascii="黑体" w:hAnsi="黑体" w:eastAsia="黑体"/>
        </w:rPr>
        <w:t xml:space="preserve">运输 </w:t>
      </w:r>
      <w:r>
        <w:rPr>
          <w:rFonts w:ascii="Times New Roman" w:eastAsia="黑体"/>
          <w:b/>
          <w:bCs/>
        </w:rPr>
        <w:t>transportation</w:t>
      </w:r>
    </w:p>
    <w:p w14:paraId="219987D3">
      <w:pPr>
        <w:pStyle w:val="23"/>
        <w:ind w:firstLineChars="0"/>
      </w:pPr>
      <w:r>
        <w:t>用特定的设备和工具，将一定形状、质量、体积的物体，从一个地点向另一个地点安全的按时运达的物流活动，它是在不同地域范围内，以改变物的空间位置为目的对物进行的空间位移。</w:t>
      </w:r>
    </w:p>
    <w:p w14:paraId="378421FF">
      <w:pPr>
        <w:pStyle w:val="44"/>
        <w:spacing w:before="156" w:after="156"/>
        <w:outlineLvl w:val="9"/>
      </w:pPr>
      <w:bookmarkStart w:id="57" w:name="_Toc6597"/>
      <w:bookmarkEnd w:id="57"/>
    </w:p>
    <w:p w14:paraId="402EEF51">
      <w:pPr>
        <w:pStyle w:val="23"/>
        <w:rPr>
          <w:b/>
          <w:bCs/>
        </w:rPr>
      </w:pPr>
      <w:r>
        <w:rPr>
          <w:rFonts w:hint="eastAsia" w:ascii="黑体" w:hAnsi="黑体" w:eastAsia="黑体"/>
        </w:rPr>
        <w:t xml:space="preserve">运输服务管理 </w:t>
      </w:r>
      <w:r>
        <w:rPr>
          <w:rFonts w:ascii="Times New Roman" w:eastAsia="黑体"/>
          <w:b/>
          <w:bCs/>
        </w:rPr>
        <w:t>transportation service management</w:t>
      </w:r>
    </w:p>
    <w:p w14:paraId="77F203E8">
      <w:pPr>
        <w:pStyle w:val="23"/>
      </w:pPr>
      <w:r>
        <w:t>对货物、人员和信息等在不同运输方式之间的流动进行计划、组织、协调、监督和控制的活动。</w:t>
      </w:r>
    </w:p>
    <w:p w14:paraId="5931135A">
      <w:pPr>
        <w:pStyle w:val="44"/>
        <w:spacing w:before="156" w:after="156"/>
        <w:outlineLvl w:val="9"/>
      </w:pPr>
      <w:bookmarkStart w:id="58" w:name="_Toc10146"/>
      <w:bookmarkEnd w:id="58"/>
    </w:p>
    <w:p w14:paraId="353FE53D">
      <w:pPr>
        <w:pStyle w:val="23"/>
        <w:rPr>
          <w:b/>
          <w:bCs/>
        </w:rPr>
      </w:pPr>
      <w:r>
        <w:rPr>
          <w:rFonts w:hint="eastAsia" w:ascii="黑体" w:hAnsi="黑体" w:eastAsia="黑体"/>
        </w:rPr>
        <w:t xml:space="preserve">监管链 </w:t>
      </w:r>
      <w:r>
        <w:rPr>
          <w:rFonts w:ascii="Times New Roman" w:eastAsia="黑体"/>
          <w:b/>
          <w:bCs/>
        </w:rPr>
        <w:t>chain of custody</w:t>
      </w:r>
    </w:p>
    <w:p w14:paraId="714C67FA">
      <w:pPr>
        <w:pStyle w:val="23"/>
      </w:pPr>
      <w:r>
        <w:rPr>
          <w:rFonts w:hint="eastAsia"/>
        </w:rPr>
        <w:t>对细胞制品在运输过程中的每一步负责或控制。</w:t>
      </w:r>
    </w:p>
    <w:p w14:paraId="5A6F1C61">
      <w:pPr>
        <w:pStyle w:val="45"/>
        <w:spacing w:before="312" w:after="312"/>
        <w:rPr>
          <w:b/>
          <w:bCs/>
        </w:rPr>
      </w:pPr>
      <w:bookmarkStart w:id="59" w:name="_Toc30482"/>
      <w:bookmarkStart w:id="60" w:name="_Toc18656"/>
      <w:bookmarkStart w:id="61" w:name="_Toc11896"/>
      <w:bookmarkStart w:id="62" w:name="_Toc10392"/>
      <w:bookmarkStart w:id="63" w:name="_Toc13581"/>
      <w:bookmarkStart w:id="64" w:name="_Toc30424"/>
      <w:bookmarkStart w:id="65" w:name="_Toc8854"/>
      <w:bookmarkStart w:id="66" w:name="_Toc10183"/>
      <w:bookmarkStart w:id="67" w:name="_Toc22139"/>
      <w:bookmarkStart w:id="68" w:name="_Toc20670"/>
      <w:r>
        <w:rPr>
          <w:rFonts w:hint="eastAsia"/>
        </w:rPr>
        <w:t>运输标准要求</w:t>
      </w:r>
      <w:bookmarkEnd w:id="59"/>
      <w:bookmarkEnd w:id="60"/>
      <w:bookmarkEnd w:id="61"/>
      <w:bookmarkEnd w:id="62"/>
      <w:bookmarkEnd w:id="63"/>
      <w:bookmarkEnd w:id="64"/>
      <w:bookmarkEnd w:id="65"/>
      <w:bookmarkEnd w:id="66"/>
      <w:bookmarkEnd w:id="67"/>
      <w:bookmarkEnd w:id="68"/>
    </w:p>
    <w:p w14:paraId="48591CE9">
      <w:pPr>
        <w:pStyle w:val="44"/>
        <w:spacing w:before="156" w:after="156"/>
      </w:pPr>
      <w:bookmarkStart w:id="69" w:name="_Toc13933"/>
      <w:bookmarkStart w:id="70" w:name="_Toc9621"/>
      <w:bookmarkStart w:id="71" w:name="_Toc26043"/>
      <w:bookmarkStart w:id="72" w:name="_Toc18031"/>
      <w:bookmarkStart w:id="73" w:name="_Toc4803"/>
      <w:bookmarkStart w:id="74" w:name="_Toc10759"/>
      <w:bookmarkStart w:id="75" w:name="_Toc5234"/>
      <w:bookmarkStart w:id="76" w:name="_Toc783"/>
      <w:bookmarkStart w:id="77" w:name="_Toc2968"/>
      <w:bookmarkStart w:id="78" w:name="_Toc2400"/>
      <w:r>
        <w:rPr>
          <w:rFonts w:hint="eastAsia"/>
        </w:rPr>
        <w:t>细胞制品</w:t>
      </w:r>
      <w:bookmarkEnd w:id="69"/>
      <w:bookmarkEnd w:id="70"/>
      <w:bookmarkEnd w:id="71"/>
      <w:bookmarkEnd w:id="72"/>
      <w:bookmarkEnd w:id="73"/>
      <w:bookmarkEnd w:id="74"/>
      <w:bookmarkEnd w:id="75"/>
      <w:bookmarkEnd w:id="76"/>
      <w:r>
        <w:rPr>
          <w:rFonts w:hint="eastAsia"/>
          <w:lang w:val="en-US" w:eastAsia="zh-CN"/>
        </w:rPr>
        <w:t>质量检测核验</w:t>
      </w:r>
      <w:bookmarkEnd w:id="77"/>
      <w:bookmarkEnd w:id="78"/>
    </w:p>
    <w:p w14:paraId="7A19FE9E">
      <w:pPr>
        <w:pStyle w:val="43"/>
        <w:spacing w:before="156" w:after="156"/>
        <w:outlineLvl w:val="9"/>
      </w:pPr>
      <w:r>
        <w:rPr>
          <w:rFonts w:hint="eastAsia"/>
          <w:lang w:val="en-US" w:eastAsia="zh-CN"/>
        </w:rPr>
        <w:t>核验</w:t>
      </w:r>
      <w:r>
        <w:rPr>
          <w:rFonts w:hint="eastAsia"/>
        </w:rPr>
        <w:t>传染病检测</w:t>
      </w:r>
      <w:r>
        <w:rPr>
          <w:rFonts w:hint="eastAsia"/>
          <w:lang w:val="en-US" w:eastAsia="zh-CN"/>
        </w:rPr>
        <w:t>报告</w:t>
      </w:r>
    </w:p>
    <w:p w14:paraId="035A5F6E">
      <w:pPr>
        <w:pStyle w:val="23"/>
        <w:autoSpaceDE/>
        <w:autoSpaceDN/>
      </w:pPr>
      <w:r>
        <w:rPr>
          <w:rFonts w:hint="eastAsia"/>
        </w:rPr>
        <w:t>运输前需</w:t>
      </w:r>
      <w:r>
        <w:rPr>
          <w:rFonts w:hint="eastAsia"/>
          <w:lang w:val="en-US" w:eastAsia="zh-CN"/>
        </w:rPr>
        <w:t>核验</w:t>
      </w:r>
      <w:r>
        <w:rPr>
          <w:rFonts w:hint="eastAsia"/>
        </w:rPr>
        <w:t>细胞制品的传染病筛查报告，包括但不限于丙肝、乙肝、艾滋、梅毒等病原体检测，</w:t>
      </w:r>
    </w:p>
    <w:p w14:paraId="77C5F0F8">
      <w:pPr>
        <w:pStyle w:val="23"/>
        <w:autoSpaceDE/>
        <w:autoSpaceDN/>
        <w:ind w:firstLine="0" w:firstLineChars="0"/>
      </w:pPr>
      <w:r>
        <w:rPr>
          <w:rFonts w:hint="eastAsia"/>
        </w:rPr>
        <w:t>且检测结果为阴性；</w:t>
      </w:r>
      <w:r>
        <w:rPr>
          <w:rFonts w:hint="eastAsia"/>
          <w:lang w:val="en-US" w:eastAsia="zh-CN"/>
        </w:rPr>
        <w:t>同时核验</w:t>
      </w:r>
      <w:r>
        <w:rPr>
          <w:rFonts w:hint="eastAsia"/>
        </w:rPr>
        <w:t>细胞制品COA检测报告，检测方法需符合《中国药典》标准。</w:t>
      </w:r>
    </w:p>
    <w:p w14:paraId="65A10F29">
      <w:pPr>
        <w:pStyle w:val="43"/>
        <w:spacing w:before="156" w:after="156"/>
        <w:outlineLvl w:val="9"/>
        <w:rPr>
          <w:rFonts w:ascii="宋体" w:eastAsia="宋体"/>
          <w:szCs w:val="20"/>
        </w:rPr>
      </w:pPr>
      <w:r>
        <w:rPr>
          <w:rFonts w:hint="eastAsia"/>
          <w:lang w:val="en-US" w:eastAsia="zh-CN"/>
        </w:rPr>
        <w:t>核验</w:t>
      </w:r>
      <w:r>
        <w:rPr>
          <w:rFonts w:hint="eastAsia"/>
        </w:rPr>
        <w:t>其他检测</w:t>
      </w:r>
      <w:r>
        <w:rPr>
          <w:rFonts w:hint="eastAsia"/>
          <w:lang w:val="en-US" w:eastAsia="zh-CN"/>
        </w:rPr>
        <w:t>项目</w:t>
      </w:r>
    </w:p>
    <w:p w14:paraId="76D5CEBB">
      <w:pPr>
        <w:pStyle w:val="23"/>
      </w:pPr>
      <w:r>
        <w:rPr>
          <w:rFonts w:hint="eastAsia"/>
        </w:rPr>
        <w:t>需按照IATA-DGR《危险货物规则》(2024 版)、《危险货物道路运输规则》[JT/T67-2018]第二、第三部分进行爆炸危险性、易燃危险性、氧化危险性、放射危险性、腐蚀危险性等安全性检测</w:t>
      </w:r>
      <w:r>
        <w:rPr>
          <w:rFonts w:hint="eastAsia"/>
          <w:lang w:val="en-US" w:eastAsia="zh-CN"/>
        </w:rPr>
        <w:t>项目报告的核验</w:t>
      </w:r>
      <w:r>
        <w:rPr>
          <w:rFonts w:hint="eastAsia"/>
        </w:rPr>
        <w:t>。</w:t>
      </w:r>
    </w:p>
    <w:p w14:paraId="091068F2">
      <w:pPr>
        <w:pStyle w:val="43"/>
        <w:spacing w:before="156" w:after="156"/>
        <w:outlineLvl w:val="9"/>
      </w:pPr>
      <w:bookmarkStart w:id="79" w:name="_Toc7769"/>
      <w:r>
        <w:rPr>
          <w:rFonts w:hint="eastAsia"/>
          <w:lang w:val="en-US" w:eastAsia="zh-CN"/>
        </w:rPr>
        <w:t>核验</w:t>
      </w:r>
      <w:r>
        <w:rPr>
          <w:rFonts w:hint="eastAsia"/>
        </w:rPr>
        <w:t>包装标识</w:t>
      </w:r>
    </w:p>
    <w:p w14:paraId="566C6604">
      <w:pPr>
        <w:pStyle w:val="23"/>
      </w:pPr>
      <w:r>
        <w:rPr>
          <w:rFonts w:hint="eastAsia"/>
        </w:rPr>
        <w:t>对于运输的细胞制品包装及标识，需</w:t>
      </w:r>
      <w:r>
        <w:rPr>
          <w:rFonts w:hint="eastAsia"/>
          <w:lang w:val="en-US" w:eastAsia="zh-CN"/>
        </w:rPr>
        <w:t>按照</w:t>
      </w:r>
      <w:r>
        <w:rPr>
          <w:rFonts w:hint="eastAsia"/>
        </w:rPr>
        <w:t>下列条件</w:t>
      </w:r>
      <w:r>
        <w:rPr>
          <w:rFonts w:hint="eastAsia"/>
          <w:lang w:val="en-US" w:eastAsia="zh-CN"/>
        </w:rPr>
        <w:t>进行核验</w:t>
      </w:r>
      <w:r>
        <w:rPr>
          <w:rFonts w:hint="eastAsia"/>
        </w:rPr>
        <w:t>：</w:t>
      </w:r>
    </w:p>
    <w:p w14:paraId="4E860522">
      <w:pPr>
        <w:pStyle w:val="52"/>
        <w:numPr>
          <w:ilvl w:val="0"/>
          <w:numId w:val="19"/>
        </w:numPr>
      </w:pPr>
      <w:r>
        <w:t>选用耐</w:t>
      </w:r>
      <w:r>
        <w:rPr>
          <w:rFonts w:hint="eastAsia"/>
        </w:rPr>
        <w:t>深</w:t>
      </w:r>
      <w:r>
        <w:t>低温的特殊材质容器，内包装需经过严格的无菌处理和密封性检测，确保细胞制品在储存过程中的安全性。</w:t>
      </w:r>
    </w:p>
    <w:p w14:paraId="40B6AD04">
      <w:pPr>
        <w:pStyle w:val="52"/>
        <w:numPr>
          <w:ilvl w:val="0"/>
          <w:numId w:val="19"/>
        </w:numPr>
      </w:pPr>
      <w:r>
        <w:rPr>
          <w:rFonts w:hint="eastAsia"/>
        </w:rPr>
        <w:t>根据不同温区选择不同材料：</w:t>
      </w:r>
    </w:p>
    <w:p w14:paraId="15609141">
      <w:pPr>
        <w:pStyle w:val="51"/>
      </w:pPr>
      <w:r>
        <w:rPr>
          <w:rFonts w:hint="eastAsia"/>
        </w:rPr>
        <w:t>低温冷藏（2℃</w:t>
      </w:r>
      <w:r>
        <w:rPr>
          <w:rFonts w:hint="eastAsia" w:hAnsi="宋体"/>
        </w:rPr>
        <w:t>～</w:t>
      </w:r>
      <w:r>
        <w:rPr>
          <w:rFonts w:hint="eastAsia"/>
        </w:rPr>
        <w:t>10℃）温区：外部包裹锡纸袋，</w:t>
      </w:r>
      <w:r>
        <w:t>保护内包装免受外力冲击，</w:t>
      </w:r>
      <w:r>
        <w:rPr>
          <w:rFonts w:hint="eastAsia"/>
        </w:rPr>
        <w:t>置于保温箱中央，确保细胞制品四周及底部</w:t>
      </w:r>
      <w:r>
        <w:rPr>
          <w:rFonts w:hint="eastAsia"/>
          <w:lang w:val="en-US" w:eastAsia="zh-CN"/>
        </w:rPr>
        <w:t>均</w:t>
      </w:r>
      <w:r>
        <w:rPr>
          <w:rFonts w:hint="eastAsia"/>
        </w:rPr>
        <w:t>有冰排覆盖；</w:t>
      </w:r>
    </w:p>
    <w:p w14:paraId="3E836CFB">
      <w:pPr>
        <w:pStyle w:val="51"/>
      </w:pPr>
      <w:r>
        <w:rPr>
          <w:rFonts w:hint="eastAsia"/>
        </w:rPr>
        <w:t>低温冷冻（-20℃</w:t>
      </w:r>
      <w:r>
        <w:rPr>
          <w:rFonts w:hint="eastAsia" w:hAnsi="宋体"/>
        </w:rPr>
        <w:t>～</w:t>
      </w:r>
      <w:r>
        <w:rPr>
          <w:rFonts w:hint="eastAsia"/>
        </w:rPr>
        <w:t>-80℃）温区：选择细胞保存盒（血袋铝盒），型号LD50、LD250尺寸(长*宽*高）：50mL：91mm*154mm*11mm、250mL：143mm*201mm*11mm，外包装气泡袋包裹，-20℃使用冷藏车运输；-80℃置于干冰保温箱中央，确保细胞上下左右完全被干冰覆盖；</w:t>
      </w:r>
    </w:p>
    <w:p w14:paraId="6908B2AB">
      <w:pPr>
        <w:pStyle w:val="51"/>
      </w:pPr>
      <w:r>
        <w:rPr>
          <w:rFonts w:hint="eastAsia"/>
        </w:rPr>
        <w:t>深低温冷冻（-130℃</w:t>
      </w:r>
      <w:r>
        <w:rPr>
          <w:rFonts w:hint="eastAsia" w:hAnsi="宋体"/>
        </w:rPr>
        <w:t>～</w:t>
      </w:r>
      <w:r>
        <w:rPr>
          <w:rFonts w:hint="eastAsia"/>
        </w:rPr>
        <w:t>-196℃）温区：选择细胞保存盒（血袋铝盒），型号LD50、LD250尺寸(长*宽*高）：50mL：91mm*154mm*11mm、250mL：143mm*201mm*11mm，放于手提式平放液氮冻存架并置于液氮罐内。航空运输选择干式液氮罐运输：应检查干式液氮罐容器外观，确保外观没有变形损坏部位，无凹陷，检查液氮罐真空嘴盖帽完好。应至少提前24小时对液氮罐进行充液氮，并使其充分吸附。陆运选择湿式液氮罐时，主容器和辅助容器都应当能够承受液氮的极端温度而不致损坏，并且固定防止倾倒，应配备可靠的液位监测装置，实时显示液氮液位。</w:t>
      </w:r>
    </w:p>
    <w:p w14:paraId="2FD1397C">
      <w:pPr>
        <w:pStyle w:val="52"/>
        <w:numPr>
          <w:ilvl w:val="0"/>
          <w:numId w:val="19"/>
        </w:numPr>
      </w:pPr>
      <w:r>
        <w:rPr>
          <w:rFonts w:hint="eastAsia"/>
        </w:rPr>
        <w:t>内包装表面标注清晰、耐磨、防水、防冻细胞制品的相关信息，外包装表面标注清晰、耐磨、防水、防冻安全警示标注。</w:t>
      </w:r>
    </w:p>
    <w:p w14:paraId="330E0138">
      <w:pPr>
        <w:pStyle w:val="52"/>
        <w:numPr>
          <w:ilvl w:val="0"/>
          <w:numId w:val="19"/>
        </w:numPr>
      </w:pPr>
      <w:r>
        <w:t>在运输设备外部显著位置，粘贴醒目的“冷藏运输温度”、“生物制品”、“避免X光照射”、“易碎物品”</w:t>
      </w:r>
      <w:r>
        <w:rPr>
          <w:rFonts w:hint="eastAsia"/>
        </w:rPr>
        <w:t>等</w:t>
      </w:r>
      <w:r>
        <w:t>标识，标识采用防水、防紫外线、耐磨损的材质制作，字体清晰、大小适中，确保在远距离和不同光照条件下都能易于识别。</w:t>
      </w:r>
    </w:p>
    <w:p w14:paraId="2A0CA1B1">
      <w:pPr>
        <w:pStyle w:val="52"/>
        <w:numPr>
          <w:ilvl w:val="0"/>
          <w:numId w:val="19"/>
        </w:numPr>
      </w:pPr>
      <w:r>
        <w:t>运输单标注细胞制品的名称、批次、有效期、发货方与收货方信息，信息采用二维码或条形码形式，方便快速扫描查询详细运输信息。</w:t>
      </w:r>
    </w:p>
    <w:p w14:paraId="700AA44F">
      <w:pPr>
        <w:pStyle w:val="52"/>
        <w:numPr>
          <w:ilvl w:val="0"/>
          <w:numId w:val="19"/>
        </w:numPr>
      </w:pPr>
      <w:r>
        <w:t>产品追溯标识：</w:t>
      </w:r>
    </w:p>
    <w:p w14:paraId="6F0FAF5A">
      <w:pPr>
        <w:pStyle w:val="51"/>
      </w:pPr>
      <w:r>
        <w:t>为每个超低温运输设备分配唯一的识别码，并在运输设备表面显著位置标注。识别码与运输的细胞制品批次信息相关联，通过扫描识别码，可在运输监管系统中查询到该细胞制品的详细运输轨迹、温度记录、运输人员信息等，实现全程追溯</w:t>
      </w:r>
      <w:r>
        <w:rPr>
          <w:rFonts w:hint="eastAsia"/>
        </w:rPr>
        <w:t>；</w:t>
      </w:r>
    </w:p>
    <w:p w14:paraId="675CC0BD">
      <w:pPr>
        <w:pStyle w:val="51"/>
      </w:pPr>
      <w:r>
        <w:t>在设备上</w:t>
      </w:r>
      <w:r>
        <w:rPr>
          <w:rFonts w:hint="eastAsia"/>
          <w:lang w:val="en-US" w:eastAsia="zh-CN"/>
        </w:rPr>
        <w:t>需</w:t>
      </w:r>
      <w:r>
        <w:t>标注</w:t>
      </w:r>
      <w:r>
        <w:rPr>
          <w:rFonts w:hint="eastAsia"/>
        </w:rPr>
        <w:t>深</w:t>
      </w:r>
      <w:r>
        <w:t>低温运输设备的维护保养记录二维码，方便维护人员随时查看设备的维护历史和下次维护时间</w:t>
      </w:r>
      <w:r>
        <w:rPr>
          <w:rFonts w:hint="eastAsia"/>
          <w:lang w:eastAsia="zh-CN"/>
        </w:rPr>
        <w:t>；</w:t>
      </w:r>
    </w:p>
    <w:p w14:paraId="6569BBD6">
      <w:pPr>
        <w:pStyle w:val="51"/>
      </w:pPr>
      <w:r>
        <w:t>运输车辆上张贴相应的液氮运输警示标识，包括车辆的车头、车身两侧和车尾，使其他道路使用者在远距离就能知晓，保持安全距离。</w:t>
      </w:r>
    </w:p>
    <w:p w14:paraId="6F0AB98C">
      <w:pPr>
        <w:pStyle w:val="44"/>
        <w:spacing w:before="156" w:after="156"/>
        <w:rPr>
          <w:rFonts w:ascii="宋体" w:eastAsia="宋体"/>
          <w:b/>
          <w:bCs/>
          <w:szCs w:val="20"/>
        </w:rPr>
      </w:pPr>
      <w:bookmarkStart w:id="80" w:name="_Toc29799"/>
      <w:bookmarkStart w:id="81" w:name="_Toc936"/>
      <w:bookmarkStart w:id="82" w:name="_Toc3049"/>
      <w:bookmarkStart w:id="83" w:name="_Toc15917"/>
      <w:bookmarkStart w:id="84" w:name="_Toc776"/>
      <w:bookmarkStart w:id="85" w:name="_Toc28095"/>
      <w:bookmarkStart w:id="86" w:name="_Toc10515"/>
      <w:bookmarkStart w:id="87" w:name="_Toc1680"/>
      <w:bookmarkStart w:id="88" w:name="_Toc21065"/>
      <w:r>
        <w:rPr>
          <w:rFonts w:hint="eastAsia"/>
        </w:rPr>
        <w:t>冷链运输</w:t>
      </w:r>
      <w:r>
        <w:rPr>
          <w:rFonts w:hint="default"/>
          <w:lang w:val="en-US"/>
        </w:rPr>
        <w:t>设备</w:t>
      </w:r>
      <w:r>
        <w:rPr>
          <w:rFonts w:hint="eastAsia"/>
        </w:rPr>
        <w:t>选择与要求</w:t>
      </w:r>
      <w:bookmarkEnd w:id="79"/>
      <w:bookmarkEnd w:id="80"/>
      <w:bookmarkEnd w:id="81"/>
      <w:bookmarkEnd w:id="82"/>
      <w:bookmarkEnd w:id="83"/>
      <w:bookmarkEnd w:id="84"/>
      <w:bookmarkEnd w:id="85"/>
      <w:bookmarkEnd w:id="86"/>
      <w:bookmarkEnd w:id="87"/>
      <w:bookmarkEnd w:id="88"/>
    </w:p>
    <w:p w14:paraId="459D4F5B">
      <w:pPr>
        <w:pStyle w:val="23"/>
        <w:rPr>
          <w:rFonts w:hint="eastAsia"/>
        </w:rPr>
      </w:pPr>
      <w:r>
        <w:rPr>
          <w:rFonts w:hint="eastAsia"/>
        </w:rPr>
        <w:t>冷链运输设备需根据细胞制品储存温区进行选择，见附录A：</w:t>
      </w:r>
    </w:p>
    <w:p w14:paraId="71C3314B">
      <w:pPr>
        <w:pStyle w:val="52"/>
        <w:numPr>
          <w:ilvl w:val="0"/>
          <w:numId w:val="20"/>
        </w:numPr>
      </w:pPr>
      <w:r>
        <w:rPr>
          <w:rFonts w:hint="eastAsia"/>
          <w:lang w:val="en-US" w:eastAsia="zh-CN"/>
        </w:rPr>
        <w:t>不同</w:t>
      </w:r>
      <w:r>
        <w:rPr>
          <w:rFonts w:hint="eastAsia"/>
        </w:rPr>
        <w:t>温区</w:t>
      </w:r>
      <w:r>
        <w:rPr>
          <w:rFonts w:hint="eastAsia"/>
          <w:lang w:val="en-US" w:eastAsia="zh-CN"/>
        </w:rPr>
        <w:t>可选的</w:t>
      </w:r>
      <w:r>
        <w:rPr>
          <w:rFonts w:hint="eastAsia"/>
        </w:rPr>
        <w:t>冷链运输设备：</w:t>
      </w:r>
    </w:p>
    <w:p w14:paraId="4E8C638F">
      <w:pPr>
        <w:pStyle w:val="51"/>
        <w:numPr>
          <w:ilvl w:val="1"/>
          <w:numId w:val="20"/>
        </w:numPr>
      </w:pPr>
      <w:r>
        <w:rPr>
          <w:rFonts w:hint="eastAsia"/>
        </w:rPr>
        <w:t>低温冷藏（2℃～10℃）温区：</w:t>
      </w:r>
    </w:p>
    <w:p w14:paraId="404F1699">
      <w:pPr>
        <w:pStyle w:val="53"/>
        <w:numPr>
          <w:ilvl w:val="2"/>
          <w:numId w:val="20"/>
        </w:numPr>
      </w:pPr>
      <w:r>
        <w:rPr>
          <w:rFonts w:hint="eastAsia"/>
        </w:rPr>
        <w:t>存储于低温冷藏温区的细胞制品，需参照《医用冷藏箱》[YY/T 0086-2020]或《药品冷链保温箱通用规范》[WB/T 1097]，选择医用冷藏箱或药品冷链保温箱进行存储</w:t>
      </w:r>
      <w:r>
        <w:rPr>
          <w:rFonts w:hint="eastAsia"/>
          <w:lang w:eastAsia="zh-CN"/>
        </w:rPr>
        <w:t>；</w:t>
      </w:r>
    </w:p>
    <w:p w14:paraId="73C0B4D5">
      <w:pPr>
        <w:pStyle w:val="53"/>
        <w:numPr>
          <w:ilvl w:val="2"/>
          <w:numId w:val="20"/>
        </w:numPr>
      </w:pPr>
      <w:r>
        <w:rPr>
          <w:rFonts w:hint="eastAsia"/>
        </w:rPr>
        <w:t>参照《道路运输医药产品冷藏车功能配置要求》[WB/T 1104-2020]选择运输用冷藏车进行运输，运输设备内的温度均匀性偏差≤±2℃</w:t>
      </w:r>
      <w:r>
        <w:rPr>
          <w:rFonts w:hint="eastAsia"/>
          <w:lang w:eastAsia="zh-CN"/>
        </w:rPr>
        <w:t>。</w:t>
      </w:r>
    </w:p>
    <w:p w14:paraId="43DE23B4">
      <w:pPr>
        <w:pStyle w:val="51"/>
        <w:numPr>
          <w:ilvl w:val="1"/>
          <w:numId w:val="20"/>
        </w:numPr>
      </w:pPr>
      <w:r>
        <w:rPr>
          <w:rStyle w:val="145"/>
        </w:rPr>
        <w:t>低温冷冻（-20℃～-80℃）温区：</w:t>
      </w:r>
    </w:p>
    <w:p w14:paraId="75D53F7F">
      <w:pPr>
        <w:pStyle w:val="53"/>
        <w:numPr>
          <w:ilvl w:val="2"/>
          <w:numId w:val="20"/>
        </w:numPr>
      </w:pPr>
      <w:r>
        <w:rPr>
          <w:rStyle w:val="145"/>
        </w:rPr>
        <w:t>存储于低温冷冻温区的细胞制品，需使用干冰进行冷冻</w:t>
      </w:r>
      <w:r>
        <w:rPr>
          <w:rFonts w:hint="eastAsia"/>
        </w:rPr>
        <w:t>运输</w:t>
      </w:r>
      <w:r>
        <w:rPr>
          <w:rFonts w:hint="eastAsia"/>
          <w:lang w:eastAsia="zh-CN"/>
        </w:rPr>
        <w:t>；</w:t>
      </w:r>
    </w:p>
    <w:p w14:paraId="32BD0822">
      <w:pPr>
        <w:pStyle w:val="53"/>
        <w:numPr>
          <w:ilvl w:val="2"/>
          <w:numId w:val="20"/>
        </w:numPr>
      </w:pPr>
      <w:r>
        <w:rPr>
          <w:rFonts w:hint="eastAsia"/>
        </w:rPr>
        <w:t>干冰运输及包装需参照《干冰包装和运输安全技术规程》[T/CCGA 50003-2019]进行相应的包装及运输</w:t>
      </w:r>
      <w:r>
        <w:rPr>
          <w:rFonts w:hint="eastAsia"/>
          <w:lang w:eastAsia="zh-CN"/>
        </w:rPr>
        <w:t>。</w:t>
      </w:r>
    </w:p>
    <w:p w14:paraId="172DD5A6">
      <w:pPr>
        <w:pStyle w:val="51"/>
        <w:numPr>
          <w:ilvl w:val="1"/>
          <w:numId w:val="20"/>
        </w:numPr>
      </w:pPr>
      <w:r>
        <w:rPr>
          <w:rFonts w:hint="eastAsia"/>
        </w:rPr>
        <w:t>深低温冷冻（-130℃</w:t>
      </w:r>
      <w:r>
        <w:rPr>
          <w:rFonts w:hint="eastAsia" w:hAnsi="宋体"/>
        </w:rPr>
        <w:t>～</w:t>
      </w:r>
      <w:r>
        <w:rPr>
          <w:rFonts w:hint="eastAsia"/>
        </w:rPr>
        <w:t>-196℃）温区：</w:t>
      </w:r>
    </w:p>
    <w:p w14:paraId="59B44033">
      <w:pPr>
        <w:pStyle w:val="53"/>
        <w:numPr>
          <w:ilvl w:val="2"/>
          <w:numId w:val="20"/>
        </w:numPr>
      </w:pPr>
      <w:r>
        <w:rPr>
          <w:rStyle w:val="145"/>
        </w:rPr>
        <w:t>存储于</w:t>
      </w:r>
      <w:r>
        <w:rPr>
          <w:rFonts w:hint="eastAsia"/>
        </w:rPr>
        <w:t>深低温冷冻</w:t>
      </w:r>
      <w:r>
        <w:rPr>
          <w:rFonts w:hint="eastAsia"/>
          <w:lang w:val="en-US" w:eastAsia="zh-CN"/>
        </w:rPr>
        <w:t>温区</w:t>
      </w:r>
      <w:r>
        <w:rPr>
          <w:rFonts w:hint="eastAsia"/>
        </w:rPr>
        <w:t>的细胞制品，需参照《液氮生物容器》[GB/T 5458-2012]选择运输用液氮容器</w:t>
      </w:r>
      <w:r>
        <w:rPr>
          <w:rFonts w:hint="eastAsia"/>
          <w:lang w:eastAsia="zh-CN"/>
        </w:rPr>
        <w:t>；</w:t>
      </w:r>
    </w:p>
    <w:p w14:paraId="35766DBF">
      <w:pPr>
        <w:pStyle w:val="53"/>
        <w:numPr>
          <w:ilvl w:val="2"/>
          <w:numId w:val="20"/>
        </w:numPr>
      </w:pPr>
      <w:r>
        <w:rPr>
          <w:rFonts w:hint="eastAsia"/>
        </w:rPr>
        <w:t>所选液氮容器的真空绝热性能需通过季度检测，并应配备可靠的液位监测装置，实时显示液氮液位。</w:t>
      </w:r>
    </w:p>
    <w:p w14:paraId="03A74AB3">
      <w:pPr>
        <w:pStyle w:val="52"/>
        <w:numPr>
          <w:ilvl w:val="0"/>
          <w:numId w:val="20"/>
        </w:numPr>
      </w:pPr>
      <w:bookmarkStart w:id="89" w:name="_Toc27196"/>
      <w:r>
        <w:rPr>
          <w:rFonts w:hint="eastAsia"/>
        </w:rPr>
        <w:t>温度</w:t>
      </w:r>
      <w:r>
        <w:rPr>
          <w:rFonts w:hint="eastAsia"/>
          <w:lang w:val="en-US" w:eastAsia="zh-CN"/>
        </w:rPr>
        <w:t>监</w:t>
      </w:r>
      <w:r>
        <w:rPr>
          <w:rFonts w:hint="eastAsia"/>
        </w:rPr>
        <w:t>测系统</w:t>
      </w:r>
      <w:r>
        <w:rPr>
          <w:rFonts w:hint="eastAsia"/>
          <w:lang w:eastAsia="zh-CN"/>
        </w:rPr>
        <w:t>：</w:t>
      </w:r>
      <w:r>
        <w:rPr>
          <w:rFonts w:hint="eastAsia"/>
        </w:rPr>
        <w:t>细胞制品冷链运输设备的温度</w:t>
      </w:r>
      <w:r>
        <w:rPr>
          <w:rFonts w:hint="eastAsia"/>
          <w:lang w:val="en-US" w:eastAsia="zh-CN"/>
        </w:rPr>
        <w:t>监</w:t>
      </w:r>
      <w:r>
        <w:rPr>
          <w:rFonts w:hint="eastAsia"/>
        </w:rPr>
        <w:t>测系统需符合《医疗产品冷链物流温控设施 设备验证 性能确认技术规范》[GB/T 34399-2017]要求。</w:t>
      </w:r>
      <w:bookmarkEnd w:id="89"/>
      <w:r>
        <w:rPr>
          <w:rFonts w:hint="eastAsia"/>
        </w:rPr>
        <w:t>应具备以下功能：</w:t>
      </w:r>
    </w:p>
    <w:p w14:paraId="0DC31450">
      <w:pPr>
        <w:pStyle w:val="51"/>
        <w:numPr>
          <w:ilvl w:val="1"/>
          <w:numId w:val="20"/>
        </w:numPr>
      </w:pPr>
      <w:r>
        <w:rPr>
          <w:rFonts w:hint="eastAsia"/>
        </w:rPr>
        <w:t>温度自动监测</w:t>
      </w:r>
      <w:r>
        <w:rPr>
          <w:rFonts w:hint="eastAsia"/>
          <w:lang w:val="en-US" w:eastAsia="zh-CN"/>
        </w:rPr>
        <w:t>功能</w:t>
      </w:r>
      <w:r>
        <w:rPr>
          <w:rFonts w:hint="eastAsia"/>
          <w:lang w:eastAsia="zh-CN"/>
        </w:rPr>
        <w:t>：</w:t>
      </w:r>
      <w:r>
        <w:rPr>
          <w:rFonts w:hint="eastAsia"/>
        </w:rPr>
        <w:t>温</w:t>
      </w:r>
      <w:r>
        <w:rPr>
          <w:rFonts w:hint="eastAsia"/>
          <w:lang w:val="en-US" w:eastAsia="zh-CN"/>
        </w:rPr>
        <w:t>度监测</w:t>
      </w:r>
      <w:r>
        <w:rPr>
          <w:rFonts w:hint="eastAsia"/>
        </w:rPr>
        <w:t>系统的测量范围、精度、分辨率等技术参数能够满足管理要</w:t>
      </w:r>
      <w:r>
        <w:rPr>
          <w:rFonts w:hint="eastAsia"/>
          <w:lang w:val="en-US" w:eastAsia="zh-CN"/>
        </w:rPr>
        <w:t>求</w:t>
      </w:r>
      <w:r>
        <w:rPr>
          <w:rFonts w:hint="eastAsia"/>
        </w:rPr>
        <w:t>，可</w:t>
      </w:r>
      <w:r>
        <w:rPr>
          <w:rFonts w:hint="eastAsia"/>
          <w:lang w:val="en-US" w:eastAsia="zh-CN"/>
        </w:rPr>
        <w:t>对</w:t>
      </w:r>
      <w:r>
        <w:rPr>
          <w:rFonts w:hint="eastAsia"/>
        </w:rPr>
        <w:t>储存设备内</w:t>
      </w:r>
      <w:r>
        <w:rPr>
          <w:rFonts w:hint="eastAsia"/>
          <w:lang w:val="en-US" w:eastAsia="zh-CN"/>
        </w:rPr>
        <w:t>部</w:t>
      </w:r>
      <w:r>
        <w:rPr>
          <w:rFonts w:hint="eastAsia"/>
        </w:rPr>
        <w:t>的温度变化</w:t>
      </w:r>
      <w:r>
        <w:rPr>
          <w:rFonts w:hint="eastAsia"/>
          <w:lang w:val="en-US" w:eastAsia="zh-CN"/>
        </w:rPr>
        <w:t>进行实时监测</w:t>
      </w:r>
      <w:r>
        <w:rPr>
          <w:rFonts w:hint="eastAsia"/>
        </w:rPr>
        <w:t>，并能将</w:t>
      </w:r>
      <w:r>
        <w:rPr>
          <w:rFonts w:hint="eastAsia"/>
          <w:lang w:val="en-US" w:eastAsia="zh-CN"/>
        </w:rPr>
        <w:t>采集的温度</w:t>
      </w:r>
      <w:r>
        <w:rPr>
          <w:rFonts w:hint="eastAsia"/>
        </w:rPr>
        <w:t>数据</w:t>
      </w:r>
      <w:r>
        <w:rPr>
          <w:rFonts w:hint="eastAsia"/>
          <w:lang w:val="en-US" w:eastAsia="zh-CN"/>
        </w:rPr>
        <w:t>稳定</w:t>
      </w:r>
      <w:r>
        <w:rPr>
          <w:rFonts w:hint="eastAsia"/>
        </w:rPr>
        <w:t>传输至远程监控终端</w:t>
      </w:r>
      <w:r>
        <w:rPr>
          <w:rFonts w:hint="eastAsia"/>
          <w:lang w:eastAsia="zh-CN"/>
        </w:rPr>
        <w:t>，</w:t>
      </w:r>
      <w:r>
        <w:rPr>
          <w:rFonts w:hint="eastAsia"/>
          <w:lang w:val="en-US" w:eastAsia="zh-CN"/>
        </w:rPr>
        <w:t>实现温度状态的远程可视化管理</w:t>
      </w:r>
      <w:r>
        <w:rPr>
          <w:rFonts w:hint="eastAsia"/>
        </w:rPr>
        <w:t>；每隔5分钟自动记录一次实时温度数据，具有不间断监测、连续记录、数据存储、显示及报警功能。</w:t>
      </w:r>
    </w:p>
    <w:p w14:paraId="7DB5568A">
      <w:pPr>
        <w:pStyle w:val="51"/>
        <w:numPr>
          <w:ilvl w:val="1"/>
          <w:numId w:val="20"/>
        </w:numPr>
      </w:pPr>
      <w:r>
        <w:rPr>
          <w:rFonts w:hint="eastAsia"/>
        </w:rPr>
        <w:t>温控报警</w:t>
      </w:r>
      <w:r>
        <w:rPr>
          <w:rFonts w:hint="eastAsia"/>
          <w:lang w:val="en-US" w:eastAsia="zh-CN"/>
        </w:rPr>
        <w:t>功能</w:t>
      </w:r>
      <w:r>
        <w:rPr>
          <w:rFonts w:hint="eastAsia"/>
          <w:lang w:eastAsia="zh-CN"/>
        </w:rPr>
        <w:t>：</w:t>
      </w:r>
      <w:r>
        <w:rPr>
          <w:rFonts w:hint="eastAsia"/>
        </w:rPr>
        <w:t>配备温控报警系统，当箱内/罐内温度超过预设值的±2℃时，立即发出声光报警信号，并通过短信、邮件等方式通知相关责任人。同时，报警系统应具备历史报警记录查询功能，便于追溯设备的异常情况。</w:t>
      </w:r>
    </w:p>
    <w:p w14:paraId="00A56FB7">
      <w:pPr>
        <w:pStyle w:val="51"/>
        <w:numPr>
          <w:ilvl w:val="1"/>
          <w:numId w:val="20"/>
        </w:numPr>
      </w:pPr>
      <w:r>
        <w:rPr>
          <w:rFonts w:hint="eastAsia"/>
        </w:rPr>
        <w:t>定位</w:t>
      </w:r>
      <w:r>
        <w:rPr>
          <w:rFonts w:hint="eastAsia"/>
          <w:lang w:val="en-US" w:eastAsia="zh-CN"/>
        </w:rPr>
        <w:t>功能</w:t>
      </w:r>
      <w:r>
        <w:rPr>
          <w:rFonts w:hint="eastAsia"/>
          <w:lang w:eastAsia="zh-CN"/>
        </w:rPr>
        <w:t>：</w:t>
      </w:r>
      <w:r>
        <w:rPr>
          <w:rFonts w:hint="eastAsia"/>
        </w:rPr>
        <w:t>应具备实时上传细胞制品所在位置，自动绘制运输路径的功能，设备断线时能自动记录运输路径并提示异常报警通知，</w:t>
      </w:r>
      <w:r>
        <w:rPr>
          <w:rFonts w:hint="eastAsia"/>
          <w:lang w:val="en-US" w:eastAsia="zh-CN"/>
        </w:rPr>
        <w:t>可</w:t>
      </w:r>
      <w:r>
        <w:rPr>
          <w:rFonts w:hint="eastAsia"/>
        </w:rPr>
        <w:t>通过短信、邮件等方式通知相关责任人。</w:t>
      </w:r>
    </w:p>
    <w:p w14:paraId="5CF952BE">
      <w:pPr>
        <w:pStyle w:val="112"/>
      </w:pPr>
      <w:r>
        <w:rPr>
          <w:rFonts w:hint="eastAsia"/>
        </w:rPr>
        <w:t>采用干冰对细胞制品进行包装时，采用干冰保温箱 PE食品级滚塑周转箱；30kg干冰可包装细胞制品约1-2袋（250mL），可保存24-72小时，保温性能需通过至少 72 小时静态测试，包装内部温度波动需≤±5℃。</w:t>
      </w:r>
    </w:p>
    <w:p w14:paraId="39EDC6D1">
      <w:pPr>
        <w:pStyle w:val="45"/>
      </w:pPr>
      <w:bookmarkStart w:id="90" w:name="_Toc30107"/>
      <w:bookmarkStart w:id="91" w:name="_Toc28014"/>
      <w:r>
        <w:rPr>
          <w:rFonts w:hint="eastAsia"/>
          <w:lang w:val="en-US" w:eastAsia="zh-CN"/>
        </w:rPr>
        <w:t>运输机构</w:t>
      </w:r>
      <w:bookmarkEnd w:id="90"/>
      <w:bookmarkStart w:id="92" w:name="_Toc14339"/>
      <w:r>
        <w:rPr>
          <w:rFonts w:hint="eastAsia"/>
          <w:lang w:val="en-US" w:eastAsia="zh-CN"/>
        </w:rPr>
        <w:t>管理</w:t>
      </w:r>
      <w:bookmarkEnd w:id="91"/>
      <w:bookmarkEnd w:id="92"/>
      <w:r>
        <w:rPr>
          <w:rFonts w:hint="eastAsia"/>
          <w:lang w:val="en-US" w:eastAsia="zh-CN"/>
        </w:rPr>
        <w:t>要求</w:t>
      </w:r>
    </w:p>
    <w:p w14:paraId="246091C1">
      <w:pPr>
        <w:pStyle w:val="44"/>
        <w:rPr>
          <w:rFonts w:hint="eastAsia"/>
        </w:rPr>
      </w:pPr>
      <w:bookmarkStart w:id="93" w:name="_Toc12712"/>
      <w:bookmarkStart w:id="94" w:name="_Toc14374"/>
      <w:r>
        <w:rPr>
          <w:rFonts w:hint="eastAsia"/>
          <w:lang w:val="en-US" w:eastAsia="zh-CN"/>
        </w:rPr>
        <w:t>机构资质管理</w:t>
      </w:r>
      <w:bookmarkEnd w:id="93"/>
      <w:bookmarkEnd w:id="94"/>
      <w:r>
        <w:rPr>
          <w:rFonts w:hint="eastAsia"/>
          <w:lang w:val="en-US" w:eastAsia="zh-CN"/>
        </w:rPr>
        <w:t>要求</w:t>
      </w:r>
    </w:p>
    <w:p w14:paraId="408EBC19">
      <w:pPr>
        <w:pStyle w:val="23"/>
      </w:pPr>
      <w:r>
        <w:rPr>
          <w:rFonts w:hint="eastAsia"/>
        </w:rPr>
        <w:t>各运输机构需具备下列资质要求：</w:t>
      </w:r>
    </w:p>
    <w:p w14:paraId="127E74BB">
      <w:pPr>
        <w:pStyle w:val="52"/>
        <w:numPr>
          <w:ilvl w:val="0"/>
          <w:numId w:val="21"/>
        </w:numPr>
      </w:pPr>
      <w:r>
        <w:rPr>
          <w:rFonts w:hint="eastAsia"/>
        </w:rPr>
        <w:t>公</w:t>
      </w:r>
      <w:r>
        <w:t>路运输：具备冷藏</w:t>
      </w:r>
      <w:r>
        <w:rPr>
          <w:rFonts w:hint="eastAsia"/>
        </w:rPr>
        <w:t>和/或</w:t>
      </w:r>
      <w:r>
        <w:t>冷冻资质的物流企业，车辆需配备双制冷系统及备用电源</w:t>
      </w:r>
      <w:r>
        <w:rPr>
          <w:rFonts w:hint="eastAsia"/>
        </w:rPr>
        <w:t>；同时细胞制品制备单位应配备COA及公路货物运输条件鉴定</w:t>
      </w:r>
      <w:r>
        <w:rPr>
          <w:rFonts w:hint="eastAsia"/>
          <w:lang w:val="en-US" w:eastAsia="zh-CN"/>
        </w:rPr>
        <w:t>书</w:t>
      </w:r>
      <w:r>
        <w:rPr>
          <w:rFonts w:hint="eastAsia"/>
        </w:rPr>
        <w:t>及单位委托书；</w:t>
      </w:r>
    </w:p>
    <w:p w14:paraId="573A7746">
      <w:pPr>
        <w:pStyle w:val="52"/>
        <w:numPr>
          <w:ilvl w:val="0"/>
          <w:numId w:val="21"/>
        </w:numPr>
      </w:pPr>
      <w:r>
        <w:t>航空运输：符合</w:t>
      </w:r>
      <w:r>
        <w:rPr>
          <w:rFonts w:hint="eastAsia"/>
        </w:rPr>
        <w:t>《中华人民共和国民用航空法》及</w:t>
      </w:r>
      <w:r>
        <w:t xml:space="preserve"> IATA-DGR 要求，</w:t>
      </w:r>
      <w:r>
        <w:rPr>
          <w:rFonts w:hint="eastAsia"/>
        </w:rPr>
        <w:t>同时细胞制品制备单位应配备COA及航空货物运输条件鉴定</w:t>
      </w:r>
      <w:r>
        <w:rPr>
          <w:rFonts w:hint="eastAsia"/>
          <w:lang w:val="en-US" w:eastAsia="zh-CN"/>
        </w:rPr>
        <w:t>书</w:t>
      </w:r>
      <w:r>
        <w:rPr>
          <w:rFonts w:hint="eastAsia"/>
        </w:rPr>
        <w:t>及单位委托书；</w:t>
      </w:r>
    </w:p>
    <w:p w14:paraId="7642F04A">
      <w:pPr>
        <w:pStyle w:val="52"/>
        <w:numPr>
          <w:ilvl w:val="0"/>
          <w:numId w:val="21"/>
        </w:numPr>
      </w:pPr>
      <w:r>
        <w:rPr>
          <w:rFonts w:hint="eastAsia"/>
        </w:rPr>
        <w:t>铁路运输：符合《中华人民共和国铁路法》、《铁路安全管理条例》要求，同时细胞制品制备单位应配备COA及铁路货物运输条件鉴定</w:t>
      </w:r>
      <w:r>
        <w:rPr>
          <w:rFonts w:hint="eastAsia"/>
          <w:lang w:val="en-US" w:eastAsia="zh-CN"/>
        </w:rPr>
        <w:t>书</w:t>
      </w:r>
      <w:r>
        <w:rPr>
          <w:rFonts w:hint="eastAsia"/>
        </w:rPr>
        <w:t>及单位委托书；</w:t>
      </w:r>
    </w:p>
    <w:p w14:paraId="1D79EEAF">
      <w:pPr>
        <w:pStyle w:val="52"/>
        <w:numPr>
          <w:ilvl w:val="0"/>
          <w:numId w:val="21"/>
        </w:numPr>
      </w:pPr>
      <w:r>
        <w:rPr>
          <w:rFonts w:hint="eastAsia"/>
        </w:rPr>
        <w:t>承运方与委托方需签署运输协议，承运方应符合《物流企业冷链服务能力要求与评估指标》[GB/T 31086-2025]要求；</w:t>
      </w:r>
    </w:p>
    <w:p w14:paraId="53165B95">
      <w:pPr>
        <w:pStyle w:val="44"/>
        <w:spacing w:before="156" w:after="156"/>
      </w:pPr>
      <w:bookmarkStart w:id="95" w:name="_Toc11266"/>
      <w:bookmarkStart w:id="96" w:name="_Toc4915"/>
      <w:bookmarkStart w:id="97" w:name="_Toc7514"/>
      <w:bookmarkStart w:id="98" w:name="_Toc683"/>
      <w:bookmarkStart w:id="99" w:name="_Toc14859"/>
      <w:bookmarkStart w:id="100" w:name="_Toc33"/>
      <w:bookmarkStart w:id="101" w:name="_Toc9394"/>
      <w:bookmarkStart w:id="102" w:name="_Toc100"/>
      <w:bookmarkStart w:id="103" w:name="_Toc1879"/>
      <w:r>
        <w:rPr>
          <w:rFonts w:hint="eastAsia"/>
        </w:rPr>
        <w:t>运输网络与路径优化管理</w:t>
      </w:r>
      <w:bookmarkEnd w:id="95"/>
      <w:bookmarkEnd w:id="96"/>
      <w:bookmarkEnd w:id="97"/>
      <w:bookmarkEnd w:id="98"/>
      <w:bookmarkEnd w:id="99"/>
      <w:bookmarkEnd w:id="100"/>
      <w:bookmarkEnd w:id="101"/>
      <w:bookmarkEnd w:id="102"/>
      <w:bookmarkEnd w:id="103"/>
    </w:p>
    <w:p w14:paraId="1BB8DCFE">
      <w:pPr>
        <w:pStyle w:val="23"/>
      </w:pPr>
      <w:r>
        <w:rPr>
          <w:rFonts w:hint="eastAsia"/>
          <w:lang w:val="en-US" w:eastAsia="zh-CN"/>
        </w:rPr>
        <w:t>运输机构应</w:t>
      </w:r>
      <w:r>
        <w:rPr>
          <w:rFonts w:hint="eastAsia"/>
        </w:rPr>
        <w:t>通过 GIS 系统规划</w:t>
      </w:r>
      <w:r>
        <w:rPr>
          <w:rFonts w:hint="eastAsia"/>
          <w:lang w:val="en-US" w:eastAsia="zh-CN"/>
        </w:rPr>
        <w:t>运输的</w:t>
      </w:r>
      <w:r>
        <w:rPr>
          <w:rFonts w:hint="eastAsia"/>
        </w:rPr>
        <w:t>最优路线，避开交通拥堵区域及自然灾害易发路段。</w:t>
      </w:r>
      <w:r>
        <w:rPr>
          <w:rFonts w:hint="eastAsia"/>
          <w:lang w:val="en-US" w:eastAsia="zh-CN"/>
        </w:rPr>
        <w:t>运输</w:t>
      </w:r>
      <w:r>
        <w:rPr>
          <w:rFonts w:hint="eastAsia"/>
        </w:rPr>
        <w:t>高风险细胞制品</w:t>
      </w:r>
      <w:r>
        <w:rPr>
          <w:rFonts w:hint="eastAsia"/>
          <w:lang w:val="en-US" w:eastAsia="zh-CN"/>
        </w:rPr>
        <w:t>时，</w:t>
      </w:r>
      <w:r>
        <w:rPr>
          <w:rFonts w:hint="eastAsia"/>
        </w:rPr>
        <w:t>需提前向公安、交通部门报备，开辟绿色通道。</w:t>
      </w:r>
    </w:p>
    <w:p w14:paraId="704E2765">
      <w:pPr>
        <w:pStyle w:val="44"/>
        <w:spacing w:before="156" w:after="156"/>
      </w:pPr>
      <w:bookmarkStart w:id="104" w:name="_Toc13589"/>
      <w:bookmarkStart w:id="105" w:name="_Toc18899"/>
      <w:bookmarkStart w:id="106" w:name="_Toc21047"/>
      <w:bookmarkStart w:id="107" w:name="_Toc21666"/>
      <w:bookmarkStart w:id="108" w:name="_Toc7962"/>
      <w:bookmarkStart w:id="109" w:name="_Toc23313"/>
      <w:bookmarkStart w:id="110" w:name="_Toc28176"/>
      <w:bookmarkStart w:id="111" w:name="_Toc31907"/>
      <w:bookmarkStart w:id="112" w:name="_Toc5308"/>
      <w:r>
        <w:rPr>
          <w:rFonts w:hint="eastAsia"/>
        </w:rPr>
        <w:t>运输记录与数据时效管理</w:t>
      </w:r>
      <w:bookmarkEnd w:id="104"/>
      <w:bookmarkEnd w:id="105"/>
      <w:bookmarkEnd w:id="106"/>
      <w:bookmarkEnd w:id="107"/>
      <w:bookmarkEnd w:id="108"/>
      <w:bookmarkEnd w:id="109"/>
      <w:bookmarkEnd w:id="110"/>
      <w:bookmarkEnd w:id="111"/>
      <w:bookmarkEnd w:id="112"/>
    </w:p>
    <w:p w14:paraId="0FF6C0CA">
      <w:pPr>
        <w:pStyle w:val="23"/>
      </w:pPr>
      <w:r>
        <w:rPr>
          <w:rFonts w:hint="eastAsia"/>
        </w:rPr>
        <w:t>参照《生物样本 细胞运输通用要求》GB/T 45743-2025</w:t>
      </w:r>
      <w:r>
        <w:rPr>
          <w:rFonts w:hint="eastAsia"/>
          <w:lang w:eastAsia="zh-CN"/>
        </w:rPr>
        <w:t>、《</w:t>
      </w:r>
      <w:r>
        <w:rPr>
          <w:rFonts w:hint="eastAsia"/>
          <w:lang w:val="en-US" w:eastAsia="zh-CN"/>
        </w:rPr>
        <w:t>细胞治疗产品运输国际标准</w:t>
      </w:r>
      <w:r>
        <w:rPr>
          <w:rFonts w:hint="eastAsia"/>
          <w:lang w:eastAsia="zh-CN"/>
        </w:rPr>
        <w:t>》ISO 21973:2020、《药品冷链物流运作规范》GB/T 28842—2012、</w:t>
      </w:r>
      <w:r>
        <w:rPr>
          <w:rFonts w:hint="eastAsia"/>
        </w:rPr>
        <w:t>《信息安全技术 信息系统安全管理要求》[GB/T 20269]、《信息安全技术 网络基础安全技术要求》[GB/T 20270]、《信息安全技术 信息系统通用安全技术要求》[GB/T 20271]的</w:t>
      </w:r>
      <w:r>
        <w:rPr>
          <w:rFonts w:hint="eastAsia"/>
          <w:lang w:val="en-US" w:eastAsia="zh-CN"/>
        </w:rPr>
        <w:t>相关</w:t>
      </w:r>
      <w:r>
        <w:rPr>
          <w:rFonts w:hint="eastAsia"/>
        </w:rPr>
        <w:t>要求。</w:t>
      </w:r>
    </w:p>
    <w:p w14:paraId="2121DCB9">
      <w:pPr>
        <w:pStyle w:val="44"/>
        <w:spacing w:before="156" w:after="156"/>
      </w:pPr>
      <w:bookmarkStart w:id="113" w:name="_Toc8478"/>
      <w:bookmarkStart w:id="114" w:name="_Toc468"/>
      <w:bookmarkStart w:id="115" w:name="_Toc400"/>
      <w:bookmarkStart w:id="116" w:name="_Toc11621"/>
      <w:bookmarkStart w:id="117" w:name="_Toc4300"/>
      <w:bookmarkStart w:id="118" w:name="_Toc18780"/>
      <w:bookmarkStart w:id="119" w:name="_Toc27847"/>
      <w:bookmarkStart w:id="120" w:name="_Toc22710"/>
      <w:bookmarkStart w:id="121" w:name="_Toc1507"/>
      <w:r>
        <w:rPr>
          <w:rFonts w:hint="eastAsia"/>
        </w:rPr>
        <w:t>运输服务管理</w:t>
      </w:r>
      <w:bookmarkEnd w:id="113"/>
      <w:bookmarkEnd w:id="114"/>
      <w:bookmarkEnd w:id="115"/>
      <w:bookmarkEnd w:id="116"/>
      <w:bookmarkEnd w:id="117"/>
      <w:bookmarkEnd w:id="118"/>
      <w:bookmarkEnd w:id="119"/>
      <w:bookmarkEnd w:id="120"/>
      <w:bookmarkEnd w:id="121"/>
    </w:p>
    <w:p w14:paraId="261B53F0">
      <w:pPr>
        <w:pStyle w:val="43"/>
        <w:spacing w:before="156" w:after="156"/>
        <w:outlineLvl w:val="9"/>
      </w:pPr>
      <w:r>
        <w:rPr>
          <w:rFonts w:hint="eastAsia"/>
          <w:lang w:val="en-US" w:eastAsia="zh-CN"/>
        </w:rPr>
        <w:t>运输人员资质要求</w:t>
      </w:r>
    </w:p>
    <w:p w14:paraId="1EC9CEBF">
      <w:pPr>
        <w:pStyle w:val="52"/>
        <w:numPr>
          <w:ilvl w:val="255"/>
          <w:numId w:val="0"/>
        </w:numPr>
        <w:ind w:firstLine="420" w:firstLineChars="200"/>
      </w:pPr>
      <w:r>
        <w:rPr>
          <w:rFonts w:hint="eastAsia"/>
        </w:rPr>
        <w:t>运输人员应符合《物流企业冷链服务能力要求与评估指标》[GB/T 31086-2025]要求</w:t>
      </w:r>
      <w:r>
        <w:rPr>
          <w:rFonts w:hint="eastAsia"/>
          <w:lang w:eastAsia="zh-CN"/>
        </w:rPr>
        <w:t>，</w:t>
      </w:r>
      <w:r>
        <w:rPr>
          <w:rFonts w:hint="eastAsia"/>
          <w:lang w:val="en-US" w:eastAsia="zh-CN"/>
        </w:rPr>
        <w:t>同时需具备《道路运输从业人员 从业资格证》，并具备驾驶运输车辆相关的驾驶证件</w:t>
      </w:r>
      <w:r>
        <w:rPr>
          <w:rFonts w:hint="eastAsia"/>
        </w:rPr>
        <w:t>。</w:t>
      </w:r>
    </w:p>
    <w:p w14:paraId="07B1DF9D">
      <w:pPr>
        <w:pStyle w:val="43"/>
        <w:spacing w:before="156" w:after="156"/>
        <w:outlineLvl w:val="9"/>
      </w:pPr>
      <w:r>
        <w:rPr>
          <w:rFonts w:hint="eastAsia"/>
        </w:rPr>
        <w:t>运输人员体检要求</w:t>
      </w:r>
    </w:p>
    <w:p w14:paraId="2C509826">
      <w:pPr>
        <w:pStyle w:val="23"/>
      </w:pPr>
      <w:r>
        <w:rPr>
          <w:rFonts w:hint="eastAsia"/>
        </w:rPr>
        <w:t>细胞制品运输从业人员需满足下列条件：</w:t>
      </w:r>
    </w:p>
    <w:p w14:paraId="24500FB8">
      <w:pPr>
        <w:pStyle w:val="52"/>
        <w:numPr>
          <w:ilvl w:val="0"/>
          <w:numId w:val="22"/>
        </w:numPr>
      </w:pPr>
      <w:r>
        <w:rPr>
          <w:rFonts w:hint="eastAsia"/>
        </w:rPr>
        <w:t>运</w:t>
      </w:r>
      <w:r>
        <w:t>输人员每年进行一次健康体检，</w:t>
      </w:r>
      <w:r>
        <w:rPr>
          <w:rFonts w:hint="eastAsia"/>
        </w:rPr>
        <w:t>包括但不限于传染病（丙肝、乙肝、艾滋</w:t>
      </w:r>
      <w:r>
        <w:t>、梅毒</w:t>
      </w:r>
      <w:r>
        <w:rPr>
          <w:rFonts w:hint="eastAsia"/>
        </w:rPr>
        <w:t>）检测且结果呈阴性。</w:t>
      </w:r>
    </w:p>
    <w:p w14:paraId="6A16B712">
      <w:pPr>
        <w:pStyle w:val="52"/>
        <w:numPr>
          <w:ilvl w:val="0"/>
          <w:numId w:val="22"/>
        </w:numPr>
      </w:pPr>
      <w:r>
        <w:rPr>
          <w:rFonts w:hint="eastAsia"/>
        </w:rPr>
        <w:t>体检正常，无传染病、精神病、癫痫病史。</w:t>
      </w:r>
    </w:p>
    <w:p w14:paraId="77F27FE8">
      <w:pPr>
        <w:pStyle w:val="43"/>
        <w:spacing w:before="156" w:after="156"/>
        <w:outlineLvl w:val="9"/>
      </w:pPr>
      <w:r>
        <w:rPr>
          <w:rFonts w:hint="eastAsia"/>
        </w:rPr>
        <w:t>运输人员交接要求</w:t>
      </w:r>
    </w:p>
    <w:p w14:paraId="519E0BCC">
      <w:pPr>
        <w:pStyle w:val="23"/>
      </w:pPr>
      <w:r>
        <w:rPr>
          <w:rFonts w:hint="eastAsia"/>
        </w:rPr>
        <w:t>运输人员在细胞制品取件、交接及收货等服务过程中需满足下列要求：</w:t>
      </w:r>
    </w:p>
    <w:p w14:paraId="5CFD9470">
      <w:pPr>
        <w:pStyle w:val="52"/>
        <w:numPr>
          <w:ilvl w:val="0"/>
          <w:numId w:val="23"/>
        </w:numPr>
      </w:pPr>
      <w:r>
        <w:rPr>
          <w:rFonts w:hint="eastAsia"/>
        </w:rPr>
        <w:t>冷链物流人员根据细胞制品要求在取件前准备液氮、干冰、冰排等相关物品、设备、标识、温度计、GPS定位以及运输路线，做好应急备案。</w:t>
      </w:r>
    </w:p>
    <w:p w14:paraId="186E6CDA">
      <w:pPr>
        <w:pStyle w:val="52"/>
        <w:numPr>
          <w:ilvl w:val="0"/>
          <w:numId w:val="23"/>
        </w:numPr>
        <w:rPr>
          <w:highlight w:val="none"/>
        </w:rPr>
      </w:pPr>
      <w:r>
        <w:rPr>
          <w:rFonts w:hint="eastAsia"/>
          <w:highlight w:val="none"/>
          <w:lang w:val="en-US" w:eastAsia="zh-CN"/>
        </w:rPr>
        <w:t>运输人员取件时应检查并做好细胞制品包裹的防震处理，且外包装应采用具有一次性及唯一性的封口签进行封装。</w:t>
      </w:r>
    </w:p>
    <w:p w14:paraId="3BDBC669">
      <w:pPr>
        <w:pStyle w:val="52"/>
        <w:numPr>
          <w:ilvl w:val="0"/>
          <w:numId w:val="23"/>
        </w:numPr>
      </w:pPr>
      <w:r>
        <w:rPr>
          <w:rFonts w:hint="eastAsia"/>
        </w:rPr>
        <w:t>取件人员与委托人员进行细胞</w:t>
      </w:r>
      <w:r>
        <w:rPr>
          <w:rFonts w:hint="eastAsia"/>
          <w:lang w:val="en-US" w:eastAsia="zh-CN"/>
        </w:rPr>
        <w:t>制品</w:t>
      </w:r>
      <w:r>
        <w:rPr>
          <w:rFonts w:hint="eastAsia"/>
        </w:rPr>
        <w:t>交接</w:t>
      </w:r>
      <w:r>
        <w:rPr>
          <w:rFonts w:hint="eastAsia"/>
          <w:lang w:val="en-US" w:eastAsia="zh-CN"/>
        </w:rPr>
        <w:t>时</w:t>
      </w:r>
      <w:r>
        <w:rPr>
          <w:rFonts w:hint="eastAsia"/>
        </w:rPr>
        <w:t>，根据运输条件准备防护装备，双</w:t>
      </w:r>
      <w:r>
        <w:rPr>
          <w:rFonts w:hint="eastAsia"/>
          <w:lang w:val="en-US" w:eastAsia="zh-CN"/>
        </w:rPr>
        <w:t>方</w:t>
      </w:r>
      <w:r>
        <w:rPr>
          <w:rFonts w:hint="eastAsia"/>
        </w:rPr>
        <w:t>核对标签信息</w:t>
      </w:r>
      <w:r>
        <w:rPr>
          <w:rFonts w:hint="eastAsia"/>
          <w:lang w:val="en-US" w:eastAsia="zh-CN"/>
        </w:rPr>
        <w:t>是否</w:t>
      </w:r>
      <w:r>
        <w:rPr>
          <w:rFonts w:hint="eastAsia"/>
        </w:rPr>
        <w:t>与运输单一致；要求标签</w:t>
      </w:r>
      <w:r>
        <w:rPr>
          <w:rFonts w:hint="eastAsia"/>
          <w:lang w:eastAsia="zh-CN"/>
        </w:rPr>
        <w:t>、</w:t>
      </w:r>
      <w:r>
        <w:rPr>
          <w:rFonts w:hint="eastAsia"/>
          <w:lang w:val="en-US" w:eastAsia="zh-CN"/>
        </w:rPr>
        <w:t>标识信息</w:t>
      </w:r>
      <w:r>
        <w:rPr>
          <w:rFonts w:hint="eastAsia"/>
        </w:rPr>
        <w:t>清晰完整、收货人信息</w:t>
      </w:r>
      <w:r>
        <w:rPr>
          <w:rFonts w:hint="eastAsia"/>
          <w:lang w:val="en-US" w:eastAsia="zh-CN"/>
        </w:rPr>
        <w:t>齐全</w:t>
      </w:r>
      <w:r>
        <w:rPr>
          <w:rFonts w:hint="eastAsia"/>
        </w:rPr>
        <w:t>，内外包装完整，符合细胞制品运输条件。</w:t>
      </w:r>
    </w:p>
    <w:p w14:paraId="092477DA">
      <w:pPr>
        <w:pStyle w:val="52"/>
        <w:numPr>
          <w:ilvl w:val="0"/>
          <w:numId w:val="23"/>
        </w:numPr>
      </w:pPr>
      <w:r>
        <w:rPr>
          <w:rFonts w:hint="eastAsia"/>
        </w:rPr>
        <w:t>取件完毕，双方核对无误，签字，开启GPS及温控</w:t>
      </w:r>
      <w:r>
        <w:rPr>
          <w:rFonts w:hint="eastAsia"/>
          <w:lang w:val="en-US" w:eastAsia="zh-CN"/>
        </w:rPr>
        <w:t>监</w:t>
      </w:r>
      <w:r>
        <w:rPr>
          <w:rFonts w:hint="eastAsia"/>
        </w:rPr>
        <w:t>测系统。委托方、收货方、运输方可以根据ATS 系统</w:t>
      </w:r>
      <w:r>
        <w:rPr>
          <w:rFonts w:hint="eastAsia"/>
          <w:lang w:val="en-US" w:eastAsia="zh-CN"/>
        </w:rPr>
        <w:t>可</w:t>
      </w:r>
      <w:r>
        <w:rPr>
          <w:rFonts w:hint="eastAsia"/>
        </w:rPr>
        <w:t>实时查看细胞制品运输</w:t>
      </w:r>
      <w:r>
        <w:rPr>
          <w:rFonts w:hint="eastAsia"/>
          <w:lang w:val="en-US" w:eastAsia="zh-CN"/>
        </w:rPr>
        <w:t>的</w:t>
      </w:r>
      <w:r>
        <w:rPr>
          <w:rFonts w:hint="eastAsia"/>
        </w:rPr>
        <w:t>运输位置</w:t>
      </w:r>
      <w:r>
        <w:rPr>
          <w:rFonts w:hint="eastAsia"/>
          <w:lang w:val="en-US" w:eastAsia="zh-CN"/>
        </w:rPr>
        <w:t>及</w:t>
      </w:r>
      <w:r>
        <w:rPr>
          <w:rFonts w:hint="eastAsia"/>
        </w:rPr>
        <w:t>温度数据。</w:t>
      </w:r>
    </w:p>
    <w:p w14:paraId="38DB08AB">
      <w:pPr>
        <w:pStyle w:val="52"/>
        <w:numPr>
          <w:ilvl w:val="0"/>
          <w:numId w:val="23"/>
        </w:numPr>
      </w:pPr>
      <w:r>
        <w:rPr>
          <w:rFonts w:hint="eastAsia"/>
        </w:rPr>
        <w:t>收货交接：</w:t>
      </w:r>
      <w:r>
        <w:rPr>
          <w:rFonts w:hint="eastAsia"/>
          <w:lang w:val="en-US" w:eastAsia="zh-CN"/>
        </w:rPr>
        <w:t>双方交接时需确认</w:t>
      </w:r>
      <w:r>
        <w:rPr>
          <w:rFonts w:hint="eastAsia"/>
        </w:rPr>
        <w:t>细胞运输条件、细胞基本信息、三层包装无破损、标签信息与运输单一致；标签清晰、标识</w:t>
      </w:r>
      <w:r>
        <w:rPr>
          <w:rFonts w:hint="eastAsia"/>
          <w:lang w:val="en-US" w:eastAsia="zh-CN"/>
        </w:rPr>
        <w:t>及封口签</w:t>
      </w:r>
      <w:r>
        <w:rPr>
          <w:rFonts w:hint="eastAsia"/>
        </w:rPr>
        <w:t>完整。温度曲线连续无中断，超标时间＜5 分钟 / 次，累计超标时长＜5分钟。</w:t>
      </w:r>
      <w:r>
        <w:rPr>
          <w:rFonts w:hint="eastAsia"/>
          <w:lang w:val="en-US" w:eastAsia="zh-CN"/>
        </w:rPr>
        <w:t>交接时拍照进行存留，</w:t>
      </w:r>
      <w:r>
        <w:rPr>
          <w:rFonts w:hint="eastAsia"/>
        </w:rPr>
        <w:t>确认准确无误</w:t>
      </w:r>
      <w:r>
        <w:rPr>
          <w:rFonts w:hint="eastAsia"/>
          <w:lang w:val="en-US" w:eastAsia="zh-CN"/>
        </w:rPr>
        <w:t>后</w:t>
      </w:r>
      <w:r>
        <w:rPr>
          <w:rFonts w:hint="eastAsia"/>
        </w:rPr>
        <w:t>双方签字，停止温控记录，系统</w:t>
      </w:r>
      <w:r>
        <w:rPr>
          <w:rFonts w:hint="eastAsia"/>
          <w:lang w:val="en-US" w:eastAsia="zh-CN"/>
        </w:rPr>
        <w:t>可</w:t>
      </w:r>
      <w:r>
        <w:rPr>
          <w:rFonts w:hint="eastAsia"/>
        </w:rPr>
        <w:t>导出温度记录单。</w:t>
      </w:r>
    </w:p>
    <w:p w14:paraId="4476FD50">
      <w:pPr>
        <w:pStyle w:val="43"/>
        <w:spacing w:before="156" w:after="156"/>
        <w:outlineLvl w:val="9"/>
      </w:pPr>
      <w:r>
        <w:rPr>
          <w:rFonts w:hint="eastAsia"/>
        </w:rPr>
        <w:t>运输交接单</w:t>
      </w:r>
    </w:p>
    <w:p w14:paraId="01FE0BD5">
      <w:pPr>
        <w:pStyle w:val="23"/>
      </w:pPr>
      <w:r>
        <w:rPr>
          <w:rFonts w:hint="eastAsia"/>
        </w:rPr>
        <w:t>对于细胞制品运输交接单的设计需至少包含下列信息，运输交接单样表见附录B：</w:t>
      </w:r>
    </w:p>
    <w:p w14:paraId="4D1AF343">
      <w:pPr>
        <w:pStyle w:val="52"/>
        <w:numPr>
          <w:ilvl w:val="0"/>
          <w:numId w:val="24"/>
        </w:numPr>
        <w:ind w:firstLine="0"/>
      </w:pPr>
      <w:r>
        <w:rPr>
          <w:rFonts w:hint="eastAsia"/>
        </w:rPr>
        <w:t>委托方、收货方信息：双方地址、联络人、联系电话等；</w:t>
      </w:r>
    </w:p>
    <w:p w14:paraId="1F435E14">
      <w:pPr>
        <w:pStyle w:val="52"/>
        <w:numPr>
          <w:ilvl w:val="0"/>
          <w:numId w:val="24"/>
        </w:numPr>
        <w:ind w:firstLine="0"/>
      </w:pPr>
      <w:r>
        <w:rPr>
          <w:rFonts w:hint="eastAsia"/>
        </w:rPr>
        <w:t>样本信息：样本追溯编码、名称、数量、保存方式、重量等；</w:t>
      </w:r>
    </w:p>
    <w:p w14:paraId="5B2DAAAB">
      <w:pPr>
        <w:pStyle w:val="52"/>
        <w:numPr>
          <w:ilvl w:val="0"/>
          <w:numId w:val="24"/>
        </w:numPr>
        <w:ind w:firstLine="0"/>
      </w:pPr>
      <w:r>
        <w:rPr>
          <w:rFonts w:hint="eastAsia"/>
        </w:rPr>
        <w:t>运输相关信息：运输单号、取件及收件日期（明确至分钟）、运输方式、运输温度要求及记录、运输设备编号、样本类型等；</w:t>
      </w:r>
    </w:p>
    <w:p w14:paraId="39152AF5">
      <w:pPr>
        <w:pStyle w:val="45"/>
        <w:spacing w:before="312" w:after="312"/>
        <w:rPr>
          <w:rFonts w:hAnsi="黑体" w:cs="黑体"/>
        </w:rPr>
      </w:pPr>
      <w:bookmarkStart w:id="122" w:name="_Toc7006"/>
      <w:bookmarkStart w:id="123" w:name="_Toc25288"/>
      <w:bookmarkStart w:id="124" w:name="_Toc749"/>
      <w:bookmarkStart w:id="125" w:name="_Toc30743"/>
      <w:bookmarkStart w:id="126" w:name="_Toc10366"/>
      <w:bookmarkStart w:id="127" w:name="_Toc12378"/>
      <w:bookmarkStart w:id="128" w:name="_Toc16170"/>
      <w:bookmarkStart w:id="129" w:name="_Toc8197"/>
      <w:bookmarkStart w:id="130" w:name="_Toc14822"/>
      <w:bookmarkStart w:id="131" w:name="_Toc15675"/>
      <w:r>
        <w:rPr>
          <w:rFonts w:hint="eastAsia" w:hAnsi="黑体" w:cs="黑体"/>
        </w:rPr>
        <w:t>运输监管链</w:t>
      </w:r>
      <w:bookmarkEnd w:id="122"/>
      <w:bookmarkEnd w:id="123"/>
      <w:bookmarkEnd w:id="124"/>
      <w:bookmarkEnd w:id="125"/>
      <w:bookmarkEnd w:id="126"/>
      <w:bookmarkEnd w:id="127"/>
      <w:bookmarkEnd w:id="128"/>
      <w:bookmarkEnd w:id="129"/>
      <w:bookmarkEnd w:id="130"/>
      <w:bookmarkEnd w:id="131"/>
    </w:p>
    <w:p w14:paraId="540CF855">
      <w:pPr>
        <w:pStyle w:val="44"/>
        <w:spacing w:before="156" w:after="156"/>
      </w:pPr>
      <w:bookmarkStart w:id="132" w:name="_Toc434"/>
      <w:bookmarkStart w:id="133" w:name="_Toc19667"/>
      <w:bookmarkStart w:id="134" w:name="_Toc7513"/>
      <w:bookmarkStart w:id="135" w:name="_Toc11588"/>
      <w:bookmarkStart w:id="136" w:name="_Toc2697"/>
      <w:bookmarkStart w:id="137" w:name="_Toc27268"/>
      <w:bookmarkStart w:id="138" w:name="_Toc9800"/>
      <w:bookmarkStart w:id="139" w:name="_Toc6489"/>
      <w:bookmarkStart w:id="140" w:name="_Toc25377"/>
      <w:bookmarkStart w:id="141" w:name="_Toc8944"/>
      <w:r>
        <w:rPr>
          <w:rFonts w:hint="eastAsia"/>
        </w:rPr>
        <w:t>建立防伪追溯管理系统</w:t>
      </w:r>
      <w:bookmarkEnd w:id="132"/>
      <w:bookmarkEnd w:id="133"/>
      <w:r>
        <w:rPr>
          <w:rFonts w:hint="eastAsia"/>
        </w:rPr>
        <w:t>（ATS）</w:t>
      </w:r>
      <w:bookmarkEnd w:id="134"/>
      <w:bookmarkEnd w:id="135"/>
      <w:bookmarkEnd w:id="136"/>
      <w:bookmarkEnd w:id="137"/>
      <w:bookmarkEnd w:id="138"/>
      <w:bookmarkEnd w:id="139"/>
      <w:bookmarkEnd w:id="140"/>
      <w:bookmarkEnd w:id="141"/>
    </w:p>
    <w:p w14:paraId="0353A3E9">
      <w:pPr>
        <w:pStyle w:val="23"/>
      </w:pPr>
      <w:r>
        <w:rPr>
          <w:rFonts w:hint="eastAsia"/>
        </w:rPr>
        <w:t>承运方需为每份细胞制品生成唯一的二维码或条形码，包含细胞制品名称、批次、生产时间、有效期、运输路线、温度记录等详细信息；在运输过程中，运输人员通过手持终端设备扫描二维码，实时更新运输状态，如发货时间、中转时间、预计到达时间等信息上传至 ATS 系统，供上下游企业及监管部门查询追溯，同时</w:t>
      </w:r>
      <w:r>
        <w:rPr>
          <w:rFonts w:hint="eastAsia"/>
          <w:lang w:val="en-US" w:eastAsia="zh-CN"/>
        </w:rPr>
        <w:t xml:space="preserve"> </w:t>
      </w:r>
      <w:r>
        <w:rPr>
          <w:rFonts w:hint="eastAsia"/>
        </w:rPr>
        <w:t>ATS</w:t>
      </w:r>
      <w:r>
        <w:rPr>
          <w:rFonts w:hint="eastAsia"/>
          <w:lang w:val="en-US" w:eastAsia="zh-CN"/>
        </w:rPr>
        <w:t xml:space="preserve"> </w:t>
      </w:r>
      <w:r>
        <w:rPr>
          <w:rFonts w:hint="eastAsia"/>
        </w:rPr>
        <w:t>系统需具备下列功能：</w:t>
      </w:r>
    </w:p>
    <w:p w14:paraId="30787169">
      <w:pPr>
        <w:pStyle w:val="52"/>
        <w:numPr>
          <w:ilvl w:val="0"/>
          <w:numId w:val="25"/>
        </w:numPr>
      </w:pPr>
      <w:r>
        <w:rPr>
          <w:rFonts w:hint="eastAsia"/>
        </w:rPr>
        <w:t>设置不同用户权限：</w:t>
      </w:r>
    </w:p>
    <w:p w14:paraId="02877E3C">
      <w:pPr>
        <w:pStyle w:val="51"/>
        <w:numPr>
          <w:ilvl w:val="1"/>
          <w:numId w:val="26"/>
        </w:numPr>
      </w:pPr>
      <w:r>
        <w:rPr>
          <w:rFonts w:hint="eastAsia"/>
        </w:rPr>
        <w:t>生产企业可查看细胞制品的运输全过程信息，包括运输轨迹、温度数据等，以便对产品质量进行监控；</w:t>
      </w:r>
    </w:p>
    <w:p w14:paraId="21D050D8">
      <w:pPr>
        <w:pStyle w:val="51"/>
        <w:numPr>
          <w:ilvl w:val="1"/>
          <w:numId w:val="26"/>
        </w:numPr>
      </w:pPr>
      <w:r>
        <w:rPr>
          <w:rFonts w:hint="eastAsia"/>
        </w:rPr>
        <w:t>使用单位可在接收细胞制品前，提前了解运输状态，做好接收准备；</w:t>
      </w:r>
    </w:p>
    <w:p w14:paraId="7ECE5E4E">
      <w:pPr>
        <w:pStyle w:val="51"/>
        <w:numPr>
          <w:ilvl w:val="1"/>
          <w:numId w:val="26"/>
        </w:numPr>
      </w:pPr>
      <w:r>
        <w:rPr>
          <w:rFonts w:hint="eastAsia"/>
        </w:rPr>
        <w:t>监管部门拥有最高权限，可对所有细胞制品运输数据进行实时监管，对异常情况进行及时干预。</w:t>
      </w:r>
    </w:p>
    <w:p w14:paraId="1E337D69">
      <w:pPr>
        <w:pStyle w:val="52"/>
        <w:numPr>
          <w:ilvl w:val="0"/>
          <w:numId w:val="25"/>
        </w:numPr>
      </w:pPr>
      <w:r>
        <w:rPr>
          <w:rFonts w:hint="eastAsia"/>
        </w:rPr>
        <w:t>具备预警功能：当运输过程中如出现温度异常、运输延误等情况时，自动向相关人员发送预警信息，便于及时处理。</w:t>
      </w:r>
    </w:p>
    <w:p w14:paraId="002822DD">
      <w:pPr>
        <w:pStyle w:val="44"/>
        <w:spacing w:before="156" w:after="156"/>
      </w:pPr>
      <w:bookmarkStart w:id="142" w:name="_Toc22423"/>
      <w:bookmarkStart w:id="143" w:name="_Toc14384"/>
      <w:bookmarkStart w:id="144" w:name="_Toc14534"/>
      <w:bookmarkStart w:id="145" w:name="_Toc17572"/>
      <w:bookmarkStart w:id="146" w:name="_Toc2563"/>
      <w:bookmarkStart w:id="147" w:name="_Toc23141"/>
      <w:bookmarkStart w:id="148" w:name="_Toc25028"/>
      <w:bookmarkStart w:id="149" w:name="_Toc16866"/>
      <w:bookmarkStart w:id="150" w:name="_Toc11674"/>
      <w:bookmarkStart w:id="151" w:name="_Toc12686"/>
      <w:r>
        <w:rPr>
          <w:rFonts w:hint="eastAsia"/>
        </w:rPr>
        <w:t>建立实时监控系统​</w:t>
      </w:r>
      <w:bookmarkEnd w:id="142"/>
      <w:bookmarkEnd w:id="143"/>
      <w:bookmarkEnd w:id="144"/>
      <w:bookmarkEnd w:id="145"/>
      <w:bookmarkEnd w:id="146"/>
      <w:bookmarkEnd w:id="147"/>
      <w:bookmarkEnd w:id="148"/>
      <w:bookmarkEnd w:id="149"/>
      <w:bookmarkEnd w:id="150"/>
      <w:bookmarkEnd w:id="151"/>
    </w:p>
    <w:p w14:paraId="6B17FE41">
      <w:pPr>
        <w:pStyle w:val="23"/>
      </w:pPr>
      <w:r>
        <w:rPr>
          <w:rFonts w:hint="eastAsia"/>
        </w:rPr>
        <w:t>细胞制品运输过程中需建立实时监控系统，对样品运输过程中的关键节点进行实时监控：</w:t>
      </w:r>
    </w:p>
    <w:p w14:paraId="5095A520">
      <w:pPr>
        <w:pStyle w:val="52"/>
        <w:numPr>
          <w:ilvl w:val="0"/>
          <w:numId w:val="27"/>
        </w:numPr>
      </w:pPr>
      <w:r>
        <w:rPr>
          <w:rFonts w:hint="eastAsia"/>
        </w:rPr>
        <w:t>在运输车辆、运输箱等设备上安装 GPS 定位装置与温度传感器，通过物联网技术，将运输位置、温度数据实时传输至监控平台。</w:t>
      </w:r>
    </w:p>
    <w:p w14:paraId="111CE6B1">
      <w:pPr>
        <w:pStyle w:val="52"/>
        <w:numPr>
          <w:ilvl w:val="0"/>
          <w:numId w:val="27"/>
        </w:numPr>
      </w:pPr>
      <w:r>
        <w:rPr>
          <w:rFonts w:hint="eastAsia"/>
        </w:rPr>
        <w:t>监控平台以电子地图形式展示运输车辆的实时位置，点击车辆图标可查看详细运输信息，包括当前温度、行驶速度、剩余路程等。​</w:t>
      </w:r>
    </w:p>
    <w:p w14:paraId="04B2FC23">
      <w:pPr>
        <w:pStyle w:val="52"/>
        <w:numPr>
          <w:ilvl w:val="0"/>
          <w:numId w:val="27"/>
        </w:numPr>
      </w:pPr>
      <w:r>
        <w:rPr>
          <w:rFonts w:hint="eastAsia"/>
        </w:rPr>
        <w:t>对运输设备的运行状态进行实时监控，如制冷设备的运行电流、压缩机工作声音等，通过传感器采集数据并上传至监控平台，一旦发现设备运行异常，立即发出警报。​</w:t>
      </w:r>
    </w:p>
    <w:p w14:paraId="319CB498">
      <w:pPr>
        <w:pStyle w:val="44"/>
        <w:spacing w:before="156" w:after="156"/>
      </w:pPr>
      <w:bookmarkStart w:id="152" w:name="_Toc20087"/>
      <w:bookmarkStart w:id="153" w:name="_Toc13000"/>
      <w:bookmarkStart w:id="154" w:name="_Toc22646"/>
      <w:bookmarkStart w:id="155" w:name="_Toc11102"/>
      <w:bookmarkStart w:id="156" w:name="_Toc16317"/>
      <w:bookmarkStart w:id="157" w:name="_Toc20603"/>
      <w:bookmarkStart w:id="158" w:name="_Toc14827"/>
      <w:bookmarkStart w:id="159" w:name="_Toc932"/>
      <w:bookmarkStart w:id="160" w:name="_Toc1967"/>
      <w:bookmarkStart w:id="161" w:name="_Toc13141"/>
      <w:r>
        <w:rPr>
          <w:rFonts w:hint="eastAsia"/>
        </w:rPr>
        <w:t>建立数据记录溯源系统​</w:t>
      </w:r>
      <w:bookmarkEnd w:id="152"/>
      <w:bookmarkEnd w:id="153"/>
      <w:bookmarkEnd w:id="154"/>
      <w:bookmarkEnd w:id="155"/>
      <w:bookmarkEnd w:id="156"/>
      <w:bookmarkEnd w:id="157"/>
      <w:bookmarkEnd w:id="158"/>
      <w:bookmarkEnd w:id="159"/>
      <w:bookmarkEnd w:id="160"/>
      <w:bookmarkEnd w:id="161"/>
    </w:p>
    <w:p w14:paraId="3CAE553E">
      <w:pPr>
        <w:pStyle w:val="23"/>
      </w:pPr>
      <w:r>
        <w:rPr>
          <w:rFonts w:hint="eastAsia"/>
        </w:rPr>
        <w:t xml:space="preserve">运输企业建立完善的运输记录档案，记录内容包括细胞制品基本信息、运输合同、温度记录、设备维护记录、人员培训记录、运输过程中的异常事件及处理措施等；记录保存期限不少于 </w:t>
      </w:r>
      <w:r>
        <w:rPr>
          <w:rFonts w:hint="eastAsia"/>
          <w:lang w:val="en-US" w:eastAsia="zh-CN"/>
        </w:rPr>
        <w:t>2</w:t>
      </w:r>
      <w:r>
        <w:rPr>
          <w:rFonts w:hint="eastAsia"/>
        </w:rPr>
        <w:t xml:space="preserve"> 年；纸质记录整理成册，妥善保管。</w:t>
      </w:r>
    </w:p>
    <w:p w14:paraId="6503D2F0">
      <w:pPr>
        <w:pStyle w:val="44"/>
        <w:spacing w:before="156" w:after="156"/>
      </w:pPr>
      <w:bookmarkStart w:id="162" w:name="_Toc17918"/>
      <w:bookmarkStart w:id="163" w:name="_Toc31851"/>
      <w:bookmarkStart w:id="164" w:name="_Toc2743"/>
      <w:bookmarkStart w:id="165" w:name="_Toc7702"/>
      <w:bookmarkStart w:id="166" w:name="_Toc23610"/>
      <w:bookmarkStart w:id="167" w:name="_Toc21705"/>
      <w:bookmarkStart w:id="168" w:name="_Toc14060"/>
      <w:bookmarkStart w:id="169" w:name="_Toc18694"/>
      <w:bookmarkStart w:id="170" w:name="_Toc12271"/>
      <w:bookmarkStart w:id="171" w:name="_Toc22105"/>
      <w:r>
        <w:rPr>
          <w:rFonts w:hint="eastAsia"/>
        </w:rPr>
        <w:t>数据客观性和公允性</w:t>
      </w:r>
      <w:bookmarkEnd w:id="162"/>
      <w:bookmarkEnd w:id="163"/>
      <w:bookmarkEnd w:id="164"/>
      <w:bookmarkEnd w:id="165"/>
      <w:bookmarkEnd w:id="166"/>
      <w:bookmarkEnd w:id="167"/>
      <w:bookmarkEnd w:id="168"/>
      <w:bookmarkEnd w:id="169"/>
      <w:bookmarkEnd w:id="170"/>
      <w:bookmarkEnd w:id="171"/>
    </w:p>
    <w:p w14:paraId="0DFD359B">
      <w:pPr>
        <w:pStyle w:val="43"/>
        <w:spacing w:before="156" w:after="156"/>
        <w:outlineLvl w:val="9"/>
        <w:rPr>
          <w:rFonts w:ascii="宋体" w:hAnsi="宋体" w:eastAsia="宋体" w:cs="宋体"/>
        </w:rPr>
      </w:pPr>
      <w:r>
        <w:rPr>
          <w:rFonts w:hint="eastAsia" w:ascii="宋体" w:hAnsi="宋体" w:eastAsia="宋体" w:cs="宋体"/>
        </w:rPr>
        <w:t>运输设备上的温度传感器、GPS 定位装置等数据采集设备，需经过第三方校准机构校准，确保数据采集的准确性。温度传感器每年送专业校准机构校准一次，校准</w:t>
      </w:r>
      <w:r>
        <w:rPr>
          <w:rFonts w:hint="eastAsia" w:ascii="宋体" w:hAnsi="宋体" w:eastAsia="宋体" w:cs="宋体"/>
          <w:lang w:val="en-US" w:eastAsia="zh-CN"/>
        </w:rPr>
        <w:t>报告</w:t>
      </w:r>
      <w:r>
        <w:rPr>
          <w:rFonts w:hint="eastAsia" w:ascii="宋体" w:hAnsi="宋体" w:eastAsia="宋体" w:cs="宋体"/>
        </w:rPr>
        <w:t>作为设备合格使用的依据。</w:t>
      </w:r>
    </w:p>
    <w:p w14:paraId="01C54CD7">
      <w:pPr>
        <w:pStyle w:val="43"/>
        <w:spacing w:before="156" w:after="156"/>
        <w:outlineLvl w:val="9"/>
        <w:rPr>
          <w:rFonts w:ascii="宋体" w:hAnsi="宋体" w:eastAsia="宋体" w:cs="宋体"/>
        </w:rPr>
      </w:pPr>
      <w:r>
        <w:rPr>
          <w:rFonts w:hint="eastAsia" w:ascii="宋体" w:hAnsi="宋体" w:eastAsia="宋体" w:cs="宋体"/>
        </w:rPr>
        <w:t>定期对运输数据进行审计，可邀请第三方审计机构对运输企业的温度记录、运输轨迹等数据进行审查。</w:t>
      </w:r>
    </w:p>
    <w:p w14:paraId="7E58C3F4">
      <w:pPr>
        <w:pStyle w:val="43"/>
        <w:spacing w:before="156" w:after="156"/>
        <w:outlineLvl w:val="9"/>
        <w:rPr>
          <w:rFonts w:ascii="宋体" w:hAnsi="宋体" w:eastAsia="宋体" w:cs="宋体"/>
        </w:rPr>
      </w:pPr>
      <w:r>
        <w:rPr>
          <w:rFonts w:hint="eastAsia" w:ascii="宋体" w:hAnsi="宋体" w:eastAsia="宋体" w:cs="宋体"/>
        </w:rPr>
        <w:t>审计机构通过对比不同设备采集的数据、检查数据记录的连续性等方式，评估数据的客观性和公允性。</w:t>
      </w:r>
    </w:p>
    <w:p w14:paraId="1E159547">
      <w:pPr>
        <w:pStyle w:val="43"/>
        <w:spacing w:before="156" w:after="156"/>
        <w:outlineLvl w:val="9"/>
        <w:rPr>
          <w:rFonts w:ascii="宋体" w:hAnsi="宋体" w:eastAsia="宋体" w:cs="宋体"/>
        </w:rPr>
      </w:pPr>
      <w:r>
        <w:rPr>
          <w:rFonts w:hint="eastAsia" w:ascii="宋体" w:hAnsi="宋体" w:eastAsia="宋体" w:cs="宋体"/>
        </w:rPr>
        <w:t>对发现的数据异常情况进行深入调查，追究相关人员责任，确保运输数据真实可靠。</w:t>
      </w:r>
    </w:p>
    <w:p w14:paraId="15CA1C3C">
      <w:pPr>
        <w:pStyle w:val="44"/>
        <w:spacing w:before="156" w:after="156"/>
      </w:pPr>
      <w:bookmarkStart w:id="172" w:name="_Toc32764"/>
      <w:bookmarkStart w:id="173" w:name="_Toc4330"/>
      <w:bookmarkStart w:id="174" w:name="_Toc2857"/>
      <w:bookmarkStart w:id="175" w:name="_Toc12756"/>
      <w:bookmarkStart w:id="176" w:name="_Toc5977"/>
      <w:bookmarkStart w:id="177" w:name="_Toc4276"/>
      <w:bookmarkStart w:id="178" w:name="_Toc24941"/>
      <w:bookmarkStart w:id="179" w:name="_Toc14315"/>
      <w:bookmarkStart w:id="180" w:name="_Toc28654"/>
      <w:bookmarkStart w:id="181" w:name="_Toc19517"/>
      <w:r>
        <w:rPr>
          <w:rFonts w:hint="eastAsia"/>
        </w:rPr>
        <w:t>信息管理​</w:t>
      </w:r>
      <w:bookmarkEnd w:id="172"/>
      <w:bookmarkEnd w:id="173"/>
      <w:bookmarkEnd w:id="174"/>
      <w:bookmarkEnd w:id="175"/>
      <w:bookmarkEnd w:id="176"/>
      <w:bookmarkEnd w:id="177"/>
      <w:bookmarkEnd w:id="178"/>
      <w:bookmarkEnd w:id="179"/>
      <w:bookmarkEnd w:id="180"/>
      <w:bookmarkEnd w:id="181"/>
    </w:p>
    <w:p w14:paraId="0C977CBA">
      <w:pPr>
        <w:pStyle w:val="23"/>
      </w:pPr>
      <w:r>
        <w:t>承运方宜使用远程监测系统进行运输信息监控及各方信息交流，可参照</w:t>
      </w:r>
      <w:r>
        <w:rPr>
          <w:rFonts w:hint="eastAsia"/>
        </w:rPr>
        <w:t>《物流公共信息平台应用开发指南》[</w:t>
      </w:r>
      <w:r>
        <w:t>GB/T 22263.8—2010</w:t>
      </w:r>
      <w:r>
        <w:rPr>
          <w:rFonts w:hint="eastAsia"/>
        </w:rPr>
        <w:t>]</w:t>
      </w:r>
      <w:r>
        <w:t>进行平台</w:t>
      </w:r>
      <w:r>
        <w:rPr>
          <w:rFonts w:hint="eastAsia"/>
        </w:rPr>
        <w:t>管理</w:t>
      </w:r>
      <w:r>
        <w:t>。</w:t>
      </w:r>
    </w:p>
    <w:p w14:paraId="0D22E523">
      <w:pPr>
        <w:pStyle w:val="44"/>
        <w:spacing w:before="156" w:after="156"/>
      </w:pPr>
      <w:bookmarkStart w:id="182" w:name="_Toc22461"/>
      <w:bookmarkStart w:id="183" w:name="_Toc30124"/>
      <w:bookmarkStart w:id="184" w:name="_Toc14284"/>
      <w:bookmarkStart w:id="185" w:name="_Toc17929"/>
      <w:bookmarkStart w:id="186" w:name="_Toc31847"/>
      <w:bookmarkStart w:id="187" w:name="_Toc16871"/>
      <w:bookmarkStart w:id="188" w:name="_Toc21216"/>
      <w:bookmarkStart w:id="189" w:name="_Toc25513"/>
      <w:bookmarkStart w:id="190" w:name="_Toc11806"/>
      <w:bookmarkStart w:id="191" w:name="_Toc4391"/>
      <w:r>
        <w:rPr>
          <w:rFonts w:hint="eastAsia"/>
        </w:rPr>
        <w:t>文档管理</w:t>
      </w:r>
      <w:bookmarkEnd w:id="182"/>
      <w:bookmarkEnd w:id="183"/>
      <w:bookmarkEnd w:id="184"/>
      <w:bookmarkEnd w:id="185"/>
      <w:bookmarkEnd w:id="186"/>
      <w:bookmarkEnd w:id="187"/>
      <w:bookmarkEnd w:id="188"/>
      <w:bookmarkEnd w:id="189"/>
      <w:bookmarkEnd w:id="190"/>
      <w:bookmarkEnd w:id="191"/>
    </w:p>
    <w:p w14:paraId="41D9C01E">
      <w:pPr>
        <w:pStyle w:val="23"/>
      </w:pPr>
      <w:r>
        <w:rPr>
          <w:rFonts w:hint="eastAsia"/>
        </w:rPr>
        <w:t>纸质记录保存于防潮防火环境，内容应至少包括：承运人员档案（含人员资质证书复印件、培训记录、健康体检报告等）、承运相关设备档案（含设备质量验证性文件等）；</w:t>
      </w:r>
    </w:p>
    <w:p w14:paraId="0C166954">
      <w:pPr>
        <w:pStyle w:val="45"/>
        <w:spacing w:before="312" w:after="312"/>
      </w:pPr>
      <w:bookmarkStart w:id="192" w:name="_Toc24764"/>
      <w:bookmarkStart w:id="193" w:name="_Toc10470"/>
      <w:bookmarkStart w:id="194" w:name="_Toc23935"/>
      <w:bookmarkStart w:id="195" w:name="_Toc13390"/>
      <w:bookmarkStart w:id="196" w:name="_Toc5299"/>
      <w:bookmarkStart w:id="197" w:name="_Toc3545"/>
      <w:bookmarkStart w:id="198" w:name="_Toc23355"/>
      <w:bookmarkStart w:id="199" w:name="_Toc5713"/>
      <w:bookmarkStart w:id="200" w:name="_Toc7894"/>
      <w:bookmarkStart w:id="201" w:name="_Toc24379"/>
      <w:r>
        <w:rPr>
          <w:rFonts w:hint="eastAsia"/>
        </w:rPr>
        <w:t>风险评估与控制​</w:t>
      </w:r>
      <w:bookmarkEnd w:id="192"/>
      <w:bookmarkEnd w:id="193"/>
      <w:bookmarkEnd w:id="194"/>
      <w:bookmarkEnd w:id="195"/>
      <w:bookmarkEnd w:id="196"/>
      <w:bookmarkEnd w:id="197"/>
      <w:bookmarkEnd w:id="198"/>
      <w:bookmarkEnd w:id="199"/>
      <w:bookmarkEnd w:id="200"/>
      <w:bookmarkEnd w:id="201"/>
    </w:p>
    <w:p w14:paraId="36F9C8E6">
      <w:pPr>
        <w:pStyle w:val="44"/>
        <w:spacing w:before="156" w:after="156"/>
      </w:pPr>
      <w:bookmarkStart w:id="202" w:name="_Toc14436"/>
      <w:bookmarkStart w:id="203" w:name="_Toc11113"/>
      <w:bookmarkStart w:id="204" w:name="_Toc23643"/>
      <w:bookmarkStart w:id="205" w:name="_Toc19850"/>
      <w:bookmarkStart w:id="206" w:name="_Toc18024"/>
      <w:bookmarkStart w:id="207" w:name="_Toc19762"/>
      <w:bookmarkStart w:id="208" w:name="_Toc7036"/>
      <w:bookmarkStart w:id="209" w:name="_Toc1063"/>
      <w:bookmarkStart w:id="210" w:name="_Toc996"/>
      <w:bookmarkStart w:id="211" w:name="_Toc31830"/>
      <w:r>
        <w:rPr>
          <w:rFonts w:hint="eastAsia"/>
        </w:rPr>
        <w:t>风险评估</w:t>
      </w:r>
      <w:bookmarkEnd w:id="202"/>
      <w:bookmarkEnd w:id="203"/>
      <w:bookmarkEnd w:id="204"/>
      <w:bookmarkEnd w:id="205"/>
      <w:bookmarkEnd w:id="206"/>
      <w:bookmarkEnd w:id="207"/>
      <w:bookmarkEnd w:id="208"/>
      <w:bookmarkEnd w:id="209"/>
      <w:bookmarkEnd w:id="210"/>
      <w:bookmarkEnd w:id="211"/>
    </w:p>
    <w:p w14:paraId="2CD3C46F">
      <w:pPr>
        <w:pStyle w:val="23"/>
      </w:pPr>
      <w:r>
        <w:rPr>
          <w:rFonts w:hint="eastAsia"/>
        </w:rPr>
        <w:t>建立运输监管链风险评估模型，综合考虑运输路线、运输设备状况、人员操作水平、天气等因素，评估运输过程中的风险。</w:t>
      </w:r>
    </w:p>
    <w:p w14:paraId="1570845D">
      <w:pPr>
        <w:pStyle w:val="44"/>
        <w:spacing w:before="156" w:after="156"/>
      </w:pPr>
      <w:bookmarkStart w:id="212" w:name="_Toc18892"/>
      <w:bookmarkStart w:id="213" w:name="_Toc65"/>
      <w:bookmarkStart w:id="214" w:name="_Toc22770"/>
      <w:bookmarkStart w:id="215" w:name="_Toc10027"/>
      <w:bookmarkStart w:id="216" w:name="_Toc31386"/>
      <w:bookmarkStart w:id="217" w:name="_Toc29206"/>
      <w:bookmarkStart w:id="218" w:name="_Toc8303"/>
      <w:bookmarkStart w:id="219" w:name="_Toc13802"/>
      <w:bookmarkStart w:id="220" w:name="_Toc26768"/>
      <w:bookmarkStart w:id="221" w:name="_Toc16752"/>
      <w:r>
        <w:rPr>
          <w:rFonts w:hint="eastAsia"/>
        </w:rPr>
        <w:t>风险控制</w:t>
      </w:r>
      <w:bookmarkEnd w:id="212"/>
      <w:bookmarkEnd w:id="213"/>
      <w:bookmarkEnd w:id="214"/>
      <w:bookmarkEnd w:id="215"/>
      <w:bookmarkEnd w:id="216"/>
      <w:bookmarkEnd w:id="217"/>
      <w:bookmarkEnd w:id="218"/>
      <w:bookmarkEnd w:id="219"/>
      <w:bookmarkEnd w:id="220"/>
      <w:bookmarkEnd w:id="221"/>
    </w:p>
    <w:p w14:paraId="286F5C95">
      <w:pPr>
        <w:pStyle w:val="43"/>
        <w:spacing w:before="156" w:after="156"/>
        <w:outlineLvl w:val="9"/>
        <w:rPr>
          <w:rFonts w:ascii="宋体" w:hAnsi="宋体" w:eastAsia="宋体" w:cs="宋体"/>
        </w:rPr>
      </w:pPr>
      <w:r>
        <w:rPr>
          <w:rFonts w:hint="eastAsia" w:ascii="宋体" w:hAnsi="宋体" w:eastAsia="宋体" w:cs="宋体"/>
        </w:rPr>
        <w:t>针对高风险运输任务，提前制定风险控制措施，如在恶劣天气来临前，调整运输计划，在保证细胞制品存储安全的前提下，选择其他合理的运输路线。​</w:t>
      </w:r>
    </w:p>
    <w:p w14:paraId="69048984">
      <w:pPr>
        <w:pStyle w:val="43"/>
        <w:spacing w:before="156" w:after="156"/>
        <w:outlineLvl w:val="9"/>
        <w:rPr>
          <w:rFonts w:ascii="宋体" w:hAnsi="宋体" w:eastAsia="宋体" w:cs="宋体"/>
        </w:rPr>
      </w:pPr>
      <w:r>
        <w:rPr>
          <w:rFonts w:hint="eastAsia" w:ascii="宋体" w:hAnsi="宋体" w:eastAsia="宋体" w:cs="宋体"/>
        </w:rPr>
        <w:t>对运输监管链中的关键环节进行重点监控与风险控制，如对运输设备的维护保养环节，建立严格的维护保养计划与记录制度，确保设备处于良好运行状态。</w:t>
      </w:r>
    </w:p>
    <w:p w14:paraId="1D5F6A5C">
      <w:pPr>
        <w:pStyle w:val="43"/>
        <w:spacing w:before="156" w:after="156"/>
        <w:outlineLvl w:val="9"/>
        <w:rPr>
          <w:rFonts w:ascii="宋体" w:hAnsi="宋体" w:eastAsia="宋体" w:cs="宋体"/>
        </w:rPr>
      </w:pPr>
      <w:r>
        <w:rPr>
          <w:rFonts w:hint="eastAsia" w:ascii="宋体" w:hAnsi="宋体" w:eastAsia="宋体" w:cs="宋体"/>
        </w:rPr>
        <w:t>对运输人员的操作规范进行培训与监督，定期进行操作技能考核，提高人员操作水平，降低人为因素导致的风险。</w:t>
      </w:r>
    </w:p>
    <w:p w14:paraId="1B3D13FC">
      <w:pPr>
        <w:pStyle w:val="43"/>
        <w:spacing w:before="156" w:after="156"/>
        <w:outlineLvl w:val="9"/>
      </w:pPr>
      <w:r>
        <w:rPr>
          <w:rFonts w:hint="eastAsia" w:ascii="宋体" w:hAnsi="宋体" w:eastAsia="宋体" w:cs="宋体"/>
        </w:rPr>
        <w:t>建立风险预警机制，当风险评估指标超过设定阈值时，及时发出预警信息，启动风险控制预案，降低风险损失。</w:t>
      </w:r>
    </w:p>
    <w:p w14:paraId="5655B818">
      <w:pPr>
        <w:pStyle w:val="43"/>
        <w:spacing w:before="156" w:after="156"/>
        <w:outlineLvl w:val="9"/>
        <w:rPr>
          <w:rFonts w:hint="eastAsia" w:ascii="宋体" w:hAnsi="宋体" w:eastAsia="宋体" w:cs="宋体"/>
        </w:rPr>
      </w:pPr>
      <w:r>
        <w:rPr>
          <w:rFonts w:hint="eastAsia" w:ascii="宋体" w:hAnsi="宋体" w:eastAsia="宋体" w:cs="宋体"/>
        </w:rPr>
        <w:t>风险控制措施</w:t>
      </w:r>
      <w:r>
        <w:rPr>
          <w:rFonts w:hint="eastAsia" w:ascii="宋体" w:hAnsi="宋体" w:eastAsia="宋体" w:cs="宋体"/>
          <w:lang w:eastAsia="zh-CN"/>
        </w:rPr>
        <w:t>：</w:t>
      </w:r>
      <w:r>
        <w:rPr>
          <w:rFonts w:hint="eastAsia" w:ascii="宋体" w:hAnsi="宋体" w:eastAsia="宋体" w:cs="宋体"/>
        </w:rPr>
        <w:t>针对超温、延误等情况，需制定分级响应方案（如启动备用运输路线、启用应急存储点），并每半年演练一次。</w:t>
      </w:r>
    </w:p>
    <w:p w14:paraId="20DEFEA6">
      <w:pPr>
        <w:pStyle w:val="43"/>
        <w:spacing w:before="156" w:after="156"/>
        <w:outlineLvl w:val="9"/>
        <w:rPr>
          <w:rFonts w:hint="eastAsia" w:ascii="宋体" w:hAnsi="宋体" w:eastAsia="宋体" w:cs="宋体"/>
        </w:rPr>
      </w:pPr>
      <w:r>
        <w:rPr>
          <w:rFonts w:hint="eastAsia" w:ascii="宋体" w:hAnsi="宋体" w:eastAsia="宋体" w:cs="宋体"/>
        </w:rPr>
        <w:t>保险机制</w:t>
      </w:r>
      <w:r>
        <w:rPr>
          <w:rFonts w:hint="eastAsia" w:ascii="宋体" w:hAnsi="宋体" w:eastAsia="宋体" w:cs="宋体"/>
          <w:lang w:eastAsia="zh-CN"/>
        </w:rPr>
        <w:t>：</w:t>
      </w:r>
      <w:r>
        <w:rPr>
          <w:rFonts w:hint="eastAsia" w:ascii="宋体" w:hAnsi="宋体" w:eastAsia="宋体" w:cs="宋体"/>
          <w:lang w:val="en-US" w:eastAsia="zh-CN"/>
        </w:rPr>
        <w:t>对</w:t>
      </w:r>
      <w:r>
        <w:rPr>
          <w:rFonts w:hint="eastAsia" w:ascii="宋体" w:hAnsi="宋体" w:eastAsia="宋体" w:cs="宋体"/>
        </w:rPr>
        <w:t>高价值细胞制品需投保冷链运输险，覆盖温度超标、运输延误等风险。运输设备应至少需冬、夏两次进行性能验证（如温度均匀性、保温时长等测试内容），并出具第三方验证报告。</w:t>
      </w:r>
    </w:p>
    <w:p w14:paraId="2EEAC312">
      <w:pPr>
        <w:pStyle w:val="43"/>
        <w:spacing w:before="156" w:after="156"/>
        <w:outlineLvl w:val="9"/>
        <w:rPr>
          <w:rFonts w:hint="eastAsia" w:ascii="宋体" w:hAnsi="宋体" w:eastAsia="宋体" w:cs="宋体"/>
        </w:rPr>
      </w:pPr>
      <w:r>
        <w:rPr>
          <w:rFonts w:hint="eastAsia" w:ascii="宋体" w:hAnsi="宋体" w:eastAsia="宋体" w:cs="宋体"/>
        </w:rPr>
        <w:t>模拟运输测试</w:t>
      </w:r>
      <w:r>
        <w:rPr>
          <w:rFonts w:hint="eastAsia" w:ascii="宋体" w:hAnsi="宋体" w:eastAsia="宋体" w:cs="宋体"/>
          <w:lang w:eastAsia="zh-CN"/>
        </w:rPr>
        <w:t>：</w:t>
      </w:r>
      <w:r>
        <w:rPr>
          <w:rFonts w:hint="eastAsia" w:ascii="宋体" w:hAnsi="宋体" w:eastAsia="宋体" w:cs="宋体"/>
        </w:rPr>
        <w:t>每年至少进行一次全流程模拟运输，覆盖极端温度、运输延误等场景，验证运输系统的可靠性。</w:t>
      </w:r>
    </w:p>
    <w:p w14:paraId="26246611">
      <w:pPr>
        <w:pStyle w:val="45"/>
        <w:spacing w:before="312" w:after="312"/>
      </w:pPr>
      <w:bookmarkStart w:id="222" w:name="_Toc14089"/>
      <w:bookmarkStart w:id="223" w:name="_Toc4940"/>
      <w:bookmarkStart w:id="224" w:name="_Toc9413"/>
      <w:bookmarkStart w:id="225" w:name="_Toc8264"/>
      <w:bookmarkStart w:id="226" w:name="_Toc9712"/>
      <w:bookmarkStart w:id="227" w:name="_Toc11285"/>
      <w:bookmarkStart w:id="228" w:name="_Toc25999"/>
      <w:bookmarkStart w:id="229" w:name="_Toc2442"/>
      <w:bookmarkStart w:id="230" w:name="_Toc13341"/>
      <w:bookmarkStart w:id="231" w:name="_Toc20342"/>
      <w:r>
        <w:rPr>
          <w:rFonts w:hint="eastAsia"/>
        </w:rPr>
        <w:t>应急管理</w:t>
      </w:r>
      <w:bookmarkEnd w:id="222"/>
      <w:bookmarkEnd w:id="223"/>
      <w:bookmarkEnd w:id="224"/>
      <w:bookmarkEnd w:id="225"/>
      <w:bookmarkEnd w:id="226"/>
      <w:bookmarkEnd w:id="227"/>
      <w:bookmarkEnd w:id="228"/>
      <w:bookmarkEnd w:id="229"/>
      <w:bookmarkEnd w:id="230"/>
      <w:bookmarkEnd w:id="231"/>
    </w:p>
    <w:p w14:paraId="55DFFA34">
      <w:pPr>
        <w:pStyle w:val="23"/>
      </w:pPr>
      <w:bookmarkStart w:id="232" w:name="_Toc19249"/>
      <w:bookmarkStart w:id="233" w:name="_Toc18869"/>
      <w:r>
        <w:rPr>
          <w:rFonts w:hint="eastAsia"/>
        </w:rPr>
        <w:t>承运方需具备能满足细胞制品运输过程中出现应急事件的处理能力，可参照《物流企业冷链服务能力要求与评估指标》[GB/T 31086-2025]进行评估。</w:t>
      </w:r>
      <w:bookmarkEnd w:id="232"/>
      <w:bookmarkEnd w:id="233"/>
    </w:p>
    <w:p w14:paraId="5A73CCD0">
      <w:pPr>
        <w:pStyle w:val="23"/>
      </w:pPr>
    </w:p>
    <w:p w14:paraId="1BFEF2C3">
      <w:pPr>
        <w:pStyle w:val="23"/>
      </w:pPr>
    </w:p>
    <w:p w14:paraId="7C00DB21">
      <w:pPr>
        <w:pStyle w:val="23"/>
      </w:pPr>
    </w:p>
    <w:p w14:paraId="57D1EA45">
      <w:pPr>
        <w:pStyle w:val="23"/>
      </w:pPr>
    </w:p>
    <w:p w14:paraId="35352881">
      <w:pPr>
        <w:pStyle w:val="23"/>
      </w:pPr>
    </w:p>
    <w:p w14:paraId="66D5D866">
      <w:pPr>
        <w:pStyle w:val="23"/>
      </w:pPr>
    </w:p>
    <w:p w14:paraId="6EB2CB8C">
      <w:pPr>
        <w:pStyle w:val="23"/>
      </w:pPr>
    </w:p>
    <w:p w14:paraId="5E8FD32D">
      <w:pPr>
        <w:pStyle w:val="23"/>
      </w:pPr>
    </w:p>
    <w:p w14:paraId="3DCF830A">
      <w:pPr>
        <w:pStyle w:val="23"/>
      </w:pPr>
    </w:p>
    <w:p w14:paraId="77EDE22D">
      <w:pPr>
        <w:pStyle w:val="23"/>
      </w:pPr>
    </w:p>
    <w:p w14:paraId="340E52CC">
      <w:pPr>
        <w:pStyle w:val="23"/>
      </w:pPr>
    </w:p>
    <w:p w14:paraId="4AD4FBE8">
      <w:pPr>
        <w:pStyle w:val="23"/>
      </w:pPr>
    </w:p>
    <w:p w14:paraId="07CF2A94">
      <w:pPr>
        <w:pStyle w:val="23"/>
      </w:pPr>
    </w:p>
    <w:p w14:paraId="3C6E4C74">
      <w:pPr>
        <w:pStyle w:val="23"/>
        <w:ind w:firstLine="0" w:firstLineChars="0"/>
      </w:pPr>
    </w:p>
    <w:p w14:paraId="2346A356">
      <w:pPr>
        <w:pStyle w:val="23"/>
      </w:pPr>
    </w:p>
    <w:p w14:paraId="33CE55E7">
      <w:pPr>
        <w:pStyle w:val="23"/>
      </w:pPr>
    </w:p>
    <w:p w14:paraId="5095DF2D">
      <w:pPr>
        <w:pStyle w:val="23"/>
      </w:pPr>
    </w:p>
    <w:p w14:paraId="5C61F45B">
      <w:pPr>
        <w:pStyle w:val="23"/>
      </w:pPr>
    </w:p>
    <w:p w14:paraId="0AE957FB">
      <w:pPr>
        <w:pStyle w:val="23"/>
      </w:pPr>
    </w:p>
    <w:p w14:paraId="1FA40FB4">
      <w:pPr>
        <w:pStyle w:val="23"/>
      </w:pPr>
    </w:p>
    <w:p w14:paraId="57C4CD88">
      <w:pPr>
        <w:pStyle w:val="23"/>
      </w:pPr>
    </w:p>
    <w:p w14:paraId="333CA476">
      <w:pPr>
        <w:pStyle w:val="23"/>
      </w:pPr>
    </w:p>
    <w:p w14:paraId="67F4A146">
      <w:pPr>
        <w:pStyle w:val="23"/>
      </w:pPr>
    </w:p>
    <w:p w14:paraId="1DBE55A8">
      <w:pPr>
        <w:pStyle w:val="23"/>
      </w:pPr>
    </w:p>
    <w:p w14:paraId="63BC8B0C">
      <w:pPr>
        <w:pStyle w:val="23"/>
      </w:pPr>
    </w:p>
    <w:p w14:paraId="3EB67138">
      <w:pPr>
        <w:pStyle w:val="55"/>
      </w:pPr>
      <w:bookmarkStart w:id="234" w:name="_Toc28372"/>
      <w:bookmarkEnd w:id="234"/>
      <w:bookmarkStart w:id="235" w:name="_Toc32756"/>
      <w:bookmarkEnd w:id="235"/>
    </w:p>
    <w:p w14:paraId="35B2013A">
      <w:pPr>
        <w:pStyle w:val="94"/>
        <w:rPr>
          <w:rFonts w:hint="eastAsia"/>
          <w:lang w:eastAsia="zh-CN"/>
        </w:rPr>
      </w:pPr>
      <w:bookmarkStart w:id="236" w:name="_Toc10033"/>
      <w:bookmarkEnd w:id="236"/>
      <w:r>
        <w:rPr>
          <w:rFonts w:hint="eastAsia"/>
          <w:lang w:eastAsia="zh-CN"/>
        </w:rPr>
        <w:t>（</w:t>
      </w:r>
      <w:r>
        <w:rPr>
          <w:rFonts w:hint="eastAsia"/>
          <w:lang w:val="en-US" w:eastAsia="zh-CN"/>
        </w:rPr>
        <w:t>资料性</w:t>
      </w:r>
      <w:r>
        <w:rPr>
          <w:rFonts w:hint="eastAsia"/>
          <w:lang w:eastAsia="zh-CN"/>
        </w:rPr>
        <w:t>）</w:t>
      </w:r>
    </w:p>
    <w:p w14:paraId="66CCEE51">
      <w:pPr>
        <w:pStyle w:val="94"/>
        <w:rPr>
          <w:rFonts w:hint="default"/>
          <w:lang w:val="en-US" w:eastAsia="zh-CN"/>
        </w:rPr>
      </w:pPr>
      <w:r>
        <w:rPr>
          <w:rFonts w:hint="eastAsia"/>
          <w:lang w:val="en-US" w:eastAsia="zh-CN"/>
        </w:rPr>
        <w:t>不同温区的运输设备选择</w:t>
      </w:r>
    </w:p>
    <w:p w14:paraId="73D229DF">
      <w:pPr>
        <w:pStyle w:val="23"/>
        <w:rPr>
          <w:rFonts w:hint="eastAsia"/>
          <w:lang w:val="en-US" w:eastAsia="zh-CN"/>
        </w:rPr>
      </w:pPr>
      <w:r>
        <w:rPr>
          <w:rFonts w:hint="eastAsia"/>
        </w:rPr>
        <w:t>不同温区的运输设备选择</w:t>
      </w:r>
      <w:r>
        <w:rPr>
          <w:rFonts w:hint="eastAsia"/>
          <w:lang w:val="en-US" w:eastAsia="zh-CN"/>
        </w:rPr>
        <w:t>见表A.1。</w:t>
      </w:r>
    </w:p>
    <w:p w14:paraId="71278902">
      <w:pPr>
        <w:pStyle w:val="92"/>
        <w:autoSpaceDE w:val="0"/>
        <w:autoSpaceDN w:val="0"/>
        <w:ind w:left="567" w:hanging="567"/>
        <w:rPr>
          <w:rFonts w:hint="eastAsia"/>
          <w:lang w:val="en-US" w:eastAsia="zh-CN"/>
        </w:rPr>
      </w:pPr>
      <w:r>
        <w:rPr>
          <w:rFonts w:hint="default"/>
        </w:rPr>
        <w:t>不同温区的运输设备选择</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863"/>
        <w:gridCol w:w="3514"/>
      </w:tblGrid>
      <w:tr w14:paraId="420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Align w:val="center"/>
          </w:tcPr>
          <w:p w14:paraId="4E8F3AB4">
            <w:pPr>
              <w:pStyle w:val="23"/>
              <w:ind w:firstLine="0" w:firstLineChars="0"/>
              <w:jc w:val="center"/>
              <w:rPr>
                <w:szCs w:val="18"/>
              </w:rPr>
            </w:pPr>
            <w:r>
              <w:rPr>
                <w:rFonts w:hint="eastAsia"/>
                <w:szCs w:val="18"/>
              </w:rPr>
              <w:t>温区</w:t>
            </w:r>
          </w:p>
        </w:tc>
        <w:tc>
          <w:tcPr>
            <w:tcW w:w="2863" w:type="dxa"/>
            <w:vAlign w:val="center"/>
          </w:tcPr>
          <w:p w14:paraId="0B3DFDE6">
            <w:pPr>
              <w:pStyle w:val="23"/>
              <w:ind w:firstLine="0" w:firstLineChars="0"/>
              <w:jc w:val="center"/>
              <w:rPr>
                <w:szCs w:val="18"/>
              </w:rPr>
            </w:pPr>
            <w:r>
              <w:rPr>
                <w:rFonts w:hint="eastAsia"/>
                <w:szCs w:val="18"/>
              </w:rPr>
              <w:t>温度区间</w:t>
            </w:r>
          </w:p>
        </w:tc>
        <w:tc>
          <w:tcPr>
            <w:tcW w:w="3514" w:type="dxa"/>
            <w:vAlign w:val="center"/>
          </w:tcPr>
          <w:p w14:paraId="0E674F0E">
            <w:pPr>
              <w:pStyle w:val="23"/>
              <w:ind w:firstLine="0" w:firstLineChars="0"/>
              <w:jc w:val="center"/>
              <w:rPr>
                <w:szCs w:val="18"/>
              </w:rPr>
            </w:pPr>
            <w:r>
              <w:rPr>
                <w:rFonts w:hint="eastAsia"/>
                <w:szCs w:val="18"/>
              </w:rPr>
              <w:t>运输设备</w:t>
            </w:r>
          </w:p>
        </w:tc>
      </w:tr>
      <w:tr w14:paraId="767D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Align w:val="center"/>
          </w:tcPr>
          <w:p w14:paraId="0B2EE87E">
            <w:pPr>
              <w:pStyle w:val="23"/>
              <w:ind w:firstLine="0" w:firstLineChars="0"/>
              <w:jc w:val="center"/>
              <w:rPr>
                <w:szCs w:val="18"/>
              </w:rPr>
            </w:pPr>
            <w:r>
              <w:rPr>
                <w:rFonts w:hint="eastAsia"/>
                <w:szCs w:val="18"/>
              </w:rPr>
              <w:t>低温冷藏</w:t>
            </w:r>
          </w:p>
        </w:tc>
        <w:tc>
          <w:tcPr>
            <w:tcW w:w="2863" w:type="dxa"/>
            <w:vAlign w:val="center"/>
          </w:tcPr>
          <w:p w14:paraId="0A0620C1">
            <w:pPr>
              <w:pStyle w:val="23"/>
              <w:ind w:firstLine="0" w:firstLineChars="0"/>
              <w:jc w:val="center"/>
              <w:rPr>
                <w:szCs w:val="18"/>
              </w:rPr>
            </w:pPr>
            <w:r>
              <w:rPr>
                <w:rFonts w:hint="eastAsia"/>
                <w:szCs w:val="18"/>
              </w:rPr>
              <w:t>2℃</w:t>
            </w:r>
            <w:r>
              <w:rPr>
                <w:rFonts w:hint="eastAsia" w:hAnsi="宋体"/>
                <w:szCs w:val="18"/>
              </w:rPr>
              <w:t>～</w:t>
            </w:r>
            <w:r>
              <w:rPr>
                <w:rFonts w:hint="eastAsia"/>
                <w:szCs w:val="18"/>
              </w:rPr>
              <w:t>10℃</w:t>
            </w:r>
          </w:p>
        </w:tc>
        <w:tc>
          <w:tcPr>
            <w:tcW w:w="3514" w:type="dxa"/>
            <w:vAlign w:val="center"/>
          </w:tcPr>
          <w:p w14:paraId="1650157E">
            <w:pPr>
              <w:pStyle w:val="23"/>
              <w:ind w:firstLine="0" w:firstLineChars="0"/>
              <w:jc w:val="center"/>
              <w:rPr>
                <w:szCs w:val="18"/>
              </w:rPr>
            </w:pPr>
            <w:r>
              <w:rPr>
                <w:rFonts w:hint="eastAsia"/>
                <w:szCs w:val="18"/>
              </w:rPr>
              <w:t>医用冷藏箱/保温箱/冷藏车</w:t>
            </w:r>
          </w:p>
        </w:tc>
      </w:tr>
      <w:tr w14:paraId="3348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Merge w:val="restart"/>
            <w:vAlign w:val="center"/>
          </w:tcPr>
          <w:p w14:paraId="46604B2B">
            <w:pPr>
              <w:pStyle w:val="23"/>
              <w:ind w:firstLine="0" w:firstLineChars="0"/>
              <w:jc w:val="center"/>
              <w:rPr>
                <w:szCs w:val="18"/>
              </w:rPr>
            </w:pPr>
            <w:r>
              <w:rPr>
                <w:rFonts w:hint="eastAsia"/>
                <w:szCs w:val="18"/>
              </w:rPr>
              <w:t>低温冷冻</w:t>
            </w:r>
          </w:p>
        </w:tc>
        <w:tc>
          <w:tcPr>
            <w:tcW w:w="2863" w:type="dxa"/>
            <w:vAlign w:val="center"/>
          </w:tcPr>
          <w:p w14:paraId="69F71C97">
            <w:pPr>
              <w:pStyle w:val="23"/>
              <w:ind w:firstLine="0" w:firstLineChars="0"/>
              <w:jc w:val="center"/>
              <w:rPr>
                <w:szCs w:val="18"/>
              </w:rPr>
            </w:pPr>
            <w:r>
              <w:rPr>
                <w:rFonts w:hint="eastAsia"/>
                <w:szCs w:val="18"/>
              </w:rPr>
              <w:t>-20℃</w:t>
            </w:r>
          </w:p>
        </w:tc>
        <w:tc>
          <w:tcPr>
            <w:tcW w:w="3514" w:type="dxa"/>
            <w:vAlign w:val="center"/>
          </w:tcPr>
          <w:p w14:paraId="0EE5DA42">
            <w:pPr>
              <w:pStyle w:val="23"/>
              <w:ind w:firstLine="0" w:firstLineChars="0"/>
              <w:jc w:val="center"/>
              <w:rPr>
                <w:szCs w:val="18"/>
              </w:rPr>
            </w:pPr>
            <w:r>
              <w:rPr>
                <w:rFonts w:hint="eastAsia"/>
                <w:szCs w:val="18"/>
                <w:lang w:val="en-US" w:eastAsia="zh-CN"/>
              </w:rPr>
              <w:t>医用冷藏箱/保温箱/</w:t>
            </w:r>
            <w:r>
              <w:rPr>
                <w:rFonts w:hint="eastAsia"/>
                <w:szCs w:val="18"/>
              </w:rPr>
              <w:t>冷藏车</w:t>
            </w:r>
          </w:p>
        </w:tc>
      </w:tr>
      <w:tr w14:paraId="6642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Merge w:val="continue"/>
            <w:vAlign w:val="center"/>
          </w:tcPr>
          <w:p w14:paraId="7397BFB9">
            <w:pPr>
              <w:pStyle w:val="23"/>
              <w:ind w:firstLine="0" w:firstLineChars="0"/>
              <w:jc w:val="center"/>
              <w:rPr>
                <w:szCs w:val="18"/>
              </w:rPr>
            </w:pPr>
          </w:p>
        </w:tc>
        <w:tc>
          <w:tcPr>
            <w:tcW w:w="2863" w:type="dxa"/>
            <w:vAlign w:val="center"/>
          </w:tcPr>
          <w:p w14:paraId="69043939">
            <w:pPr>
              <w:pStyle w:val="23"/>
              <w:ind w:firstLine="0" w:firstLineChars="0"/>
              <w:jc w:val="center"/>
              <w:rPr>
                <w:szCs w:val="18"/>
              </w:rPr>
            </w:pPr>
            <w:r>
              <w:rPr>
                <w:rFonts w:hint="eastAsia"/>
                <w:szCs w:val="18"/>
              </w:rPr>
              <w:t>-80℃</w:t>
            </w:r>
          </w:p>
        </w:tc>
        <w:tc>
          <w:tcPr>
            <w:tcW w:w="3514" w:type="dxa"/>
            <w:vAlign w:val="center"/>
          </w:tcPr>
          <w:p w14:paraId="10D1D13C">
            <w:pPr>
              <w:pStyle w:val="23"/>
              <w:ind w:firstLine="0" w:firstLineChars="0"/>
              <w:jc w:val="center"/>
              <w:rPr>
                <w:szCs w:val="18"/>
              </w:rPr>
            </w:pPr>
            <w:r>
              <w:rPr>
                <w:rFonts w:hint="eastAsia"/>
                <w:szCs w:val="18"/>
              </w:rPr>
              <w:t>干冰运输</w:t>
            </w:r>
          </w:p>
        </w:tc>
      </w:tr>
      <w:tr w14:paraId="0665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Align w:val="center"/>
          </w:tcPr>
          <w:p w14:paraId="02454CB5">
            <w:pPr>
              <w:pStyle w:val="23"/>
              <w:ind w:firstLine="0" w:firstLineChars="0"/>
              <w:jc w:val="center"/>
              <w:rPr>
                <w:szCs w:val="18"/>
              </w:rPr>
            </w:pPr>
            <w:r>
              <w:rPr>
                <w:rFonts w:hint="eastAsia"/>
                <w:szCs w:val="18"/>
              </w:rPr>
              <w:t>深低温冷冻</w:t>
            </w:r>
          </w:p>
        </w:tc>
        <w:tc>
          <w:tcPr>
            <w:tcW w:w="2863" w:type="dxa"/>
            <w:vAlign w:val="center"/>
          </w:tcPr>
          <w:p w14:paraId="205BC749">
            <w:pPr>
              <w:pStyle w:val="23"/>
              <w:ind w:firstLine="0" w:firstLineChars="0"/>
              <w:jc w:val="center"/>
              <w:rPr>
                <w:szCs w:val="18"/>
              </w:rPr>
            </w:pPr>
            <w:r>
              <w:rPr>
                <w:rFonts w:hint="eastAsia"/>
                <w:szCs w:val="18"/>
              </w:rPr>
              <w:t>-130℃</w:t>
            </w:r>
            <w:r>
              <w:rPr>
                <w:rFonts w:hint="eastAsia" w:hAnsi="宋体"/>
                <w:szCs w:val="18"/>
              </w:rPr>
              <w:t>～</w:t>
            </w:r>
            <w:r>
              <w:rPr>
                <w:rFonts w:hint="eastAsia"/>
                <w:szCs w:val="18"/>
              </w:rPr>
              <w:t>-196℃</w:t>
            </w:r>
          </w:p>
        </w:tc>
        <w:tc>
          <w:tcPr>
            <w:tcW w:w="3514" w:type="dxa"/>
            <w:vAlign w:val="center"/>
          </w:tcPr>
          <w:p w14:paraId="0264CB70">
            <w:pPr>
              <w:pStyle w:val="23"/>
              <w:ind w:firstLine="0" w:firstLineChars="0"/>
              <w:jc w:val="center"/>
              <w:rPr>
                <w:szCs w:val="18"/>
              </w:rPr>
            </w:pPr>
            <w:r>
              <w:rPr>
                <w:rFonts w:hint="eastAsia"/>
                <w:szCs w:val="18"/>
              </w:rPr>
              <w:t>液氮运输</w:t>
            </w:r>
          </w:p>
        </w:tc>
      </w:tr>
    </w:tbl>
    <w:p w14:paraId="7B9EB9CF">
      <w:pPr>
        <w:pStyle w:val="23"/>
        <w:jc w:val="center"/>
      </w:pPr>
    </w:p>
    <w:p w14:paraId="291B56F3">
      <w:pPr>
        <w:pStyle w:val="23"/>
      </w:pPr>
    </w:p>
    <w:p w14:paraId="1CF1FC79">
      <w:pPr>
        <w:pStyle w:val="23"/>
      </w:pPr>
    </w:p>
    <w:p w14:paraId="14435A49">
      <w:pPr>
        <w:pStyle w:val="23"/>
      </w:pPr>
    </w:p>
    <w:p w14:paraId="5D0E0617">
      <w:pPr>
        <w:pStyle w:val="55"/>
      </w:pPr>
      <w:bookmarkStart w:id="237" w:name="_Toc622"/>
      <w:bookmarkEnd w:id="237"/>
      <w:bookmarkStart w:id="238" w:name="_Toc22466"/>
      <w:bookmarkEnd w:id="238"/>
    </w:p>
    <w:p w14:paraId="78724E93">
      <w:pPr>
        <w:pStyle w:val="94"/>
        <w:rPr>
          <w:rFonts w:hint="eastAsia"/>
          <w:lang w:eastAsia="zh-CN"/>
        </w:rPr>
      </w:pPr>
      <w:bookmarkStart w:id="239" w:name="_Toc30608"/>
      <w:bookmarkEnd w:id="239"/>
      <w:bookmarkStart w:id="240" w:name="_Toc16736"/>
      <w:bookmarkEnd w:id="240"/>
      <w:bookmarkStart w:id="241" w:name="_Toc17323"/>
      <w:bookmarkEnd w:id="241"/>
      <w:bookmarkStart w:id="242" w:name="_Toc11869"/>
      <w:bookmarkEnd w:id="242"/>
      <w:r>
        <w:rPr>
          <w:rFonts w:hint="eastAsia"/>
          <w:lang w:eastAsia="zh-CN"/>
        </w:rPr>
        <w:t>（</w:t>
      </w:r>
      <w:r>
        <w:rPr>
          <w:rFonts w:hint="eastAsia"/>
          <w:lang w:val="en-US" w:eastAsia="zh-CN"/>
        </w:rPr>
        <w:t>资料性</w:t>
      </w:r>
      <w:r>
        <w:rPr>
          <w:rFonts w:hint="eastAsia"/>
          <w:lang w:eastAsia="zh-CN"/>
        </w:rPr>
        <w:t>）</w:t>
      </w:r>
    </w:p>
    <w:p w14:paraId="44F6A93B">
      <w:pPr>
        <w:pStyle w:val="94"/>
        <w:rPr>
          <w:rFonts w:hint="default"/>
          <w:lang w:val="en-US" w:eastAsia="zh-CN"/>
        </w:rPr>
      </w:pPr>
      <w:r>
        <w:rPr>
          <w:rFonts w:hint="eastAsia"/>
          <w:lang w:val="en-US" w:eastAsia="zh-CN"/>
        </w:rPr>
        <w:t>运输交接单</w:t>
      </w:r>
    </w:p>
    <w:p w14:paraId="6E87461E">
      <w:pPr>
        <w:pStyle w:val="23"/>
      </w:pPr>
      <w:r>
        <w:rPr>
          <w:rFonts w:hint="eastAsia"/>
        </w:rPr>
        <w:t>运输交接单样表</w:t>
      </w:r>
      <w:r>
        <w:rPr>
          <w:rFonts w:hint="eastAsia"/>
          <w:lang w:val="en-US" w:eastAsia="zh-CN"/>
        </w:rPr>
        <w:t>见表B.1。</w:t>
      </w:r>
    </w:p>
    <w:p w14:paraId="4E981530">
      <w:pPr>
        <w:pStyle w:val="93"/>
        <w:outlineLvl w:val="9"/>
        <w:rPr>
          <w:rFonts w:hint="eastAsia"/>
          <w:lang w:val="en-US" w:eastAsia="zh-CN"/>
        </w:rPr>
      </w:pPr>
      <w:r>
        <w:rPr>
          <w:rFonts w:hint="eastAsia"/>
          <w:lang w:val="en-US" w:eastAsia="zh-CN"/>
        </w:rPr>
        <w:t>B.1</w:t>
      </w:r>
    </w:p>
    <w:p w14:paraId="66AF841A">
      <w:pPr>
        <w:pStyle w:val="92"/>
        <w:spacing w:before="156" w:after="156"/>
        <w:ind w:left="567" w:hanging="567"/>
      </w:pPr>
      <w:r>
        <w:rPr>
          <w:rFonts w:hint="eastAsia" w:ascii="Times New Roman" w:hAnsi="Times New Roman" w:cs="Times New Roman"/>
          <w:lang w:val="en-US" w:eastAsia="zh-CN"/>
        </w:rPr>
        <w:t>运输交接单样表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759"/>
        <w:gridCol w:w="1341"/>
        <w:gridCol w:w="1245"/>
        <w:gridCol w:w="1650"/>
        <w:gridCol w:w="668"/>
        <w:gridCol w:w="1078"/>
        <w:gridCol w:w="1197"/>
      </w:tblGrid>
      <w:tr w14:paraId="576A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Align w:val="center"/>
          </w:tcPr>
          <w:p w14:paraId="2CE52BEE">
            <w:pPr>
              <w:pStyle w:val="2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szCs w:val="18"/>
              </w:rPr>
            </w:pPr>
            <w:r>
              <w:rPr>
                <w:rFonts w:hint="eastAsia"/>
                <w:szCs w:val="18"/>
              </w:rPr>
              <w:t>日期</w:t>
            </w:r>
          </w:p>
        </w:tc>
        <w:tc>
          <w:tcPr>
            <w:tcW w:w="2100" w:type="dxa"/>
            <w:gridSpan w:val="2"/>
            <w:vAlign w:val="center"/>
          </w:tcPr>
          <w:p w14:paraId="5BC1D3A5">
            <w:pPr>
              <w:pStyle w:val="23"/>
              <w:jc w:val="center"/>
              <w:rPr>
                <w:szCs w:val="18"/>
              </w:rPr>
            </w:pPr>
          </w:p>
        </w:tc>
        <w:tc>
          <w:tcPr>
            <w:tcW w:w="1245" w:type="dxa"/>
            <w:vAlign w:val="center"/>
          </w:tcPr>
          <w:p w14:paraId="43CE7A81">
            <w:pPr>
              <w:pStyle w:val="23"/>
              <w:ind w:firstLine="0" w:firstLineChars="0"/>
              <w:jc w:val="center"/>
              <w:rPr>
                <w:szCs w:val="18"/>
              </w:rPr>
            </w:pPr>
            <w:r>
              <w:rPr>
                <w:rFonts w:hint="eastAsia"/>
                <w:szCs w:val="18"/>
              </w:rPr>
              <w:t>单号</w:t>
            </w:r>
          </w:p>
        </w:tc>
        <w:tc>
          <w:tcPr>
            <w:tcW w:w="4593" w:type="dxa"/>
            <w:gridSpan w:val="4"/>
            <w:vAlign w:val="center"/>
          </w:tcPr>
          <w:p w14:paraId="343C9305">
            <w:pPr>
              <w:pStyle w:val="23"/>
              <w:jc w:val="center"/>
              <w:rPr>
                <w:szCs w:val="18"/>
              </w:rPr>
            </w:pPr>
          </w:p>
        </w:tc>
      </w:tr>
      <w:tr w14:paraId="5C6D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8"/>
            <w:vAlign w:val="center"/>
          </w:tcPr>
          <w:p w14:paraId="68967EA7">
            <w:pPr>
              <w:pStyle w:val="23"/>
              <w:jc w:val="center"/>
              <w:rPr>
                <w:szCs w:val="18"/>
              </w:rPr>
            </w:pPr>
            <w:r>
              <w:rPr>
                <w:rFonts w:hint="eastAsia"/>
                <w:szCs w:val="18"/>
              </w:rPr>
              <w:t>委托单位</w:t>
            </w:r>
          </w:p>
        </w:tc>
      </w:tr>
      <w:tr w14:paraId="6541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33" w:type="dxa"/>
            <w:vAlign w:val="center"/>
          </w:tcPr>
          <w:p w14:paraId="4C87F7B2">
            <w:pPr>
              <w:pStyle w:val="23"/>
              <w:ind w:firstLine="0" w:firstLineChars="0"/>
              <w:jc w:val="center"/>
              <w:rPr>
                <w:szCs w:val="18"/>
              </w:rPr>
            </w:pPr>
            <w:r>
              <w:rPr>
                <w:rFonts w:hint="eastAsia"/>
                <w:szCs w:val="18"/>
              </w:rPr>
              <w:t>单位名称</w:t>
            </w:r>
          </w:p>
        </w:tc>
        <w:tc>
          <w:tcPr>
            <w:tcW w:w="2100" w:type="dxa"/>
            <w:gridSpan w:val="2"/>
            <w:vAlign w:val="center"/>
          </w:tcPr>
          <w:p w14:paraId="1818D8D3">
            <w:pPr>
              <w:pStyle w:val="23"/>
              <w:jc w:val="center"/>
              <w:rPr>
                <w:szCs w:val="18"/>
              </w:rPr>
            </w:pPr>
          </w:p>
        </w:tc>
        <w:tc>
          <w:tcPr>
            <w:tcW w:w="1245" w:type="dxa"/>
            <w:vAlign w:val="center"/>
          </w:tcPr>
          <w:p w14:paraId="4FED4BE8">
            <w:pPr>
              <w:pStyle w:val="23"/>
              <w:ind w:firstLine="0" w:firstLineChars="0"/>
              <w:jc w:val="center"/>
              <w:rPr>
                <w:szCs w:val="18"/>
              </w:rPr>
            </w:pPr>
            <w:r>
              <w:rPr>
                <w:rFonts w:hint="eastAsia"/>
                <w:szCs w:val="18"/>
              </w:rPr>
              <w:t>委托人</w:t>
            </w:r>
          </w:p>
        </w:tc>
        <w:tc>
          <w:tcPr>
            <w:tcW w:w="1650" w:type="dxa"/>
            <w:vAlign w:val="center"/>
          </w:tcPr>
          <w:p w14:paraId="03948FA0">
            <w:pPr>
              <w:pStyle w:val="23"/>
              <w:jc w:val="center"/>
              <w:rPr>
                <w:szCs w:val="18"/>
              </w:rPr>
            </w:pPr>
          </w:p>
        </w:tc>
        <w:tc>
          <w:tcPr>
            <w:tcW w:w="668" w:type="dxa"/>
            <w:vAlign w:val="center"/>
          </w:tcPr>
          <w:p w14:paraId="67956663">
            <w:pPr>
              <w:pStyle w:val="23"/>
              <w:ind w:firstLine="0" w:firstLineChars="0"/>
              <w:jc w:val="center"/>
              <w:rPr>
                <w:szCs w:val="18"/>
              </w:rPr>
            </w:pPr>
            <w:r>
              <w:rPr>
                <w:rFonts w:hint="eastAsia"/>
                <w:szCs w:val="18"/>
              </w:rPr>
              <w:t>电话</w:t>
            </w:r>
          </w:p>
        </w:tc>
        <w:tc>
          <w:tcPr>
            <w:tcW w:w="2275" w:type="dxa"/>
            <w:gridSpan w:val="2"/>
            <w:vAlign w:val="center"/>
          </w:tcPr>
          <w:p w14:paraId="4C92183A">
            <w:pPr>
              <w:pStyle w:val="23"/>
              <w:jc w:val="center"/>
              <w:rPr>
                <w:szCs w:val="18"/>
              </w:rPr>
            </w:pPr>
          </w:p>
        </w:tc>
      </w:tr>
      <w:tr w14:paraId="574F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Align w:val="center"/>
          </w:tcPr>
          <w:p w14:paraId="5C39C708">
            <w:pPr>
              <w:pStyle w:val="23"/>
              <w:ind w:firstLine="0" w:firstLineChars="0"/>
              <w:jc w:val="center"/>
              <w:rPr>
                <w:szCs w:val="18"/>
              </w:rPr>
            </w:pPr>
            <w:r>
              <w:rPr>
                <w:rFonts w:hint="eastAsia"/>
                <w:szCs w:val="18"/>
              </w:rPr>
              <w:t>取件地址</w:t>
            </w:r>
          </w:p>
        </w:tc>
        <w:tc>
          <w:tcPr>
            <w:tcW w:w="3345" w:type="dxa"/>
            <w:gridSpan w:val="3"/>
            <w:vAlign w:val="center"/>
          </w:tcPr>
          <w:p w14:paraId="0CC8611C">
            <w:pPr>
              <w:pStyle w:val="23"/>
              <w:jc w:val="center"/>
              <w:rPr>
                <w:szCs w:val="18"/>
              </w:rPr>
            </w:pPr>
          </w:p>
        </w:tc>
        <w:tc>
          <w:tcPr>
            <w:tcW w:w="1650" w:type="dxa"/>
            <w:vAlign w:val="center"/>
          </w:tcPr>
          <w:p w14:paraId="2DA7686A">
            <w:pPr>
              <w:pStyle w:val="23"/>
              <w:ind w:firstLine="0" w:firstLineChars="0"/>
              <w:jc w:val="center"/>
              <w:rPr>
                <w:szCs w:val="18"/>
              </w:rPr>
            </w:pPr>
            <w:r>
              <w:rPr>
                <w:rFonts w:hint="eastAsia"/>
                <w:szCs w:val="18"/>
              </w:rPr>
              <w:t>取件时间</w:t>
            </w:r>
          </w:p>
          <w:p w14:paraId="063BC910">
            <w:pPr>
              <w:pStyle w:val="23"/>
              <w:ind w:firstLine="0" w:firstLineChars="0"/>
              <w:jc w:val="center"/>
              <w:rPr>
                <w:szCs w:val="18"/>
              </w:rPr>
            </w:pPr>
            <w:r>
              <w:rPr>
                <w:rFonts w:hint="eastAsia"/>
                <w:szCs w:val="18"/>
              </w:rPr>
              <w:t>（明确到分钟）</w:t>
            </w:r>
          </w:p>
        </w:tc>
        <w:tc>
          <w:tcPr>
            <w:tcW w:w="2943" w:type="dxa"/>
            <w:gridSpan w:val="3"/>
            <w:vAlign w:val="center"/>
          </w:tcPr>
          <w:p w14:paraId="341070EF">
            <w:pPr>
              <w:pStyle w:val="23"/>
              <w:jc w:val="center"/>
              <w:rPr>
                <w:szCs w:val="18"/>
              </w:rPr>
            </w:pPr>
          </w:p>
        </w:tc>
      </w:tr>
      <w:tr w14:paraId="232B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46651B73">
            <w:pPr>
              <w:pStyle w:val="23"/>
              <w:ind w:firstLine="0" w:firstLineChars="0"/>
              <w:jc w:val="center"/>
              <w:rPr>
                <w:szCs w:val="18"/>
              </w:rPr>
            </w:pPr>
            <w:r>
              <w:rPr>
                <w:rFonts w:hint="eastAsia"/>
                <w:szCs w:val="18"/>
              </w:rPr>
              <w:t>运输温度要求</w:t>
            </w:r>
          </w:p>
        </w:tc>
        <w:tc>
          <w:tcPr>
            <w:tcW w:w="759" w:type="dxa"/>
            <w:shd w:val="clear" w:color="auto" w:fill="auto"/>
            <w:vAlign w:val="center"/>
          </w:tcPr>
          <w:p w14:paraId="1FBEFFBB">
            <w:pPr>
              <w:pStyle w:val="23"/>
              <w:jc w:val="center"/>
              <w:rPr>
                <w:szCs w:val="18"/>
              </w:rPr>
            </w:pPr>
          </w:p>
        </w:tc>
        <w:tc>
          <w:tcPr>
            <w:tcW w:w="1341" w:type="dxa"/>
            <w:shd w:val="clear" w:color="auto" w:fill="auto"/>
            <w:vAlign w:val="center"/>
          </w:tcPr>
          <w:p w14:paraId="5B31FE0B">
            <w:pPr>
              <w:pStyle w:val="23"/>
              <w:ind w:firstLine="0" w:firstLineChars="0"/>
              <w:jc w:val="center"/>
              <w:rPr>
                <w:szCs w:val="18"/>
              </w:rPr>
            </w:pPr>
            <w:r>
              <w:rPr>
                <w:rFonts w:hint="eastAsia"/>
                <w:szCs w:val="18"/>
              </w:rPr>
              <w:t>运输方式</w:t>
            </w:r>
          </w:p>
        </w:tc>
        <w:tc>
          <w:tcPr>
            <w:tcW w:w="1245" w:type="dxa"/>
            <w:shd w:val="clear" w:color="auto" w:fill="auto"/>
            <w:vAlign w:val="center"/>
          </w:tcPr>
          <w:p w14:paraId="7A89E726">
            <w:pPr>
              <w:pStyle w:val="23"/>
              <w:jc w:val="center"/>
              <w:rPr>
                <w:szCs w:val="18"/>
              </w:rPr>
            </w:pPr>
          </w:p>
        </w:tc>
        <w:tc>
          <w:tcPr>
            <w:tcW w:w="1650" w:type="dxa"/>
            <w:shd w:val="clear" w:color="auto" w:fill="auto"/>
            <w:vAlign w:val="center"/>
          </w:tcPr>
          <w:p w14:paraId="428A6567">
            <w:pPr>
              <w:pStyle w:val="23"/>
              <w:ind w:firstLine="0" w:firstLineChars="0"/>
              <w:jc w:val="center"/>
              <w:rPr>
                <w:szCs w:val="18"/>
              </w:rPr>
            </w:pPr>
            <w:r>
              <w:rPr>
                <w:rFonts w:hint="eastAsia"/>
                <w:szCs w:val="18"/>
              </w:rPr>
              <w:t>运输时效</w:t>
            </w:r>
          </w:p>
        </w:tc>
        <w:tc>
          <w:tcPr>
            <w:tcW w:w="2943" w:type="dxa"/>
            <w:gridSpan w:val="3"/>
            <w:vAlign w:val="center"/>
          </w:tcPr>
          <w:p w14:paraId="4335BD6B">
            <w:pPr>
              <w:pStyle w:val="23"/>
              <w:jc w:val="center"/>
              <w:rPr>
                <w:szCs w:val="18"/>
              </w:rPr>
            </w:pPr>
          </w:p>
        </w:tc>
      </w:tr>
      <w:tr w14:paraId="1D84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8"/>
            <w:shd w:val="clear" w:color="auto" w:fill="auto"/>
            <w:vAlign w:val="center"/>
          </w:tcPr>
          <w:p w14:paraId="1578D76E">
            <w:pPr>
              <w:pStyle w:val="23"/>
              <w:jc w:val="center"/>
              <w:rPr>
                <w:szCs w:val="18"/>
              </w:rPr>
            </w:pPr>
            <w:r>
              <w:rPr>
                <w:rFonts w:hint="eastAsia"/>
                <w:szCs w:val="18"/>
              </w:rPr>
              <w:t>样本信息</w:t>
            </w:r>
          </w:p>
        </w:tc>
      </w:tr>
      <w:tr w14:paraId="1A0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5DE843D1">
            <w:pPr>
              <w:pStyle w:val="23"/>
              <w:ind w:firstLine="0" w:firstLineChars="0"/>
              <w:jc w:val="center"/>
              <w:rPr>
                <w:szCs w:val="18"/>
              </w:rPr>
            </w:pPr>
            <w:r>
              <w:rPr>
                <w:rFonts w:hint="eastAsia"/>
                <w:szCs w:val="18"/>
              </w:rPr>
              <w:t>数量</w:t>
            </w:r>
          </w:p>
        </w:tc>
        <w:tc>
          <w:tcPr>
            <w:tcW w:w="759" w:type="dxa"/>
            <w:shd w:val="clear" w:color="auto" w:fill="auto"/>
            <w:vAlign w:val="center"/>
          </w:tcPr>
          <w:p w14:paraId="6809D546">
            <w:pPr>
              <w:pStyle w:val="23"/>
              <w:jc w:val="center"/>
              <w:rPr>
                <w:szCs w:val="18"/>
              </w:rPr>
            </w:pPr>
          </w:p>
        </w:tc>
        <w:tc>
          <w:tcPr>
            <w:tcW w:w="1341" w:type="dxa"/>
            <w:shd w:val="clear" w:color="auto" w:fill="auto"/>
            <w:vAlign w:val="center"/>
          </w:tcPr>
          <w:p w14:paraId="6F9AD596">
            <w:pPr>
              <w:pStyle w:val="23"/>
              <w:ind w:firstLine="0" w:firstLineChars="0"/>
              <w:jc w:val="center"/>
              <w:rPr>
                <w:szCs w:val="18"/>
              </w:rPr>
            </w:pPr>
            <w:r>
              <w:rPr>
                <w:rFonts w:hint="eastAsia"/>
                <w:szCs w:val="18"/>
              </w:rPr>
              <w:t>样本编号</w:t>
            </w:r>
          </w:p>
        </w:tc>
        <w:tc>
          <w:tcPr>
            <w:tcW w:w="1245" w:type="dxa"/>
            <w:shd w:val="clear" w:color="auto" w:fill="auto"/>
            <w:vAlign w:val="center"/>
          </w:tcPr>
          <w:p w14:paraId="48ABB710">
            <w:pPr>
              <w:pStyle w:val="23"/>
              <w:jc w:val="center"/>
              <w:rPr>
                <w:szCs w:val="18"/>
              </w:rPr>
            </w:pPr>
          </w:p>
        </w:tc>
        <w:tc>
          <w:tcPr>
            <w:tcW w:w="1650" w:type="dxa"/>
            <w:shd w:val="clear" w:color="auto" w:fill="auto"/>
            <w:vAlign w:val="center"/>
          </w:tcPr>
          <w:p w14:paraId="00CD731B">
            <w:pPr>
              <w:pStyle w:val="23"/>
              <w:ind w:firstLine="0" w:firstLineChars="0"/>
              <w:jc w:val="center"/>
              <w:rPr>
                <w:szCs w:val="18"/>
              </w:rPr>
            </w:pPr>
            <w:r>
              <w:rPr>
                <w:rFonts w:hint="eastAsia"/>
                <w:szCs w:val="18"/>
              </w:rPr>
              <w:t>样本类型</w:t>
            </w:r>
          </w:p>
        </w:tc>
        <w:tc>
          <w:tcPr>
            <w:tcW w:w="668" w:type="dxa"/>
            <w:shd w:val="clear" w:color="auto" w:fill="auto"/>
            <w:vAlign w:val="center"/>
          </w:tcPr>
          <w:p w14:paraId="46DC80CD">
            <w:pPr>
              <w:pStyle w:val="23"/>
              <w:jc w:val="center"/>
              <w:rPr>
                <w:szCs w:val="18"/>
              </w:rPr>
            </w:pPr>
          </w:p>
        </w:tc>
        <w:tc>
          <w:tcPr>
            <w:tcW w:w="1078" w:type="dxa"/>
            <w:shd w:val="clear" w:color="auto" w:fill="auto"/>
            <w:vAlign w:val="center"/>
          </w:tcPr>
          <w:p w14:paraId="762F2149">
            <w:pPr>
              <w:pStyle w:val="23"/>
              <w:ind w:firstLine="0" w:firstLineChars="0"/>
              <w:jc w:val="center"/>
              <w:rPr>
                <w:szCs w:val="18"/>
              </w:rPr>
            </w:pPr>
            <w:r>
              <w:rPr>
                <w:rFonts w:hint="eastAsia"/>
                <w:szCs w:val="18"/>
              </w:rPr>
              <w:t>COA</w:t>
            </w:r>
          </w:p>
        </w:tc>
        <w:tc>
          <w:tcPr>
            <w:tcW w:w="1197" w:type="dxa"/>
            <w:vAlign w:val="center"/>
          </w:tcPr>
          <w:p w14:paraId="497E55CE">
            <w:pPr>
              <w:pStyle w:val="23"/>
              <w:jc w:val="center"/>
              <w:rPr>
                <w:szCs w:val="18"/>
              </w:rPr>
            </w:pPr>
          </w:p>
        </w:tc>
      </w:tr>
      <w:tr w14:paraId="4540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33E252BA">
            <w:pPr>
              <w:pStyle w:val="23"/>
              <w:ind w:firstLine="0" w:firstLineChars="0"/>
              <w:jc w:val="center"/>
              <w:rPr>
                <w:szCs w:val="18"/>
              </w:rPr>
            </w:pPr>
            <w:r>
              <w:rPr>
                <w:rFonts w:hint="eastAsia"/>
                <w:szCs w:val="18"/>
              </w:rPr>
              <w:t>运输设备编号</w:t>
            </w:r>
          </w:p>
        </w:tc>
        <w:tc>
          <w:tcPr>
            <w:tcW w:w="759" w:type="dxa"/>
            <w:shd w:val="clear" w:color="auto" w:fill="auto"/>
            <w:vAlign w:val="center"/>
          </w:tcPr>
          <w:p w14:paraId="0B754DA2">
            <w:pPr>
              <w:pStyle w:val="23"/>
              <w:jc w:val="center"/>
              <w:rPr>
                <w:szCs w:val="18"/>
              </w:rPr>
            </w:pPr>
          </w:p>
        </w:tc>
        <w:tc>
          <w:tcPr>
            <w:tcW w:w="1341" w:type="dxa"/>
            <w:shd w:val="clear" w:color="auto" w:fill="auto"/>
            <w:vAlign w:val="center"/>
          </w:tcPr>
          <w:p w14:paraId="226368ED">
            <w:pPr>
              <w:pStyle w:val="23"/>
              <w:ind w:firstLine="0" w:firstLineChars="0"/>
              <w:jc w:val="center"/>
              <w:rPr>
                <w:szCs w:val="18"/>
              </w:rPr>
            </w:pPr>
            <w:r>
              <w:rPr>
                <w:rFonts w:hint="eastAsia"/>
                <w:szCs w:val="18"/>
              </w:rPr>
              <w:t>运输温度</w:t>
            </w:r>
          </w:p>
        </w:tc>
        <w:tc>
          <w:tcPr>
            <w:tcW w:w="1245" w:type="dxa"/>
            <w:shd w:val="clear" w:color="auto" w:fill="auto"/>
            <w:vAlign w:val="center"/>
          </w:tcPr>
          <w:p w14:paraId="0D9FB5BA">
            <w:pPr>
              <w:pStyle w:val="23"/>
              <w:jc w:val="center"/>
              <w:rPr>
                <w:szCs w:val="18"/>
              </w:rPr>
            </w:pPr>
          </w:p>
        </w:tc>
        <w:tc>
          <w:tcPr>
            <w:tcW w:w="1650" w:type="dxa"/>
            <w:shd w:val="clear" w:color="auto" w:fill="auto"/>
            <w:vAlign w:val="center"/>
          </w:tcPr>
          <w:p w14:paraId="1E02A7A6">
            <w:pPr>
              <w:pStyle w:val="23"/>
              <w:ind w:firstLine="0" w:firstLineChars="0"/>
              <w:jc w:val="center"/>
              <w:rPr>
                <w:szCs w:val="18"/>
              </w:rPr>
            </w:pPr>
            <w:r>
              <w:rPr>
                <w:rFonts w:hint="eastAsia"/>
                <w:szCs w:val="18"/>
              </w:rPr>
              <w:t>运输方式</w:t>
            </w:r>
          </w:p>
        </w:tc>
        <w:tc>
          <w:tcPr>
            <w:tcW w:w="668" w:type="dxa"/>
            <w:shd w:val="clear" w:color="auto" w:fill="auto"/>
            <w:vAlign w:val="center"/>
          </w:tcPr>
          <w:p w14:paraId="774FAB8C">
            <w:pPr>
              <w:pStyle w:val="23"/>
              <w:jc w:val="center"/>
              <w:rPr>
                <w:szCs w:val="18"/>
              </w:rPr>
            </w:pPr>
          </w:p>
        </w:tc>
        <w:tc>
          <w:tcPr>
            <w:tcW w:w="1078" w:type="dxa"/>
            <w:shd w:val="clear" w:color="auto" w:fill="auto"/>
            <w:vAlign w:val="center"/>
          </w:tcPr>
          <w:p w14:paraId="21F987A9">
            <w:pPr>
              <w:pStyle w:val="23"/>
              <w:ind w:firstLine="0" w:firstLineChars="0"/>
              <w:jc w:val="center"/>
              <w:rPr>
                <w:szCs w:val="18"/>
              </w:rPr>
            </w:pPr>
            <w:r>
              <w:rPr>
                <w:rFonts w:hint="eastAsia"/>
                <w:szCs w:val="18"/>
              </w:rPr>
              <w:t>运输时效</w:t>
            </w:r>
          </w:p>
        </w:tc>
        <w:tc>
          <w:tcPr>
            <w:tcW w:w="1197" w:type="dxa"/>
            <w:vAlign w:val="center"/>
          </w:tcPr>
          <w:p w14:paraId="077DBAFD">
            <w:pPr>
              <w:pStyle w:val="23"/>
              <w:jc w:val="center"/>
              <w:rPr>
                <w:szCs w:val="18"/>
              </w:rPr>
            </w:pPr>
          </w:p>
        </w:tc>
      </w:tr>
      <w:tr w14:paraId="3872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35099DFB">
            <w:pPr>
              <w:pStyle w:val="23"/>
              <w:ind w:firstLine="0" w:firstLineChars="0"/>
              <w:jc w:val="center"/>
              <w:rPr>
                <w:szCs w:val="18"/>
              </w:rPr>
            </w:pPr>
            <w:r>
              <w:rPr>
                <w:rFonts w:hint="eastAsia"/>
                <w:szCs w:val="18"/>
              </w:rPr>
              <w:t>样本包装完好无损标签清晰</w:t>
            </w:r>
          </w:p>
        </w:tc>
        <w:tc>
          <w:tcPr>
            <w:tcW w:w="759" w:type="dxa"/>
            <w:shd w:val="clear" w:color="auto" w:fill="auto"/>
            <w:vAlign w:val="center"/>
          </w:tcPr>
          <w:p w14:paraId="55E84D53">
            <w:pPr>
              <w:pStyle w:val="23"/>
              <w:jc w:val="center"/>
              <w:rPr>
                <w:szCs w:val="18"/>
              </w:rPr>
            </w:pPr>
          </w:p>
        </w:tc>
        <w:tc>
          <w:tcPr>
            <w:tcW w:w="1341" w:type="dxa"/>
            <w:shd w:val="clear" w:color="auto" w:fill="auto"/>
            <w:vAlign w:val="center"/>
          </w:tcPr>
          <w:p w14:paraId="09C67236">
            <w:pPr>
              <w:pStyle w:val="23"/>
              <w:ind w:firstLine="0" w:firstLineChars="0"/>
              <w:jc w:val="center"/>
              <w:rPr>
                <w:szCs w:val="18"/>
              </w:rPr>
            </w:pPr>
            <w:r>
              <w:rPr>
                <w:rFonts w:hint="eastAsia"/>
                <w:szCs w:val="18"/>
              </w:rPr>
              <w:t>接收温度</w:t>
            </w:r>
          </w:p>
        </w:tc>
        <w:tc>
          <w:tcPr>
            <w:tcW w:w="1245" w:type="dxa"/>
            <w:shd w:val="clear" w:color="auto" w:fill="auto"/>
            <w:vAlign w:val="center"/>
          </w:tcPr>
          <w:p w14:paraId="3111039F">
            <w:pPr>
              <w:pStyle w:val="23"/>
              <w:jc w:val="center"/>
              <w:rPr>
                <w:szCs w:val="18"/>
              </w:rPr>
            </w:pPr>
          </w:p>
        </w:tc>
        <w:tc>
          <w:tcPr>
            <w:tcW w:w="1650" w:type="dxa"/>
            <w:shd w:val="clear" w:color="auto" w:fill="auto"/>
            <w:vAlign w:val="center"/>
          </w:tcPr>
          <w:p w14:paraId="703E3857">
            <w:pPr>
              <w:pStyle w:val="23"/>
              <w:ind w:firstLine="0" w:firstLineChars="0"/>
              <w:jc w:val="center"/>
              <w:rPr>
                <w:szCs w:val="18"/>
              </w:rPr>
            </w:pPr>
            <w:r>
              <w:rPr>
                <w:rFonts w:hint="eastAsia"/>
                <w:szCs w:val="18"/>
              </w:rPr>
              <w:t>接收时间</w:t>
            </w:r>
          </w:p>
          <w:p w14:paraId="16C6D03E">
            <w:pPr>
              <w:pStyle w:val="23"/>
              <w:ind w:firstLine="0" w:firstLineChars="0"/>
              <w:jc w:val="center"/>
              <w:rPr>
                <w:szCs w:val="18"/>
              </w:rPr>
            </w:pPr>
            <w:r>
              <w:rPr>
                <w:rFonts w:hint="eastAsia"/>
                <w:szCs w:val="18"/>
              </w:rPr>
              <w:t>（明确分钟）</w:t>
            </w:r>
          </w:p>
        </w:tc>
        <w:tc>
          <w:tcPr>
            <w:tcW w:w="668" w:type="dxa"/>
            <w:shd w:val="clear" w:color="auto" w:fill="auto"/>
            <w:vAlign w:val="center"/>
          </w:tcPr>
          <w:p w14:paraId="48B0EFA9">
            <w:pPr>
              <w:pStyle w:val="23"/>
              <w:jc w:val="center"/>
              <w:rPr>
                <w:szCs w:val="18"/>
              </w:rPr>
            </w:pPr>
          </w:p>
        </w:tc>
        <w:tc>
          <w:tcPr>
            <w:tcW w:w="1078" w:type="dxa"/>
            <w:shd w:val="clear" w:color="auto" w:fill="auto"/>
            <w:vAlign w:val="center"/>
          </w:tcPr>
          <w:p w14:paraId="492FC007">
            <w:pPr>
              <w:pStyle w:val="23"/>
              <w:ind w:firstLine="0" w:firstLineChars="0"/>
              <w:jc w:val="center"/>
              <w:rPr>
                <w:szCs w:val="18"/>
              </w:rPr>
            </w:pPr>
            <w:r>
              <w:rPr>
                <w:rFonts w:hint="eastAsia"/>
                <w:szCs w:val="18"/>
              </w:rPr>
              <w:t>承运人</w:t>
            </w:r>
          </w:p>
          <w:p w14:paraId="14B3E12D">
            <w:pPr>
              <w:pStyle w:val="23"/>
              <w:ind w:firstLine="0" w:firstLineChars="0"/>
              <w:jc w:val="center"/>
              <w:rPr>
                <w:szCs w:val="18"/>
              </w:rPr>
            </w:pPr>
            <w:r>
              <w:rPr>
                <w:rFonts w:hint="eastAsia"/>
                <w:szCs w:val="18"/>
              </w:rPr>
              <w:t>签字</w:t>
            </w:r>
          </w:p>
        </w:tc>
        <w:tc>
          <w:tcPr>
            <w:tcW w:w="1197" w:type="dxa"/>
            <w:vAlign w:val="center"/>
          </w:tcPr>
          <w:p w14:paraId="5F749CAC">
            <w:pPr>
              <w:pStyle w:val="23"/>
              <w:jc w:val="center"/>
              <w:rPr>
                <w:szCs w:val="18"/>
              </w:rPr>
            </w:pPr>
          </w:p>
        </w:tc>
      </w:tr>
      <w:tr w14:paraId="65E9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8"/>
            <w:vAlign w:val="center"/>
          </w:tcPr>
          <w:p w14:paraId="09849B04">
            <w:pPr>
              <w:pStyle w:val="23"/>
              <w:jc w:val="center"/>
              <w:rPr>
                <w:szCs w:val="18"/>
                <w:highlight w:val="lightGray"/>
              </w:rPr>
            </w:pPr>
            <w:r>
              <w:rPr>
                <w:rFonts w:hint="eastAsia"/>
                <w:szCs w:val="18"/>
              </w:rPr>
              <w:t>收件单位</w:t>
            </w:r>
          </w:p>
        </w:tc>
      </w:tr>
      <w:tr w14:paraId="78D7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77EFD882">
            <w:pPr>
              <w:pStyle w:val="23"/>
              <w:ind w:firstLine="0" w:firstLineChars="0"/>
              <w:jc w:val="center"/>
              <w:rPr>
                <w:szCs w:val="18"/>
              </w:rPr>
            </w:pPr>
            <w:r>
              <w:rPr>
                <w:rFonts w:hint="eastAsia"/>
                <w:szCs w:val="18"/>
              </w:rPr>
              <w:t>单位名称</w:t>
            </w:r>
          </w:p>
        </w:tc>
        <w:tc>
          <w:tcPr>
            <w:tcW w:w="2100" w:type="dxa"/>
            <w:gridSpan w:val="2"/>
            <w:shd w:val="clear" w:color="auto" w:fill="auto"/>
            <w:vAlign w:val="center"/>
          </w:tcPr>
          <w:p w14:paraId="4B4198D9">
            <w:pPr>
              <w:pStyle w:val="23"/>
              <w:ind w:firstLine="0" w:firstLineChars="0"/>
              <w:jc w:val="center"/>
              <w:rPr>
                <w:szCs w:val="18"/>
              </w:rPr>
            </w:pPr>
          </w:p>
        </w:tc>
        <w:tc>
          <w:tcPr>
            <w:tcW w:w="1245" w:type="dxa"/>
            <w:shd w:val="clear" w:color="auto" w:fill="auto"/>
            <w:vAlign w:val="center"/>
          </w:tcPr>
          <w:p w14:paraId="2CD55E6A">
            <w:pPr>
              <w:pStyle w:val="23"/>
              <w:ind w:firstLine="0" w:firstLineChars="0"/>
              <w:jc w:val="center"/>
              <w:rPr>
                <w:szCs w:val="18"/>
              </w:rPr>
            </w:pPr>
            <w:r>
              <w:rPr>
                <w:rFonts w:hint="eastAsia"/>
                <w:szCs w:val="18"/>
              </w:rPr>
              <w:t>收件人</w:t>
            </w:r>
          </w:p>
        </w:tc>
        <w:tc>
          <w:tcPr>
            <w:tcW w:w="1650" w:type="dxa"/>
            <w:shd w:val="clear" w:color="auto" w:fill="auto"/>
            <w:vAlign w:val="center"/>
          </w:tcPr>
          <w:p w14:paraId="5E27AC3D">
            <w:pPr>
              <w:pStyle w:val="23"/>
              <w:ind w:firstLine="0" w:firstLineChars="0"/>
              <w:jc w:val="center"/>
              <w:rPr>
                <w:szCs w:val="18"/>
              </w:rPr>
            </w:pPr>
          </w:p>
        </w:tc>
        <w:tc>
          <w:tcPr>
            <w:tcW w:w="668" w:type="dxa"/>
            <w:vAlign w:val="center"/>
          </w:tcPr>
          <w:p w14:paraId="40CB0729">
            <w:pPr>
              <w:pStyle w:val="23"/>
              <w:ind w:firstLine="0" w:firstLineChars="0"/>
              <w:jc w:val="center"/>
              <w:rPr>
                <w:szCs w:val="18"/>
              </w:rPr>
            </w:pPr>
            <w:r>
              <w:rPr>
                <w:rFonts w:hint="eastAsia"/>
                <w:szCs w:val="18"/>
              </w:rPr>
              <w:t>电话</w:t>
            </w:r>
          </w:p>
        </w:tc>
        <w:tc>
          <w:tcPr>
            <w:tcW w:w="2275" w:type="dxa"/>
            <w:gridSpan w:val="2"/>
            <w:vAlign w:val="center"/>
          </w:tcPr>
          <w:p w14:paraId="0D9D024E">
            <w:pPr>
              <w:pStyle w:val="23"/>
              <w:jc w:val="center"/>
              <w:rPr>
                <w:szCs w:val="18"/>
              </w:rPr>
            </w:pPr>
          </w:p>
        </w:tc>
      </w:tr>
      <w:tr w14:paraId="2A7D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38FED829">
            <w:pPr>
              <w:pStyle w:val="23"/>
              <w:ind w:firstLine="0" w:firstLineChars="0"/>
              <w:jc w:val="center"/>
              <w:rPr>
                <w:szCs w:val="18"/>
              </w:rPr>
            </w:pPr>
            <w:r>
              <w:rPr>
                <w:rFonts w:hint="eastAsia"/>
                <w:szCs w:val="18"/>
              </w:rPr>
              <w:t>收件地址</w:t>
            </w:r>
          </w:p>
        </w:tc>
        <w:tc>
          <w:tcPr>
            <w:tcW w:w="7938" w:type="dxa"/>
            <w:gridSpan w:val="7"/>
            <w:shd w:val="clear" w:color="auto" w:fill="auto"/>
            <w:vAlign w:val="center"/>
          </w:tcPr>
          <w:p w14:paraId="5F95ED30">
            <w:pPr>
              <w:pStyle w:val="23"/>
              <w:jc w:val="center"/>
              <w:rPr>
                <w:szCs w:val="18"/>
              </w:rPr>
            </w:pPr>
          </w:p>
        </w:tc>
      </w:tr>
      <w:tr w14:paraId="4880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19F4C610">
            <w:pPr>
              <w:pStyle w:val="23"/>
              <w:ind w:firstLine="0" w:firstLineChars="0"/>
              <w:jc w:val="center"/>
              <w:rPr>
                <w:szCs w:val="18"/>
              </w:rPr>
            </w:pPr>
            <w:r>
              <w:rPr>
                <w:rFonts w:hint="eastAsia"/>
                <w:szCs w:val="18"/>
              </w:rPr>
              <w:t>样本包装完好无损标签清晰</w:t>
            </w:r>
          </w:p>
        </w:tc>
        <w:tc>
          <w:tcPr>
            <w:tcW w:w="759" w:type="dxa"/>
            <w:shd w:val="clear" w:color="auto" w:fill="auto"/>
            <w:vAlign w:val="center"/>
          </w:tcPr>
          <w:p w14:paraId="2341F044">
            <w:pPr>
              <w:pStyle w:val="23"/>
              <w:jc w:val="center"/>
              <w:rPr>
                <w:szCs w:val="18"/>
              </w:rPr>
            </w:pPr>
          </w:p>
        </w:tc>
        <w:tc>
          <w:tcPr>
            <w:tcW w:w="1341" w:type="dxa"/>
            <w:shd w:val="clear" w:color="auto" w:fill="auto"/>
            <w:vAlign w:val="center"/>
          </w:tcPr>
          <w:p w14:paraId="1DA9D50C">
            <w:pPr>
              <w:pStyle w:val="23"/>
              <w:ind w:firstLine="0" w:firstLineChars="0"/>
              <w:jc w:val="center"/>
              <w:rPr>
                <w:szCs w:val="18"/>
              </w:rPr>
            </w:pPr>
            <w:r>
              <w:rPr>
                <w:rFonts w:hint="eastAsia"/>
                <w:szCs w:val="18"/>
              </w:rPr>
              <w:t>细胞样本完好无损</w:t>
            </w:r>
          </w:p>
        </w:tc>
        <w:tc>
          <w:tcPr>
            <w:tcW w:w="1245" w:type="dxa"/>
            <w:shd w:val="clear" w:color="auto" w:fill="auto"/>
            <w:vAlign w:val="center"/>
          </w:tcPr>
          <w:p w14:paraId="0D814A96">
            <w:pPr>
              <w:pStyle w:val="23"/>
              <w:jc w:val="center"/>
              <w:rPr>
                <w:szCs w:val="18"/>
              </w:rPr>
            </w:pPr>
          </w:p>
        </w:tc>
        <w:tc>
          <w:tcPr>
            <w:tcW w:w="1650" w:type="dxa"/>
            <w:shd w:val="clear" w:color="auto" w:fill="auto"/>
            <w:vAlign w:val="center"/>
          </w:tcPr>
          <w:p w14:paraId="3E3F4709">
            <w:pPr>
              <w:pStyle w:val="23"/>
              <w:ind w:firstLine="0" w:firstLineChars="0"/>
              <w:jc w:val="center"/>
              <w:rPr>
                <w:szCs w:val="18"/>
              </w:rPr>
            </w:pPr>
            <w:r>
              <w:rPr>
                <w:rFonts w:hint="eastAsia"/>
                <w:szCs w:val="18"/>
              </w:rPr>
              <w:t>运达温度</w:t>
            </w:r>
          </w:p>
        </w:tc>
        <w:tc>
          <w:tcPr>
            <w:tcW w:w="668" w:type="dxa"/>
            <w:vAlign w:val="center"/>
          </w:tcPr>
          <w:p w14:paraId="04FF9B1C">
            <w:pPr>
              <w:pStyle w:val="23"/>
              <w:jc w:val="center"/>
              <w:rPr>
                <w:szCs w:val="18"/>
              </w:rPr>
            </w:pPr>
          </w:p>
        </w:tc>
        <w:tc>
          <w:tcPr>
            <w:tcW w:w="1078" w:type="dxa"/>
            <w:vAlign w:val="center"/>
          </w:tcPr>
          <w:p w14:paraId="4BC6BF6D">
            <w:pPr>
              <w:pStyle w:val="23"/>
              <w:ind w:firstLine="0" w:firstLineChars="0"/>
              <w:jc w:val="center"/>
              <w:rPr>
                <w:szCs w:val="18"/>
              </w:rPr>
            </w:pPr>
            <w:r>
              <w:rPr>
                <w:rFonts w:hint="eastAsia"/>
                <w:szCs w:val="18"/>
              </w:rPr>
              <w:t>细胞运输全程温控记录</w:t>
            </w:r>
          </w:p>
        </w:tc>
        <w:tc>
          <w:tcPr>
            <w:tcW w:w="1197" w:type="dxa"/>
            <w:vAlign w:val="center"/>
          </w:tcPr>
          <w:p w14:paraId="0242046F">
            <w:pPr>
              <w:pStyle w:val="23"/>
              <w:jc w:val="center"/>
              <w:rPr>
                <w:szCs w:val="18"/>
              </w:rPr>
            </w:pPr>
          </w:p>
        </w:tc>
      </w:tr>
      <w:tr w14:paraId="6BA1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shd w:val="clear" w:color="auto" w:fill="auto"/>
            <w:vAlign w:val="center"/>
          </w:tcPr>
          <w:p w14:paraId="05053CC4">
            <w:pPr>
              <w:pStyle w:val="2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szCs w:val="18"/>
              </w:rPr>
            </w:pPr>
            <w:r>
              <w:rPr>
                <w:rFonts w:hint="eastAsia"/>
                <w:szCs w:val="18"/>
              </w:rPr>
              <w:t>COA</w:t>
            </w:r>
          </w:p>
        </w:tc>
        <w:tc>
          <w:tcPr>
            <w:tcW w:w="759" w:type="dxa"/>
            <w:shd w:val="clear" w:color="auto" w:fill="auto"/>
            <w:vAlign w:val="center"/>
          </w:tcPr>
          <w:p w14:paraId="5CD1E61F">
            <w:pPr>
              <w:pStyle w:val="23"/>
              <w:jc w:val="center"/>
              <w:rPr>
                <w:szCs w:val="18"/>
              </w:rPr>
            </w:pPr>
          </w:p>
        </w:tc>
        <w:tc>
          <w:tcPr>
            <w:tcW w:w="1341" w:type="dxa"/>
            <w:shd w:val="clear" w:color="auto" w:fill="auto"/>
            <w:vAlign w:val="center"/>
          </w:tcPr>
          <w:p w14:paraId="095D87FC">
            <w:pPr>
              <w:pStyle w:val="23"/>
              <w:ind w:firstLine="0" w:firstLineChars="0"/>
              <w:jc w:val="center"/>
              <w:rPr>
                <w:rFonts w:hint="eastAsia" w:eastAsia="宋体"/>
                <w:szCs w:val="18"/>
                <w:lang w:val="en-US" w:eastAsia="zh-CN"/>
              </w:rPr>
            </w:pPr>
            <w:r>
              <w:rPr>
                <w:rFonts w:hint="eastAsia"/>
                <w:szCs w:val="18"/>
              </w:rPr>
              <w:t>运达时间（明确到分钟</w:t>
            </w:r>
            <w:r>
              <w:rPr>
                <w:rFonts w:hint="eastAsia"/>
                <w:szCs w:val="18"/>
                <w:lang w:eastAsia="zh-CN"/>
              </w:rPr>
              <w:t>）</w:t>
            </w:r>
          </w:p>
        </w:tc>
        <w:tc>
          <w:tcPr>
            <w:tcW w:w="1245" w:type="dxa"/>
            <w:shd w:val="clear" w:color="auto" w:fill="auto"/>
            <w:vAlign w:val="center"/>
          </w:tcPr>
          <w:p w14:paraId="70F6C36B">
            <w:pPr>
              <w:pStyle w:val="23"/>
              <w:jc w:val="center"/>
              <w:rPr>
                <w:szCs w:val="18"/>
              </w:rPr>
            </w:pPr>
          </w:p>
        </w:tc>
        <w:tc>
          <w:tcPr>
            <w:tcW w:w="1650" w:type="dxa"/>
            <w:shd w:val="clear" w:color="auto" w:fill="auto"/>
            <w:vAlign w:val="center"/>
          </w:tcPr>
          <w:p w14:paraId="4FC20F48">
            <w:pPr>
              <w:pStyle w:val="23"/>
              <w:ind w:firstLine="0" w:firstLineChars="0"/>
              <w:jc w:val="center"/>
              <w:rPr>
                <w:szCs w:val="18"/>
              </w:rPr>
            </w:pPr>
            <w:r>
              <w:rPr>
                <w:rFonts w:hint="eastAsia"/>
                <w:szCs w:val="18"/>
              </w:rPr>
              <w:t>收件人签字</w:t>
            </w:r>
          </w:p>
        </w:tc>
        <w:tc>
          <w:tcPr>
            <w:tcW w:w="2943" w:type="dxa"/>
            <w:gridSpan w:val="3"/>
            <w:vAlign w:val="center"/>
          </w:tcPr>
          <w:p w14:paraId="4183DCED">
            <w:pPr>
              <w:pStyle w:val="23"/>
              <w:jc w:val="center"/>
              <w:rPr>
                <w:szCs w:val="18"/>
              </w:rPr>
            </w:pPr>
          </w:p>
        </w:tc>
      </w:tr>
      <w:tr w14:paraId="7993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8"/>
            <w:shd w:val="clear" w:color="auto" w:fill="auto"/>
            <w:vAlign w:val="center"/>
          </w:tcPr>
          <w:p w14:paraId="0DAC93CE">
            <w:pPr>
              <w:pStyle w:val="23"/>
              <w:jc w:val="center"/>
              <w:rPr>
                <w:szCs w:val="18"/>
                <w:highlight w:val="none"/>
              </w:rPr>
            </w:pPr>
            <w:r>
              <w:rPr>
                <w:rFonts w:hint="eastAsia"/>
                <w:szCs w:val="18"/>
                <w:highlight w:val="none"/>
              </w:rPr>
              <w:t>注意：不能经射线及X光照射</w:t>
            </w:r>
          </w:p>
        </w:tc>
      </w:tr>
    </w:tbl>
    <w:p w14:paraId="399605B7">
      <w:pPr>
        <w:pStyle w:val="23"/>
        <w:jc w:val="center"/>
      </w:pPr>
    </w:p>
    <w:p w14:paraId="2DC40F1A">
      <w:pPr>
        <w:pStyle w:val="101"/>
      </w:pPr>
      <w:bookmarkStart w:id="243" w:name="_Toc13619"/>
      <w:bookmarkStart w:id="244" w:name="_Toc7090"/>
      <w:bookmarkStart w:id="245" w:name="_Toc75"/>
      <w:bookmarkStart w:id="246" w:name="_Toc20971"/>
      <w:bookmarkStart w:id="247" w:name="_Toc18875"/>
      <w:bookmarkStart w:id="248" w:name="_Toc25989"/>
      <w:bookmarkStart w:id="249" w:name="_Toc16218"/>
      <w:bookmarkStart w:id="250" w:name="_Toc31339"/>
      <w:bookmarkStart w:id="251" w:name="_Toc15186"/>
      <w:bookmarkStart w:id="252" w:name="_Toc1593"/>
      <w:r>
        <w:t>参 考 文 献</w:t>
      </w:r>
      <w:bookmarkEnd w:id="243"/>
      <w:bookmarkEnd w:id="244"/>
      <w:bookmarkEnd w:id="245"/>
      <w:bookmarkEnd w:id="246"/>
      <w:bookmarkEnd w:id="247"/>
      <w:bookmarkEnd w:id="248"/>
      <w:bookmarkEnd w:id="249"/>
      <w:bookmarkEnd w:id="250"/>
      <w:bookmarkEnd w:id="251"/>
      <w:bookmarkEnd w:id="252"/>
    </w:p>
    <w:p w14:paraId="61CD540F">
      <w:pPr>
        <w:pStyle w:val="102"/>
        <w:ind w:firstLine="420"/>
        <w:outlineLvl w:val="9"/>
        <w:rPr>
          <w:rFonts w:ascii="宋体" w:hAnsi="宋体" w:eastAsia="宋体" w:cs="宋体"/>
        </w:rPr>
      </w:pPr>
      <w:r>
        <w:rPr>
          <w:rFonts w:hint="eastAsia" w:ascii="宋体" w:hAnsi="宋体" w:eastAsia="宋体" w:cs="宋体"/>
        </w:rPr>
        <w:t>YY/T 0086-2020 医用冷藏箱</w:t>
      </w:r>
    </w:p>
    <w:p w14:paraId="69D171C4">
      <w:pPr>
        <w:pStyle w:val="102"/>
        <w:ind w:firstLine="420"/>
        <w:outlineLvl w:val="9"/>
        <w:rPr>
          <w:rFonts w:ascii="宋体" w:hAnsi="宋体" w:eastAsia="宋体" w:cs="宋体"/>
        </w:rPr>
      </w:pPr>
      <w:r>
        <w:rPr>
          <w:rFonts w:hint="eastAsia" w:ascii="宋体" w:hAnsi="宋体" w:eastAsia="宋体" w:cs="宋体"/>
        </w:rPr>
        <w:t>GB/T 34399-2017 医疗产品冷链物流温控设施 设备验证 性能确认技术规范</w:t>
      </w:r>
    </w:p>
    <w:p w14:paraId="13B20868">
      <w:pPr>
        <w:pStyle w:val="102"/>
        <w:ind w:firstLine="420"/>
        <w:outlineLvl w:val="9"/>
        <w:rPr>
          <w:rFonts w:ascii="宋体" w:hAnsi="宋体" w:eastAsia="宋体" w:cs="宋体"/>
        </w:rPr>
      </w:pPr>
      <w:r>
        <w:rPr>
          <w:rFonts w:hint="eastAsia" w:ascii="宋体" w:hAnsi="宋体" w:eastAsia="宋体" w:cs="宋体"/>
        </w:rPr>
        <w:t>GB/T 5458-2012 液氮生物容器</w:t>
      </w:r>
    </w:p>
    <w:p w14:paraId="17315354">
      <w:pPr>
        <w:pStyle w:val="102"/>
        <w:ind w:firstLine="420"/>
        <w:outlineLvl w:val="9"/>
        <w:rPr>
          <w:rFonts w:ascii="宋体" w:hAnsi="宋体" w:eastAsia="宋体" w:cs="宋体"/>
        </w:rPr>
      </w:pPr>
      <w:r>
        <w:rPr>
          <w:rFonts w:hint="eastAsia" w:ascii="宋体" w:hAnsi="宋体" w:eastAsia="宋体" w:cs="宋体"/>
        </w:rPr>
        <w:t>T/CCGA 50003-2019 干冰包装和运输安全技术规程</w:t>
      </w:r>
    </w:p>
    <w:p w14:paraId="5ED9EA8F">
      <w:pPr>
        <w:pStyle w:val="102"/>
        <w:ind w:firstLine="420"/>
        <w:outlineLvl w:val="9"/>
        <w:rPr>
          <w:rFonts w:ascii="宋体" w:hAnsi="宋体" w:eastAsia="宋体" w:cs="宋体"/>
        </w:rPr>
      </w:pPr>
      <w:r>
        <w:rPr>
          <w:rFonts w:hint="eastAsia" w:ascii="宋体" w:hAnsi="宋体" w:eastAsia="宋体" w:cs="宋体"/>
        </w:rPr>
        <w:t>WB/T 1097 药品冷链保温箱通用规范</w:t>
      </w:r>
    </w:p>
    <w:p w14:paraId="09055232">
      <w:pPr>
        <w:pStyle w:val="102"/>
        <w:ind w:firstLine="420"/>
        <w:outlineLvl w:val="9"/>
        <w:rPr>
          <w:rFonts w:ascii="宋体" w:hAnsi="宋体" w:eastAsia="宋体" w:cs="宋体"/>
        </w:rPr>
      </w:pPr>
      <w:r>
        <w:rPr>
          <w:rFonts w:hint="eastAsia" w:ascii="宋体" w:hAnsi="宋体" w:eastAsia="宋体" w:cs="宋体"/>
        </w:rPr>
        <w:t>JT/T67-2018 危险货物道路运输规则</w:t>
      </w:r>
    </w:p>
    <w:p w14:paraId="3F322A2D">
      <w:pPr>
        <w:pStyle w:val="102"/>
        <w:ind w:firstLine="420"/>
        <w:outlineLvl w:val="9"/>
        <w:rPr>
          <w:rFonts w:ascii="宋体" w:hAnsi="宋体" w:eastAsia="宋体" w:cs="宋体"/>
        </w:rPr>
      </w:pPr>
      <w:r>
        <w:rPr>
          <w:rFonts w:hint="eastAsia" w:ascii="宋体" w:hAnsi="宋体" w:eastAsia="宋体" w:cs="宋体"/>
        </w:rPr>
        <w:t>WB/T 1104-2020 道路运输 医药产品冷藏车功能配置要求</w:t>
      </w:r>
    </w:p>
    <w:p w14:paraId="69A4ED6F">
      <w:pPr>
        <w:pStyle w:val="102"/>
        <w:ind w:firstLine="420"/>
        <w:outlineLvl w:val="9"/>
        <w:rPr>
          <w:rFonts w:hint="eastAsia" w:ascii="宋体" w:hAnsi="宋体" w:eastAsia="宋体" w:cs="宋体"/>
        </w:rPr>
      </w:pPr>
      <w:r>
        <w:rPr>
          <w:rFonts w:hint="eastAsia" w:ascii="宋体" w:hAnsi="宋体" w:eastAsia="宋体" w:cs="宋体"/>
        </w:rPr>
        <w:t>GB/T 45743-2025</w:t>
      </w:r>
      <w:r>
        <w:rPr>
          <w:rFonts w:hint="eastAsia" w:ascii="宋体" w:hAnsi="宋体" w:eastAsia="宋体" w:cs="宋体"/>
          <w:lang w:eastAsia="zh-CN"/>
        </w:rPr>
        <w:t xml:space="preserve"> </w:t>
      </w:r>
      <w:r>
        <w:rPr>
          <w:rFonts w:hint="eastAsia" w:ascii="宋体" w:hAnsi="宋体" w:eastAsia="宋体" w:cs="宋体"/>
        </w:rPr>
        <w:t>生物样本 细胞运输通用要求</w:t>
      </w:r>
    </w:p>
    <w:p w14:paraId="06DB82B9">
      <w:pPr>
        <w:pStyle w:val="102"/>
        <w:ind w:firstLine="420"/>
        <w:outlineLvl w:val="9"/>
        <w:rPr>
          <w:rFonts w:hint="eastAsia" w:ascii="宋体" w:hAnsi="宋体" w:eastAsia="宋体" w:cs="宋体"/>
        </w:rPr>
      </w:pPr>
      <w:r>
        <w:rPr>
          <w:rFonts w:hint="eastAsia" w:ascii="宋体" w:hAnsi="宋体" w:eastAsia="宋体" w:cs="宋体"/>
          <w:lang w:eastAsia="zh-CN"/>
        </w:rPr>
        <w:t>ISO 21973:2020</w:t>
      </w:r>
      <w:r>
        <w:rPr>
          <w:rFonts w:hint="eastAsia" w:ascii="宋体" w:hAnsi="宋体" w:eastAsia="宋体" w:cs="宋体"/>
          <w:lang w:val="en-US" w:eastAsia="zh-CN"/>
        </w:rPr>
        <w:t xml:space="preserve"> 细胞治疗产品运输国际标准</w:t>
      </w:r>
    </w:p>
    <w:p w14:paraId="7E3B34EE">
      <w:pPr>
        <w:pStyle w:val="102"/>
        <w:ind w:firstLine="420"/>
        <w:outlineLvl w:val="9"/>
        <w:rPr>
          <w:rFonts w:hint="eastAsia" w:ascii="宋体" w:hAnsi="宋体" w:eastAsia="宋体" w:cs="宋体"/>
        </w:rPr>
      </w:pPr>
      <w:r>
        <w:rPr>
          <w:rFonts w:hint="eastAsia" w:ascii="宋体" w:hAnsi="宋体" w:eastAsia="宋体" w:cs="宋体"/>
          <w:lang w:eastAsia="zh-CN"/>
        </w:rPr>
        <w:t>GB/T 28842—2012 药品冷链物流运作规范</w:t>
      </w:r>
    </w:p>
    <w:p w14:paraId="6E93565D">
      <w:pPr>
        <w:pStyle w:val="102"/>
        <w:ind w:firstLine="420"/>
        <w:outlineLvl w:val="9"/>
        <w:rPr>
          <w:rFonts w:ascii="宋体" w:hAnsi="宋体" w:eastAsia="宋体" w:cs="宋体"/>
        </w:rPr>
      </w:pPr>
      <w:r>
        <w:rPr>
          <w:rFonts w:hint="eastAsia" w:ascii="宋体" w:hAnsi="宋体" w:eastAsia="宋体" w:cs="宋体"/>
        </w:rPr>
        <w:t>GB/T 20269 信息安全技术 信息系统安全管理要求</w:t>
      </w:r>
    </w:p>
    <w:p w14:paraId="71A4A8B9">
      <w:pPr>
        <w:pStyle w:val="102"/>
        <w:ind w:firstLine="420"/>
        <w:outlineLvl w:val="9"/>
        <w:rPr>
          <w:rFonts w:ascii="宋体" w:hAnsi="宋体" w:eastAsia="宋体" w:cs="宋体"/>
        </w:rPr>
      </w:pPr>
      <w:r>
        <w:rPr>
          <w:rFonts w:hint="eastAsia" w:ascii="宋体" w:hAnsi="宋体" w:eastAsia="宋体" w:cs="宋体"/>
        </w:rPr>
        <w:t>GB/T 20270 信息安全技术 网络基础安全技术要求</w:t>
      </w:r>
    </w:p>
    <w:p w14:paraId="75B07379">
      <w:pPr>
        <w:pStyle w:val="102"/>
        <w:ind w:firstLine="420"/>
        <w:outlineLvl w:val="9"/>
        <w:rPr>
          <w:rFonts w:ascii="宋体" w:hAnsi="宋体" w:eastAsia="宋体" w:cs="宋体"/>
        </w:rPr>
      </w:pPr>
      <w:r>
        <w:rPr>
          <w:rFonts w:hint="eastAsia" w:ascii="宋体" w:hAnsi="宋体" w:eastAsia="宋体" w:cs="宋体"/>
        </w:rPr>
        <w:t>GB/T 20271 信息安全技术 信息系统通用安全技术要求</w:t>
      </w:r>
    </w:p>
    <w:p w14:paraId="5A900EBA">
      <w:pPr>
        <w:pStyle w:val="102"/>
        <w:ind w:firstLine="420"/>
        <w:outlineLvl w:val="9"/>
        <w:rPr>
          <w:rFonts w:ascii="宋体" w:hAnsi="宋体" w:eastAsia="宋体" w:cs="宋体"/>
        </w:rPr>
      </w:pPr>
      <w:r>
        <w:rPr>
          <w:rFonts w:hint="eastAsia" w:ascii="宋体" w:hAnsi="宋体" w:eastAsia="宋体" w:cs="宋体"/>
        </w:rPr>
        <w:t>国家药典委员会.中华人民共和国药典 2020年版.四部[S]</w:t>
      </w:r>
    </w:p>
    <w:p w14:paraId="458FF988">
      <w:pPr>
        <w:pStyle w:val="102"/>
        <w:ind w:firstLine="420"/>
        <w:outlineLvl w:val="9"/>
        <w:rPr>
          <w:rFonts w:ascii="宋体" w:hAnsi="宋体" w:eastAsia="宋体" w:cs="宋体"/>
        </w:rPr>
      </w:pPr>
      <w:r>
        <w:rPr>
          <w:rFonts w:hint="eastAsia" w:ascii="宋体" w:hAnsi="宋体" w:eastAsia="宋体" w:cs="宋体"/>
        </w:rPr>
        <w:t>IATA-DGR《危险货物规则》（2024 版）</w:t>
      </w:r>
    </w:p>
    <w:p w14:paraId="714A10ED">
      <w:pPr>
        <w:pStyle w:val="102"/>
        <w:ind w:firstLine="420"/>
        <w:outlineLvl w:val="9"/>
        <w:rPr>
          <w:rFonts w:ascii="宋体" w:hAnsi="宋体" w:eastAsia="宋体" w:cs="宋体"/>
        </w:rPr>
      </w:pPr>
      <w:r>
        <w:rPr>
          <w:rFonts w:hint="eastAsia" w:ascii="宋体" w:hAnsi="宋体" w:eastAsia="宋体" w:cs="宋体"/>
        </w:rPr>
        <w:t>GB/T 31086-2025 物流企业冷链服务能力要求与评估指标要求</w:t>
      </w:r>
    </w:p>
    <w:p w14:paraId="0E353808">
      <w:pPr>
        <w:pStyle w:val="102"/>
        <w:ind w:firstLine="420"/>
        <w:outlineLvl w:val="9"/>
        <w:rPr>
          <w:rFonts w:ascii="宋体" w:hAnsi="宋体" w:eastAsia="宋体" w:cs="宋体"/>
        </w:rPr>
      </w:pPr>
      <w:r>
        <w:rPr>
          <w:rFonts w:hint="eastAsia" w:ascii="宋体" w:hAnsi="宋体" w:eastAsia="宋体" w:cs="宋体"/>
        </w:rPr>
        <w:t>GB T 22263.8-2010 物流公共信息平台应用开发指南</w:t>
      </w:r>
    </w:p>
    <w:p w14:paraId="14A07865">
      <w:pPr>
        <w:pStyle w:val="102"/>
        <w:numPr>
          <w:ilvl w:val="255"/>
          <w:numId w:val="0"/>
        </w:numPr>
        <w:ind w:left="420" w:leftChars="200"/>
        <w:outlineLvl w:val="9"/>
        <w:rPr>
          <w:rFonts w:ascii="宋体" w:hAnsi="宋体" w:eastAsia="宋体" w:cs="宋体"/>
        </w:rPr>
      </w:pPr>
    </w:p>
    <w:p w14:paraId="75F33703">
      <w:pPr>
        <w:pStyle w:val="23"/>
        <w:jc w:val="center"/>
      </w:pPr>
    </w:p>
    <w:p w14:paraId="6150183A">
      <w:pPr>
        <w:pStyle w:val="69"/>
        <w:framePr w:wrap="around" w:hAnchor="page" w:y="284"/>
        <w:pBdr>
          <w:top w:val="none" w:color="auto" w:sz="0" w:space="0"/>
          <w:left w:val="none" w:color="auto" w:sz="0" w:space="0"/>
          <w:bottom w:val="none" w:color="auto" w:sz="0" w:space="0"/>
          <w:right w:val="none" w:color="auto" w:sz="0" w:space="0"/>
        </w:pBdr>
        <w:jc w:val="center"/>
      </w:pPr>
      <w:r>
        <w:rPr>
          <w:rFonts w:hint="eastAsia"/>
        </w:rPr>
        <w:t>__________________________</w:t>
      </w:r>
    </w:p>
    <w:p w14:paraId="0690282F">
      <w:pPr>
        <w:pStyle w:val="69"/>
        <w:framePr w:wrap="around" w:hAnchor="page" w:y="284"/>
        <w:pBdr>
          <w:between w:val="single" w:color="auto" w:sz="4" w:space="0"/>
        </w:pBdr>
        <w:jc w:val="center"/>
      </w:pP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BLACK">
    <w:altName w:val="宋体"/>
    <w:panose1 w:val="00000000000000000000"/>
    <w:charset w:val="86"/>
    <w:family w:val="auto"/>
    <w:pitch w:val="default"/>
    <w:sig w:usb0="00000000" w:usb1="00000000" w:usb2="00000010" w:usb3="00000000" w:csb0="00040000" w:csb1="00000000"/>
  </w:font>
  <w:font w:name="黑体-简">
    <w:altName w:val="黑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95AF">
    <w:pPr>
      <w:pStyle w:val="106"/>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AF49">
    <w:pPr>
      <w:pStyle w:val="1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68FB">
    <w:pPr>
      <w:pStyle w:val="10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29E8">
    <w:pPr>
      <w:pStyle w:val="125"/>
    </w:pPr>
    <w:r>
      <w:fldChar w:fldCharType="begin"/>
    </w:r>
    <w:r>
      <w:instrText xml:space="preserve"> PAGE  \* MERGEFORMAT </w:instrText>
    </w:r>
    <w:r>
      <w:fldChar w:fldCharType="separate"/>
    </w:r>
    <w: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5BF9">
    <w:pPr>
      <w:pStyle w:val="106"/>
    </w:pPr>
    <w:r>
      <w:fldChar w:fldCharType="begin"/>
    </w:r>
    <w:r>
      <w:instrText xml:space="preserve"> PAGE  \* MERGEFORMAT </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8CD6">
    <w:pPr>
      <w:pStyle w:val="104"/>
      <w:ind w:firstLine="7560" w:firstLineChars="3600"/>
    </w:pPr>
    <w:r>
      <w:t>T/</w:t>
    </w:r>
    <w:r>
      <w:rPr>
        <w:rFonts w:hint="eastAsia"/>
      </w:rPr>
      <w:t>CMEAS</w:t>
    </w:r>
    <w:r>
      <w:t xml:space="preserv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9BF6">
    <w:pPr>
      <w:pStyle w:val="105"/>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1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pStyle w:val="46"/>
      <w:suff w:val="nothing"/>
      <w:lvlText w:val="%1.%2.%3.%4　"/>
      <w:lvlJc w:val="left"/>
      <w:pPr>
        <w:ind w:left="0" w:firstLine="0"/>
      </w:pPr>
      <w:rPr>
        <w:rFonts w:hint="eastAsia" w:ascii="黑体" w:hAnsi="Times New Roman" w:eastAsia="黑体"/>
        <w:b w:val="0"/>
        <w:i w:val="0"/>
        <w:sz w:val="21"/>
      </w:rPr>
    </w:lvl>
    <w:lvl w:ilvl="4" w:tentative="0">
      <w:start w:val="1"/>
      <w:numFmt w:val="decimal"/>
      <w:pStyle w:val="47"/>
      <w:suff w:val="nothing"/>
      <w:lvlText w:val="%1.%2.%3.%4.%5　"/>
      <w:lvlJc w:val="left"/>
      <w:pPr>
        <w:ind w:left="993" w:firstLine="0"/>
      </w:pPr>
      <w:rPr>
        <w:rFonts w:hint="eastAsia" w:ascii="黑体" w:hAnsi="Times New Roman" w:eastAsia="黑体"/>
        <w:b w:val="0"/>
        <w:i w:val="0"/>
        <w:sz w:val="21"/>
      </w:rPr>
    </w:lvl>
    <w:lvl w:ilvl="5" w:tentative="0">
      <w:start w:val="1"/>
      <w:numFmt w:val="decimal"/>
      <w:pStyle w:val="4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73"/>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1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86"/>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21"/>
      <w:suff w:val="nothing"/>
      <w:lvlText w:val="%1——"/>
      <w:lvlJc w:val="left"/>
      <w:pPr>
        <w:ind w:left="833" w:hanging="408"/>
      </w:pPr>
      <w:rPr>
        <w:rFonts w:hint="eastAsia"/>
      </w:rPr>
    </w:lvl>
    <w:lvl w:ilvl="1" w:tentative="0">
      <w:start w:val="1"/>
      <w:numFmt w:val="bullet"/>
      <w:pStyle w:val="123"/>
      <w:lvlText w:val=""/>
      <w:lvlJc w:val="left"/>
      <w:pPr>
        <w:tabs>
          <w:tab w:val="left" w:pos="760"/>
        </w:tabs>
        <w:ind w:left="1264" w:hanging="413"/>
      </w:pPr>
      <w:rPr>
        <w:rFonts w:hint="default" w:ascii="Symbol" w:hAnsi="Symbol"/>
        <w:color w:val="auto"/>
      </w:rPr>
    </w:lvl>
    <w:lvl w:ilvl="2" w:tentative="0">
      <w:start w:val="1"/>
      <w:numFmt w:val="bullet"/>
      <w:pStyle w:val="11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2"/>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7"/>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1B"/>
    <w:multiLevelType w:val="singleLevel"/>
    <w:tmpl w:val="5EC6261B"/>
    <w:lvl w:ilvl="0" w:tentative="0">
      <w:start w:val="1"/>
      <w:numFmt w:val="decimal"/>
      <w:pStyle w:val="102"/>
      <w:suff w:val="nothing"/>
      <w:lvlText w:val="[%1] "/>
      <w:lvlJc w:val="left"/>
      <w:pPr>
        <w:tabs>
          <w:tab w:val="left" w:pos="6"/>
        </w:tabs>
        <w:ind w:left="6" w:firstLine="420"/>
      </w:pPr>
      <w:rPr>
        <w:rFonts w:hint="default" w:ascii="宋体" w:hAnsi="宋体" w:eastAsia="黑体-简" w:cs="宋体"/>
      </w:rPr>
    </w:lvl>
  </w:abstractNum>
  <w:abstractNum w:abstractNumId="12">
    <w:nsid w:val="63404DBE"/>
    <w:multiLevelType w:val="multilevel"/>
    <w:tmpl w:val="63404DBE"/>
    <w:lvl w:ilvl="0" w:tentative="0">
      <w:start w:val="1"/>
      <w:numFmt w:val="none"/>
      <w:pStyle w:val="12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71"/>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5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7"/>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pStyle w:val="6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113"/>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85"/>
      <w:lvlText w:val="%1)"/>
      <w:lvlJc w:val="left"/>
      <w:pPr>
        <w:tabs>
          <w:tab w:val="left" w:pos="839"/>
        </w:tabs>
        <w:ind w:left="839" w:hanging="419"/>
      </w:pPr>
      <w:rPr>
        <w:rFonts w:hint="eastAsia" w:ascii="宋体" w:eastAsia="宋体"/>
        <w:b w:val="0"/>
        <w:i w:val="0"/>
        <w:sz w:val="21"/>
      </w:rPr>
    </w:lvl>
    <w:lvl w:ilvl="1" w:tentative="0">
      <w:start w:val="1"/>
      <w:numFmt w:val="decimal"/>
      <w:pStyle w:val="8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733A5F04"/>
    <w:multiLevelType w:val="multilevel"/>
    <w:tmpl w:val="733A5F04"/>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2"/>
      <w:suff w:val="nothing"/>
      <w:lvlText w:val="表%1.%2　"/>
      <w:lvlJc w:val="left"/>
      <w:pPr>
        <w:ind w:left="161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7"/>
  </w:num>
  <w:num w:numId="2">
    <w:abstractNumId w:val="2"/>
  </w:num>
  <w:num w:numId="3">
    <w:abstractNumId w:val="8"/>
  </w:num>
  <w:num w:numId="4">
    <w:abstractNumId w:val="14"/>
  </w:num>
  <w:num w:numId="5">
    <w:abstractNumId w:val="13"/>
  </w:num>
  <w:num w:numId="6">
    <w:abstractNumId w:val="3"/>
  </w:num>
  <w:num w:numId="7">
    <w:abstractNumId w:val="16"/>
  </w:num>
  <w:num w:numId="8">
    <w:abstractNumId w:val="5"/>
  </w:num>
  <w:num w:numId="9">
    <w:abstractNumId w:val="17"/>
  </w:num>
  <w:num w:numId="10">
    <w:abstractNumId w:val="11"/>
  </w:num>
  <w:num w:numId="11">
    <w:abstractNumId w:val="9"/>
  </w:num>
  <w:num w:numId="12">
    <w:abstractNumId w:val="0"/>
  </w:num>
  <w:num w:numId="13">
    <w:abstractNumId w:val="4"/>
  </w:num>
  <w:num w:numId="14">
    <w:abstractNumId w:val="1"/>
  </w:num>
  <w:num w:numId="15">
    <w:abstractNumId w:val="15"/>
  </w:num>
  <w:num w:numId="16">
    <w:abstractNumId w:val="6"/>
  </w:num>
  <w:num w:numId="17">
    <w:abstractNumId w:val="12"/>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6717"/>
    <w:rsid w:val="000074D4"/>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48B1"/>
    <w:rsid w:val="000B1D2E"/>
    <w:rsid w:val="000B2F0E"/>
    <w:rsid w:val="000B3143"/>
    <w:rsid w:val="000B389C"/>
    <w:rsid w:val="000B405D"/>
    <w:rsid w:val="000C2BE6"/>
    <w:rsid w:val="000C6B05"/>
    <w:rsid w:val="000C6DD6"/>
    <w:rsid w:val="000C73D4"/>
    <w:rsid w:val="000D3D4C"/>
    <w:rsid w:val="000D4F51"/>
    <w:rsid w:val="000D718B"/>
    <w:rsid w:val="000E0C46"/>
    <w:rsid w:val="000E15EE"/>
    <w:rsid w:val="000E774E"/>
    <w:rsid w:val="000F030C"/>
    <w:rsid w:val="000F118F"/>
    <w:rsid w:val="000F129C"/>
    <w:rsid w:val="000F174F"/>
    <w:rsid w:val="00104E29"/>
    <w:rsid w:val="001056DE"/>
    <w:rsid w:val="00107630"/>
    <w:rsid w:val="00107EBA"/>
    <w:rsid w:val="001124C0"/>
    <w:rsid w:val="00117A25"/>
    <w:rsid w:val="00120C7F"/>
    <w:rsid w:val="00121293"/>
    <w:rsid w:val="0013175F"/>
    <w:rsid w:val="0013364D"/>
    <w:rsid w:val="001343BB"/>
    <w:rsid w:val="00145B3E"/>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1197"/>
    <w:rsid w:val="001F3A19"/>
    <w:rsid w:val="002009E4"/>
    <w:rsid w:val="00201053"/>
    <w:rsid w:val="0020251B"/>
    <w:rsid w:val="00204459"/>
    <w:rsid w:val="002073D3"/>
    <w:rsid w:val="00215D48"/>
    <w:rsid w:val="0021624B"/>
    <w:rsid w:val="0022185E"/>
    <w:rsid w:val="00221A0F"/>
    <w:rsid w:val="00227FED"/>
    <w:rsid w:val="0023030A"/>
    <w:rsid w:val="00230F08"/>
    <w:rsid w:val="00234018"/>
    <w:rsid w:val="00234467"/>
    <w:rsid w:val="00235BE6"/>
    <w:rsid w:val="00237D8D"/>
    <w:rsid w:val="00241DA2"/>
    <w:rsid w:val="00244593"/>
    <w:rsid w:val="002454F2"/>
    <w:rsid w:val="00247FEE"/>
    <w:rsid w:val="00250E7D"/>
    <w:rsid w:val="002523DB"/>
    <w:rsid w:val="002527DD"/>
    <w:rsid w:val="00252DAA"/>
    <w:rsid w:val="002565D5"/>
    <w:rsid w:val="00261456"/>
    <w:rsid w:val="002622C0"/>
    <w:rsid w:val="002778AE"/>
    <w:rsid w:val="0028269A"/>
    <w:rsid w:val="00283590"/>
    <w:rsid w:val="00286973"/>
    <w:rsid w:val="00287494"/>
    <w:rsid w:val="00287674"/>
    <w:rsid w:val="00290962"/>
    <w:rsid w:val="002938A4"/>
    <w:rsid w:val="00294E70"/>
    <w:rsid w:val="002954B8"/>
    <w:rsid w:val="002967B2"/>
    <w:rsid w:val="002A1924"/>
    <w:rsid w:val="002A5B5A"/>
    <w:rsid w:val="002A7420"/>
    <w:rsid w:val="002A7A7E"/>
    <w:rsid w:val="002B0F12"/>
    <w:rsid w:val="002B1308"/>
    <w:rsid w:val="002B1B00"/>
    <w:rsid w:val="002B4554"/>
    <w:rsid w:val="002B707C"/>
    <w:rsid w:val="002C72D8"/>
    <w:rsid w:val="002D11FA"/>
    <w:rsid w:val="002D17BC"/>
    <w:rsid w:val="002D19A4"/>
    <w:rsid w:val="002D6352"/>
    <w:rsid w:val="002E0DDF"/>
    <w:rsid w:val="002E2906"/>
    <w:rsid w:val="002E5635"/>
    <w:rsid w:val="002E64C3"/>
    <w:rsid w:val="002E6A2C"/>
    <w:rsid w:val="002F035E"/>
    <w:rsid w:val="002F0738"/>
    <w:rsid w:val="002F0FE8"/>
    <w:rsid w:val="002F1D8C"/>
    <w:rsid w:val="002F21DA"/>
    <w:rsid w:val="002F34B8"/>
    <w:rsid w:val="00300D74"/>
    <w:rsid w:val="00301F39"/>
    <w:rsid w:val="00303D27"/>
    <w:rsid w:val="00305BEE"/>
    <w:rsid w:val="00313962"/>
    <w:rsid w:val="003234E0"/>
    <w:rsid w:val="00325926"/>
    <w:rsid w:val="00327A8A"/>
    <w:rsid w:val="003339A3"/>
    <w:rsid w:val="00336610"/>
    <w:rsid w:val="003406E2"/>
    <w:rsid w:val="00341F5C"/>
    <w:rsid w:val="00343D23"/>
    <w:rsid w:val="00343F73"/>
    <w:rsid w:val="00345060"/>
    <w:rsid w:val="003451FB"/>
    <w:rsid w:val="00352629"/>
    <w:rsid w:val="0035323B"/>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A4F"/>
    <w:rsid w:val="003A7088"/>
    <w:rsid w:val="003B00DF"/>
    <w:rsid w:val="003B1275"/>
    <w:rsid w:val="003B1778"/>
    <w:rsid w:val="003C11CB"/>
    <w:rsid w:val="003C3017"/>
    <w:rsid w:val="003C48CE"/>
    <w:rsid w:val="003C6A77"/>
    <w:rsid w:val="003C75F3"/>
    <w:rsid w:val="003C78A3"/>
    <w:rsid w:val="003D36AB"/>
    <w:rsid w:val="003E1867"/>
    <w:rsid w:val="003E5729"/>
    <w:rsid w:val="003E724E"/>
    <w:rsid w:val="003F1D40"/>
    <w:rsid w:val="003F22BB"/>
    <w:rsid w:val="003F2A5B"/>
    <w:rsid w:val="003F4EE0"/>
    <w:rsid w:val="003F5559"/>
    <w:rsid w:val="003F77D7"/>
    <w:rsid w:val="003F7A1D"/>
    <w:rsid w:val="00400473"/>
    <w:rsid w:val="00402153"/>
    <w:rsid w:val="00402E26"/>
    <w:rsid w:val="00402FC1"/>
    <w:rsid w:val="004200D9"/>
    <w:rsid w:val="00425082"/>
    <w:rsid w:val="00431DEB"/>
    <w:rsid w:val="004402D3"/>
    <w:rsid w:val="0044259D"/>
    <w:rsid w:val="0044355E"/>
    <w:rsid w:val="004439D9"/>
    <w:rsid w:val="00446B29"/>
    <w:rsid w:val="004524BE"/>
    <w:rsid w:val="00453F9A"/>
    <w:rsid w:val="00454CC3"/>
    <w:rsid w:val="00464903"/>
    <w:rsid w:val="00471E91"/>
    <w:rsid w:val="00474079"/>
    <w:rsid w:val="00474675"/>
    <w:rsid w:val="0047470C"/>
    <w:rsid w:val="0048045E"/>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43"/>
    <w:rsid w:val="004D4F76"/>
    <w:rsid w:val="004D66F6"/>
    <w:rsid w:val="004E4B13"/>
    <w:rsid w:val="004E4B8C"/>
    <w:rsid w:val="004E5A47"/>
    <w:rsid w:val="0050128A"/>
    <w:rsid w:val="005036E2"/>
    <w:rsid w:val="0050527A"/>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1BA4"/>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B715E"/>
    <w:rsid w:val="005C1C28"/>
    <w:rsid w:val="005C43D0"/>
    <w:rsid w:val="005C6DB5"/>
    <w:rsid w:val="005D3842"/>
    <w:rsid w:val="005E19E7"/>
    <w:rsid w:val="005E2392"/>
    <w:rsid w:val="00601622"/>
    <w:rsid w:val="0060789B"/>
    <w:rsid w:val="0061037E"/>
    <w:rsid w:val="00612E7B"/>
    <w:rsid w:val="00613FAA"/>
    <w:rsid w:val="00616C36"/>
    <w:rsid w:val="0061716C"/>
    <w:rsid w:val="006171AF"/>
    <w:rsid w:val="00617868"/>
    <w:rsid w:val="00620228"/>
    <w:rsid w:val="0062247A"/>
    <w:rsid w:val="006243A1"/>
    <w:rsid w:val="00626005"/>
    <w:rsid w:val="00632E56"/>
    <w:rsid w:val="00635CBA"/>
    <w:rsid w:val="00636EFC"/>
    <w:rsid w:val="0064338B"/>
    <w:rsid w:val="00646542"/>
    <w:rsid w:val="006504F4"/>
    <w:rsid w:val="0065366F"/>
    <w:rsid w:val="00654BC9"/>
    <w:rsid w:val="006552FD"/>
    <w:rsid w:val="006554D4"/>
    <w:rsid w:val="00656F0B"/>
    <w:rsid w:val="00663733"/>
    <w:rsid w:val="00663AF3"/>
    <w:rsid w:val="00666B6C"/>
    <w:rsid w:val="00677B54"/>
    <w:rsid w:val="00682682"/>
    <w:rsid w:val="00682702"/>
    <w:rsid w:val="00692368"/>
    <w:rsid w:val="00695192"/>
    <w:rsid w:val="006A2EBC"/>
    <w:rsid w:val="006A5927"/>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0D7"/>
    <w:rsid w:val="006E4A7F"/>
    <w:rsid w:val="006E7812"/>
    <w:rsid w:val="006F0967"/>
    <w:rsid w:val="006F2274"/>
    <w:rsid w:val="006F64A0"/>
    <w:rsid w:val="0070038F"/>
    <w:rsid w:val="0070167D"/>
    <w:rsid w:val="007027B1"/>
    <w:rsid w:val="0070286C"/>
    <w:rsid w:val="00704DF6"/>
    <w:rsid w:val="0070641D"/>
    <w:rsid w:val="0070651C"/>
    <w:rsid w:val="007132A3"/>
    <w:rsid w:val="00716421"/>
    <w:rsid w:val="00721419"/>
    <w:rsid w:val="0072224F"/>
    <w:rsid w:val="00724EFB"/>
    <w:rsid w:val="00726575"/>
    <w:rsid w:val="00730310"/>
    <w:rsid w:val="00740A49"/>
    <w:rsid w:val="007419C3"/>
    <w:rsid w:val="00746559"/>
    <w:rsid w:val="007467A7"/>
    <w:rsid w:val="007469DD"/>
    <w:rsid w:val="0074741B"/>
    <w:rsid w:val="0074759E"/>
    <w:rsid w:val="007478EA"/>
    <w:rsid w:val="00753459"/>
    <w:rsid w:val="0075415C"/>
    <w:rsid w:val="00757097"/>
    <w:rsid w:val="007606CB"/>
    <w:rsid w:val="00761E8B"/>
    <w:rsid w:val="00763502"/>
    <w:rsid w:val="00780DE2"/>
    <w:rsid w:val="00785613"/>
    <w:rsid w:val="007913AB"/>
    <w:rsid w:val="007914F7"/>
    <w:rsid w:val="00794595"/>
    <w:rsid w:val="00795C73"/>
    <w:rsid w:val="007A4809"/>
    <w:rsid w:val="007B1625"/>
    <w:rsid w:val="007B706E"/>
    <w:rsid w:val="007B71EB"/>
    <w:rsid w:val="007B77C3"/>
    <w:rsid w:val="007C0748"/>
    <w:rsid w:val="007C6205"/>
    <w:rsid w:val="007C686A"/>
    <w:rsid w:val="007C728E"/>
    <w:rsid w:val="007D0BE0"/>
    <w:rsid w:val="007D204F"/>
    <w:rsid w:val="007D2C53"/>
    <w:rsid w:val="007D3D60"/>
    <w:rsid w:val="007E17AB"/>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2D7A"/>
    <w:rsid w:val="00817A00"/>
    <w:rsid w:val="00820B95"/>
    <w:rsid w:val="00825891"/>
    <w:rsid w:val="00826856"/>
    <w:rsid w:val="00831631"/>
    <w:rsid w:val="0083228D"/>
    <w:rsid w:val="00833D07"/>
    <w:rsid w:val="00835DB3"/>
    <w:rsid w:val="0083617B"/>
    <w:rsid w:val="00836342"/>
    <w:rsid w:val="00836A2D"/>
    <w:rsid w:val="008371BD"/>
    <w:rsid w:val="00840EBF"/>
    <w:rsid w:val="008448ED"/>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5959"/>
    <w:rsid w:val="008A6359"/>
    <w:rsid w:val="008A6E08"/>
    <w:rsid w:val="008C0BE9"/>
    <w:rsid w:val="008C1B58"/>
    <w:rsid w:val="008C39AE"/>
    <w:rsid w:val="008C40DF"/>
    <w:rsid w:val="008C590D"/>
    <w:rsid w:val="008C596A"/>
    <w:rsid w:val="008D447E"/>
    <w:rsid w:val="008D7566"/>
    <w:rsid w:val="008E031B"/>
    <w:rsid w:val="008E0560"/>
    <w:rsid w:val="008E2D8C"/>
    <w:rsid w:val="008E5AF5"/>
    <w:rsid w:val="008E7029"/>
    <w:rsid w:val="008E7EF6"/>
    <w:rsid w:val="008F1F98"/>
    <w:rsid w:val="008F2340"/>
    <w:rsid w:val="008F2790"/>
    <w:rsid w:val="008F4730"/>
    <w:rsid w:val="008F6758"/>
    <w:rsid w:val="009040DD"/>
    <w:rsid w:val="00905B47"/>
    <w:rsid w:val="0090690F"/>
    <w:rsid w:val="009076D0"/>
    <w:rsid w:val="00911391"/>
    <w:rsid w:val="0091331C"/>
    <w:rsid w:val="009137BD"/>
    <w:rsid w:val="0091503D"/>
    <w:rsid w:val="00927632"/>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17CF"/>
    <w:rsid w:val="009C2D0E"/>
    <w:rsid w:val="009C3DAC"/>
    <w:rsid w:val="009C42E0"/>
    <w:rsid w:val="009C5AA5"/>
    <w:rsid w:val="009D3230"/>
    <w:rsid w:val="009D5362"/>
    <w:rsid w:val="009E1415"/>
    <w:rsid w:val="009E6116"/>
    <w:rsid w:val="009E7E25"/>
    <w:rsid w:val="009F61F1"/>
    <w:rsid w:val="00A01AB1"/>
    <w:rsid w:val="00A02E43"/>
    <w:rsid w:val="00A04200"/>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6730D"/>
    <w:rsid w:val="00A71625"/>
    <w:rsid w:val="00A71B9B"/>
    <w:rsid w:val="00A751C7"/>
    <w:rsid w:val="00A80008"/>
    <w:rsid w:val="00A84CE5"/>
    <w:rsid w:val="00A87844"/>
    <w:rsid w:val="00A9227B"/>
    <w:rsid w:val="00A97A55"/>
    <w:rsid w:val="00AA038C"/>
    <w:rsid w:val="00AA7A09"/>
    <w:rsid w:val="00AB3B50"/>
    <w:rsid w:val="00AB5B3C"/>
    <w:rsid w:val="00AC05B1"/>
    <w:rsid w:val="00AC450C"/>
    <w:rsid w:val="00AC47CE"/>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0BFD"/>
    <w:rsid w:val="00B3312F"/>
    <w:rsid w:val="00B353EB"/>
    <w:rsid w:val="00B4016F"/>
    <w:rsid w:val="00B407AC"/>
    <w:rsid w:val="00B439C4"/>
    <w:rsid w:val="00B4535E"/>
    <w:rsid w:val="00B45FFD"/>
    <w:rsid w:val="00B52A8C"/>
    <w:rsid w:val="00B54707"/>
    <w:rsid w:val="00B56155"/>
    <w:rsid w:val="00B62F11"/>
    <w:rsid w:val="00B63042"/>
    <w:rsid w:val="00B636A8"/>
    <w:rsid w:val="00B665C6"/>
    <w:rsid w:val="00B72AD8"/>
    <w:rsid w:val="00B74338"/>
    <w:rsid w:val="00B74441"/>
    <w:rsid w:val="00B758A5"/>
    <w:rsid w:val="00B805AF"/>
    <w:rsid w:val="00B817DB"/>
    <w:rsid w:val="00B82BD5"/>
    <w:rsid w:val="00B869EC"/>
    <w:rsid w:val="00B921C5"/>
    <w:rsid w:val="00B92383"/>
    <w:rsid w:val="00B9397A"/>
    <w:rsid w:val="00B9633D"/>
    <w:rsid w:val="00B967D5"/>
    <w:rsid w:val="00BA2EBE"/>
    <w:rsid w:val="00BB0F28"/>
    <w:rsid w:val="00BB458A"/>
    <w:rsid w:val="00BB693F"/>
    <w:rsid w:val="00BB6C11"/>
    <w:rsid w:val="00BC5953"/>
    <w:rsid w:val="00BC5DDF"/>
    <w:rsid w:val="00BD00D3"/>
    <w:rsid w:val="00BD1659"/>
    <w:rsid w:val="00BD3AA9"/>
    <w:rsid w:val="00BD4A18"/>
    <w:rsid w:val="00BD6DB2"/>
    <w:rsid w:val="00BD73A1"/>
    <w:rsid w:val="00BE11CF"/>
    <w:rsid w:val="00BE21AB"/>
    <w:rsid w:val="00BE55CB"/>
    <w:rsid w:val="00BE7067"/>
    <w:rsid w:val="00BF1E1A"/>
    <w:rsid w:val="00BF3BB2"/>
    <w:rsid w:val="00BF617A"/>
    <w:rsid w:val="00C0379D"/>
    <w:rsid w:val="00C03931"/>
    <w:rsid w:val="00C05FE3"/>
    <w:rsid w:val="00C11DA9"/>
    <w:rsid w:val="00C21295"/>
    <w:rsid w:val="00C2136D"/>
    <w:rsid w:val="00C214EE"/>
    <w:rsid w:val="00C2314B"/>
    <w:rsid w:val="00C244A0"/>
    <w:rsid w:val="00C24971"/>
    <w:rsid w:val="00C25355"/>
    <w:rsid w:val="00C26BE5"/>
    <w:rsid w:val="00C26E4D"/>
    <w:rsid w:val="00C27909"/>
    <w:rsid w:val="00C27B03"/>
    <w:rsid w:val="00C314E1"/>
    <w:rsid w:val="00C34397"/>
    <w:rsid w:val="00C34F09"/>
    <w:rsid w:val="00C40503"/>
    <w:rsid w:val="00C4095D"/>
    <w:rsid w:val="00C57A9C"/>
    <w:rsid w:val="00C601D2"/>
    <w:rsid w:val="00C65BCC"/>
    <w:rsid w:val="00C66970"/>
    <w:rsid w:val="00C674B8"/>
    <w:rsid w:val="00C7105C"/>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D6FBD"/>
    <w:rsid w:val="00CE3E34"/>
    <w:rsid w:val="00CF1E15"/>
    <w:rsid w:val="00D00A8D"/>
    <w:rsid w:val="00D03268"/>
    <w:rsid w:val="00D0337B"/>
    <w:rsid w:val="00D07777"/>
    <w:rsid w:val="00D079B2"/>
    <w:rsid w:val="00D114E9"/>
    <w:rsid w:val="00D17CD8"/>
    <w:rsid w:val="00D20AFF"/>
    <w:rsid w:val="00D2527C"/>
    <w:rsid w:val="00D313B3"/>
    <w:rsid w:val="00D35B8E"/>
    <w:rsid w:val="00D40F07"/>
    <w:rsid w:val="00D429C6"/>
    <w:rsid w:val="00D47748"/>
    <w:rsid w:val="00D5178F"/>
    <w:rsid w:val="00D51873"/>
    <w:rsid w:val="00D518DF"/>
    <w:rsid w:val="00D54029"/>
    <w:rsid w:val="00D54CC3"/>
    <w:rsid w:val="00D6041A"/>
    <w:rsid w:val="00D61258"/>
    <w:rsid w:val="00D633EB"/>
    <w:rsid w:val="00D655C6"/>
    <w:rsid w:val="00D736AC"/>
    <w:rsid w:val="00D747AA"/>
    <w:rsid w:val="00D75A7E"/>
    <w:rsid w:val="00D82FF7"/>
    <w:rsid w:val="00D84271"/>
    <w:rsid w:val="00D847FE"/>
    <w:rsid w:val="00D86B9C"/>
    <w:rsid w:val="00D900CD"/>
    <w:rsid w:val="00D90A39"/>
    <w:rsid w:val="00D95ECA"/>
    <w:rsid w:val="00D964EA"/>
    <w:rsid w:val="00D966D0"/>
    <w:rsid w:val="00DA0C59"/>
    <w:rsid w:val="00DA3991"/>
    <w:rsid w:val="00DA72A1"/>
    <w:rsid w:val="00DA7F95"/>
    <w:rsid w:val="00DB01F1"/>
    <w:rsid w:val="00DB3222"/>
    <w:rsid w:val="00DB7E6C"/>
    <w:rsid w:val="00DC40D1"/>
    <w:rsid w:val="00DC4F68"/>
    <w:rsid w:val="00DC5F85"/>
    <w:rsid w:val="00DC64B0"/>
    <w:rsid w:val="00DC6B1E"/>
    <w:rsid w:val="00DD252A"/>
    <w:rsid w:val="00DD5340"/>
    <w:rsid w:val="00DD5949"/>
    <w:rsid w:val="00DD5A29"/>
    <w:rsid w:val="00DD5D9D"/>
    <w:rsid w:val="00DE35CB"/>
    <w:rsid w:val="00DE5998"/>
    <w:rsid w:val="00DF0EF0"/>
    <w:rsid w:val="00DF21E9"/>
    <w:rsid w:val="00DF22C7"/>
    <w:rsid w:val="00DF3B26"/>
    <w:rsid w:val="00DF509D"/>
    <w:rsid w:val="00DF5588"/>
    <w:rsid w:val="00DF5CC9"/>
    <w:rsid w:val="00E005D3"/>
    <w:rsid w:val="00E00F14"/>
    <w:rsid w:val="00E01CB8"/>
    <w:rsid w:val="00E06386"/>
    <w:rsid w:val="00E075C5"/>
    <w:rsid w:val="00E1051A"/>
    <w:rsid w:val="00E111F3"/>
    <w:rsid w:val="00E11668"/>
    <w:rsid w:val="00E118E7"/>
    <w:rsid w:val="00E122B7"/>
    <w:rsid w:val="00E17A91"/>
    <w:rsid w:val="00E17B7A"/>
    <w:rsid w:val="00E21B55"/>
    <w:rsid w:val="00E221D3"/>
    <w:rsid w:val="00E24EB4"/>
    <w:rsid w:val="00E2639A"/>
    <w:rsid w:val="00E30635"/>
    <w:rsid w:val="00E30AEE"/>
    <w:rsid w:val="00E320ED"/>
    <w:rsid w:val="00E33AFB"/>
    <w:rsid w:val="00E34218"/>
    <w:rsid w:val="00E42D32"/>
    <w:rsid w:val="00E4555B"/>
    <w:rsid w:val="00E46282"/>
    <w:rsid w:val="00E5216E"/>
    <w:rsid w:val="00E5529C"/>
    <w:rsid w:val="00E62823"/>
    <w:rsid w:val="00E657C6"/>
    <w:rsid w:val="00E75D40"/>
    <w:rsid w:val="00E81965"/>
    <w:rsid w:val="00E81A88"/>
    <w:rsid w:val="00E82344"/>
    <w:rsid w:val="00E84C82"/>
    <w:rsid w:val="00E84D64"/>
    <w:rsid w:val="00E87408"/>
    <w:rsid w:val="00E914C4"/>
    <w:rsid w:val="00E934F5"/>
    <w:rsid w:val="00E96961"/>
    <w:rsid w:val="00EA4B9A"/>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3391"/>
    <w:rsid w:val="00F24D23"/>
    <w:rsid w:val="00F27B3D"/>
    <w:rsid w:val="00F30ABD"/>
    <w:rsid w:val="00F34B99"/>
    <w:rsid w:val="00F355F9"/>
    <w:rsid w:val="00F40B02"/>
    <w:rsid w:val="00F41E81"/>
    <w:rsid w:val="00F51720"/>
    <w:rsid w:val="00F51CF2"/>
    <w:rsid w:val="00F52DAB"/>
    <w:rsid w:val="00F543F0"/>
    <w:rsid w:val="00F55E3E"/>
    <w:rsid w:val="00F57601"/>
    <w:rsid w:val="00F73F99"/>
    <w:rsid w:val="00F75CCC"/>
    <w:rsid w:val="00F75F80"/>
    <w:rsid w:val="00F81D29"/>
    <w:rsid w:val="00F8767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052C4759"/>
    <w:rsid w:val="0571243B"/>
    <w:rsid w:val="05F14EAC"/>
    <w:rsid w:val="0A6071C9"/>
    <w:rsid w:val="0B6709E6"/>
    <w:rsid w:val="0C61296E"/>
    <w:rsid w:val="0C805C37"/>
    <w:rsid w:val="0CAA023E"/>
    <w:rsid w:val="0D374B59"/>
    <w:rsid w:val="0E5F7930"/>
    <w:rsid w:val="0EE83790"/>
    <w:rsid w:val="10DB57FB"/>
    <w:rsid w:val="10FB40F0"/>
    <w:rsid w:val="13754384"/>
    <w:rsid w:val="14A405FA"/>
    <w:rsid w:val="16057A7B"/>
    <w:rsid w:val="1643235E"/>
    <w:rsid w:val="1643430D"/>
    <w:rsid w:val="17143815"/>
    <w:rsid w:val="1B4723B8"/>
    <w:rsid w:val="1B6F048B"/>
    <w:rsid w:val="1BF74716"/>
    <w:rsid w:val="1C8F340F"/>
    <w:rsid w:val="1CB9631E"/>
    <w:rsid w:val="1E6150E9"/>
    <w:rsid w:val="1EFA0B04"/>
    <w:rsid w:val="21C4408A"/>
    <w:rsid w:val="23FC4DEC"/>
    <w:rsid w:val="26F44450"/>
    <w:rsid w:val="2E455C6E"/>
    <w:rsid w:val="2F027AD0"/>
    <w:rsid w:val="2FFF1ABF"/>
    <w:rsid w:val="305A607E"/>
    <w:rsid w:val="31853836"/>
    <w:rsid w:val="336E2ECD"/>
    <w:rsid w:val="34BF2BBB"/>
    <w:rsid w:val="3540759E"/>
    <w:rsid w:val="35AB203A"/>
    <w:rsid w:val="3623418E"/>
    <w:rsid w:val="36FB6DA5"/>
    <w:rsid w:val="38F71774"/>
    <w:rsid w:val="3AF17846"/>
    <w:rsid w:val="3BA600BC"/>
    <w:rsid w:val="3BA83774"/>
    <w:rsid w:val="3C6845E3"/>
    <w:rsid w:val="3CC418A4"/>
    <w:rsid w:val="3DA0639C"/>
    <w:rsid w:val="3E014914"/>
    <w:rsid w:val="3E7F225D"/>
    <w:rsid w:val="3EB85EED"/>
    <w:rsid w:val="43EE3E51"/>
    <w:rsid w:val="44C03A2E"/>
    <w:rsid w:val="471542F6"/>
    <w:rsid w:val="47FF82CC"/>
    <w:rsid w:val="498C2860"/>
    <w:rsid w:val="4AC4664F"/>
    <w:rsid w:val="4BDC23A5"/>
    <w:rsid w:val="4D8C0BAA"/>
    <w:rsid w:val="4FFD3013"/>
    <w:rsid w:val="50994B0B"/>
    <w:rsid w:val="51626A34"/>
    <w:rsid w:val="52081BED"/>
    <w:rsid w:val="53004672"/>
    <w:rsid w:val="539D45B7"/>
    <w:rsid w:val="53C733E2"/>
    <w:rsid w:val="56174AA7"/>
    <w:rsid w:val="57603B79"/>
    <w:rsid w:val="57CE709F"/>
    <w:rsid w:val="5A131CE8"/>
    <w:rsid w:val="5A7136DA"/>
    <w:rsid w:val="5CEC43CD"/>
    <w:rsid w:val="5D542F41"/>
    <w:rsid w:val="5DA9F82C"/>
    <w:rsid w:val="5DB63287"/>
    <w:rsid w:val="5DE666E6"/>
    <w:rsid w:val="5ECD0A39"/>
    <w:rsid w:val="5F8E5DE9"/>
    <w:rsid w:val="5F9757B7"/>
    <w:rsid w:val="5FAC17B3"/>
    <w:rsid w:val="5FB7E33B"/>
    <w:rsid w:val="61265AAD"/>
    <w:rsid w:val="62636815"/>
    <w:rsid w:val="62B83957"/>
    <w:rsid w:val="640B1E74"/>
    <w:rsid w:val="65204335"/>
    <w:rsid w:val="66120DE7"/>
    <w:rsid w:val="66414FFD"/>
    <w:rsid w:val="669452A3"/>
    <w:rsid w:val="690D6FBF"/>
    <w:rsid w:val="69496631"/>
    <w:rsid w:val="6A49796A"/>
    <w:rsid w:val="6C340EF0"/>
    <w:rsid w:val="6C4E249B"/>
    <w:rsid w:val="6C5B5BB7"/>
    <w:rsid w:val="6FCFC10C"/>
    <w:rsid w:val="70FD33CB"/>
    <w:rsid w:val="717450DB"/>
    <w:rsid w:val="721970A7"/>
    <w:rsid w:val="737258FA"/>
    <w:rsid w:val="73EFB34F"/>
    <w:rsid w:val="74A977AE"/>
    <w:rsid w:val="764D738F"/>
    <w:rsid w:val="77B57C2D"/>
    <w:rsid w:val="79B76BE6"/>
    <w:rsid w:val="7A5743FC"/>
    <w:rsid w:val="7A6D4434"/>
    <w:rsid w:val="7ADFB9B1"/>
    <w:rsid w:val="7B136C7E"/>
    <w:rsid w:val="7BAF55ED"/>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semiHidden/>
    <w:qFormat/>
    <w:uiPriority w:val="0"/>
    <w:rPr>
      <w:rFonts w:ascii="宋体" w:hAnsi="宋体" w:cs="宋体"/>
      <w:sz w:val="64"/>
      <w:szCs w:val="64"/>
      <w:lang w:eastAsia="en-US"/>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37"/>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1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Emphasis"/>
    <w:basedOn w:val="34"/>
    <w:qFormat/>
    <w:uiPriority w:val="20"/>
    <w:rPr>
      <w:i/>
      <w:iCs/>
    </w:rPr>
  </w:style>
  <w:style w:type="character" w:styleId="40">
    <w:name w:val="Hyperlink"/>
    <w:qFormat/>
    <w:uiPriority w:val="99"/>
    <w:rPr>
      <w:color w:val="0000FF"/>
      <w:spacing w:val="0"/>
      <w:w w:val="100"/>
      <w:szCs w:val="21"/>
      <w:u w:val="single"/>
    </w:rPr>
  </w:style>
  <w:style w:type="character" w:styleId="41">
    <w:name w:val="footnote reference"/>
    <w:semiHidden/>
    <w:qFormat/>
    <w:uiPriority w:val="0"/>
    <w:rPr>
      <w:vertAlign w:val="superscript"/>
    </w:rPr>
  </w:style>
  <w:style w:type="paragraph" w:customStyle="1" w:styleId="42">
    <w:name w:val="二级无"/>
    <w:basedOn w:val="43"/>
    <w:qFormat/>
    <w:uiPriority w:val="0"/>
    <w:pPr>
      <w:spacing w:beforeLines="0" w:afterLines="0"/>
    </w:pPr>
    <w:rPr>
      <w:rFonts w:ascii="宋体" w:eastAsia="宋体"/>
    </w:rPr>
  </w:style>
  <w:style w:type="paragraph" w:customStyle="1" w:styleId="43">
    <w:name w:val="二级条标题"/>
    <w:basedOn w:val="44"/>
    <w:next w:val="23"/>
    <w:qFormat/>
    <w:uiPriority w:val="0"/>
    <w:pPr>
      <w:numPr>
        <w:ilvl w:val="2"/>
      </w:numPr>
      <w:spacing w:before="50" w:after="50"/>
      <w:outlineLvl w:val="3"/>
    </w:pPr>
  </w:style>
  <w:style w:type="paragraph" w:customStyle="1" w:styleId="44">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三级条标题"/>
    <w:basedOn w:val="43"/>
    <w:next w:val="23"/>
    <w:qFormat/>
    <w:uiPriority w:val="0"/>
    <w:pPr>
      <w:numPr>
        <w:ilvl w:val="3"/>
      </w:numPr>
      <w:outlineLvl w:val="4"/>
    </w:pPr>
  </w:style>
  <w:style w:type="paragraph" w:customStyle="1" w:styleId="47">
    <w:name w:val="四级条标题"/>
    <w:basedOn w:val="46"/>
    <w:next w:val="23"/>
    <w:qFormat/>
    <w:uiPriority w:val="0"/>
    <w:pPr>
      <w:numPr>
        <w:ilvl w:val="4"/>
      </w:numPr>
      <w:ind w:left="0"/>
      <w:outlineLvl w:val="5"/>
    </w:pPr>
  </w:style>
  <w:style w:type="paragraph" w:customStyle="1" w:styleId="48">
    <w:name w:val="五级条标题"/>
    <w:basedOn w:val="47"/>
    <w:next w:val="23"/>
    <w:qFormat/>
    <w:uiPriority w:val="0"/>
    <w:pPr>
      <w:numPr>
        <w:ilvl w:val="5"/>
      </w:numPr>
      <w:outlineLvl w:val="6"/>
    </w:pPr>
  </w:style>
  <w:style w:type="paragraph" w:customStyle="1" w:styleId="49">
    <w:name w:val="三级无"/>
    <w:basedOn w:val="46"/>
    <w:qFormat/>
    <w:uiPriority w:val="0"/>
    <w:pPr>
      <w:spacing w:beforeLines="0" w:afterLines="0"/>
    </w:pPr>
    <w:rPr>
      <w:rFonts w:ascii="宋体" w:eastAsia="宋体"/>
    </w:rPr>
  </w:style>
  <w:style w:type="paragraph" w:customStyle="1" w:styleId="50">
    <w:name w:val="一级无"/>
    <w:basedOn w:val="44"/>
    <w:qFormat/>
    <w:uiPriority w:val="0"/>
    <w:pPr>
      <w:spacing w:beforeLines="0" w:afterLines="0"/>
    </w:pPr>
    <w:rPr>
      <w:rFonts w:ascii="宋体" w:eastAsia="宋体"/>
    </w:rPr>
  </w:style>
  <w:style w:type="paragraph" w:customStyle="1" w:styleId="51">
    <w:name w:val="数字编号列项（二级）"/>
    <w:link w:val="145"/>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2">
    <w:name w:val="字母编号列项（一级）"/>
    <w:link w:val="54"/>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3">
    <w:name w:val="编号列项（三级）"/>
    <w:qFormat/>
    <w:uiPriority w:val="0"/>
    <w:pPr>
      <w:numPr>
        <w:ilvl w:val="2"/>
        <w:numId w:val="3"/>
      </w:numPr>
    </w:pPr>
    <w:rPr>
      <w:rFonts w:ascii="宋体" w:hAnsi="Times New Roman" w:eastAsia="宋体" w:cs="Times New Roman"/>
      <w:sz w:val="21"/>
      <w:lang w:val="en-US" w:eastAsia="zh-CN" w:bidi="ar-SA"/>
    </w:rPr>
  </w:style>
  <w:style w:type="character" w:customStyle="1" w:styleId="54">
    <w:name w:val="字母编号列项（一级） Char"/>
    <w:link w:val="52"/>
    <w:qFormat/>
    <w:uiPriority w:val="0"/>
    <w:rPr>
      <w:rFonts w:ascii="宋体" w:hAnsi="Times New Roman" w:eastAsia="宋体" w:cs="Times New Roman"/>
      <w:sz w:val="21"/>
      <w:lang w:val="en-US" w:eastAsia="zh-CN" w:bidi="ar-SA"/>
    </w:rPr>
  </w:style>
  <w:style w:type="paragraph" w:customStyle="1" w:styleId="55">
    <w:name w:val="附录标识"/>
    <w:basedOn w:val="1"/>
    <w:next w:val="23"/>
    <w:qFormat/>
    <w:uiPriority w:val="0"/>
    <w:pPr>
      <w:keepNext/>
      <w:pageBreakBefore/>
      <w:widowControl/>
      <w:numPr>
        <w:ilvl w:val="0"/>
        <w:numId w:val="4"/>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56">
    <w:name w:val="附录章标题"/>
    <w:next w:val="23"/>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7">
    <w:name w:val="附录一级条标题"/>
    <w:basedOn w:val="56"/>
    <w:next w:val="23"/>
    <w:qFormat/>
    <w:uiPriority w:val="0"/>
    <w:pPr>
      <w:numPr>
        <w:ilvl w:val="2"/>
      </w:numPr>
      <w:autoSpaceDN w:val="0"/>
      <w:spacing w:beforeLines="50" w:afterLines="50"/>
      <w:outlineLvl w:val="2"/>
    </w:pPr>
  </w:style>
  <w:style w:type="paragraph" w:customStyle="1" w:styleId="58">
    <w:name w:val="附录二级条标题"/>
    <w:basedOn w:val="1"/>
    <w:next w:val="23"/>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59">
    <w:name w:val="附录三级条标题"/>
    <w:basedOn w:val="58"/>
    <w:next w:val="23"/>
    <w:qFormat/>
    <w:uiPriority w:val="0"/>
    <w:pPr>
      <w:numPr>
        <w:ilvl w:val="4"/>
      </w:numPr>
      <w:outlineLvl w:val="4"/>
    </w:pPr>
  </w:style>
  <w:style w:type="paragraph" w:customStyle="1" w:styleId="60">
    <w:name w:val="附录四级条标题"/>
    <w:basedOn w:val="59"/>
    <w:next w:val="23"/>
    <w:qFormat/>
    <w:uiPriority w:val="0"/>
    <w:pPr>
      <w:numPr>
        <w:ilvl w:val="5"/>
      </w:numPr>
      <w:outlineLvl w:val="5"/>
    </w:pPr>
  </w:style>
  <w:style w:type="paragraph" w:customStyle="1" w:styleId="61">
    <w:name w:val="附录五级条标题"/>
    <w:basedOn w:val="60"/>
    <w:next w:val="23"/>
    <w:qFormat/>
    <w:uiPriority w:val="0"/>
    <w:pPr>
      <w:numPr>
        <w:ilvl w:val="6"/>
      </w:numPr>
      <w:outlineLvl w:val="6"/>
    </w:pPr>
  </w:style>
  <w:style w:type="paragraph" w:customStyle="1" w:styleId="62">
    <w:name w:val="封面一致性程度标识2"/>
    <w:basedOn w:val="63"/>
    <w:qFormat/>
    <w:uiPriority w:val="0"/>
    <w:pPr>
      <w:framePr w:wrap="around" w:y="4469"/>
    </w:pPr>
  </w:style>
  <w:style w:type="paragraph" w:customStyle="1" w:styleId="63">
    <w:name w:val="封面一致性程度标识"/>
    <w:basedOn w:val="64"/>
    <w:qFormat/>
    <w:uiPriority w:val="0"/>
    <w:pPr>
      <w:framePr w:wrap="around"/>
      <w:spacing w:before="440"/>
    </w:pPr>
    <w:rPr>
      <w:rFonts w:ascii="宋体" w:eastAsia="宋体"/>
    </w:rPr>
  </w:style>
  <w:style w:type="paragraph" w:customStyle="1" w:styleId="64">
    <w:name w:val="封面标准英文名称"/>
    <w:basedOn w:val="65"/>
    <w:qFormat/>
    <w:uiPriority w:val="0"/>
    <w:pPr>
      <w:framePr w:wrap="around"/>
      <w:spacing w:before="370" w:line="400" w:lineRule="exact"/>
    </w:pPr>
    <w:rPr>
      <w:rFonts w:ascii="Times New Roman"/>
      <w:sz w:val="28"/>
      <w:szCs w:val="28"/>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封面标准英文名称2"/>
    <w:basedOn w:val="64"/>
    <w:qFormat/>
    <w:uiPriority w:val="0"/>
    <w:pPr>
      <w:framePr w:wrap="around" w:y="4469"/>
    </w:pPr>
  </w:style>
  <w:style w:type="paragraph" w:customStyle="1" w:styleId="67">
    <w:name w:val="其他实施日期"/>
    <w:basedOn w:val="68"/>
    <w:qFormat/>
    <w:uiPriority w:val="0"/>
    <w:pPr>
      <w:framePr w:wrap="around"/>
    </w:pPr>
  </w:style>
  <w:style w:type="paragraph" w:customStyle="1" w:styleId="68">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9">
    <w:name w:val="终结线"/>
    <w:basedOn w:val="1"/>
    <w:qFormat/>
    <w:uiPriority w:val="0"/>
    <w:pPr>
      <w:framePr w:hSpace="181" w:vSpace="181" w:wrap="around" w:vAnchor="text" w:hAnchor="margin" w:xAlign="center" w:y="285"/>
    </w:pPr>
  </w:style>
  <w:style w:type="paragraph" w:customStyle="1" w:styleId="70">
    <w:name w:val="正文公式编号制表符"/>
    <w:basedOn w:val="23"/>
    <w:next w:val="23"/>
    <w:qFormat/>
    <w:uiPriority w:val="0"/>
    <w:pPr>
      <w:ind w:firstLine="0" w:firstLineChars="0"/>
    </w:pPr>
  </w:style>
  <w:style w:type="paragraph" w:customStyle="1" w:styleId="71">
    <w:name w:val="正文表标题"/>
    <w:next w:val="23"/>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7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3">
    <w:name w:val="图表脚注说明"/>
    <w:basedOn w:val="1"/>
    <w:qFormat/>
    <w:uiPriority w:val="0"/>
    <w:pPr>
      <w:numPr>
        <w:ilvl w:val="0"/>
        <w:numId w:val="6"/>
      </w:numPr>
    </w:pPr>
    <w:rPr>
      <w:rFonts w:ascii="宋体"/>
      <w:sz w:val="18"/>
      <w:szCs w:val="18"/>
    </w:rPr>
  </w:style>
  <w:style w:type="paragraph" w:customStyle="1" w:styleId="74">
    <w:name w:val="条文脚注"/>
    <w:basedOn w:val="24"/>
    <w:qFormat/>
    <w:uiPriority w:val="0"/>
    <w:pPr>
      <w:numPr>
        <w:numId w:val="0"/>
      </w:numPr>
      <w:jc w:val="both"/>
    </w:pPr>
  </w:style>
  <w:style w:type="paragraph" w:customStyle="1" w:styleId="75">
    <w:name w:val="封面标准文稿编辑信息2"/>
    <w:basedOn w:val="76"/>
    <w:qFormat/>
    <w:uiPriority w:val="0"/>
    <w:pPr>
      <w:framePr w:wrap="around" w:y="4469"/>
    </w:pPr>
  </w:style>
  <w:style w:type="paragraph" w:customStyle="1" w:styleId="76">
    <w:name w:val="封面标准文稿编辑信息"/>
    <w:basedOn w:val="77"/>
    <w:qFormat/>
    <w:uiPriority w:val="0"/>
    <w:pPr>
      <w:framePr w:wrap="around"/>
      <w:spacing w:before="180" w:line="180" w:lineRule="exact"/>
    </w:pPr>
    <w:rPr>
      <w:sz w:val="21"/>
    </w:rPr>
  </w:style>
  <w:style w:type="paragraph" w:customStyle="1" w:styleId="77">
    <w:name w:val="封面标准文稿类别"/>
    <w:basedOn w:val="63"/>
    <w:qFormat/>
    <w:uiPriority w:val="0"/>
    <w:pPr>
      <w:framePr w:wrap="around"/>
      <w:spacing w:after="160" w:line="240" w:lineRule="auto"/>
    </w:pPr>
    <w:rPr>
      <w:sz w:val="24"/>
    </w:rPr>
  </w:style>
  <w:style w:type="paragraph" w:customStyle="1" w:styleId="78">
    <w:name w:val="首示例"/>
    <w:next w:val="23"/>
    <w:link w:val="136"/>
    <w:qFormat/>
    <w:uiPriority w:val="0"/>
    <w:pPr>
      <w:tabs>
        <w:tab w:val="left" w:pos="360"/>
      </w:tabs>
    </w:pPr>
    <w:rPr>
      <w:rFonts w:ascii="宋体" w:hAnsi="宋体" w:eastAsia="宋体" w:cs="Times New Roman"/>
      <w:kern w:val="2"/>
      <w:sz w:val="18"/>
      <w:szCs w:val="18"/>
      <w:lang w:val="en-US" w:eastAsia="zh-CN" w:bidi="ar-SA"/>
    </w:rPr>
  </w:style>
  <w:style w:type="paragraph" w:customStyle="1" w:styleId="79">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2">
    <w:name w:val="标准名称"/>
    <w:basedOn w:val="83"/>
    <w:link w:val="138"/>
    <w:qFormat/>
    <w:uiPriority w:val="0"/>
  </w:style>
  <w:style w:type="paragraph" w:customStyle="1" w:styleId="83">
    <w:name w:val="目次、标准名称标题"/>
    <w:basedOn w:val="1"/>
    <w:next w:val="23"/>
    <w:link w:val="13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5">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86">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7">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88">
    <w:name w:val="附录三级无"/>
    <w:basedOn w:val="59"/>
    <w:qFormat/>
    <w:uiPriority w:val="0"/>
    <w:pPr>
      <w:tabs>
        <w:tab w:val="clear" w:pos="360"/>
      </w:tabs>
      <w:spacing w:beforeLines="0" w:afterLines="0"/>
    </w:pPr>
    <w:rPr>
      <w:rFonts w:ascii="宋体" w:eastAsia="宋体"/>
      <w:szCs w:val="21"/>
    </w:rPr>
  </w:style>
  <w:style w:type="paragraph" w:customStyle="1" w:styleId="89">
    <w:name w:val="附录一级无"/>
    <w:basedOn w:val="57"/>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143"/>
    <w:qFormat/>
    <w:uiPriority w:val="0"/>
  </w:style>
  <w:style w:type="paragraph" w:customStyle="1" w:styleId="91">
    <w:name w:val="附录二级无"/>
    <w:basedOn w:val="58"/>
    <w:qFormat/>
    <w:uiPriority w:val="0"/>
    <w:pPr>
      <w:tabs>
        <w:tab w:val="clear" w:pos="360"/>
      </w:tabs>
      <w:spacing w:beforeLines="0" w:afterLines="0"/>
    </w:pPr>
    <w:rPr>
      <w:rFonts w:ascii="宋体" w:eastAsia="宋体"/>
      <w:szCs w:val="21"/>
    </w:rPr>
  </w:style>
  <w:style w:type="paragraph" w:customStyle="1" w:styleId="92">
    <w:name w:val="附录表标题"/>
    <w:basedOn w:val="1"/>
    <w:next w:val="23"/>
    <w:qFormat/>
    <w:uiPriority w:val="0"/>
    <w:pPr>
      <w:numPr>
        <w:ilvl w:val="1"/>
        <w:numId w:val="9"/>
      </w:numPr>
      <w:tabs>
        <w:tab w:val="left" w:pos="180"/>
      </w:tabs>
      <w:spacing w:beforeLines="50" w:afterLines="50"/>
      <w:ind w:left="5607" w:hanging="567"/>
      <w:jc w:val="center"/>
    </w:pPr>
    <w:rPr>
      <w:rFonts w:ascii="黑体" w:eastAsia="黑体"/>
      <w:szCs w:val="21"/>
    </w:rPr>
  </w:style>
  <w:style w:type="paragraph" w:customStyle="1" w:styleId="93">
    <w:name w:val="附录表标号"/>
    <w:basedOn w:val="1"/>
    <w:next w:val="23"/>
    <w:qFormat/>
    <w:uiPriority w:val="0"/>
    <w:pPr>
      <w:numPr>
        <w:ilvl w:val="0"/>
        <w:numId w:val="9"/>
      </w:numPr>
      <w:spacing w:line="14" w:lineRule="exact"/>
      <w:ind w:left="0" w:hanging="425"/>
      <w:jc w:val="center"/>
      <w:outlineLvl w:val="0"/>
    </w:pPr>
    <w:rPr>
      <w:color w:val="FFFFFF"/>
    </w:rPr>
  </w:style>
  <w:style w:type="paragraph" w:customStyle="1" w:styleId="94">
    <w:name w:val="附录标题"/>
    <w:basedOn w:val="23"/>
    <w:next w:val="23"/>
    <w:qFormat/>
    <w:uiPriority w:val="0"/>
    <w:pPr>
      <w:ind w:firstLine="0" w:firstLineChars="0"/>
      <w:jc w:val="center"/>
    </w:pPr>
    <w:rPr>
      <w:rFonts w:ascii="黑体" w:eastAsia="黑体"/>
    </w:rPr>
  </w:style>
  <w:style w:type="paragraph" w:customStyle="1" w:styleId="95">
    <w:name w:val="封面正文"/>
    <w:qFormat/>
    <w:uiPriority w:val="0"/>
    <w:pPr>
      <w:jc w:val="both"/>
    </w:pPr>
    <w:rPr>
      <w:rFonts w:ascii="Times New Roman" w:hAnsi="Times New Roman" w:eastAsia="宋体" w:cs="Times New Roman"/>
      <w:lang w:val="en-US" w:eastAsia="zh-CN" w:bidi="ar-SA"/>
    </w:rPr>
  </w:style>
  <w:style w:type="paragraph" w:customStyle="1" w:styleId="96">
    <w:name w:val="其他发布部门"/>
    <w:basedOn w:val="97"/>
    <w:qFormat/>
    <w:uiPriority w:val="0"/>
    <w:pPr>
      <w:framePr w:wrap="around" w:y="15310"/>
      <w:spacing w:line="0" w:lineRule="atLeast"/>
    </w:pPr>
    <w:rPr>
      <w:rFonts w:ascii="黑体" w:eastAsia="黑体"/>
      <w:b w:val="0"/>
    </w:rPr>
  </w:style>
  <w:style w:type="paragraph" w:customStyle="1" w:styleId="97">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0">
    <w:name w:val="附录图标题"/>
    <w:basedOn w:val="1"/>
    <w:next w:val="23"/>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101">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2">
    <w:name w:val="参考文献"/>
    <w:basedOn w:val="1"/>
    <w:next w:val="23"/>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3">
    <w:name w:val="标准书眉一"/>
    <w:qFormat/>
    <w:uiPriority w:val="0"/>
    <w:pPr>
      <w:jc w:val="both"/>
    </w:pPr>
    <w:rPr>
      <w:rFonts w:ascii="Times New Roman" w:hAnsi="Times New Roman" w:eastAsia="宋体" w:cs="Times New Roman"/>
      <w:lang w:val="en-US" w:eastAsia="zh-CN" w:bidi="ar-SA"/>
    </w:rPr>
  </w:style>
  <w:style w:type="paragraph" w:customStyle="1" w:styleId="104">
    <w:name w:val="标准书眉_偶数页"/>
    <w:basedOn w:val="105"/>
    <w:next w:val="1"/>
    <w:qFormat/>
    <w:uiPriority w:val="0"/>
    <w:pPr>
      <w:tabs>
        <w:tab w:val="center" w:pos="4154"/>
        <w:tab w:val="right" w:pos="8306"/>
      </w:tabs>
      <w:jc w:val="left"/>
    </w:pPr>
  </w:style>
  <w:style w:type="paragraph" w:customStyle="1" w:styleId="10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7">
    <w:name w:val="正文图标题"/>
    <w:next w:val="23"/>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9">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10">
    <w:name w:val="附录四级无"/>
    <w:basedOn w:val="60"/>
    <w:qFormat/>
    <w:uiPriority w:val="0"/>
    <w:pPr>
      <w:tabs>
        <w:tab w:val="clear" w:pos="360"/>
      </w:tabs>
      <w:spacing w:beforeLines="0" w:afterLines="0"/>
    </w:pPr>
    <w:rPr>
      <w:rFonts w:ascii="宋体" w:eastAsia="宋体"/>
      <w:szCs w:val="21"/>
    </w:rPr>
  </w:style>
  <w:style w:type="paragraph" w:customStyle="1" w:styleId="111">
    <w:name w:val="注：（正文）"/>
    <w:basedOn w:val="112"/>
    <w:next w:val="23"/>
    <w:qFormat/>
    <w:uiPriority w:val="0"/>
    <w:pPr>
      <w:numPr>
        <w:numId w:val="13"/>
      </w:numPr>
      <w:ind w:left="726" w:hanging="363"/>
    </w:pPr>
  </w:style>
  <w:style w:type="paragraph" w:customStyle="1" w:styleId="112">
    <w:name w:val="注："/>
    <w:next w:val="23"/>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3">
    <w:name w:val="示例×："/>
    <w:basedOn w:val="45"/>
    <w:qFormat/>
    <w:uiPriority w:val="0"/>
    <w:pPr>
      <w:numPr>
        <w:numId w:val="15"/>
      </w:numPr>
      <w:spacing w:beforeLines="0" w:afterLines="0"/>
      <w:outlineLvl w:val="9"/>
    </w:pPr>
    <w:rPr>
      <w:rFonts w:ascii="宋体" w:eastAsia="宋体"/>
      <w:sz w:val="18"/>
      <w:szCs w:val="18"/>
    </w:rPr>
  </w:style>
  <w:style w:type="paragraph" w:customStyle="1" w:styleId="114">
    <w:name w:val="封面标准名称2"/>
    <w:basedOn w:val="65"/>
    <w:qFormat/>
    <w:uiPriority w:val="0"/>
    <w:pPr>
      <w:framePr w:wrap="around" w:y="4469"/>
      <w:spacing w:beforeLines="630"/>
    </w:pPr>
  </w:style>
  <w:style w:type="paragraph" w:customStyle="1" w:styleId="11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6">
    <w:name w:val="列项◆（三级）"/>
    <w:basedOn w:val="1"/>
    <w:qFormat/>
    <w:uiPriority w:val="0"/>
    <w:pPr>
      <w:numPr>
        <w:ilvl w:val="2"/>
        <w:numId w:val="16"/>
      </w:numPr>
    </w:pPr>
    <w:rPr>
      <w:rFonts w:ascii="宋体"/>
      <w:szCs w:val="21"/>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附录五级无"/>
    <w:basedOn w:val="61"/>
    <w:qFormat/>
    <w:uiPriority w:val="0"/>
    <w:pPr>
      <w:spacing w:beforeLines="0" w:afterLines="0"/>
    </w:pPr>
    <w:rPr>
      <w:rFonts w:ascii="宋体" w:eastAsia="宋体"/>
      <w:szCs w:val="21"/>
    </w:rPr>
  </w:style>
  <w:style w:type="paragraph" w:customStyle="1" w:styleId="11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0">
    <w:name w:val="示例"/>
    <w:next w:val="119"/>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21">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2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3">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4">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6">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8">
    <w:name w:val="示例后文字"/>
    <w:basedOn w:val="23"/>
    <w:next w:val="23"/>
    <w:qFormat/>
    <w:uiPriority w:val="0"/>
    <w:pPr>
      <w:ind w:firstLine="360"/>
    </w:pPr>
    <w:rPr>
      <w:sz w:val="18"/>
    </w:rPr>
  </w:style>
  <w:style w:type="paragraph" w:customStyle="1" w:styleId="129">
    <w:name w:val="其他标准标志"/>
    <w:basedOn w:val="108"/>
    <w:qFormat/>
    <w:uiPriority w:val="0"/>
    <w:pPr>
      <w:framePr w:w="6101" w:wrap="around" w:vAnchor="page" w:hAnchor="page" w:x="4673" w:y="942"/>
    </w:pPr>
    <w:rPr>
      <w:w w:val="130"/>
    </w:rPr>
  </w:style>
  <w:style w:type="paragraph" w:customStyle="1" w:styleId="130">
    <w:name w:val="封面标准文稿类别2"/>
    <w:basedOn w:val="77"/>
    <w:qFormat/>
    <w:uiPriority w:val="0"/>
    <w:pPr>
      <w:framePr w:wrap="around" w:y="4469"/>
    </w:pPr>
  </w:style>
  <w:style w:type="paragraph" w:customStyle="1" w:styleId="131">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五级无"/>
    <w:basedOn w:val="48"/>
    <w:qFormat/>
    <w:uiPriority w:val="0"/>
    <w:pPr>
      <w:spacing w:beforeLines="0" w:afterLines="0"/>
    </w:pPr>
    <w:rPr>
      <w:rFonts w:ascii="宋体" w:eastAsia="宋体"/>
    </w:rPr>
  </w:style>
  <w:style w:type="paragraph" w:customStyle="1" w:styleId="134">
    <w:name w:val="图标脚注说明"/>
    <w:basedOn w:val="23"/>
    <w:qFormat/>
    <w:uiPriority w:val="0"/>
    <w:pPr>
      <w:ind w:left="840" w:hanging="420" w:firstLineChars="0"/>
    </w:pPr>
    <w:rPr>
      <w:sz w:val="18"/>
      <w:szCs w:val="18"/>
    </w:rPr>
  </w:style>
  <w:style w:type="paragraph" w:customStyle="1" w:styleId="135">
    <w:name w:val="四级无"/>
    <w:basedOn w:val="47"/>
    <w:qFormat/>
    <w:uiPriority w:val="0"/>
    <w:pPr>
      <w:spacing w:beforeLines="0" w:afterLines="0"/>
    </w:pPr>
    <w:rPr>
      <w:rFonts w:ascii="宋体" w:eastAsia="宋体"/>
    </w:rPr>
  </w:style>
  <w:style w:type="character" w:customStyle="1" w:styleId="136">
    <w:name w:val="首示例 Char"/>
    <w:link w:val="78"/>
    <w:qFormat/>
    <w:uiPriority w:val="0"/>
    <w:rPr>
      <w:rFonts w:ascii="宋体" w:hAnsi="宋体"/>
      <w:kern w:val="2"/>
      <w:sz w:val="18"/>
      <w:szCs w:val="18"/>
    </w:rPr>
  </w:style>
  <w:style w:type="character" w:customStyle="1" w:styleId="137">
    <w:name w:val="批注框文本 Char"/>
    <w:basedOn w:val="34"/>
    <w:link w:val="16"/>
    <w:qFormat/>
    <w:uiPriority w:val="0"/>
    <w:rPr>
      <w:kern w:val="2"/>
      <w:sz w:val="18"/>
      <w:szCs w:val="18"/>
    </w:rPr>
  </w:style>
  <w:style w:type="character" w:customStyle="1" w:styleId="138">
    <w:name w:val="标准名称 Char"/>
    <w:basedOn w:val="139"/>
    <w:link w:val="82"/>
    <w:qFormat/>
    <w:uiPriority w:val="0"/>
    <w:rPr>
      <w:rFonts w:ascii="黑体" w:eastAsia="黑体"/>
      <w:sz w:val="32"/>
      <w:shd w:val="clear" w:color="FFFFFF" w:fill="FFFFFF"/>
    </w:rPr>
  </w:style>
  <w:style w:type="character" w:customStyle="1" w:styleId="139">
    <w:name w:val="目次、标准名称标题 Char"/>
    <w:basedOn w:val="34"/>
    <w:link w:val="83"/>
    <w:qFormat/>
    <w:uiPriority w:val="0"/>
    <w:rPr>
      <w:rFonts w:ascii="黑体" w:eastAsia="黑体"/>
      <w:sz w:val="32"/>
      <w:shd w:val="clear" w:color="FFFFFF" w:fill="FFFFFF"/>
    </w:rPr>
  </w:style>
  <w:style w:type="character" w:customStyle="1" w:styleId="140">
    <w:name w:val="发布"/>
    <w:qFormat/>
    <w:uiPriority w:val="0"/>
    <w:rPr>
      <w:rFonts w:ascii="黑体" w:eastAsia="黑体"/>
      <w:spacing w:val="85"/>
      <w:w w:val="100"/>
      <w:position w:val="3"/>
      <w:sz w:val="28"/>
      <w:szCs w:val="28"/>
    </w:rPr>
  </w:style>
  <w:style w:type="character" w:customStyle="1" w:styleId="141">
    <w:name w:val="段 Char"/>
    <w:link w:val="23"/>
    <w:qFormat/>
    <w:uiPriority w:val="0"/>
    <w:rPr>
      <w:rFonts w:ascii="宋体"/>
      <w:sz w:val="21"/>
      <w:lang w:val="en-US" w:eastAsia="zh-CN" w:bidi="ar-SA"/>
    </w:rPr>
  </w:style>
  <w:style w:type="character" w:customStyle="1" w:styleId="142">
    <w:name w:val="占位符文本1"/>
    <w:basedOn w:val="34"/>
    <w:semiHidden/>
    <w:qFormat/>
    <w:uiPriority w:val="99"/>
    <w:rPr>
      <w:color w:val="808080"/>
    </w:rPr>
  </w:style>
  <w:style w:type="character" w:customStyle="1" w:styleId="143">
    <w:name w:val="附录公式 Char"/>
    <w:basedOn w:val="141"/>
    <w:link w:val="90"/>
    <w:qFormat/>
    <w:uiPriority w:val="0"/>
    <w:rPr>
      <w:rFonts w:ascii="宋体"/>
      <w:sz w:val="21"/>
      <w:lang w:val="en-US" w:eastAsia="zh-CN" w:bidi="ar-SA"/>
    </w:rPr>
  </w:style>
  <w:style w:type="character" w:customStyle="1" w:styleId="144">
    <w:name w:val="lb"/>
    <w:basedOn w:val="34"/>
    <w:qFormat/>
    <w:uiPriority w:val="0"/>
  </w:style>
  <w:style w:type="character" w:customStyle="1" w:styleId="145">
    <w:name w:val="数字编号列项（二级） Char"/>
    <w:link w:val="51"/>
    <w:qFormat/>
    <w:uiPriority w:val="0"/>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15</Pages>
  <Words>540</Words>
  <Characters>713</Characters>
  <Lines>65</Lines>
  <Paragraphs>18</Paragraphs>
  <TotalTime>15</TotalTime>
  <ScaleCrop>false</ScaleCrop>
  <LinksUpToDate>false</LinksUpToDate>
  <CharactersWithSpaces>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CNIS</dc:creator>
  <cp:lastModifiedBy>Administrator</cp:lastModifiedBy>
  <dcterms:modified xsi:type="dcterms:W3CDTF">2025-11-05T08:48:19Z</dcterms:modified>
  <dc:title>标准名称</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839A419B00F941EBB45F278BD5D7C904_13</vt:lpwstr>
  </property>
  <property fmtid="{D5CDD505-2E9C-101B-9397-08002B2CF9AE}" pid="4" name="KSOTemplateDocerSaveRecord">
    <vt:lpwstr>eyJoZGlkIjoiYmU2N2IzNjE0MWU0OWNlYmNjNjMyNWNiZmMyYTc3ZjkiLCJ1c2VySWQiOiIzMTgwNzk5NzIifQ==</vt:lpwstr>
  </property>
</Properties>
</file>