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640" w:type="dxa"/>
        <w:tblInd w:w="8" w:type="dxa"/>
        <w:tblLayout w:type="fixed"/>
        <w:tblCellMar>
          <w:top w:w="0" w:type="dxa"/>
          <w:left w:w="0" w:type="dxa"/>
          <w:bottom w:w="0" w:type="dxa"/>
          <w:right w:w="0" w:type="dxa"/>
        </w:tblCellMar>
      </w:tblPr>
      <w:tblGrid>
        <w:gridCol w:w="453"/>
        <w:gridCol w:w="106"/>
        <w:gridCol w:w="2222"/>
        <w:gridCol w:w="449"/>
        <w:gridCol w:w="1134"/>
        <w:gridCol w:w="4980"/>
        <w:gridCol w:w="296"/>
      </w:tblGrid>
      <w:tr>
        <w:tblPrEx>
          <w:tblCellMar>
            <w:top w:w="0" w:type="dxa"/>
            <w:left w:w="0" w:type="dxa"/>
            <w:bottom w:w="0" w:type="dxa"/>
            <w:right w:w="0" w:type="dxa"/>
          </w:tblCellMar>
        </w:tblPrEx>
        <w:trPr>
          <w:gridAfter w:val="4"/>
          <w:wAfter w:w="6859" w:type="dxa"/>
          <w:trHeight w:val="312" w:hRule="exact"/>
        </w:trPr>
        <w:tc>
          <w:tcPr>
            <w:tcW w:w="453" w:type="dxa"/>
            <w:noWrap w:val="0"/>
            <w:vAlign w:val="center"/>
          </w:tcPr>
          <w:p>
            <w:pPr>
              <w:rPr>
                <w:b/>
                <w:color w:val="auto"/>
              </w:rPr>
            </w:pPr>
            <w:r>
              <w:rPr>
                <w:rFonts w:hint="eastAsia" w:eastAsia="黑体"/>
                <w:b/>
                <w:color w:val="auto"/>
              </w:rPr>
              <w:t>ICS</w:t>
            </w:r>
          </w:p>
        </w:tc>
        <w:tc>
          <w:tcPr>
            <w:tcW w:w="2328" w:type="dxa"/>
            <w:gridSpan w:val="2"/>
            <w:noWrap w:val="0"/>
            <w:vAlign w:val="center"/>
          </w:tcPr>
          <w:p>
            <w:pPr>
              <w:rPr>
                <w:rFonts w:ascii="Arial Narrow" w:hAnsi="Arial Narrow" w:eastAsia="黑体"/>
                <w:color w:val="auto"/>
              </w:rPr>
            </w:pPr>
            <w:r>
              <w:rPr>
                <w:rFonts w:hint="eastAsia" w:ascii="黑体" w:hAnsi="黑体" w:cs="黑体"/>
                <w:color w:val="auto"/>
              </w:rPr>
              <w:t>XXXXXX</w:t>
            </w:r>
          </w:p>
        </w:tc>
      </w:tr>
      <w:tr>
        <w:tblPrEx>
          <w:tblCellMar>
            <w:top w:w="0" w:type="dxa"/>
            <w:left w:w="0" w:type="dxa"/>
            <w:bottom w:w="0" w:type="dxa"/>
            <w:right w:w="0" w:type="dxa"/>
          </w:tblCellMar>
        </w:tblPrEx>
        <w:trPr>
          <w:gridAfter w:val="4"/>
          <w:wAfter w:w="6859" w:type="dxa"/>
          <w:trHeight w:val="312" w:hRule="exact"/>
        </w:trPr>
        <w:tc>
          <w:tcPr>
            <w:tcW w:w="559" w:type="dxa"/>
            <w:gridSpan w:val="2"/>
            <w:noWrap w:val="0"/>
            <w:vAlign w:val="center"/>
          </w:tcPr>
          <w:p>
            <w:pPr>
              <w:ind w:right="-170"/>
              <w:rPr>
                <w:rFonts w:eastAsia="黑体"/>
                <w:b/>
                <w:color w:val="auto"/>
              </w:rPr>
            </w:pPr>
            <w:r>
              <w:rPr>
                <w:rFonts w:hint="eastAsia" w:eastAsia="黑体"/>
                <w:b/>
                <w:color w:val="auto"/>
              </w:rPr>
              <w:t>CCS</w:t>
            </w:r>
          </w:p>
        </w:tc>
        <w:tc>
          <w:tcPr>
            <w:tcW w:w="2222" w:type="dxa"/>
            <w:noWrap w:val="0"/>
            <w:vAlign w:val="center"/>
          </w:tcPr>
          <w:p>
            <w:pPr>
              <w:pStyle w:val="71"/>
              <w:rPr>
                <w:rFonts w:ascii="黑体" w:hAnsi="黑体" w:cs="黑体"/>
                <w:color w:val="auto"/>
              </w:rPr>
            </w:pPr>
            <w:r>
              <w:rPr>
                <w:rFonts w:hint="eastAsia" w:ascii="黑体" w:hAnsi="黑体" w:cs="黑体"/>
                <w:color w:val="auto"/>
              </w:rPr>
              <w:t>X XXX</w:t>
            </w:r>
          </w:p>
          <w:p>
            <w:pPr>
              <w:rPr>
                <w:rFonts w:ascii="黑体" w:hAnsi="黑体" w:eastAsia="黑体"/>
                <w:color w:val="auto"/>
              </w:rPr>
            </w:pPr>
          </w:p>
        </w:tc>
      </w:tr>
      <w:tr>
        <w:tblPrEx>
          <w:tblCellMar>
            <w:top w:w="0" w:type="dxa"/>
            <w:left w:w="0" w:type="dxa"/>
            <w:bottom w:w="0" w:type="dxa"/>
            <w:right w:w="0" w:type="dxa"/>
          </w:tblCellMar>
        </w:tblPrEx>
        <w:trPr>
          <w:gridAfter w:val="4"/>
          <w:wAfter w:w="6859" w:type="dxa"/>
          <w:trHeight w:val="312" w:hRule="exact"/>
        </w:trPr>
        <w:tc>
          <w:tcPr>
            <w:tcW w:w="559" w:type="dxa"/>
            <w:gridSpan w:val="2"/>
            <w:noWrap w:val="0"/>
            <w:vAlign w:val="center"/>
          </w:tcPr>
          <w:p>
            <w:pPr>
              <w:rPr>
                <w:rFonts w:hint="eastAsia" w:ascii="Arial Narrow" w:hAnsi="Arial Narrow" w:eastAsia="黑体"/>
                <w:color w:val="auto"/>
              </w:rPr>
            </w:pPr>
          </w:p>
        </w:tc>
        <w:tc>
          <w:tcPr>
            <w:tcW w:w="2222" w:type="dxa"/>
            <w:noWrap w:val="0"/>
            <w:vAlign w:val="center"/>
          </w:tcPr>
          <w:p>
            <w:pPr>
              <w:rPr>
                <w:rFonts w:hint="eastAsia" w:ascii="Arial Narrow" w:hAnsi="Arial Narrow" w:eastAsia="黑体"/>
                <w:color w:val="auto"/>
              </w:rPr>
            </w:pPr>
          </w:p>
        </w:tc>
      </w:tr>
      <w:tr>
        <w:tblPrEx>
          <w:tblCellMar>
            <w:top w:w="0" w:type="dxa"/>
            <w:left w:w="0" w:type="dxa"/>
            <w:bottom w:w="0" w:type="dxa"/>
            <w:right w:w="0" w:type="dxa"/>
          </w:tblCellMar>
        </w:tblPrEx>
        <w:trPr>
          <w:trHeight w:val="368" w:hRule="exact"/>
        </w:trPr>
        <w:tc>
          <w:tcPr>
            <w:tcW w:w="9640" w:type="dxa"/>
            <w:gridSpan w:val="7"/>
            <w:noWrap w:val="0"/>
            <w:vAlign w:val="top"/>
          </w:tcPr>
          <w:p>
            <w:pPr>
              <w:spacing w:before="120" w:after="120"/>
              <w:rPr>
                <w:color w:val="auto"/>
              </w:rPr>
            </w:pPr>
          </w:p>
        </w:tc>
      </w:tr>
      <w:tr>
        <w:tblPrEx>
          <w:tblCellMar>
            <w:top w:w="0" w:type="dxa"/>
            <w:left w:w="0" w:type="dxa"/>
            <w:bottom w:w="0" w:type="dxa"/>
            <w:right w:w="0" w:type="dxa"/>
          </w:tblCellMar>
        </w:tblPrEx>
        <w:trPr>
          <w:trHeight w:val="120" w:hRule="exact"/>
        </w:trPr>
        <w:tc>
          <w:tcPr>
            <w:tcW w:w="9640" w:type="dxa"/>
            <w:gridSpan w:val="7"/>
            <w:noWrap w:val="0"/>
            <w:vAlign w:val="top"/>
          </w:tcPr>
          <w:p>
            <w:pPr>
              <w:spacing w:before="120" w:after="120"/>
              <w:rPr>
                <w:color w:val="auto"/>
              </w:rPr>
            </w:pPr>
          </w:p>
        </w:tc>
      </w:tr>
      <w:tr>
        <w:tblPrEx>
          <w:tblCellMar>
            <w:top w:w="0" w:type="dxa"/>
            <w:left w:w="0" w:type="dxa"/>
            <w:bottom w:w="0" w:type="dxa"/>
            <w:right w:w="0" w:type="dxa"/>
          </w:tblCellMar>
        </w:tblPrEx>
        <w:trPr>
          <w:trHeight w:val="360" w:hRule="exact"/>
        </w:trPr>
        <w:tc>
          <w:tcPr>
            <w:tcW w:w="9640" w:type="dxa"/>
            <w:gridSpan w:val="7"/>
            <w:noWrap w:val="0"/>
            <w:vAlign w:val="top"/>
          </w:tcPr>
          <w:p>
            <w:pPr>
              <w:spacing w:before="120" w:after="120"/>
              <w:rPr>
                <w:color w:val="auto"/>
              </w:rPr>
            </w:pPr>
          </w:p>
        </w:tc>
      </w:tr>
      <w:tr>
        <w:tblPrEx>
          <w:tblCellMar>
            <w:top w:w="0" w:type="dxa"/>
            <w:left w:w="0" w:type="dxa"/>
            <w:bottom w:w="0" w:type="dxa"/>
            <w:right w:w="0" w:type="dxa"/>
          </w:tblCellMar>
        </w:tblPrEx>
        <w:trPr>
          <w:trHeight w:val="560" w:hRule="exact"/>
        </w:trPr>
        <w:tc>
          <w:tcPr>
            <w:tcW w:w="9640" w:type="dxa"/>
            <w:gridSpan w:val="7"/>
            <w:noWrap w:val="0"/>
            <w:vAlign w:val="center"/>
          </w:tcPr>
          <w:p>
            <w:pPr>
              <w:spacing w:after="240" w:line="560" w:lineRule="exact"/>
              <w:ind w:right="28"/>
              <w:jc w:val="distribute"/>
              <w:rPr>
                <w:rFonts w:eastAsia="黑体"/>
                <w:color w:val="auto"/>
                <w:w w:val="140"/>
                <w:sz w:val="52"/>
              </w:rPr>
            </w:pPr>
            <w:r>
              <w:rPr>
                <w:rFonts w:hint="eastAsia" w:eastAsia="黑体"/>
                <w:color w:val="auto"/>
                <w:w w:val="140"/>
                <w:sz w:val="52"/>
              </w:rPr>
              <w:t>团  体  标  准</w:t>
            </w:r>
          </w:p>
          <w:p>
            <w:pPr>
              <w:spacing w:line="520" w:lineRule="exact"/>
              <w:rPr>
                <w:color w:val="auto"/>
                <w:w w:val="140"/>
                <w:sz w:val="52"/>
              </w:rPr>
            </w:pPr>
          </w:p>
        </w:tc>
      </w:tr>
      <w:tr>
        <w:tblPrEx>
          <w:tblCellMar>
            <w:top w:w="0" w:type="dxa"/>
            <w:left w:w="0" w:type="dxa"/>
            <w:bottom w:w="0" w:type="dxa"/>
            <w:right w:w="0" w:type="dxa"/>
          </w:tblCellMar>
        </w:tblPrEx>
        <w:trPr>
          <w:trHeight w:val="340" w:hRule="exact"/>
        </w:trPr>
        <w:tc>
          <w:tcPr>
            <w:tcW w:w="9640" w:type="dxa"/>
            <w:gridSpan w:val="7"/>
            <w:noWrap w:val="0"/>
            <w:vAlign w:val="top"/>
          </w:tcPr>
          <w:p>
            <w:pPr>
              <w:jc w:val="center"/>
              <w:rPr>
                <w:rFonts w:hint="eastAsia" w:eastAsia="黑体"/>
                <w:b/>
                <w:color w:val="auto"/>
                <w:sz w:val="52"/>
              </w:rPr>
            </w:pPr>
          </w:p>
        </w:tc>
      </w:tr>
      <w:tr>
        <w:tblPrEx>
          <w:tblCellMar>
            <w:top w:w="0" w:type="dxa"/>
            <w:left w:w="0" w:type="dxa"/>
            <w:bottom w:w="0" w:type="dxa"/>
            <w:right w:w="0" w:type="dxa"/>
          </w:tblCellMar>
        </w:tblPrEx>
        <w:trPr>
          <w:cantSplit/>
          <w:trHeight w:val="60" w:hRule="exact"/>
        </w:trPr>
        <w:tc>
          <w:tcPr>
            <w:tcW w:w="3230" w:type="dxa"/>
            <w:gridSpan w:val="4"/>
            <w:noWrap w:val="0"/>
            <w:vAlign w:val="center"/>
          </w:tcPr>
          <w:p>
            <w:pPr>
              <w:rPr>
                <w:rFonts w:hint="eastAsia"/>
                <w:color w:val="auto"/>
              </w:rPr>
            </w:pPr>
          </w:p>
        </w:tc>
        <w:tc>
          <w:tcPr>
            <w:tcW w:w="1134" w:type="dxa"/>
            <w:noWrap w:val="0"/>
            <w:vAlign w:val="center"/>
          </w:tcPr>
          <w:p>
            <w:pPr>
              <w:jc w:val="right"/>
              <w:rPr>
                <w:color w:val="auto"/>
              </w:rPr>
            </w:pPr>
          </w:p>
        </w:tc>
        <w:tc>
          <w:tcPr>
            <w:tcW w:w="4980" w:type="dxa"/>
            <w:noWrap w:val="0"/>
            <w:vAlign w:val="center"/>
          </w:tcPr>
          <w:p>
            <w:pPr>
              <w:wordWrap w:val="0"/>
              <w:jc w:val="right"/>
              <w:rPr>
                <w:rFonts w:hint="eastAsia"/>
                <w:color w:val="auto"/>
              </w:rPr>
            </w:pPr>
          </w:p>
        </w:tc>
        <w:tc>
          <w:tcPr>
            <w:tcW w:w="296" w:type="dxa"/>
            <w:noWrap w:val="0"/>
            <w:vAlign w:val="center"/>
          </w:tcPr>
          <w:p>
            <w:pPr>
              <w:rPr>
                <w:rFonts w:hint="eastAsia"/>
                <w:color w:val="auto"/>
              </w:rPr>
            </w:pPr>
          </w:p>
        </w:tc>
      </w:tr>
      <w:tr>
        <w:tblPrEx>
          <w:tblCellMar>
            <w:top w:w="0" w:type="dxa"/>
            <w:left w:w="0" w:type="dxa"/>
            <w:bottom w:w="0" w:type="dxa"/>
            <w:right w:w="0" w:type="dxa"/>
          </w:tblCellMar>
        </w:tblPrEx>
        <w:trPr>
          <w:cantSplit/>
          <w:trHeight w:val="360" w:hRule="exact"/>
        </w:trPr>
        <w:tc>
          <w:tcPr>
            <w:tcW w:w="3230" w:type="dxa"/>
            <w:gridSpan w:val="4"/>
            <w:noWrap w:val="0"/>
            <w:vAlign w:val="center"/>
          </w:tcPr>
          <w:p>
            <w:pPr>
              <w:rPr>
                <w:rFonts w:hint="eastAsia"/>
                <w:color w:val="auto"/>
              </w:rPr>
            </w:pPr>
          </w:p>
        </w:tc>
        <w:tc>
          <w:tcPr>
            <w:tcW w:w="1134" w:type="dxa"/>
            <w:noWrap w:val="0"/>
            <w:vAlign w:val="center"/>
          </w:tcPr>
          <w:p>
            <w:pPr>
              <w:jc w:val="right"/>
              <w:rPr>
                <w:color w:val="auto"/>
              </w:rPr>
            </w:pPr>
          </w:p>
        </w:tc>
        <w:tc>
          <w:tcPr>
            <w:tcW w:w="4980" w:type="dxa"/>
            <w:noWrap w:val="0"/>
            <w:vAlign w:val="center"/>
          </w:tcPr>
          <w:p>
            <w:pPr>
              <w:spacing w:line="360" w:lineRule="exact"/>
              <w:jc w:val="right"/>
              <w:rPr>
                <w:rFonts w:hint="default" w:eastAsia="黑体"/>
                <w:color w:val="auto"/>
                <w:lang w:val="en-US" w:eastAsia="zh-CN"/>
              </w:rPr>
            </w:pPr>
            <w:r>
              <w:rPr>
                <w:rFonts w:hint="eastAsia" w:eastAsia="黑体"/>
                <w:b/>
                <w:color w:val="auto"/>
                <w:sz w:val="28"/>
              </w:rPr>
              <w:t xml:space="preserve">T/DZJN </w:t>
            </w:r>
            <w:r>
              <w:rPr>
                <w:rFonts w:hint="eastAsia" w:ascii="黑体" w:hAnsi="黑体" w:eastAsia="黑体"/>
                <w:color w:val="auto"/>
                <w:spacing w:val="10"/>
                <w:sz w:val="28"/>
                <w:lang w:val="en-US" w:eastAsia="zh-CN"/>
              </w:rPr>
              <w:t>XX</w:t>
            </w:r>
            <w:r>
              <w:rPr>
                <w:rFonts w:hint="eastAsia" w:ascii="黑体" w:hAnsi="黑体" w:eastAsia="黑体"/>
                <w:color w:val="auto"/>
                <w:spacing w:val="10"/>
                <w:sz w:val="28"/>
              </w:rPr>
              <w:t>－20</w:t>
            </w:r>
            <w:r>
              <w:rPr>
                <w:rFonts w:hint="eastAsia" w:ascii="黑体" w:hAnsi="黑体" w:eastAsia="黑体"/>
                <w:color w:val="auto"/>
                <w:spacing w:val="10"/>
                <w:sz w:val="28"/>
                <w:lang w:val="en-US" w:eastAsia="zh-CN"/>
              </w:rPr>
              <w:t>XX</w:t>
            </w:r>
          </w:p>
        </w:tc>
        <w:tc>
          <w:tcPr>
            <w:tcW w:w="296" w:type="dxa"/>
            <w:noWrap w:val="0"/>
            <w:vAlign w:val="center"/>
          </w:tcPr>
          <w:p>
            <w:pPr>
              <w:rPr>
                <w:rFonts w:hint="eastAsia"/>
                <w:color w:val="auto"/>
              </w:rPr>
            </w:pPr>
          </w:p>
        </w:tc>
      </w:tr>
      <w:tr>
        <w:tblPrEx>
          <w:tblCellMar>
            <w:top w:w="0" w:type="dxa"/>
            <w:left w:w="0" w:type="dxa"/>
            <w:bottom w:w="0" w:type="dxa"/>
            <w:right w:w="0" w:type="dxa"/>
          </w:tblCellMar>
        </w:tblPrEx>
        <w:trPr>
          <w:cantSplit/>
          <w:trHeight w:val="587" w:hRule="exact"/>
        </w:trPr>
        <w:tc>
          <w:tcPr>
            <w:tcW w:w="3230" w:type="dxa"/>
            <w:gridSpan w:val="4"/>
            <w:noWrap w:val="0"/>
            <w:vAlign w:val="center"/>
          </w:tcPr>
          <w:p>
            <w:pPr>
              <w:rPr>
                <w:rFonts w:hint="eastAsia"/>
                <w:color w:val="auto"/>
              </w:rPr>
            </w:pPr>
          </w:p>
        </w:tc>
        <w:tc>
          <w:tcPr>
            <w:tcW w:w="1134" w:type="dxa"/>
            <w:noWrap w:val="0"/>
            <w:vAlign w:val="center"/>
          </w:tcPr>
          <w:p>
            <w:pPr>
              <w:jc w:val="right"/>
              <w:rPr>
                <w:color w:val="auto"/>
              </w:rPr>
            </w:pPr>
          </w:p>
        </w:tc>
        <w:tc>
          <w:tcPr>
            <w:tcW w:w="4980" w:type="dxa"/>
            <w:noWrap w:val="0"/>
            <w:vAlign w:val="center"/>
          </w:tcPr>
          <w:p>
            <w:pPr>
              <w:wordWrap w:val="0"/>
              <w:jc w:val="right"/>
              <w:rPr>
                <w:color w:val="auto"/>
              </w:rPr>
            </w:pPr>
          </w:p>
        </w:tc>
        <w:tc>
          <w:tcPr>
            <w:tcW w:w="296" w:type="dxa"/>
            <w:noWrap w:val="0"/>
            <w:vAlign w:val="center"/>
          </w:tcPr>
          <w:p>
            <w:pPr>
              <w:rPr>
                <w:color w:val="auto"/>
              </w:rPr>
            </w:pPr>
          </w:p>
        </w:tc>
      </w:tr>
      <w:tr>
        <w:tblPrEx>
          <w:tblCellMar>
            <w:top w:w="0" w:type="dxa"/>
            <w:left w:w="0" w:type="dxa"/>
            <w:bottom w:w="0" w:type="dxa"/>
            <w:right w:w="0" w:type="dxa"/>
          </w:tblCellMar>
        </w:tblPrEx>
        <w:trPr>
          <w:trHeight w:val="340" w:hRule="exact"/>
        </w:trPr>
        <w:tc>
          <w:tcPr>
            <w:tcW w:w="9640" w:type="dxa"/>
            <w:gridSpan w:val="7"/>
            <w:tcBorders>
              <w:bottom w:val="single" w:color="auto" w:sz="8" w:space="0"/>
            </w:tcBorders>
            <w:noWrap w:val="0"/>
            <w:vAlign w:val="top"/>
          </w:tcPr>
          <w:p>
            <w:pPr>
              <w:jc w:val="center"/>
              <w:rPr>
                <w:rFonts w:hint="eastAsia" w:eastAsia="黑体"/>
                <w:b/>
                <w:color w:val="auto"/>
                <w:sz w:val="52"/>
              </w:rPr>
            </w:pPr>
          </w:p>
        </w:tc>
      </w:tr>
      <w:tr>
        <w:tblPrEx>
          <w:tblCellMar>
            <w:top w:w="0" w:type="dxa"/>
            <w:left w:w="0" w:type="dxa"/>
            <w:bottom w:w="0" w:type="dxa"/>
            <w:right w:w="0" w:type="dxa"/>
          </w:tblCellMar>
        </w:tblPrEx>
        <w:trPr>
          <w:trHeight w:val="2268" w:hRule="exact"/>
        </w:trPr>
        <w:tc>
          <w:tcPr>
            <w:tcW w:w="9640" w:type="dxa"/>
            <w:gridSpan w:val="7"/>
            <w:tcBorders>
              <w:top w:val="single" w:color="auto" w:sz="8" w:space="0"/>
            </w:tcBorders>
            <w:noWrap w:val="0"/>
            <w:vAlign w:val="center"/>
          </w:tcPr>
          <w:p>
            <w:pPr>
              <w:jc w:val="center"/>
              <w:rPr>
                <w:rFonts w:hint="eastAsia" w:eastAsia="黑体"/>
                <w:color w:val="auto"/>
                <w:sz w:val="52"/>
              </w:rPr>
            </w:pPr>
          </w:p>
        </w:tc>
      </w:tr>
      <w:tr>
        <w:tblPrEx>
          <w:tblCellMar>
            <w:top w:w="0" w:type="dxa"/>
            <w:left w:w="0" w:type="dxa"/>
            <w:bottom w:w="0" w:type="dxa"/>
            <w:right w:w="0" w:type="dxa"/>
          </w:tblCellMar>
        </w:tblPrEx>
        <w:trPr>
          <w:trHeight w:val="964" w:hRule="exact"/>
        </w:trPr>
        <w:tc>
          <w:tcPr>
            <w:tcW w:w="9640" w:type="dxa"/>
            <w:gridSpan w:val="7"/>
            <w:noWrap w:val="0"/>
            <w:vAlign w:val="top"/>
          </w:tcPr>
          <w:p>
            <w:pPr>
              <w:pStyle w:val="95"/>
              <w:spacing w:line="700" w:lineRule="exact"/>
              <w:rPr>
                <w:rFonts w:hint="eastAsia" w:ascii="Times New Roman"/>
                <w:color w:val="auto"/>
              </w:rPr>
            </w:pPr>
            <w:r>
              <w:rPr>
                <w:rFonts w:hint="eastAsia" w:ascii="Times New Roman"/>
                <w:color w:val="auto"/>
                <w:szCs w:val="52"/>
                <w:lang w:val="en-US" w:eastAsia="zh-CN"/>
              </w:rPr>
              <w:t>静止</w:t>
            </w:r>
            <w:r>
              <w:rPr>
                <w:rFonts w:hint="eastAsia" w:ascii="Times New Roman"/>
                <w:color w:val="auto"/>
                <w:szCs w:val="52"/>
              </w:rPr>
              <w:t>无功</w:t>
            </w:r>
            <w:r>
              <w:rPr>
                <w:rFonts w:hint="eastAsia" w:ascii="Times New Roman"/>
                <w:color w:val="auto"/>
                <w:szCs w:val="52"/>
                <w:lang w:val="en-US" w:eastAsia="zh-CN"/>
              </w:rPr>
              <w:t>发生器</w:t>
            </w:r>
            <w:r>
              <w:rPr>
                <w:rFonts w:hint="eastAsia" w:ascii="Times New Roman"/>
                <w:color w:val="auto"/>
                <w:szCs w:val="52"/>
              </w:rPr>
              <w:t>节能技术规范</w:t>
            </w:r>
          </w:p>
        </w:tc>
      </w:tr>
      <w:tr>
        <w:tblPrEx>
          <w:tblCellMar>
            <w:top w:w="0" w:type="dxa"/>
            <w:left w:w="0" w:type="dxa"/>
            <w:bottom w:w="0" w:type="dxa"/>
            <w:right w:w="0" w:type="dxa"/>
          </w:tblCellMar>
        </w:tblPrEx>
        <w:trPr>
          <w:trHeight w:val="1247" w:hRule="exact"/>
        </w:trPr>
        <w:tc>
          <w:tcPr>
            <w:tcW w:w="9640" w:type="dxa"/>
            <w:gridSpan w:val="7"/>
            <w:noWrap w:val="0"/>
            <w:vAlign w:val="top"/>
          </w:tcPr>
          <w:p>
            <w:pPr>
              <w:spacing w:line="500" w:lineRule="exact"/>
              <w:jc w:val="center"/>
              <w:rPr>
                <w:rFonts w:hint="default"/>
                <w:b/>
                <w:color w:val="auto"/>
                <w:sz w:val="28"/>
                <w:szCs w:val="28"/>
                <w:lang w:val="en-US"/>
              </w:rPr>
            </w:pPr>
            <w:r>
              <w:rPr>
                <w:rFonts w:hint="eastAsia" w:eastAsia="Arial Unicode MS"/>
                <w:b/>
                <w:bCs/>
                <w:color w:val="auto"/>
                <w:sz w:val="28"/>
                <w:szCs w:val="28"/>
              </w:rPr>
              <w:t xml:space="preserve">Energy-saving Technical Specifications for Static Var </w:t>
            </w:r>
            <w:r>
              <w:rPr>
                <w:rFonts w:hint="eastAsia" w:eastAsia="Arial Unicode MS"/>
                <w:b/>
                <w:bCs/>
                <w:color w:val="auto"/>
                <w:sz w:val="28"/>
                <w:szCs w:val="28"/>
                <w:lang w:val="en-US" w:eastAsia="zh-CN"/>
              </w:rPr>
              <w:t>Generators</w:t>
            </w:r>
          </w:p>
        </w:tc>
      </w:tr>
      <w:tr>
        <w:tblPrEx>
          <w:tblCellMar>
            <w:top w:w="0" w:type="dxa"/>
            <w:left w:w="0" w:type="dxa"/>
            <w:bottom w:w="0" w:type="dxa"/>
            <w:right w:w="0" w:type="dxa"/>
          </w:tblCellMar>
        </w:tblPrEx>
        <w:trPr>
          <w:trHeight w:val="454" w:hRule="exact"/>
        </w:trPr>
        <w:tc>
          <w:tcPr>
            <w:tcW w:w="9640" w:type="dxa"/>
            <w:gridSpan w:val="7"/>
            <w:noWrap w:val="0"/>
            <w:vAlign w:val="center"/>
          </w:tcPr>
          <w:p>
            <w:pPr>
              <w:pStyle w:val="99"/>
              <w:spacing w:before="0" w:line="360" w:lineRule="exact"/>
              <w:rPr>
                <w:rFonts w:hint="eastAsia"/>
                <w:b/>
                <w:color w:val="auto"/>
                <w:szCs w:val="28"/>
              </w:rPr>
            </w:pPr>
          </w:p>
        </w:tc>
      </w:tr>
    </w:tbl>
    <w:p>
      <w:pPr>
        <w:rPr>
          <w:rFonts w:hint="eastAsia"/>
          <w:color w:val="auto"/>
        </w:rPr>
      </w:pPr>
      <w:r>
        <w:rPr>
          <w:color w:val="auto"/>
          <w:sz w:val="20"/>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ge">
                  <wp:posOffset>8317230</wp:posOffset>
                </wp:positionV>
                <wp:extent cx="6120130" cy="2160270"/>
                <wp:effectExtent l="0" t="0" r="13970" b="11430"/>
                <wp:wrapNone/>
                <wp:docPr id="5" name="文本框 5"/>
                <wp:cNvGraphicFramePr/>
                <a:graphic xmlns:a="http://schemas.openxmlformats.org/drawingml/2006/main">
                  <a:graphicData uri="http://schemas.microsoft.com/office/word/2010/wordprocessingShape">
                    <wps:wsp>
                      <wps:cNvSpPr txBox="1"/>
                      <wps:spPr>
                        <a:xfrm>
                          <a:off x="0" y="0"/>
                          <a:ext cx="6120130" cy="2160270"/>
                        </a:xfrm>
                        <a:prstGeom prst="rect">
                          <a:avLst/>
                        </a:prstGeom>
                        <a:solidFill>
                          <a:srgbClr val="FFFFFF"/>
                        </a:solidFill>
                        <a:ln>
                          <a:noFill/>
                        </a:ln>
                      </wps:spPr>
                      <wps:txbx>
                        <w:txbxContent>
                          <w:tbl>
                            <w:tblPr>
                              <w:tblStyle w:val="32"/>
                              <w:tblW w:w="0" w:type="auto"/>
                              <w:jc w:val="center"/>
                              <w:tblLayout w:type="fixed"/>
                              <w:tblCellMar>
                                <w:top w:w="0" w:type="dxa"/>
                                <w:left w:w="0" w:type="dxa"/>
                                <w:bottom w:w="0" w:type="dxa"/>
                                <w:right w:w="0" w:type="dxa"/>
                              </w:tblCellMar>
                            </w:tblPr>
                            <w:tblGrid>
                              <w:gridCol w:w="3232"/>
                              <w:gridCol w:w="3175"/>
                              <w:gridCol w:w="3232"/>
                            </w:tblGrid>
                            <w:tr>
                              <w:tblPrEx>
                                <w:tblCellMar>
                                  <w:top w:w="0" w:type="dxa"/>
                                  <w:left w:w="0" w:type="dxa"/>
                                  <w:bottom w:w="0" w:type="dxa"/>
                                  <w:right w:w="0" w:type="dxa"/>
                                </w:tblCellMar>
                              </w:tblPrEx>
                              <w:trPr>
                                <w:trHeight w:val="312" w:hRule="exact"/>
                                <w:jc w:val="center"/>
                              </w:trPr>
                              <w:tc>
                                <w:tcPr>
                                  <w:tcW w:w="9639" w:type="dxa"/>
                                  <w:gridSpan w:val="3"/>
                                  <w:noWrap w:val="0"/>
                                  <w:vAlign w:val="top"/>
                                </w:tcPr>
                                <w:p/>
                              </w:tc>
                            </w:tr>
                            <w:tr>
                              <w:tblPrEx>
                                <w:tblCellMar>
                                  <w:top w:w="0" w:type="dxa"/>
                                  <w:left w:w="0" w:type="dxa"/>
                                  <w:bottom w:w="0" w:type="dxa"/>
                                  <w:right w:w="0" w:type="dxa"/>
                                </w:tblCellMar>
                              </w:tblPrEx>
                              <w:trPr>
                                <w:trHeight w:val="567" w:hRule="exact"/>
                                <w:jc w:val="center"/>
                              </w:trPr>
                              <w:tc>
                                <w:tcPr>
                                  <w:tcW w:w="9639" w:type="dxa"/>
                                  <w:gridSpan w:val="3"/>
                                  <w:noWrap w:val="0"/>
                                  <w:vAlign w:val="top"/>
                                </w:tcPr>
                                <w:p/>
                              </w:tc>
                            </w:tr>
                            <w:tr>
                              <w:tblPrEx>
                                <w:tblCellMar>
                                  <w:top w:w="0" w:type="dxa"/>
                                  <w:left w:w="0" w:type="dxa"/>
                                  <w:bottom w:w="0" w:type="dxa"/>
                                  <w:right w:w="0" w:type="dxa"/>
                                </w:tblCellMar>
                              </w:tblPrEx>
                              <w:trPr>
                                <w:trHeight w:val="567" w:hRule="exact"/>
                                <w:jc w:val="center"/>
                              </w:trPr>
                              <w:tc>
                                <w:tcPr>
                                  <w:tcW w:w="3232" w:type="dxa"/>
                                  <w:tcBorders>
                                    <w:bottom w:val="single" w:color="auto" w:sz="8" w:space="0"/>
                                  </w:tcBorders>
                                  <w:noWrap w:val="0"/>
                                  <w:vAlign w:val="bottom"/>
                                </w:tcPr>
                                <w:p>
                                  <w:pPr>
                                    <w:rPr>
                                      <w:rFonts w:ascii="黑体" w:eastAsia="黑体"/>
                                      <w:color w:val="0D0D0D"/>
                                    </w:rPr>
                                  </w:pPr>
                                  <w:r>
                                    <w:rPr>
                                      <w:rFonts w:hint="eastAsia" w:ascii="黑体" w:hAnsi="黑体" w:eastAsia="黑体"/>
                                      <w:color w:val="0D0D0D"/>
                                      <w:spacing w:val="10"/>
                                      <w:sz w:val="28"/>
                                      <w:szCs w:val="28"/>
                                    </w:rPr>
                                    <w:t>202</w:t>
                                  </w:r>
                                  <w:r>
                                    <w:rPr>
                                      <w:rFonts w:hint="eastAsia" w:ascii="黑体" w:hAnsi="黑体" w:eastAsia="黑体"/>
                                      <w:color w:val="0D0D0D"/>
                                      <w:spacing w:val="10"/>
                                      <w:sz w:val="28"/>
                                      <w:szCs w:val="28"/>
                                      <w:lang w:val="en-US" w:eastAsia="zh-CN"/>
                                    </w:rPr>
                                    <w:t>6</w:t>
                                  </w:r>
                                  <w:r>
                                    <w:rPr>
                                      <w:rFonts w:hint="eastAsia" w:ascii="黑体" w:hAnsi="黑体" w:eastAsia="黑体"/>
                                      <w:color w:val="0D0D0D"/>
                                      <w:sz w:val="28"/>
                                    </w:rPr>
                                    <w:t>-</w:t>
                                  </w:r>
                                  <w:r>
                                    <w:rPr>
                                      <w:rFonts w:hint="eastAsia" w:ascii="黑体" w:hAnsi="黑体" w:eastAsia="黑体"/>
                                      <w:color w:val="0D0D0D"/>
                                      <w:spacing w:val="10"/>
                                      <w:sz w:val="28"/>
                                      <w:szCs w:val="28"/>
                                      <w:lang w:val="en-US" w:eastAsia="zh-CN"/>
                                    </w:rPr>
                                    <w:t>XX</w:t>
                                  </w:r>
                                  <w:r>
                                    <w:rPr>
                                      <w:rFonts w:hint="eastAsia" w:ascii="黑体" w:hAnsi="黑体" w:eastAsia="黑体"/>
                                      <w:color w:val="0D0D0D"/>
                                      <w:sz w:val="28"/>
                                    </w:rPr>
                                    <w:t>-</w:t>
                                  </w:r>
                                  <w:r>
                                    <w:rPr>
                                      <w:rFonts w:hint="eastAsia" w:ascii="黑体" w:hAnsi="黑体" w:eastAsia="黑体"/>
                                      <w:color w:val="0D0D0D"/>
                                      <w:spacing w:val="10"/>
                                      <w:sz w:val="28"/>
                                      <w:szCs w:val="28"/>
                                      <w:lang w:val="en-US" w:eastAsia="zh-CN"/>
                                    </w:rPr>
                                    <w:t>XX</w:t>
                                  </w:r>
                                  <w:r>
                                    <w:rPr>
                                      <w:rFonts w:hint="eastAsia" w:ascii="黑体" w:eastAsia="黑体"/>
                                      <w:color w:val="0D0D0D"/>
                                      <w:sz w:val="28"/>
                                    </w:rPr>
                                    <w:t>发布</w:t>
                                  </w:r>
                                </w:p>
                              </w:tc>
                              <w:tc>
                                <w:tcPr>
                                  <w:tcW w:w="3175" w:type="dxa"/>
                                  <w:tcBorders>
                                    <w:bottom w:val="single" w:color="auto" w:sz="8" w:space="0"/>
                                  </w:tcBorders>
                                  <w:noWrap w:val="0"/>
                                  <w:vAlign w:val="bottom"/>
                                </w:tcPr>
                                <w:p>
                                  <w:pPr>
                                    <w:jc w:val="center"/>
                                    <w:rPr>
                                      <w:rFonts w:hint="eastAsia" w:ascii="黑体" w:eastAsia="黑体"/>
                                      <w:sz w:val="28"/>
                                    </w:rPr>
                                  </w:pPr>
                                </w:p>
                              </w:tc>
                              <w:tc>
                                <w:tcPr>
                                  <w:tcW w:w="3232" w:type="dxa"/>
                                  <w:tcBorders>
                                    <w:bottom w:val="single" w:color="auto" w:sz="8" w:space="0"/>
                                  </w:tcBorders>
                                  <w:noWrap w:val="0"/>
                                  <w:vAlign w:val="bottom"/>
                                </w:tcPr>
                                <w:p>
                                  <w:pPr>
                                    <w:jc w:val="right"/>
                                    <w:rPr>
                                      <w:rFonts w:ascii="黑体" w:eastAsia="黑体"/>
                                      <w:color w:val="0D0D0D"/>
                                    </w:rPr>
                                  </w:pPr>
                                  <w:r>
                                    <w:rPr>
                                      <w:rFonts w:hint="eastAsia" w:ascii="黑体" w:hAnsi="黑体" w:eastAsia="黑体"/>
                                      <w:color w:val="0D0D0D"/>
                                      <w:spacing w:val="10"/>
                                      <w:sz w:val="28"/>
                                      <w:szCs w:val="28"/>
                                    </w:rPr>
                                    <w:t>202</w:t>
                                  </w:r>
                                  <w:r>
                                    <w:rPr>
                                      <w:rFonts w:hint="eastAsia" w:ascii="黑体" w:hAnsi="黑体" w:eastAsia="黑体"/>
                                      <w:color w:val="0D0D0D"/>
                                      <w:spacing w:val="10"/>
                                      <w:sz w:val="28"/>
                                      <w:szCs w:val="28"/>
                                      <w:lang w:val="en-US" w:eastAsia="zh-CN"/>
                                    </w:rPr>
                                    <w:t>6</w:t>
                                  </w:r>
                                  <w:r>
                                    <w:rPr>
                                      <w:rFonts w:hint="eastAsia" w:ascii="黑体" w:hAnsi="黑体" w:eastAsia="黑体"/>
                                      <w:color w:val="0D0D0D"/>
                                      <w:sz w:val="28"/>
                                    </w:rPr>
                                    <w:t>-</w:t>
                                  </w:r>
                                  <w:r>
                                    <w:rPr>
                                      <w:rFonts w:hint="eastAsia" w:ascii="黑体" w:hAnsi="黑体" w:eastAsia="黑体"/>
                                      <w:color w:val="0D0D0D"/>
                                      <w:spacing w:val="10"/>
                                      <w:sz w:val="28"/>
                                      <w:szCs w:val="28"/>
                                      <w:lang w:val="en-US" w:eastAsia="zh-CN"/>
                                    </w:rPr>
                                    <w:t>XX</w:t>
                                  </w:r>
                                  <w:r>
                                    <w:rPr>
                                      <w:rFonts w:hint="eastAsia" w:ascii="黑体" w:hAnsi="黑体" w:eastAsia="黑体"/>
                                      <w:color w:val="0D0D0D"/>
                                      <w:sz w:val="28"/>
                                    </w:rPr>
                                    <w:t>-</w:t>
                                  </w:r>
                                  <w:r>
                                    <w:rPr>
                                      <w:rFonts w:hint="eastAsia" w:ascii="黑体" w:hAnsi="黑体" w:eastAsia="黑体"/>
                                      <w:color w:val="0D0D0D"/>
                                      <w:spacing w:val="10"/>
                                      <w:sz w:val="28"/>
                                      <w:szCs w:val="28"/>
                                      <w:lang w:val="en-US" w:eastAsia="zh-CN"/>
                                    </w:rPr>
                                    <w:t>XX</w:t>
                                  </w:r>
                                  <w:r>
                                    <w:rPr>
                                      <w:rFonts w:hint="eastAsia" w:ascii="黑体" w:eastAsia="黑体"/>
                                      <w:color w:val="0D0D0D"/>
                                      <w:sz w:val="28"/>
                                    </w:rPr>
                                    <w:t>实施</w:t>
                                  </w:r>
                                </w:p>
                              </w:tc>
                            </w:tr>
                            <w:tr>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noWrap w:val="0"/>
                                  <w:vAlign w:val="center"/>
                                </w:tcPr>
                                <w:p>
                                  <w:pPr>
                                    <w:jc w:val="center"/>
                                    <w:rPr>
                                      <w:rFonts w:eastAsia="黑体"/>
                                      <w:spacing w:val="30"/>
                                      <w:sz w:val="32"/>
                                    </w:rPr>
                                  </w:pPr>
                                </w:p>
                              </w:tc>
                            </w:tr>
                            <w:tr>
                              <w:tblPrEx>
                                <w:tblCellMar>
                                  <w:top w:w="0" w:type="dxa"/>
                                  <w:left w:w="0" w:type="dxa"/>
                                  <w:bottom w:w="0" w:type="dxa"/>
                                  <w:right w:w="0" w:type="dxa"/>
                                </w:tblCellMar>
                              </w:tblPrEx>
                              <w:trPr>
                                <w:trHeight w:val="380" w:hRule="exact"/>
                                <w:jc w:val="center"/>
                              </w:trPr>
                              <w:tc>
                                <w:tcPr>
                                  <w:tcW w:w="9639" w:type="dxa"/>
                                  <w:gridSpan w:val="3"/>
                                  <w:noWrap w:val="0"/>
                                  <w:vAlign w:val="top"/>
                                </w:tcPr>
                                <w:p>
                                  <w:pPr>
                                    <w:spacing w:line="360" w:lineRule="exact"/>
                                    <w:jc w:val="center"/>
                                  </w:pPr>
                                  <w:r>
                                    <w:rPr>
                                      <w:rFonts w:hint="eastAsia" w:eastAsia="黑体"/>
                                      <w:spacing w:val="4"/>
                                      <w:sz w:val="32"/>
                                    </w:rPr>
                                    <w:t>中国电子节能技术协会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p>
                              </w:tc>
                            </w:tr>
                          </w:tbl>
                          <w:p/>
                        </w:txbxContent>
                      </wps:txbx>
                      <wps:bodyPr lIns="0" tIns="0" rIns="0" bIns="0" upright="1"/>
                    </wps:wsp>
                  </a:graphicData>
                </a:graphic>
              </wp:anchor>
            </w:drawing>
          </mc:Choice>
          <mc:Fallback>
            <w:pict>
              <v:shape id="_x0000_s1026" o:spid="_x0000_s1026" o:spt="202" type="#_x0000_t202" style="position:absolute;left:0pt;margin-left:0pt;margin-top:654.9pt;height:170.1pt;width:481.9pt;mso-position-vertical-relative:page;z-index:251659264;mso-width-relative:page;mso-height-relative:page;" fillcolor="#FFFFFF" filled="t" stroked="f" coordsize="21600,21600" o:allowincell="f" o:gfxdata="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eYeY/YAAAACgEAAA8AAAAAAAAAAQAgAAAAIgAA&#10;AGRycy9kb3ducmV2LnhtbFBLAQIUABQAAAAIAIdO4kAOyr64zwEAAJwDAAAOAAAAAAAAAAEAIAAA&#10;ACcBAABkcnMvZTJvRG9jLnhtbFBLBQYAAAAABgAGAFkBAABoBQAAAAA=&#10;">
                <v:fill on="t" focussize="0,0"/>
                <v:stroke on="f"/>
                <v:imagedata o:title=""/>
                <o:lock v:ext="edit" aspectratio="f"/>
                <v:textbox inset="0mm,0mm,0mm,0mm">
                  <w:txbxContent>
                    <w:tbl>
                      <w:tblPr>
                        <w:tblStyle w:val="32"/>
                        <w:tblW w:w="0" w:type="auto"/>
                        <w:jc w:val="center"/>
                        <w:tblLayout w:type="fixed"/>
                        <w:tblCellMar>
                          <w:top w:w="0" w:type="dxa"/>
                          <w:left w:w="0" w:type="dxa"/>
                          <w:bottom w:w="0" w:type="dxa"/>
                          <w:right w:w="0" w:type="dxa"/>
                        </w:tblCellMar>
                      </w:tblPr>
                      <w:tblGrid>
                        <w:gridCol w:w="3232"/>
                        <w:gridCol w:w="3175"/>
                        <w:gridCol w:w="3232"/>
                      </w:tblGrid>
                      <w:tr>
                        <w:tblPrEx>
                          <w:tblCellMar>
                            <w:top w:w="0" w:type="dxa"/>
                            <w:left w:w="0" w:type="dxa"/>
                            <w:bottom w:w="0" w:type="dxa"/>
                            <w:right w:w="0" w:type="dxa"/>
                          </w:tblCellMar>
                        </w:tblPrEx>
                        <w:trPr>
                          <w:trHeight w:val="312" w:hRule="exact"/>
                          <w:jc w:val="center"/>
                        </w:trPr>
                        <w:tc>
                          <w:tcPr>
                            <w:tcW w:w="9639" w:type="dxa"/>
                            <w:gridSpan w:val="3"/>
                            <w:noWrap w:val="0"/>
                            <w:vAlign w:val="top"/>
                          </w:tcPr>
                          <w:p/>
                        </w:tc>
                      </w:tr>
                      <w:tr>
                        <w:tblPrEx>
                          <w:tblCellMar>
                            <w:top w:w="0" w:type="dxa"/>
                            <w:left w:w="0" w:type="dxa"/>
                            <w:bottom w:w="0" w:type="dxa"/>
                            <w:right w:w="0" w:type="dxa"/>
                          </w:tblCellMar>
                        </w:tblPrEx>
                        <w:trPr>
                          <w:trHeight w:val="567" w:hRule="exact"/>
                          <w:jc w:val="center"/>
                        </w:trPr>
                        <w:tc>
                          <w:tcPr>
                            <w:tcW w:w="9639" w:type="dxa"/>
                            <w:gridSpan w:val="3"/>
                            <w:noWrap w:val="0"/>
                            <w:vAlign w:val="top"/>
                          </w:tcPr>
                          <w:p/>
                        </w:tc>
                      </w:tr>
                      <w:tr>
                        <w:tblPrEx>
                          <w:tblCellMar>
                            <w:top w:w="0" w:type="dxa"/>
                            <w:left w:w="0" w:type="dxa"/>
                            <w:bottom w:w="0" w:type="dxa"/>
                            <w:right w:w="0" w:type="dxa"/>
                          </w:tblCellMar>
                        </w:tblPrEx>
                        <w:trPr>
                          <w:trHeight w:val="567" w:hRule="exact"/>
                          <w:jc w:val="center"/>
                        </w:trPr>
                        <w:tc>
                          <w:tcPr>
                            <w:tcW w:w="3232" w:type="dxa"/>
                            <w:tcBorders>
                              <w:bottom w:val="single" w:color="auto" w:sz="8" w:space="0"/>
                            </w:tcBorders>
                            <w:noWrap w:val="0"/>
                            <w:vAlign w:val="bottom"/>
                          </w:tcPr>
                          <w:p>
                            <w:pPr>
                              <w:rPr>
                                <w:rFonts w:ascii="黑体" w:eastAsia="黑体"/>
                                <w:color w:val="0D0D0D"/>
                              </w:rPr>
                            </w:pPr>
                            <w:r>
                              <w:rPr>
                                <w:rFonts w:hint="eastAsia" w:ascii="黑体" w:hAnsi="黑体" w:eastAsia="黑体"/>
                                <w:color w:val="0D0D0D"/>
                                <w:spacing w:val="10"/>
                                <w:sz w:val="28"/>
                                <w:szCs w:val="28"/>
                              </w:rPr>
                              <w:t>202</w:t>
                            </w:r>
                            <w:r>
                              <w:rPr>
                                <w:rFonts w:hint="eastAsia" w:ascii="黑体" w:hAnsi="黑体" w:eastAsia="黑体"/>
                                <w:color w:val="0D0D0D"/>
                                <w:spacing w:val="10"/>
                                <w:sz w:val="28"/>
                                <w:szCs w:val="28"/>
                                <w:lang w:val="en-US" w:eastAsia="zh-CN"/>
                              </w:rPr>
                              <w:t>6</w:t>
                            </w:r>
                            <w:r>
                              <w:rPr>
                                <w:rFonts w:hint="eastAsia" w:ascii="黑体" w:hAnsi="黑体" w:eastAsia="黑体"/>
                                <w:color w:val="0D0D0D"/>
                                <w:sz w:val="28"/>
                              </w:rPr>
                              <w:t>-</w:t>
                            </w:r>
                            <w:r>
                              <w:rPr>
                                <w:rFonts w:hint="eastAsia" w:ascii="黑体" w:hAnsi="黑体" w:eastAsia="黑体"/>
                                <w:color w:val="0D0D0D"/>
                                <w:spacing w:val="10"/>
                                <w:sz w:val="28"/>
                                <w:szCs w:val="28"/>
                                <w:lang w:val="en-US" w:eastAsia="zh-CN"/>
                              </w:rPr>
                              <w:t>XX</w:t>
                            </w:r>
                            <w:r>
                              <w:rPr>
                                <w:rFonts w:hint="eastAsia" w:ascii="黑体" w:hAnsi="黑体" w:eastAsia="黑体"/>
                                <w:color w:val="0D0D0D"/>
                                <w:sz w:val="28"/>
                              </w:rPr>
                              <w:t>-</w:t>
                            </w:r>
                            <w:r>
                              <w:rPr>
                                <w:rFonts w:hint="eastAsia" w:ascii="黑体" w:hAnsi="黑体" w:eastAsia="黑体"/>
                                <w:color w:val="0D0D0D"/>
                                <w:spacing w:val="10"/>
                                <w:sz w:val="28"/>
                                <w:szCs w:val="28"/>
                                <w:lang w:val="en-US" w:eastAsia="zh-CN"/>
                              </w:rPr>
                              <w:t>XX</w:t>
                            </w:r>
                            <w:r>
                              <w:rPr>
                                <w:rFonts w:hint="eastAsia" w:ascii="黑体" w:eastAsia="黑体"/>
                                <w:color w:val="0D0D0D"/>
                                <w:sz w:val="28"/>
                              </w:rPr>
                              <w:t>发布</w:t>
                            </w:r>
                          </w:p>
                        </w:tc>
                        <w:tc>
                          <w:tcPr>
                            <w:tcW w:w="3175" w:type="dxa"/>
                            <w:tcBorders>
                              <w:bottom w:val="single" w:color="auto" w:sz="8" w:space="0"/>
                            </w:tcBorders>
                            <w:noWrap w:val="0"/>
                            <w:vAlign w:val="bottom"/>
                          </w:tcPr>
                          <w:p>
                            <w:pPr>
                              <w:jc w:val="center"/>
                              <w:rPr>
                                <w:rFonts w:hint="eastAsia" w:ascii="黑体" w:eastAsia="黑体"/>
                                <w:sz w:val="28"/>
                              </w:rPr>
                            </w:pPr>
                          </w:p>
                        </w:tc>
                        <w:tc>
                          <w:tcPr>
                            <w:tcW w:w="3232" w:type="dxa"/>
                            <w:tcBorders>
                              <w:bottom w:val="single" w:color="auto" w:sz="8" w:space="0"/>
                            </w:tcBorders>
                            <w:noWrap w:val="0"/>
                            <w:vAlign w:val="bottom"/>
                          </w:tcPr>
                          <w:p>
                            <w:pPr>
                              <w:jc w:val="right"/>
                              <w:rPr>
                                <w:rFonts w:ascii="黑体" w:eastAsia="黑体"/>
                                <w:color w:val="0D0D0D"/>
                              </w:rPr>
                            </w:pPr>
                            <w:r>
                              <w:rPr>
                                <w:rFonts w:hint="eastAsia" w:ascii="黑体" w:hAnsi="黑体" w:eastAsia="黑体"/>
                                <w:color w:val="0D0D0D"/>
                                <w:spacing w:val="10"/>
                                <w:sz w:val="28"/>
                                <w:szCs w:val="28"/>
                              </w:rPr>
                              <w:t>202</w:t>
                            </w:r>
                            <w:r>
                              <w:rPr>
                                <w:rFonts w:hint="eastAsia" w:ascii="黑体" w:hAnsi="黑体" w:eastAsia="黑体"/>
                                <w:color w:val="0D0D0D"/>
                                <w:spacing w:val="10"/>
                                <w:sz w:val="28"/>
                                <w:szCs w:val="28"/>
                                <w:lang w:val="en-US" w:eastAsia="zh-CN"/>
                              </w:rPr>
                              <w:t>6</w:t>
                            </w:r>
                            <w:r>
                              <w:rPr>
                                <w:rFonts w:hint="eastAsia" w:ascii="黑体" w:hAnsi="黑体" w:eastAsia="黑体"/>
                                <w:color w:val="0D0D0D"/>
                                <w:sz w:val="28"/>
                              </w:rPr>
                              <w:t>-</w:t>
                            </w:r>
                            <w:r>
                              <w:rPr>
                                <w:rFonts w:hint="eastAsia" w:ascii="黑体" w:hAnsi="黑体" w:eastAsia="黑体"/>
                                <w:color w:val="0D0D0D"/>
                                <w:spacing w:val="10"/>
                                <w:sz w:val="28"/>
                                <w:szCs w:val="28"/>
                                <w:lang w:val="en-US" w:eastAsia="zh-CN"/>
                              </w:rPr>
                              <w:t>XX</w:t>
                            </w:r>
                            <w:r>
                              <w:rPr>
                                <w:rFonts w:hint="eastAsia" w:ascii="黑体" w:hAnsi="黑体" w:eastAsia="黑体"/>
                                <w:color w:val="0D0D0D"/>
                                <w:sz w:val="28"/>
                              </w:rPr>
                              <w:t>-</w:t>
                            </w:r>
                            <w:r>
                              <w:rPr>
                                <w:rFonts w:hint="eastAsia" w:ascii="黑体" w:hAnsi="黑体" w:eastAsia="黑体"/>
                                <w:color w:val="0D0D0D"/>
                                <w:spacing w:val="10"/>
                                <w:sz w:val="28"/>
                                <w:szCs w:val="28"/>
                                <w:lang w:val="en-US" w:eastAsia="zh-CN"/>
                              </w:rPr>
                              <w:t>XX</w:t>
                            </w:r>
                            <w:r>
                              <w:rPr>
                                <w:rFonts w:hint="eastAsia" w:ascii="黑体" w:eastAsia="黑体"/>
                                <w:color w:val="0D0D0D"/>
                                <w:sz w:val="28"/>
                              </w:rPr>
                              <w:t>实施</w:t>
                            </w:r>
                          </w:p>
                        </w:tc>
                      </w:tr>
                      <w:tr>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noWrap w:val="0"/>
                            <w:vAlign w:val="center"/>
                          </w:tcPr>
                          <w:p>
                            <w:pPr>
                              <w:jc w:val="center"/>
                              <w:rPr>
                                <w:rFonts w:eastAsia="黑体"/>
                                <w:spacing w:val="30"/>
                                <w:sz w:val="32"/>
                              </w:rPr>
                            </w:pPr>
                          </w:p>
                        </w:tc>
                      </w:tr>
                      <w:tr>
                        <w:tblPrEx>
                          <w:tblCellMar>
                            <w:top w:w="0" w:type="dxa"/>
                            <w:left w:w="0" w:type="dxa"/>
                            <w:bottom w:w="0" w:type="dxa"/>
                            <w:right w:w="0" w:type="dxa"/>
                          </w:tblCellMar>
                        </w:tblPrEx>
                        <w:trPr>
                          <w:trHeight w:val="380" w:hRule="exact"/>
                          <w:jc w:val="center"/>
                        </w:trPr>
                        <w:tc>
                          <w:tcPr>
                            <w:tcW w:w="9639" w:type="dxa"/>
                            <w:gridSpan w:val="3"/>
                            <w:noWrap w:val="0"/>
                            <w:vAlign w:val="top"/>
                          </w:tcPr>
                          <w:p>
                            <w:pPr>
                              <w:spacing w:line="360" w:lineRule="exact"/>
                              <w:jc w:val="center"/>
                            </w:pPr>
                            <w:r>
                              <w:rPr>
                                <w:rFonts w:hint="eastAsia" w:eastAsia="黑体"/>
                                <w:spacing w:val="4"/>
                                <w:sz w:val="32"/>
                              </w:rPr>
                              <w:t>中国电子节能技术协会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p>
                        </w:tc>
                      </w:tr>
                    </w:tbl>
                    <w:p/>
                  </w:txbxContent>
                </v:textbox>
              </v:shape>
            </w:pict>
          </mc:Fallback>
        </mc:AlternateContent>
      </w:r>
    </w:p>
    <w:p>
      <w:pPr>
        <w:rPr>
          <w:rFonts w:hint="eastAsia" w:ascii="黑体" w:hAnsi="黑体" w:eastAsia="黑体" w:cs="黑体"/>
          <w:b w:val="0"/>
          <w:color w:val="auto"/>
          <w:sz w:val="32"/>
          <w:szCs w:val="32"/>
        </w:rPr>
      </w:pPr>
      <w:r>
        <w:rPr>
          <w:rFonts w:hint="eastAsia"/>
          <w:color w:val="auto"/>
        </w:rPr>
        <w:br w:type="page"/>
      </w:r>
    </w:p>
    <w:p>
      <w:pPr>
        <w:rPr>
          <w:rFonts w:hint="eastAsia" w:ascii="黑体" w:hAnsi="黑体" w:eastAsia="黑体" w:cs="黑体"/>
          <w:b w:val="0"/>
          <w:color w:val="auto"/>
          <w:sz w:val="32"/>
          <w:szCs w:val="32"/>
        </w:rPr>
        <w:sectPr>
          <w:headerReference r:id="rId5" w:type="first"/>
          <w:headerReference r:id="rId3" w:type="default"/>
          <w:footerReference r:id="rId6" w:type="default"/>
          <w:headerReference r:id="rId4" w:type="even"/>
          <w:footerReference r:id="rId7" w:type="even"/>
          <w:endnotePr>
            <w:numFmt w:val="decimal"/>
          </w:endnotePr>
          <w:pgSz w:w="11907" w:h="16839"/>
          <w:pgMar w:top="1089" w:right="1134" w:bottom="936" w:left="1134" w:header="1134" w:footer="851" w:gutter="0"/>
          <w:pgNumType w:fmt="upperRoman" w:start="1"/>
          <w:cols w:space="720" w:num="1"/>
          <w:titlePg/>
          <w:docGrid w:type="lines" w:linePitch="312" w:charSpace="0"/>
        </w:sectPr>
      </w:pPr>
    </w:p>
    <w:sdt>
      <w:sdtPr>
        <w:rPr>
          <w:rFonts w:ascii="宋体" w:hAnsi="宋体" w:eastAsia="宋体" w:cs="Times New Roman"/>
          <w:color w:val="auto"/>
          <w:kern w:val="2"/>
          <w:sz w:val="21"/>
          <w:szCs w:val="24"/>
          <w:lang w:val="en-US" w:eastAsia="zh-CN" w:bidi="ar-SA"/>
        </w:rPr>
        <w:id w:val="147454950"/>
        <w15:color w:val="DBDBDB"/>
        <w:docPartObj>
          <w:docPartGallery w:val="Table of Contents"/>
          <w:docPartUnique/>
        </w:docPartObj>
      </w:sdtPr>
      <w:sdtEndPr>
        <w:rPr>
          <w:rFonts w:hint="eastAsia" w:ascii="宋体" w:hAnsi="宋体" w:eastAsia="宋体" w:cs="Times New Roman"/>
          <w:color w:val="auto"/>
          <w:kern w:val="2"/>
          <w:sz w:val="21"/>
          <w:szCs w:val="24"/>
          <w:lang w:val="en-US" w:eastAsia="zh-CN" w:bidi="ar-SA"/>
        </w:rPr>
      </w:sdtEndPr>
      <w:sdtContent>
        <w:tbl>
          <w:tblPr>
            <w:tblStyle w:val="32"/>
            <w:tblW w:w="9356" w:type="dxa"/>
            <w:jc w:val="center"/>
            <w:tblLayout w:type="fixed"/>
            <w:tblCellMar>
              <w:top w:w="0" w:type="dxa"/>
              <w:left w:w="0" w:type="dxa"/>
              <w:bottom w:w="0" w:type="dxa"/>
              <w:right w:w="0" w:type="dxa"/>
            </w:tblCellMar>
          </w:tblPr>
          <w:tblGrid>
            <w:gridCol w:w="9356"/>
          </w:tblGrid>
          <w:tr>
            <w:tblPrEx>
              <w:tblCellMar>
                <w:top w:w="0" w:type="dxa"/>
                <w:left w:w="0" w:type="dxa"/>
                <w:bottom w:w="0" w:type="dxa"/>
                <w:right w:w="0" w:type="dxa"/>
              </w:tblCellMar>
            </w:tblPrEx>
            <w:trPr>
              <w:trHeight w:val="567" w:hRule="exact"/>
              <w:jc w:val="center"/>
            </w:trPr>
            <w:tc>
              <w:tcPr>
                <w:tcW w:w="9356" w:type="dxa"/>
                <w:vAlign w:val="center"/>
              </w:tcPr>
              <w:p>
                <w:pPr>
                  <w:spacing w:before="0" w:beforeLines="0" w:after="0" w:afterLines="0" w:line="240" w:lineRule="auto"/>
                  <w:ind w:left="0" w:leftChars="0" w:right="0" w:rightChars="0" w:firstLine="0" w:firstLineChars="0"/>
                  <w:jc w:val="center"/>
                  <w:rPr>
                    <w:rFonts w:hint="default" w:eastAsia="华文中宋"/>
                    <w:color w:val="000000" w:themeColor="text1"/>
                    <w14:textFill>
                      <w14:solidFill>
                        <w14:schemeClr w14:val="tx1"/>
                      </w14:solidFill>
                    </w14:textFill>
                  </w:rPr>
                </w:pPr>
              </w:p>
            </w:tc>
          </w:tr>
          <w:tr>
            <w:trPr>
              <w:trHeight w:val="360" w:hRule="exact"/>
              <w:jc w:val="center"/>
            </w:trPr>
            <w:tc>
              <w:tcPr>
                <w:tcW w:w="9356" w:type="dxa"/>
                <w:vAlign w:val="center"/>
              </w:tcPr>
              <w:p>
                <w:pPr>
                  <w:keepNext/>
                  <w:keepLines/>
                  <w:suppressLineNumbers w:val="0"/>
                  <w:tabs>
                    <w:tab w:val="center" w:pos="6804"/>
                    <w:tab w:val="right" w:pos="7371"/>
                  </w:tabs>
                  <w:spacing w:before="0" w:beforeAutospacing="0" w:after="0" w:afterAutospacing="0" w:line="360" w:lineRule="exact"/>
                  <w:ind w:left="0" w:right="0"/>
                  <w:jc w:val="center"/>
                  <w:rPr>
                    <w:rFonts w:hint="default" w:ascii="黑体"/>
                    <w:color w:val="000000" w:themeColor="text1"/>
                    <w14:textFill>
                      <w14:solidFill>
                        <w14:schemeClr w14:val="tx1"/>
                      </w14:solidFill>
                    </w14:textFill>
                  </w:rPr>
                </w:pPr>
                <w:bookmarkStart w:id="0" w:name="_Toc14709"/>
                <w:bookmarkStart w:id="1" w:name="_Toc160204362"/>
                <w:bookmarkStart w:id="2" w:name="_Toc14647"/>
                <w:bookmarkStart w:id="3" w:name="_Toc610"/>
                <w:bookmarkStart w:id="4" w:name="_Toc160450722"/>
                <w:r>
                  <w:rPr>
                    <w:rFonts w:hint="eastAsia" w:ascii="黑体" w:hAnsi="黑体" w:eastAsia="黑体" w:cs="黑体"/>
                    <w:color w:val="000000" w:themeColor="text1"/>
                    <w:sz w:val="32"/>
                    <w14:textFill>
                      <w14:solidFill>
                        <w14:schemeClr w14:val="tx1"/>
                      </w14:solidFill>
                    </w14:textFill>
                  </w:rPr>
                  <w:t>目    次</w:t>
                </w:r>
                <w:bookmarkEnd w:id="0"/>
                <w:bookmarkEnd w:id="1"/>
                <w:bookmarkEnd w:id="2"/>
                <w:bookmarkEnd w:id="3"/>
                <w:bookmarkEnd w:id="4"/>
              </w:p>
            </w:tc>
          </w:tr>
          <w:tr>
            <w:tblPrEx>
              <w:tblCellMar>
                <w:top w:w="0" w:type="dxa"/>
                <w:left w:w="0" w:type="dxa"/>
                <w:bottom w:w="0" w:type="dxa"/>
                <w:right w:w="0" w:type="dxa"/>
              </w:tblCellMar>
            </w:tblPrEx>
            <w:trPr>
              <w:trHeight w:val="680" w:hRule="exact"/>
              <w:jc w:val="center"/>
            </w:trPr>
            <w:tc>
              <w:tcPr>
                <w:tcW w:w="9356" w:type="dxa"/>
                <w:vAlign w:val="center"/>
              </w:tcPr>
              <w:p>
                <w:pPr>
                  <w:keepNext w:val="0"/>
                  <w:keepLines w:val="0"/>
                  <w:suppressLineNumbers w:val="0"/>
                  <w:tabs>
                    <w:tab w:val="center" w:pos="6804"/>
                    <w:tab w:val="right" w:pos="7371"/>
                  </w:tabs>
                  <w:spacing w:before="0" w:beforeAutospacing="0" w:after="0" w:afterAutospacing="0"/>
                  <w:ind w:left="0" w:right="0"/>
                  <w:jc w:val="center"/>
                  <w:rPr>
                    <w:rFonts w:hint="default" w:eastAsia="华文中宋"/>
                    <w:color w:val="000000" w:themeColor="text1"/>
                    <w14:textFill>
                      <w14:solidFill>
                        <w14:schemeClr w14:val="tx1"/>
                      </w14:solidFill>
                    </w14:textFill>
                  </w:rPr>
                </w:pPr>
              </w:p>
            </w:tc>
          </w:tr>
        </w:tbl>
        <w:p>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TOC \o "1-1" \h \u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 HYPERLINK \l _Toc24472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t>前言</w:t>
          </w:r>
          <w:r>
            <w:rPr>
              <w:rFonts w:ascii="Times New Roman" w:hAnsi="Times New Roman" w:eastAsia="宋体" w:cs="Times New Roman"/>
              <w:kern w:val="0"/>
              <w:szCs w:val="20"/>
              <w:lang w:val="en-US" w:eastAsia="zh-CN"/>
            </w:rPr>
            <w:tab/>
          </w:r>
          <w:r>
            <w:rPr>
              <w:rFonts w:ascii="Times New Roman" w:hAnsi="Times New Roman" w:eastAsia="宋体" w:cs="Times New Roman"/>
              <w:kern w:val="0"/>
              <w:szCs w:val="20"/>
              <w:lang w:val="en-US" w:eastAsia="zh-CN"/>
            </w:rPr>
            <w:fldChar w:fldCharType="begin"/>
          </w:r>
          <w:r>
            <w:rPr>
              <w:rFonts w:ascii="Times New Roman" w:hAnsi="Times New Roman" w:eastAsia="宋体" w:cs="Times New Roman"/>
              <w:kern w:val="0"/>
              <w:szCs w:val="20"/>
              <w:lang w:val="en-US" w:eastAsia="zh-CN"/>
            </w:rPr>
            <w:instrText xml:space="preserve"> PAGEREF _Toc24472 \h </w:instrText>
          </w:r>
          <w:r>
            <w:rPr>
              <w:rFonts w:ascii="Times New Roman" w:hAnsi="Times New Roman" w:eastAsia="宋体" w:cs="Times New Roman"/>
              <w:kern w:val="0"/>
              <w:szCs w:val="20"/>
              <w:lang w:val="en-US" w:eastAsia="zh-CN"/>
            </w:rPr>
            <w:fldChar w:fldCharType="separate"/>
          </w:r>
          <w:r>
            <w:rPr>
              <w:rFonts w:ascii="Times New Roman" w:hAnsi="Times New Roman" w:eastAsia="宋体" w:cs="Times New Roman"/>
              <w:kern w:val="0"/>
              <w:szCs w:val="20"/>
              <w:lang w:val="en-US" w:eastAsia="zh-CN"/>
            </w:rPr>
            <w:t>II</w:t>
          </w:r>
          <w:r>
            <w:rPr>
              <w:rFonts w:ascii="Times New Roman" w:hAnsi="Times New Roman" w:eastAsia="宋体" w:cs="Times New Roman"/>
              <w:kern w:val="0"/>
              <w:szCs w:val="20"/>
              <w:lang w:val="en-US" w:eastAsia="zh-CN"/>
            </w:rPr>
            <w:fldChar w:fldCharType="end"/>
          </w:r>
          <w:r>
            <w:rPr>
              <w:rFonts w:hint="eastAsia" w:ascii="Times New Roman" w:hAnsi="Times New Roman" w:eastAsia="宋体" w:cs="Times New Roman"/>
              <w:kern w:val="0"/>
              <w:szCs w:val="20"/>
              <w:lang w:val="en-US" w:eastAsia="zh-CN"/>
            </w:rPr>
            <w:fldChar w:fldCharType="end"/>
          </w:r>
        </w:p>
        <w:p>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 HYPERLINK \l _Toc17325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t>1 范围</w:t>
          </w:r>
          <w:r>
            <w:rPr>
              <w:rFonts w:ascii="Times New Roman" w:hAnsi="Times New Roman" w:eastAsia="宋体" w:cs="Times New Roman"/>
              <w:kern w:val="0"/>
              <w:szCs w:val="20"/>
              <w:lang w:val="en-US" w:eastAsia="zh-CN"/>
            </w:rPr>
            <w:tab/>
          </w:r>
          <w:r>
            <w:rPr>
              <w:rFonts w:ascii="Times New Roman" w:hAnsi="Times New Roman" w:eastAsia="宋体" w:cs="Times New Roman"/>
              <w:kern w:val="0"/>
              <w:szCs w:val="20"/>
              <w:lang w:val="en-US" w:eastAsia="zh-CN"/>
            </w:rPr>
            <w:fldChar w:fldCharType="begin"/>
          </w:r>
          <w:r>
            <w:rPr>
              <w:rFonts w:ascii="Times New Roman" w:hAnsi="Times New Roman" w:eastAsia="宋体" w:cs="Times New Roman"/>
              <w:kern w:val="0"/>
              <w:szCs w:val="20"/>
              <w:lang w:val="en-US" w:eastAsia="zh-CN"/>
            </w:rPr>
            <w:instrText xml:space="preserve"> PAGEREF _Toc17325 \h </w:instrText>
          </w:r>
          <w:r>
            <w:rPr>
              <w:rFonts w:ascii="Times New Roman" w:hAnsi="Times New Roman" w:eastAsia="宋体" w:cs="Times New Roman"/>
              <w:kern w:val="0"/>
              <w:szCs w:val="20"/>
              <w:lang w:val="en-US" w:eastAsia="zh-CN"/>
            </w:rPr>
            <w:fldChar w:fldCharType="separate"/>
          </w:r>
          <w:r>
            <w:rPr>
              <w:rFonts w:ascii="Times New Roman" w:hAnsi="Times New Roman" w:eastAsia="宋体" w:cs="Times New Roman"/>
              <w:kern w:val="0"/>
              <w:szCs w:val="20"/>
              <w:lang w:val="en-US" w:eastAsia="zh-CN"/>
            </w:rPr>
            <w:t>1</w:t>
          </w:r>
          <w:r>
            <w:rPr>
              <w:rFonts w:ascii="Times New Roman" w:hAnsi="Times New Roman" w:eastAsia="宋体" w:cs="Times New Roman"/>
              <w:kern w:val="0"/>
              <w:szCs w:val="20"/>
              <w:lang w:val="en-US" w:eastAsia="zh-CN"/>
            </w:rPr>
            <w:fldChar w:fldCharType="end"/>
          </w:r>
          <w:r>
            <w:rPr>
              <w:rFonts w:hint="eastAsia" w:ascii="Times New Roman" w:hAnsi="Times New Roman" w:eastAsia="宋体" w:cs="Times New Roman"/>
              <w:kern w:val="0"/>
              <w:szCs w:val="20"/>
              <w:lang w:val="en-US" w:eastAsia="zh-CN"/>
            </w:rPr>
            <w:fldChar w:fldCharType="end"/>
          </w:r>
        </w:p>
        <w:p>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 HYPERLINK \l _Toc27125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t>2 规范性引用文件</w:t>
          </w:r>
          <w:r>
            <w:rPr>
              <w:rFonts w:ascii="Times New Roman" w:hAnsi="Times New Roman" w:eastAsia="宋体" w:cs="Times New Roman"/>
              <w:kern w:val="0"/>
              <w:szCs w:val="20"/>
              <w:lang w:val="en-US" w:eastAsia="zh-CN"/>
            </w:rPr>
            <w:tab/>
          </w:r>
          <w:r>
            <w:rPr>
              <w:rFonts w:ascii="Times New Roman" w:hAnsi="Times New Roman" w:eastAsia="宋体" w:cs="Times New Roman"/>
              <w:kern w:val="0"/>
              <w:szCs w:val="20"/>
              <w:lang w:val="en-US" w:eastAsia="zh-CN"/>
            </w:rPr>
            <w:fldChar w:fldCharType="begin"/>
          </w:r>
          <w:r>
            <w:rPr>
              <w:rFonts w:ascii="Times New Roman" w:hAnsi="Times New Roman" w:eastAsia="宋体" w:cs="Times New Roman"/>
              <w:kern w:val="0"/>
              <w:szCs w:val="20"/>
              <w:lang w:val="en-US" w:eastAsia="zh-CN"/>
            </w:rPr>
            <w:instrText xml:space="preserve"> PAGEREF _Toc27125 \h </w:instrText>
          </w:r>
          <w:r>
            <w:rPr>
              <w:rFonts w:ascii="Times New Roman" w:hAnsi="Times New Roman" w:eastAsia="宋体" w:cs="Times New Roman"/>
              <w:kern w:val="0"/>
              <w:szCs w:val="20"/>
              <w:lang w:val="en-US" w:eastAsia="zh-CN"/>
            </w:rPr>
            <w:fldChar w:fldCharType="separate"/>
          </w:r>
          <w:r>
            <w:rPr>
              <w:rFonts w:ascii="Times New Roman" w:hAnsi="Times New Roman" w:eastAsia="宋体" w:cs="Times New Roman"/>
              <w:kern w:val="0"/>
              <w:szCs w:val="20"/>
              <w:lang w:val="en-US" w:eastAsia="zh-CN"/>
            </w:rPr>
            <w:t>1</w:t>
          </w:r>
          <w:r>
            <w:rPr>
              <w:rFonts w:ascii="Times New Roman" w:hAnsi="Times New Roman" w:eastAsia="宋体" w:cs="Times New Roman"/>
              <w:kern w:val="0"/>
              <w:szCs w:val="20"/>
              <w:lang w:val="en-US" w:eastAsia="zh-CN"/>
            </w:rPr>
            <w:fldChar w:fldCharType="end"/>
          </w:r>
          <w:r>
            <w:rPr>
              <w:rFonts w:hint="eastAsia" w:ascii="Times New Roman" w:hAnsi="Times New Roman" w:eastAsia="宋体" w:cs="Times New Roman"/>
              <w:kern w:val="0"/>
              <w:szCs w:val="20"/>
              <w:lang w:val="en-US" w:eastAsia="zh-CN"/>
            </w:rPr>
            <w:fldChar w:fldCharType="end"/>
          </w:r>
        </w:p>
        <w:p>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 HYPERLINK \l _Toc13429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t>3 术语和定义</w:t>
          </w:r>
          <w:r>
            <w:rPr>
              <w:rFonts w:ascii="Times New Roman" w:hAnsi="Times New Roman" w:eastAsia="宋体" w:cs="Times New Roman"/>
              <w:kern w:val="0"/>
              <w:szCs w:val="20"/>
              <w:lang w:val="en-US" w:eastAsia="zh-CN"/>
            </w:rPr>
            <w:tab/>
          </w:r>
          <w:r>
            <w:rPr>
              <w:rFonts w:ascii="Times New Roman" w:hAnsi="Times New Roman" w:eastAsia="宋体" w:cs="Times New Roman"/>
              <w:kern w:val="0"/>
              <w:szCs w:val="20"/>
              <w:lang w:val="en-US" w:eastAsia="zh-CN"/>
            </w:rPr>
            <w:fldChar w:fldCharType="begin"/>
          </w:r>
          <w:r>
            <w:rPr>
              <w:rFonts w:ascii="Times New Roman" w:hAnsi="Times New Roman" w:eastAsia="宋体" w:cs="Times New Roman"/>
              <w:kern w:val="0"/>
              <w:szCs w:val="20"/>
              <w:lang w:val="en-US" w:eastAsia="zh-CN"/>
            </w:rPr>
            <w:instrText xml:space="preserve"> PAGEREF _Toc13429 \h </w:instrText>
          </w:r>
          <w:r>
            <w:rPr>
              <w:rFonts w:ascii="Times New Roman" w:hAnsi="Times New Roman" w:eastAsia="宋体" w:cs="Times New Roman"/>
              <w:kern w:val="0"/>
              <w:szCs w:val="20"/>
              <w:lang w:val="en-US" w:eastAsia="zh-CN"/>
            </w:rPr>
            <w:fldChar w:fldCharType="separate"/>
          </w:r>
          <w:r>
            <w:rPr>
              <w:rFonts w:ascii="Times New Roman" w:hAnsi="Times New Roman" w:eastAsia="宋体" w:cs="Times New Roman"/>
              <w:kern w:val="0"/>
              <w:szCs w:val="20"/>
              <w:lang w:val="en-US" w:eastAsia="zh-CN"/>
            </w:rPr>
            <w:t>1</w:t>
          </w:r>
          <w:r>
            <w:rPr>
              <w:rFonts w:ascii="Times New Roman" w:hAnsi="Times New Roman" w:eastAsia="宋体" w:cs="Times New Roman"/>
              <w:kern w:val="0"/>
              <w:szCs w:val="20"/>
              <w:lang w:val="en-US" w:eastAsia="zh-CN"/>
            </w:rPr>
            <w:fldChar w:fldCharType="end"/>
          </w:r>
          <w:r>
            <w:rPr>
              <w:rFonts w:hint="eastAsia" w:ascii="Times New Roman" w:hAnsi="Times New Roman" w:eastAsia="宋体" w:cs="Times New Roman"/>
              <w:kern w:val="0"/>
              <w:szCs w:val="20"/>
              <w:lang w:val="en-US" w:eastAsia="zh-CN"/>
            </w:rPr>
            <w:fldChar w:fldCharType="end"/>
          </w:r>
        </w:p>
        <w:p>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 HYPERLINK \l _Toc15904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t>4 总体要求</w:t>
          </w:r>
          <w:r>
            <w:rPr>
              <w:rFonts w:ascii="Times New Roman" w:hAnsi="Times New Roman" w:eastAsia="宋体" w:cs="Times New Roman"/>
              <w:kern w:val="0"/>
              <w:szCs w:val="20"/>
              <w:lang w:val="en-US" w:eastAsia="zh-CN"/>
            </w:rPr>
            <w:tab/>
          </w:r>
          <w:r>
            <w:rPr>
              <w:rFonts w:ascii="Times New Roman" w:hAnsi="Times New Roman" w:eastAsia="宋体" w:cs="Times New Roman"/>
              <w:kern w:val="0"/>
              <w:szCs w:val="20"/>
              <w:lang w:val="en-US" w:eastAsia="zh-CN"/>
            </w:rPr>
            <w:fldChar w:fldCharType="begin"/>
          </w:r>
          <w:r>
            <w:rPr>
              <w:rFonts w:ascii="Times New Roman" w:hAnsi="Times New Roman" w:eastAsia="宋体" w:cs="Times New Roman"/>
              <w:kern w:val="0"/>
              <w:szCs w:val="20"/>
              <w:lang w:val="en-US" w:eastAsia="zh-CN"/>
            </w:rPr>
            <w:instrText xml:space="preserve"> PAGEREF _Toc15904 \h </w:instrText>
          </w:r>
          <w:r>
            <w:rPr>
              <w:rFonts w:ascii="Times New Roman" w:hAnsi="Times New Roman" w:eastAsia="宋体" w:cs="Times New Roman"/>
              <w:kern w:val="0"/>
              <w:szCs w:val="20"/>
              <w:lang w:val="en-US" w:eastAsia="zh-CN"/>
            </w:rPr>
            <w:fldChar w:fldCharType="separate"/>
          </w:r>
          <w:r>
            <w:rPr>
              <w:rFonts w:ascii="Times New Roman" w:hAnsi="Times New Roman" w:eastAsia="宋体" w:cs="Times New Roman"/>
              <w:kern w:val="0"/>
              <w:szCs w:val="20"/>
              <w:lang w:val="en-US" w:eastAsia="zh-CN"/>
            </w:rPr>
            <w:t>1</w:t>
          </w:r>
          <w:r>
            <w:rPr>
              <w:rFonts w:ascii="Times New Roman" w:hAnsi="Times New Roman" w:eastAsia="宋体" w:cs="Times New Roman"/>
              <w:kern w:val="0"/>
              <w:szCs w:val="20"/>
              <w:lang w:val="en-US" w:eastAsia="zh-CN"/>
            </w:rPr>
            <w:fldChar w:fldCharType="end"/>
          </w:r>
          <w:r>
            <w:rPr>
              <w:rFonts w:hint="eastAsia" w:ascii="Times New Roman" w:hAnsi="Times New Roman" w:eastAsia="宋体" w:cs="Times New Roman"/>
              <w:kern w:val="0"/>
              <w:szCs w:val="20"/>
              <w:lang w:val="en-US" w:eastAsia="zh-CN"/>
            </w:rPr>
            <w:fldChar w:fldCharType="end"/>
          </w:r>
        </w:p>
        <w:p>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 HYPERLINK \l _Toc16905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t>5 节能设计</w:t>
          </w:r>
          <w:r>
            <w:rPr>
              <w:rFonts w:ascii="Times New Roman" w:hAnsi="Times New Roman" w:eastAsia="宋体" w:cs="Times New Roman"/>
              <w:kern w:val="0"/>
              <w:szCs w:val="20"/>
              <w:lang w:val="en-US" w:eastAsia="zh-CN"/>
            </w:rPr>
            <w:tab/>
          </w:r>
          <w:r>
            <w:rPr>
              <w:rFonts w:ascii="Times New Roman" w:hAnsi="Times New Roman" w:eastAsia="宋体" w:cs="Times New Roman"/>
              <w:kern w:val="0"/>
              <w:szCs w:val="20"/>
              <w:lang w:val="en-US" w:eastAsia="zh-CN"/>
            </w:rPr>
            <w:fldChar w:fldCharType="begin"/>
          </w:r>
          <w:r>
            <w:rPr>
              <w:rFonts w:ascii="Times New Roman" w:hAnsi="Times New Roman" w:eastAsia="宋体" w:cs="Times New Roman"/>
              <w:kern w:val="0"/>
              <w:szCs w:val="20"/>
              <w:lang w:val="en-US" w:eastAsia="zh-CN"/>
            </w:rPr>
            <w:instrText xml:space="preserve"> PAGEREF _Toc16905 \h </w:instrText>
          </w:r>
          <w:r>
            <w:rPr>
              <w:rFonts w:ascii="Times New Roman" w:hAnsi="Times New Roman" w:eastAsia="宋体" w:cs="Times New Roman"/>
              <w:kern w:val="0"/>
              <w:szCs w:val="20"/>
              <w:lang w:val="en-US" w:eastAsia="zh-CN"/>
            </w:rPr>
            <w:fldChar w:fldCharType="separate"/>
          </w:r>
          <w:r>
            <w:rPr>
              <w:rFonts w:ascii="Times New Roman" w:hAnsi="Times New Roman" w:eastAsia="宋体" w:cs="Times New Roman"/>
              <w:kern w:val="0"/>
              <w:szCs w:val="20"/>
              <w:lang w:val="en-US" w:eastAsia="zh-CN"/>
            </w:rPr>
            <w:t>2</w:t>
          </w:r>
          <w:r>
            <w:rPr>
              <w:rFonts w:ascii="Times New Roman" w:hAnsi="Times New Roman" w:eastAsia="宋体" w:cs="Times New Roman"/>
              <w:kern w:val="0"/>
              <w:szCs w:val="20"/>
              <w:lang w:val="en-US" w:eastAsia="zh-CN"/>
            </w:rPr>
            <w:fldChar w:fldCharType="end"/>
          </w:r>
          <w:r>
            <w:rPr>
              <w:rFonts w:hint="eastAsia" w:ascii="Times New Roman" w:hAnsi="Times New Roman" w:eastAsia="宋体" w:cs="Times New Roman"/>
              <w:kern w:val="0"/>
              <w:szCs w:val="20"/>
              <w:lang w:val="en-US" w:eastAsia="zh-CN"/>
            </w:rPr>
            <w:fldChar w:fldCharType="end"/>
          </w:r>
        </w:p>
        <w:p>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 HYPERLINK \l _Toc32319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t>6 试验方法</w:t>
          </w:r>
          <w:r>
            <w:rPr>
              <w:rFonts w:ascii="Times New Roman" w:hAnsi="Times New Roman" w:eastAsia="宋体" w:cs="Times New Roman"/>
              <w:kern w:val="0"/>
              <w:szCs w:val="20"/>
              <w:lang w:val="en-US" w:eastAsia="zh-CN"/>
            </w:rPr>
            <w:tab/>
          </w:r>
          <w:r>
            <w:rPr>
              <w:rFonts w:ascii="Times New Roman" w:hAnsi="Times New Roman" w:eastAsia="宋体" w:cs="Times New Roman"/>
              <w:kern w:val="0"/>
              <w:szCs w:val="20"/>
              <w:lang w:val="en-US" w:eastAsia="zh-CN"/>
            </w:rPr>
            <w:fldChar w:fldCharType="begin"/>
          </w:r>
          <w:r>
            <w:rPr>
              <w:rFonts w:ascii="Times New Roman" w:hAnsi="Times New Roman" w:eastAsia="宋体" w:cs="Times New Roman"/>
              <w:kern w:val="0"/>
              <w:szCs w:val="20"/>
              <w:lang w:val="en-US" w:eastAsia="zh-CN"/>
            </w:rPr>
            <w:instrText xml:space="preserve"> PAGEREF _Toc32319 \h </w:instrText>
          </w:r>
          <w:r>
            <w:rPr>
              <w:rFonts w:ascii="Times New Roman" w:hAnsi="Times New Roman" w:eastAsia="宋体" w:cs="Times New Roman"/>
              <w:kern w:val="0"/>
              <w:szCs w:val="20"/>
              <w:lang w:val="en-US" w:eastAsia="zh-CN"/>
            </w:rPr>
            <w:fldChar w:fldCharType="separate"/>
          </w:r>
          <w:r>
            <w:rPr>
              <w:rFonts w:ascii="Times New Roman" w:hAnsi="Times New Roman" w:eastAsia="宋体" w:cs="Times New Roman"/>
              <w:kern w:val="0"/>
              <w:szCs w:val="20"/>
              <w:lang w:val="en-US" w:eastAsia="zh-CN"/>
            </w:rPr>
            <w:t>3</w:t>
          </w:r>
          <w:r>
            <w:rPr>
              <w:rFonts w:ascii="Times New Roman" w:hAnsi="Times New Roman" w:eastAsia="宋体" w:cs="Times New Roman"/>
              <w:kern w:val="0"/>
              <w:szCs w:val="20"/>
              <w:lang w:val="en-US" w:eastAsia="zh-CN"/>
            </w:rPr>
            <w:fldChar w:fldCharType="end"/>
          </w:r>
          <w:r>
            <w:rPr>
              <w:rFonts w:hint="eastAsia" w:ascii="Times New Roman" w:hAnsi="Times New Roman" w:eastAsia="宋体" w:cs="Times New Roman"/>
              <w:kern w:val="0"/>
              <w:szCs w:val="20"/>
              <w:lang w:val="en-US" w:eastAsia="zh-CN"/>
            </w:rPr>
            <w:fldChar w:fldCharType="end"/>
          </w:r>
        </w:p>
        <w:p>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 HYPERLINK \l _Toc12735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t>7 节能评价</w:t>
          </w:r>
          <w:r>
            <w:rPr>
              <w:rFonts w:ascii="Times New Roman" w:hAnsi="Times New Roman" w:eastAsia="宋体" w:cs="Times New Roman"/>
              <w:kern w:val="0"/>
              <w:szCs w:val="20"/>
              <w:lang w:val="en-US" w:eastAsia="zh-CN"/>
            </w:rPr>
            <w:tab/>
          </w:r>
          <w:r>
            <w:rPr>
              <w:rFonts w:ascii="Times New Roman" w:hAnsi="Times New Roman" w:eastAsia="宋体" w:cs="Times New Roman"/>
              <w:kern w:val="0"/>
              <w:szCs w:val="20"/>
              <w:lang w:val="en-US" w:eastAsia="zh-CN"/>
            </w:rPr>
            <w:fldChar w:fldCharType="begin"/>
          </w:r>
          <w:r>
            <w:rPr>
              <w:rFonts w:ascii="Times New Roman" w:hAnsi="Times New Roman" w:eastAsia="宋体" w:cs="Times New Roman"/>
              <w:kern w:val="0"/>
              <w:szCs w:val="20"/>
              <w:lang w:val="en-US" w:eastAsia="zh-CN"/>
            </w:rPr>
            <w:instrText xml:space="preserve"> PAGEREF _Toc12735 \h </w:instrText>
          </w:r>
          <w:r>
            <w:rPr>
              <w:rFonts w:ascii="Times New Roman" w:hAnsi="Times New Roman" w:eastAsia="宋体" w:cs="Times New Roman"/>
              <w:kern w:val="0"/>
              <w:szCs w:val="20"/>
              <w:lang w:val="en-US" w:eastAsia="zh-CN"/>
            </w:rPr>
            <w:fldChar w:fldCharType="separate"/>
          </w:r>
          <w:r>
            <w:rPr>
              <w:rFonts w:ascii="Times New Roman" w:hAnsi="Times New Roman" w:eastAsia="宋体" w:cs="Times New Roman"/>
              <w:kern w:val="0"/>
              <w:szCs w:val="20"/>
              <w:lang w:val="en-US" w:eastAsia="zh-CN"/>
            </w:rPr>
            <w:t>4</w:t>
          </w:r>
          <w:r>
            <w:rPr>
              <w:rFonts w:ascii="Times New Roman" w:hAnsi="Times New Roman" w:eastAsia="宋体" w:cs="Times New Roman"/>
              <w:kern w:val="0"/>
              <w:szCs w:val="20"/>
              <w:lang w:val="en-US" w:eastAsia="zh-CN"/>
            </w:rPr>
            <w:fldChar w:fldCharType="end"/>
          </w:r>
          <w:r>
            <w:rPr>
              <w:rFonts w:hint="eastAsia" w:ascii="Times New Roman" w:hAnsi="Times New Roman" w:eastAsia="宋体" w:cs="Times New Roman"/>
              <w:kern w:val="0"/>
              <w:szCs w:val="20"/>
              <w:lang w:val="en-US" w:eastAsia="zh-CN"/>
            </w:rPr>
            <w:fldChar w:fldCharType="end"/>
          </w:r>
        </w:p>
        <w:p>
          <w:pPr>
            <w:pStyle w:val="17"/>
            <w:tabs>
              <w:tab w:val="right" w:leader="middleDot" w:pos="9354"/>
            </w:tabs>
            <w:overflowPunct/>
            <w:adjustRightInd/>
            <w:spacing w:before="60" w:beforeLines="25" w:after="60" w:afterLines="25" w:line="240" w:lineRule="auto"/>
            <w:ind w:left="0" w:right="0" w:firstLine="0" w:firstLineChars="0"/>
            <w:textAlignment w:val="auto"/>
            <w:rPr>
              <w:rFonts w:ascii="Times New Roman" w:hAnsi="Times New Roman" w:eastAsia="宋体" w:cs="Times New Roman"/>
              <w:kern w:val="0"/>
              <w:szCs w:val="20"/>
              <w:lang w:val="en-US" w:eastAsia="zh-CN"/>
            </w:rPr>
          </w:pPr>
          <w:r>
            <w:rPr>
              <w:rFonts w:hint="eastAsia" w:ascii="Times New Roman" w:hAnsi="Times New Roman" w:eastAsia="宋体" w:cs="Times New Roman"/>
              <w:kern w:val="0"/>
              <w:szCs w:val="20"/>
              <w:lang w:val="en-US" w:eastAsia="zh-CN"/>
            </w:rPr>
            <w:fldChar w:fldCharType="begin"/>
          </w:r>
          <w:r>
            <w:rPr>
              <w:rFonts w:hint="eastAsia" w:ascii="Times New Roman" w:hAnsi="Times New Roman" w:eastAsia="宋体" w:cs="Times New Roman"/>
              <w:kern w:val="0"/>
              <w:szCs w:val="20"/>
              <w:lang w:val="en-US" w:eastAsia="zh-CN"/>
            </w:rPr>
            <w:instrText xml:space="preserve"> HYPERLINK \l _Toc24328 </w:instrText>
          </w:r>
          <w:r>
            <w:rPr>
              <w:rFonts w:hint="eastAsia" w:ascii="Times New Roman" w:hAnsi="Times New Roman" w:eastAsia="宋体" w:cs="Times New Roman"/>
              <w:kern w:val="0"/>
              <w:szCs w:val="20"/>
              <w:lang w:val="en-US" w:eastAsia="zh-CN"/>
            </w:rPr>
            <w:fldChar w:fldCharType="separate"/>
          </w:r>
          <w:r>
            <w:rPr>
              <w:rFonts w:hint="eastAsia" w:ascii="Times New Roman" w:hAnsi="Times New Roman" w:eastAsia="宋体" w:cs="Times New Roman"/>
              <w:kern w:val="0"/>
              <w:szCs w:val="20"/>
              <w:lang w:val="en-US" w:eastAsia="zh-CN"/>
            </w:rPr>
            <w:t>8 运行监测与维护</w:t>
          </w:r>
          <w:r>
            <w:rPr>
              <w:rFonts w:ascii="Times New Roman" w:hAnsi="Times New Roman" w:eastAsia="宋体" w:cs="Times New Roman"/>
              <w:kern w:val="0"/>
              <w:szCs w:val="20"/>
              <w:lang w:val="en-US" w:eastAsia="zh-CN"/>
            </w:rPr>
            <w:tab/>
          </w:r>
          <w:r>
            <w:rPr>
              <w:rFonts w:ascii="Times New Roman" w:hAnsi="Times New Roman" w:eastAsia="宋体" w:cs="Times New Roman"/>
              <w:kern w:val="0"/>
              <w:szCs w:val="20"/>
              <w:lang w:val="en-US" w:eastAsia="zh-CN"/>
            </w:rPr>
            <w:fldChar w:fldCharType="begin"/>
          </w:r>
          <w:r>
            <w:rPr>
              <w:rFonts w:ascii="Times New Roman" w:hAnsi="Times New Roman" w:eastAsia="宋体" w:cs="Times New Roman"/>
              <w:kern w:val="0"/>
              <w:szCs w:val="20"/>
              <w:lang w:val="en-US" w:eastAsia="zh-CN"/>
            </w:rPr>
            <w:instrText xml:space="preserve"> PAGEREF _Toc24328 \h </w:instrText>
          </w:r>
          <w:r>
            <w:rPr>
              <w:rFonts w:ascii="Times New Roman" w:hAnsi="Times New Roman" w:eastAsia="宋体" w:cs="Times New Roman"/>
              <w:kern w:val="0"/>
              <w:szCs w:val="20"/>
              <w:lang w:val="en-US" w:eastAsia="zh-CN"/>
            </w:rPr>
            <w:fldChar w:fldCharType="separate"/>
          </w:r>
          <w:r>
            <w:rPr>
              <w:rFonts w:ascii="Times New Roman" w:hAnsi="Times New Roman" w:eastAsia="宋体" w:cs="Times New Roman"/>
              <w:kern w:val="0"/>
              <w:szCs w:val="20"/>
              <w:lang w:val="en-US" w:eastAsia="zh-CN"/>
            </w:rPr>
            <w:t>5</w:t>
          </w:r>
          <w:r>
            <w:rPr>
              <w:rFonts w:ascii="Times New Roman" w:hAnsi="Times New Roman" w:eastAsia="宋体" w:cs="Times New Roman"/>
              <w:kern w:val="0"/>
              <w:szCs w:val="20"/>
              <w:lang w:val="en-US" w:eastAsia="zh-CN"/>
            </w:rPr>
            <w:fldChar w:fldCharType="end"/>
          </w:r>
          <w:r>
            <w:rPr>
              <w:rFonts w:hint="eastAsia" w:ascii="Times New Roman" w:hAnsi="Times New Roman" w:eastAsia="宋体" w:cs="Times New Roman"/>
              <w:kern w:val="0"/>
              <w:szCs w:val="20"/>
              <w:lang w:val="en-US" w:eastAsia="zh-CN"/>
            </w:rPr>
            <w:fldChar w:fldCharType="end"/>
          </w:r>
        </w:p>
        <w:p>
          <w:pPr>
            <w:pStyle w:val="17"/>
            <w:tabs>
              <w:tab w:val="right" w:leader="middleDot" w:pos="9354"/>
            </w:tabs>
            <w:overflowPunct/>
            <w:adjustRightInd/>
            <w:spacing w:before="60" w:beforeLines="25" w:after="60" w:afterLines="25" w:line="240" w:lineRule="auto"/>
            <w:ind w:left="0" w:right="0" w:firstLine="0" w:firstLineChars="0"/>
            <w:textAlignment w:val="auto"/>
            <w:rPr>
              <w:rFonts w:hint="eastAsia" w:ascii="宋体" w:hAnsi="宋体" w:eastAsia="宋体" w:cs="Times New Roman"/>
              <w:color w:val="auto"/>
              <w:kern w:val="2"/>
              <w:sz w:val="21"/>
              <w:szCs w:val="24"/>
              <w:lang w:val="en-US" w:eastAsia="zh-CN" w:bidi="ar-SA"/>
            </w:rPr>
          </w:pPr>
          <w:r>
            <w:rPr>
              <w:rFonts w:hint="eastAsia" w:ascii="Times New Roman" w:hAnsi="Times New Roman" w:eastAsia="宋体" w:cs="Times New Roman"/>
              <w:kern w:val="0"/>
              <w:szCs w:val="20"/>
              <w:lang w:val="en-US" w:eastAsia="zh-CN"/>
            </w:rPr>
            <w:fldChar w:fldCharType="end"/>
          </w:r>
        </w:p>
      </w:sdtContent>
    </w:sdt>
    <w:p>
      <w:pPr>
        <w:rPr>
          <w:rFonts w:hint="eastAsia" w:ascii="黑体" w:hAnsi="黑体" w:eastAsia="黑体" w:cs="黑体"/>
          <w:color w:val="auto"/>
          <w:kern w:val="2"/>
          <w:sz w:val="21"/>
          <w:szCs w:val="32"/>
          <w:lang w:val="en-US" w:eastAsia="zh-CN" w:bidi="ar-SA"/>
        </w:rPr>
      </w:pPr>
      <w:r>
        <w:rPr>
          <w:rFonts w:hint="eastAsia" w:ascii="黑体" w:hAnsi="黑体" w:eastAsia="黑体" w:cs="黑体"/>
          <w:color w:val="auto"/>
          <w:kern w:val="2"/>
          <w:sz w:val="21"/>
          <w:szCs w:val="32"/>
          <w:lang w:val="en-US" w:eastAsia="zh-CN" w:bidi="ar-SA"/>
        </w:rPr>
        <w:br w:type="page"/>
      </w:r>
    </w:p>
    <w:tbl>
      <w:tblPr>
        <w:tblStyle w:val="32"/>
        <w:tblW w:w="9356" w:type="dxa"/>
        <w:jc w:val="center"/>
        <w:tblLayout w:type="fixed"/>
        <w:tblCellMar>
          <w:top w:w="0" w:type="dxa"/>
          <w:left w:w="0" w:type="dxa"/>
          <w:bottom w:w="0" w:type="dxa"/>
          <w:right w:w="0" w:type="dxa"/>
        </w:tblCellMar>
      </w:tblPr>
      <w:tblGrid>
        <w:gridCol w:w="9356"/>
      </w:tblGrid>
      <w:tr>
        <w:tblPrEx>
          <w:tblCellMar>
            <w:top w:w="0" w:type="dxa"/>
            <w:left w:w="0" w:type="dxa"/>
            <w:bottom w:w="0" w:type="dxa"/>
            <w:right w:w="0" w:type="dxa"/>
          </w:tblCellMar>
        </w:tblPrEx>
        <w:trPr>
          <w:trHeight w:val="567" w:hRule="exact"/>
          <w:jc w:val="center"/>
        </w:trPr>
        <w:tc>
          <w:tcPr>
            <w:tcW w:w="9356" w:type="dxa"/>
            <w:noWrap w:val="0"/>
            <w:vAlign w:val="center"/>
          </w:tcPr>
          <w:p>
            <w:pPr>
              <w:jc w:val="center"/>
              <w:rPr>
                <w:rFonts w:hint="eastAsia" w:eastAsia="华文中宋"/>
                <w:color w:val="auto"/>
              </w:rPr>
            </w:pPr>
          </w:p>
        </w:tc>
      </w:tr>
      <w:tr>
        <w:tblPrEx>
          <w:tblCellMar>
            <w:top w:w="0" w:type="dxa"/>
            <w:left w:w="0" w:type="dxa"/>
            <w:bottom w:w="0" w:type="dxa"/>
            <w:right w:w="0" w:type="dxa"/>
          </w:tblCellMar>
        </w:tblPrEx>
        <w:trPr>
          <w:trHeight w:val="360" w:hRule="exact"/>
          <w:jc w:val="center"/>
        </w:trPr>
        <w:tc>
          <w:tcPr>
            <w:tcW w:w="9356" w:type="dxa"/>
            <w:noWrap w:val="0"/>
            <w:vAlign w:val="center"/>
          </w:tcPr>
          <w:p>
            <w:pPr>
              <w:pStyle w:val="2"/>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黑体"/>
                <w:b w:val="0"/>
                <w:color w:val="auto"/>
              </w:rPr>
            </w:pPr>
            <w:bookmarkStart w:id="5" w:name="_Toc21497"/>
            <w:bookmarkStart w:id="6" w:name="_Toc24472"/>
            <w:bookmarkStart w:id="7" w:name="_Toc21219"/>
            <w:r>
              <w:rPr>
                <w:rFonts w:hint="eastAsia" w:ascii="黑体" w:hAnsi="Times New Roman" w:eastAsia="黑体" w:cs="Times New Roman"/>
                <w:b w:val="0"/>
                <w:bCs/>
                <w:color w:val="auto"/>
                <w:kern w:val="2"/>
                <w:sz w:val="32"/>
                <w:szCs w:val="20"/>
              </w:rPr>
              <w:t>前   言</w:t>
            </w:r>
            <w:bookmarkEnd w:id="5"/>
            <w:bookmarkEnd w:id="6"/>
            <w:bookmarkEnd w:id="7"/>
          </w:p>
        </w:tc>
      </w:tr>
      <w:tr>
        <w:tblPrEx>
          <w:tblCellMar>
            <w:top w:w="0" w:type="dxa"/>
            <w:left w:w="0" w:type="dxa"/>
            <w:bottom w:w="0" w:type="dxa"/>
            <w:right w:w="0" w:type="dxa"/>
          </w:tblCellMar>
        </w:tblPrEx>
        <w:trPr>
          <w:trHeight w:val="680" w:hRule="exact"/>
          <w:jc w:val="center"/>
        </w:trPr>
        <w:tc>
          <w:tcPr>
            <w:tcW w:w="9356" w:type="dxa"/>
            <w:noWrap w:val="0"/>
            <w:vAlign w:val="center"/>
          </w:tcPr>
          <w:p>
            <w:pPr>
              <w:jc w:val="center"/>
              <w:rPr>
                <w:rFonts w:hint="eastAsia" w:eastAsia="华文中宋"/>
                <w:color w:val="auto"/>
              </w:rPr>
            </w:pPr>
          </w:p>
        </w:tc>
      </w:tr>
    </w:tbl>
    <w:p>
      <w:pPr>
        <w:pStyle w:val="52"/>
        <w:autoSpaceDE/>
        <w:autoSpaceDN/>
        <w:spacing w:line="240" w:lineRule="auto"/>
        <w:ind w:firstLine="420"/>
        <w:jc w:val="left"/>
        <w:rPr>
          <w:rFonts w:ascii="Times New Roman"/>
          <w:color w:val="auto"/>
          <w:szCs w:val="21"/>
        </w:rPr>
      </w:pPr>
      <w:r>
        <w:rPr>
          <w:rFonts w:hint="eastAsia" w:ascii="Times New Roman"/>
          <w:color w:val="auto"/>
          <w:szCs w:val="21"/>
        </w:rPr>
        <w:t>本文件按照GB/T 1.1-2020 《标准化工作导则 第1部分：标准化文件的结构和起草规则》的规定起草。</w:t>
      </w:r>
    </w:p>
    <w:p>
      <w:pPr>
        <w:pStyle w:val="52"/>
        <w:autoSpaceDE/>
        <w:autoSpaceDN/>
        <w:spacing w:line="240" w:lineRule="auto"/>
        <w:ind w:firstLine="420"/>
        <w:jc w:val="left"/>
        <w:rPr>
          <w:rFonts w:ascii="Times New Roman"/>
          <w:color w:val="auto"/>
          <w:szCs w:val="21"/>
        </w:rPr>
      </w:pPr>
      <w:r>
        <w:rPr>
          <w:rFonts w:hint="eastAsia" w:ascii="Times New Roman"/>
          <w:color w:val="auto"/>
          <w:szCs w:val="21"/>
        </w:rPr>
        <w:t>请注意本文件的某些内容可能涉及专利。本文件的发布机构不承担识别专利的责任。</w:t>
      </w:r>
    </w:p>
    <w:p>
      <w:pPr>
        <w:pStyle w:val="52"/>
        <w:autoSpaceDE/>
        <w:autoSpaceDN/>
        <w:spacing w:line="240" w:lineRule="auto"/>
        <w:ind w:firstLine="420"/>
        <w:jc w:val="left"/>
        <w:rPr>
          <w:rFonts w:ascii="Times New Roman"/>
          <w:color w:val="auto"/>
          <w:szCs w:val="21"/>
        </w:rPr>
      </w:pPr>
      <w:r>
        <w:rPr>
          <w:rFonts w:hint="eastAsia" w:ascii="Times New Roman"/>
          <w:color w:val="auto"/>
          <w:szCs w:val="21"/>
        </w:rPr>
        <w:t>本文件由中国电子节能技术协会提出</w:t>
      </w:r>
      <w:r>
        <w:rPr>
          <w:rFonts w:hint="eastAsia" w:ascii="Times New Roman"/>
          <w:color w:val="auto"/>
          <w:szCs w:val="21"/>
          <w:lang w:val="en-US" w:eastAsia="zh-CN"/>
        </w:rPr>
        <w:t>并</w:t>
      </w:r>
      <w:r>
        <w:rPr>
          <w:rFonts w:hint="eastAsia" w:ascii="Times New Roman"/>
          <w:color w:val="auto"/>
          <w:szCs w:val="21"/>
        </w:rPr>
        <w:t>归口。</w:t>
      </w:r>
    </w:p>
    <w:p>
      <w:pPr>
        <w:pStyle w:val="52"/>
        <w:autoSpaceDE/>
        <w:autoSpaceDN/>
        <w:spacing w:line="240" w:lineRule="auto"/>
        <w:ind w:firstLine="420"/>
        <w:jc w:val="left"/>
        <w:rPr>
          <w:rFonts w:ascii="Times New Roman"/>
          <w:color w:val="auto"/>
          <w:szCs w:val="21"/>
        </w:rPr>
      </w:pPr>
      <w:r>
        <w:rPr>
          <w:rFonts w:hint="eastAsia" w:ascii="Times New Roman"/>
          <w:color w:val="auto"/>
          <w:szCs w:val="21"/>
        </w:rPr>
        <w:t>本文件起草单位：</w:t>
      </w:r>
    </w:p>
    <w:p>
      <w:pPr>
        <w:pStyle w:val="52"/>
        <w:autoSpaceDE/>
        <w:autoSpaceDN/>
        <w:spacing w:line="240" w:lineRule="auto"/>
        <w:ind w:firstLine="420"/>
        <w:jc w:val="left"/>
        <w:rPr>
          <w:rFonts w:ascii="Times New Roman"/>
          <w:color w:val="auto"/>
          <w:szCs w:val="21"/>
        </w:rPr>
      </w:pPr>
      <w:r>
        <w:rPr>
          <w:rFonts w:hint="eastAsia" w:ascii="Times New Roman"/>
          <w:color w:val="auto"/>
          <w:szCs w:val="21"/>
        </w:rPr>
        <w:t>本文件主要起草人：</w:t>
      </w:r>
    </w:p>
    <w:p>
      <w:pPr>
        <w:pStyle w:val="52"/>
        <w:pageBreakBefore w:val="0"/>
        <w:kinsoku/>
        <w:wordWrap/>
        <w:overflowPunct/>
        <w:topLinePunct w:val="0"/>
        <w:bidi w:val="0"/>
        <w:adjustRightInd/>
        <w:snapToGrid/>
        <w:spacing w:line="360" w:lineRule="auto"/>
        <w:ind w:left="0" w:leftChars="0" w:firstLine="0" w:firstLineChars="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pPr>
    </w:p>
    <w:p>
      <w:pPr>
        <w:pStyle w:val="52"/>
        <w:pageBreakBefore w:val="0"/>
        <w:kinsoku/>
        <w:wordWrap/>
        <w:overflowPunct/>
        <w:topLinePunct w:val="0"/>
        <w:bidi w:val="0"/>
        <w:adjustRightInd/>
        <w:snapToGrid/>
        <w:spacing w:line="360" w:lineRule="auto"/>
        <w:ind w:firstLine="420"/>
        <w:textAlignment w:val="auto"/>
        <w:rPr>
          <w:color w:val="auto"/>
        </w:rPr>
        <w:sectPr>
          <w:headerReference r:id="rId8" w:type="default"/>
          <w:footerReference r:id="rId10" w:type="default"/>
          <w:headerReference r:id="rId9" w:type="even"/>
          <w:footerReference r:id="rId11" w:type="even"/>
          <w:endnotePr>
            <w:numFmt w:val="decimal"/>
          </w:endnotePr>
          <w:pgSz w:w="11907" w:h="16839"/>
          <w:pgMar w:top="1417" w:right="1134" w:bottom="1134" w:left="1417" w:header="1417" w:footer="1134" w:gutter="0"/>
          <w:pgNumType w:fmt="upperRoman" w:start="1"/>
          <w:cols w:space="720" w:num="1"/>
          <w:docGrid w:type="lines" w:linePitch="312" w:charSpace="0"/>
        </w:sectPr>
      </w:pPr>
    </w:p>
    <w:tbl>
      <w:tblPr>
        <w:tblStyle w:val="32"/>
        <w:tblW w:w="8327" w:type="dxa"/>
        <w:jc w:val="center"/>
        <w:tblLayout w:type="fixed"/>
        <w:tblCellMar>
          <w:top w:w="0" w:type="dxa"/>
          <w:left w:w="0" w:type="dxa"/>
          <w:bottom w:w="0" w:type="dxa"/>
          <w:right w:w="0" w:type="dxa"/>
        </w:tblCellMar>
      </w:tblPr>
      <w:tblGrid>
        <w:gridCol w:w="8327"/>
      </w:tblGrid>
      <w:tr>
        <w:tblPrEx>
          <w:tblCellMar>
            <w:top w:w="0" w:type="dxa"/>
            <w:left w:w="0" w:type="dxa"/>
            <w:bottom w:w="0" w:type="dxa"/>
            <w:right w:w="0" w:type="dxa"/>
          </w:tblCellMar>
        </w:tblPrEx>
        <w:trPr>
          <w:trHeight w:val="1134" w:hRule="exact"/>
          <w:jc w:val="center"/>
        </w:trPr>
        <w:tc>
          <w:tcPr>
            <w:tcW w:w="8327" w:type="dxa"/>
            <w:noWrap w:val="0"/>
            <w:vAlign w:val="center"/>
          </w:tcPr>
          <w:p>
            <w:pPr>
              <w:pStyle w:val="113"/>
              <w:spacing w:before="0" w:after="0" w:line="360" w:lineRule="exact"/>
              <w:outlineLvl w:val="9"/>
              <w:rPr>
                <w:rFonts w:hint="eastAsia" w:hAnsi="黑体"/>
                <w:color w:val="auto"/>
              </w:rPr>
            </w:pPr>
            <w:bookmarkStart w:id="8" w:name="_Toc8027"/>
            <w:bookmarkStart w:id="9" w:name="_Toc19478"/>
            <w:bookmarkStart w:id="10" w:name="_Toc7485"/>
            <w:bookmarkStart w:id="11" w:name="_Toc511205587"/>
          </w:p>
          <w:bookmarkEnd w:id="8"/>
          <w:bookmarkEnd w:id="9"/>
          <w:p>
            <w:pPr>
              <w:pStyle w:val="113"/>
              <w:spacing w:before="0" w:after="0" w:line="360" w:lineRule="exact"/>
              <w:outlineLvl w:val="9"/>
              <w:rPr>
                <w:rFonts w:hint="eastAsia"/>
                <w:color w:val="auto"/>
              </w:rPr>
            </w:pPr>
            <w:bookmarkStart w:id="12" w:name="_Toc22512"/>
            <w:r>
              <w:rPr>
                <w:rFonts w:hint="eastAsia" w:ascii="Times New Roman"/>
                <w:color w:val="auto"/>
                <w:lang w:eastAsia="zh-CN"/>
              </w:rPr>
              <w:t>静止无功</w:t>
            </w:r>
            <w:r>
              <w:rPr>
                <w:rFonts w:hint="eastAsia" w:ascii="Times New Roman"/>
                <w:color w:val="auto"/>
              </w:rPr>
              <w:t>发生器节能技术规范</w:t>
            </w:r>
            <w:bookmarkEnd w:id="12"/>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spacing w:line="360" w:lineRule="exact"/>
              <w:jc w:val="center"/>
              <w:rPr>
                <w:rFonts w:eastAsia="黑体"/>
                <w:color w:val="auto"/>
                <w:sz w:val="32"/>
                <w:szCs w:val="32"/>
              </w:rPr>
            </w:pPr>
          </w:p>
        </w:tc>
      </w:tr>
    </w:tbl>
    <w:p>
      <w:pPr>
        <w:pStyle w:val="119"/>
        <w:spacing w:before="312" w:after="312"/>
        <w:jc w:val="left"/>
        <w:outlineLvl w:val="0"/>
        <w:rPr>
          <w:rFonts w:hint="eastAsia"/>
          <w:color w:val="auto"/>
        </w:rPr>
      </w:pPr>
      <w:bookmarkStart w:id="13" w:name="_Toc22538"/>
      <w:bookmarkStart w:id="14" w:name="_Toc17325"/>
      <w:r>
        <w:rPr>
          <w:rFonts w:hint="eastAsia"/>
          <w:color w:val="auto"/>
        </w:rPr>
        <w:t>范围</w:t>
      </w:r>
      <w:bookmarkEnd w:id="10"/>
      <w:bookmarkEnd w:id="11"/>
      <w:bookmarkEnd w:id="13"/>
      <w:bookmarkEnd w:id="14"/>
    </w:p>
    <w:p>
      <w:pPr>
        <w:spacing w:line="320" w:lineRule="exact"/>
        <w:ind w:firstLine="420" w:firstLineChars="200"/>
        <w:jc w:val="both"/>
        <w:rPr>
          <w:rFonts w:hint="eastAsia" w:eastAsia="宋体"/>
          <w:color w:val="auto"/>
          <w:szCs w:val="21"/>
        </w:rPr>
      </w:pPr>
      <w:r>
        <w:rPr>
          <w:rFonts w:hint="eastAsia" w:eastAsia="宋体"/>
          <w:color w:val="auto"/>
          <w:szCs w:val="21"/>
        </w:rPr>
        <w:t>本文件规定了</w:t>
      </w:r>
      <w:r>
        <w:rPr>
          <w:rFonts w:hint="eastAsia"/>
          <w:color w:val="auto"/>
          <w:szCs w:val="21"/>
          <w:lang w:eastAsia="zh-CN"/>
        </w:rPr>
        <w:t>静止无功</w:t>
      </w:r>
      <w:r>
        <w:rPr>
          <w:rFonts w:hint="eastAsia" w:eastAsia="宋体"/>
          <w:color w:val="auto"/>
          <w:szCs w:val="21"/>
        </w:rPr>
        <w:t>发生器</w:t>
      </w:r>
      <w:r>
        <w:rPr>
          <w:rFonts w:hint="eastAsia" w:eastAsia="宋体"/>
          <w:color w:val="auto"/>
          <w:szCs w:val="21"/>
          <w:lang w:val="en-US" w:eastAsia="zh-CN"/>
        </w:rPr>
        <w:t>节能技术</w:t>
      </w:r>
      <w:r>
        <w:rPr>
          <w:rFonts w:hint="eastAsia"/>
          <w:color w:val="auto"/>
          <w:szCs w:val="21"/>
          <w:lang w:val="en-US" w:eastAsia="zh-CN"/>
        </w:rPr>
        <w:t>的</w:t>
      </w:r>
      <w:r>
        <w:rPr>
          <w:rFonts w:hint="eastAsia" w:eastAsia="宋体"/>
          <w:color w:val="auto"/>
          <w:szCs w:val="21"/>
          <w:lang w:val="en-US" w:eastAsia="zh-CN"/>
        </w:rPr>
        <w:t>总体要求、节能设计、试验方法、节能评价</w:t>
      </w:r>
      <w:r>
        <w:rPr>
          <w:rFonts w:hint="eastAsia"/>
          <w:color w:val="auto"/>
          <w:szCs w:val="21"/>
          <w:lang w:val="en-US" w:eastAsia="zh-CN"/>
        </w:rPr>
        <w:t>及</w:t>
      </w:r>
      <w:r>
        <w:rPr>
          <w:rFonts w:hint="eastAsia" w:eastAsia="宋体"/>
          <w:color w:val="auto"/>
          <w:szCs w:val="21"/>
          <w:lang w:val="en-US" w:eastAsia="zh-CN"/>
        </w:rPr>
        <w:t>运行监测与维护</w:t>
      </w:r>
      <w:r>
        <w:rPr>
          <w:rFonts w:hint="eastAsia" w:eastAsia="宋体"/>
          <w:color w:val="auto"/>
          <w:szCs w:val="21"/>
        </w:rPr>
        <w:t>。</w:t>
      </w:r>
    </w:p>
    <w:p>
      <w:pPr>
        <w:spacing w:line="320" w:lineRule="exact"/>
        <w:ind w:firstLine="420" w:firstLineChars="200"/>
        <w:jc w:val="both"/>
        <w:rPr>
          <w:rFonts w:hint="eastAsia" w:eastAsia="宋体"/>
          <w:color w:val="auto"/>
          <w:szCs w:val="21"/>
        </w:rPr>
      </w:pPr>
      <w:r>
        <w:rPr>
          <w:rFonts w:hint="eastAsia" w:eastAsia="宋体"/>
          <w:color w:val="auto"/>
          <w:szCs w:val="21"/>
        </w:rPr>
        <w:t>本文件适用于10kV及以上电压等级</w:t>
      </w:r>
      <w:r>
        <w:rPr>
          <w:rFonts w:hint="eastAsia"/>
          <w:color w:val="auto"/>
          <w:szCs w:val="21"/>
          <w:lang w:eastAsia="zh-CN"/>
        </w:rPr>
        <w:t>静止无功</w:t>
      </w:r>
      <w:r>
        <w:rPr>
          <w:rFonts w:hint="eastAsia" w:eastAsia="宋体"/>
          <w:color w:val="auto"/>
          <w:szCs w:val="21"/>
        </w:rPr>
        <w:t>发生器</w:t>
      </w:r>
      <w:r>
        <w:rPr>
          <w:rFonts w:hint="eastAsia" w:eastAsia="宋体"/>
          <w:color w:val="auto"/>
          <w:szCs w:val="21"/>
          <w:lang w:val="en-US" w:eastAsia="zh-CN"/>
        </w:rPr>
        <w:t>设备</w:t>
      </w:r>
      <w:r>
        <w:rPr>
          <w:rFonts w:hint="eastAsia" w:eastAsia="宋体"/>
          <w:color w:val="auto"/>
          <w:szCs w:val="21"/>
        </w:rPr>
        <w:t>在设计、制造、检测、运行及维护等全生命周期内的节能技术管理与评价。</w:t>
      </w:r>
    </w:p>
    <w:p>
      <w:pPr>
        <w:pStyle w:val="119"/>
        <w:spacing w:before="312" w:after="312"/>
        <w:jc w:val="left"/>
        <w:outlineLvl w:val="0"/>
        <w:rPr>
          <w:rFonts w:hint="eastAsia"/>
          <w:color w:val="auto"/>
        </w:rPr>
      </w:pPr>
      <w:bookmarkStart w:id="15" w:name="_Toc11302"/>
      <w:bookmarkStart w:id="16" w:name="_Toc9454"/>
      <w:bookmarkStart w:id="17" w:name="_Toc27125"/>
      <w:bookmarkStart w:id="18" w:name="_Toc511205588"/>
      <w:r>
        <w:rPr>
          <w:rFonts w:hint="eastAsia"/>
          <w:color w:val="auto"/>
        </w:rPr>
        <w:t>规范性引用文件</w:t>
      </w:r>
      <w:bookmarkEnd w:id="15"/>
      <w:bookmarkEnd w:id="16"/>
      <w:bookmarkEnd w:id="17"/>
      <w:bookmarkEnd w:id="18"/>
    </w:p>
    <w:p>
      <w:pPr>
        <w:spacing w:line="320" w:lineRule="exact"/>
        <w:ind w:firstLine="420" w:firstLineChars="200"/>
        <w:jc w:val="both"/>
        <w:rPr>
          <w:rFonts w:hint="eastAsia" w:eastAsia="宋体"/>
          <w:color w:val="auto"/>
          <w:szCs w:val="21"/>
        </w:rPr>
      </w:pPr>
      <w:r>
        <w:rPr>
          <w:rFonts w:hint="eastAsia" w:eastAsia="宋体"/>
          <w:color w:val="auto"/>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320" w:lineRule="exact"/>
        <w:ind w:firstLine="420" w:firstLineChars="20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GB/T 14549 </w:t>
      </w:r>
      <w:r>
        <w:rPr>
          <w:rFonts w:hint="eastAsia"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电能质量 公用电网谐波</w:t>
      </w:r>
    </w:p>
    <w:p>
      <w:pPr>
        <w:pStyle w:val="119"/>
        <w:spacing w:before="312" w:after="312"/>
        <w:jc w:val="left"/>
        <w:outlineLvl w:val="0"/>
        <w:rPr>
          <w:rFonts w:hint="eastAsia"/>
          <w:color w:val="auto"/>
        </w:rPr>
      </w:pPr>
      <w:bookmarkStart w:id="19" w:name="_Toc4923"/>
      <w:bookmarkStart w:id="20" w:name="_Toc13429"/>
      <w:bookmarkStart w:id="21" w:name="_Toc13465"/>
      <w:bookmarkStart w:id="22" w:name="_Toc511205589"/>
      <w:r>
        <w:rPr>
          <w:rFonts w:hint="eastAsia"/>
          <w:color w:val="auto"/>
        </w:rPr>
        <w:t>术语和定义</w:t>
      </w:r>
      <w:bookmarkEnd w:id="19"/>
      <w:bookmarkEnd w:id="20"/>
      <w:bookmarkEnd w:id="21"/>
      <w:bookmarkEnd w:id="22"/>
    </w:p>
    <w:p>
      <w:pPr>
        <w:pStyle w:val="120"/>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left"/>
        <w:textAlignment w:val="auto"/>
        <w:rPr>
          <w:rFonts w:hint="eastAsia"/>
          <w:color w:val="auto"/>
        </w:rPr>
      </w:pPr>
      <w:bookmarkStart w:id="23" w:name="_Toc23516"/>
      <w:bookmarkEnd w:id="23"/>
      <w:bookmarkStart w:id="24" w:name="_Toc1754"/>
      <w:bookmarkEnd w:id="24"/>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1"/>
        <w:rPr>
          <w:rFonts w:hint="eastAsia" w:ascii="黑体" w:hAnsi="黑体" w:eastAsia="黑体" w:cs="黑体"/>
          <w:color w:val="auto"/>
          <w:szCs w:val="21"/>
        </w:rPr>
      </w:pPr>
      <w:bookmarkStart w:id="25" w:name="_Toc14567"/>
      <w:bookmarkStart w:id="26" w:name="_Toc30576"/>
      <w:r>
        <w:rPr>
          <w:rFonts w:hint="eastAsia" w:ascii="黑体" w:hAnsi="黑体" w:eastAsia="黑体" w:cs="黑体"/>
          <w:color w:val="auto"/>
          <w:szCs w:val="21"/>
          <w:lang w:val="en-US" w:eastAsia="zh-CN"/>
        </w:rPr>
        <w:t>静止</w:t>
      </w:r>
      <w:r>
        <w:rPr>
          <w:rFonts w:hint="eastAsia" w:ascii="黑体" w:hAnsi="黑体" w:eastAsia="黑体" w:cs="黑体"/>
          <w:color w:val="auto"/>
          <w:szCs w:val="21"/>
        </w:rPr>
        <w:t xml:space="preserve">无功发生器 </w:t>
      </w:r>
      <w:r>
        <w:rPr>
          <w:rFonts w:hint="default" w:ascii="Times New Roman" w:hAnsi="Times New Roman" w:eastAsia="黑体" w:cs="Times New Roman"/>
          <w:b/>
          <w:bCs/>
          <w:color w:val="auto"/>
          <w:szCs w:val="21"/>
        </w:rPr>
        <w:t>static var generator; SVG</w:t>
      </w:r>
      <w:bookmarkEnd w:id="25"/>
      <w:bookmarkEnd w:id="26"/>
    </w:p>
    <w:p>
      <w:pPr>
        <w:spacing w:line="320" w:lineRule="exact"/>
        <w:ind w:firstLine="420" w:firstLineChars="200"/>
        <w:jc w:val="both"/>
        <w:rPr>
          <w:rFonts w:hint="default" w:eastAsia="宋体"/>
          <w:color w:val="auto"/>
          <w:szCs w:val="21"/>
          <w:lang w:val="en-US" w:eastAsia="zh-CN"/>
        </w:rPr>
      </w:pPr>
      <w:r>
        <w:rPr>
          <w:rFonts w:hint="eastAsia" w:eastAsia="宋体"/>
          <w:color w:val="auto"/>
          <w:szCs w:val="21"/>
          <w:lang w:val="en-US" w:eastAsia="zh-CN"/>
        </w:rPr>
        <w:t>一种由并联接入系统的电压源换流器构成，其输出的容性或感性无功电流连续可调且在可运行系统电压范围内与系统电压无关的</w:t>
      </w:r>
      <w:r>
        <w:rPr>
          <w:rFonts w:hint="eastAsia"/>
          <w:color w:val="auto"/>
          <w:szCs w:val="21"/>
          <w:lang w:val="en-US" w:eastAsia="zh-CN"/>
        </w:rPr>
        <w:t>静止无功</w:t>
      </w:r>
      <w:r>
        <w:rPr>
          <w:rFonts w:hint="eastAsia" w:eastAsia="宋体"/>
          <w:color w:val="auto"/>
          <w:szCs w:val="21"/>
          <w:lang w:val="en-US" w:eastAsia="zh-CN"/>
        </w:rPr>
        <w:t>功率补偿装置。</w:t>
      </w:r>
    </w:p>
    <w:p>
      <w:pPr>
        <w:pStyle w:val="120"/>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left"/>
        <w:textAlignment w:val="auto"/>
        <w:rPr>
          <w:rFonts w:hint="eastAsia"/>
          <w:color w:val="auto"/>
        </w:rPr>
      </w:pPr>
      <w:r>
        <w:rPr>
          <w:rFonts w:hint="eastAsia"/>
          <w:color w:val="auto"/>
        </w:rPr>
        <w:t xml:space="preserve"> </w:t>
      </w:r>
      <w:bookmarkStart w:id="27" w:name="_Toc6082"/>
      <w:bookmarkEnd w:id="27"/>
      <w:bookmarkStart w:id="28" w:name="_Toc14088"/>
      <w:bookmarkEnd w:id="28"/>
      <w:r>
        <w:rPr>
          <w:rFonts w:hint="eastAsia"/>
          <w:color w:val="auto"/>
        </w:rPr>
        <w:t xml:space="preserve"> </w:t>
      </w:r>
      <w:bookmarkStart w:id="29" w:name="_Toc27925"/>
      <w:bookmarkEnd w:id="29"/>
      <w:bookmarkStart w:id="30" w:name="_Toc15553"/>
      <w:bookmarkEnd w:id="30"/>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1"/>
        <w:rPr>
          <w:rFonts w:hint="eastAsia" w:ascii="黑体" w:hAnsi="黑体" w:eastAsia="黑体" w:cs="黑体"/>
          <w:color w:val="auto"/>
          <w:szCs w:val="21"/>
        </w:rPr>
      </w:pPr>
      <w:bookmarkStart w:id="31" w:name="_Toc2014"/>
      <w:bookmarkStart w:id="32" w:name="_Toc15555"/>
      <w:r>
        <w:rPr>
          <w:rFonts w:hint="eastAsia" w:ascii="黑体" w:hAnsi="黑体" w:eastAsia="黑体" w:cs="黑体"/>
          <w:color w:val="auto"/>
          <w:szCs w:val="21"/>
          <w:lang w:val="en-US" w:eastAsia="zh-CN"/>
        </w:rPr>
        <w:t>动态</w:t>
      </w:r>
      <w:r>
        <w:rPr>
          <w:rFonts w:hint="eastAsia" w:ascii="黑体" w:hAnsi="黑体" w:eastAsia="黑体" w:cs="黑体"/>
          <w:color w:val="auto"/>
          <w:szCs w:val="21"/>
        </w:rPr>
        <w:t xml:space="preserve">响应时间 </w:t>
      </w:r>
      <w:r>
        <w:rPr>
          <w:rFonts w:hint="eastAsia" w:ascii="Times New Roman" w:hAnsi="Times New Roman" w:eastAsia="黑体" w:cs="Times New Roman"/>
          <w:b/>
          <w:bCs/>
          <w:color w:val="auto"/>
          <w:szCs w:val="21"/>
          <w:lang w:val="en-US" w:eastAsia="zh-CN"/>
        </w:rPr>
        <w:t>dynamic</w:t>
      </w:r>
      <w:r>
        <w:rPr>
          <w:rFonts w:hint="default" w:ascii="Times New Roman" w:hAnsi="Times New Roman" w:eastAsia="黑体" w:cs="Times New Roman"/>
          <w:b/>
          <w:bCs/>
          <w:color w:val="auto"/>
          <w:szCs w:val="21"/>
        </w:rPr>
        <w:t xml:space="preserve"> response time</w:t>
      </w:r>
      <w:bookmarkEnd w:id="31"/>
      <w:bookmarkEnd w:id="32"/>
    </w:p>
    <w:p>
      <w:pPr>
        <w:spacing w:line="320" w:lineRule="exact"/>
        <w:ind w:firstLine="420" w:firstLineChars="200"/>
        <w:jc w:val="both"/>
        <w:rPr>
          <w:rFonts w:hint="eastAsia" w:eastAsia="宋体"/>
          <w:color w:val="auto"/>
          <w:szCs w:val="21"/>
          <w:lang w:val="en-US" w:eastAsia="zh-CN"/>
        </w:rPr>
      </w:pPr>
      <w:r>
        <w:rPr>
          <w:rFonts w:hint="eastAsia"/>
          <w:color w:val="auto"/>
          <w:szCs w:val="21"/>
          <w:lang w:val="en-US" w:eastAsia="zh-CN"/>
        </w:rPr>
        <w:t>在系统</w:t>
      </w:r>
      <w:r>
        <w:rPr>
          <w:rFonts w:hint="default"/>
          <w:color w:val="auto"/>
          <w:szCs w:val="21"/>
          <w:lang w:val="en-US" w:eastAsia="zh-CN"/>
        </w:rPr>
        <w:t>不过补偿的条件下</w:t>
      </w:r>
      <w:r>
        <w:rPr>
          <w:rFonts w:hint="eastAsia"/>
          <w:color w:val="auto"/>
          <w:szCs w:val="21"/>
          <w:lang w:val="en-US" w:eastAsia="zh-CN"/>
        </w:rPr>
        <w:t>，当输入阶跃控制信号后，SVG装置输出</w:t>
      </w:r>
      <w:r>
        <w:rPr>
          <w:rFonts w:hint="eastAsia" w:eastAsia="宋体"/>
          <w:color w:val="auto"/>
          <w:szCs w:val="21"/>
          <w:lang w:val="en-US" w:eastAsia="zh-CN"/>
        </w:rPr>
        <w:t>无功功率达到</w:t>
      </w:r>
      <w:r>
        <w:rPr>
          <w:rFonts w:hint="eastAsia"/>
          <w:color w:val="auto"/>
          <w:szCs w:val="21"/>
          <w:lang w:val="en-US" w:eastAsia="zh-CN"/>
        </w:rPr>
        <w:t>90%</w:t>
      </w:r>
      <w:r>
        <w:rPr>
          <w:rFonts w:hint="eastAsia" w:eastAsia="宋体"/>
          <w:color w:val="auto"/>
          <w:szCs w:val="21"/>
          <w:lang w:val="en-US" w:eastAsia="zh-CN"/>
        </w:rPr>
        <w:t>目标值所</w:t>
      </w:r>
      <w:r>
        <w:rPr>
          <w:rFonts w:hint="eastAsia"/>
          <w:color w:val="auto"/>
          <w:szCs w:val="21"/>
          <w:lang w:val="en-US" w:eastAsia="zh-CN"/>
        </w:rPr>
        <w:t>用</w:t>
      </w:r>
      <w:r>
        <w:rPr>
          <w:rFonts w:hint="eastAsia" w:eastAsia="宋体"/>
          <w:color w:val="auto"/>
          <w:szCs w:val="21"/>
          <w:lang w:val="en-US" w:eastAsia="zh-CN"/>
        </w:rPr>
        <w:t>的时间</w:t>
      </w:r>
      <w:r>
        <w:rPr>
          <w:rFonts w:hint="eastAsia"/>
          <w:color w:val="auto"/>
          <w:szCs w:val="21"/>
          <w:lang w:val="en-US" w:eastAsia="zh-CN"/>
        </w:rPr>
        <w:t>，且期间没有产生过冲</w:t>
      </w:r>
      <w:r>
        <w:rPr>
          <w:rFonts w:hint="eastAsia" w:eastAsia="宋体"/>
          <w:color w:val="auto"/>
          <w:szCs w:val="21"/>
          <w:lang w:val="en-US" w:eastAsia="zh-CN"/>
        </w:rPr>
        <w:t>。</w:t>
      </w:r>
    </w:p>
    <w:p>
      <w:pPr>
        <w:pStyle w:val="120"/>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left"/>
        <w:textAlignment w:val="auto"/>
        <w:rPr>
          <w:rFonts w:hint="eastAsia"/>
          <w:color w:val="auto"/>
        </w:rPr>
      </w:pPr>
      <w:r>
        <w:rPr>
          <w:rFonts w:hint="eastAsia"/>
          <w:color w:val="auto"/>
        </w:rPr>
        <w:t xml:space="preserve"> </w:t>
      </w:r>
      <w:bookmarkStart w:id="33" w:name="_Toc10733"/>
      <w:bookmarkEnd w:id="33"/>
      <w:bookmarkStart w:id="34" w:name="_Toc32586"/>
      <w:bookmarkEnd w:id="34"/>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1"/>
        <w:rPr>
          <w:rFonts w:hint="eastAsia" w:ascii="黑体" w:hAnsi="黑体" w:eastAsia="黑体" w:cs="黑体"/>
          <w:color w:val="auto"/>
          <w:szCs w:val="21"/>
        </w:rPr>
      </w:pPr>
      <w:bookmarkStart w:id="35" w:name="_Toc22304"/>
      <w:bookmarkStart w:id="36" w:name="_Toc7187"/>
      <w:r>
        <w:rPr>
          <w:rFonts w:hint="eastAsia" w:ascii="黑体" w:hAnsi="黑体" w:eastAsia="黑体" w:cs="黑体"/>
          <w:color w:val="auto"/>
          <w:szCs w:val="21"/>
        </w:rPr>
        <w:t xml:space="preserve">运行损耗 </w:t>
      </w:r>
      <w:r>
        <w:rPr>
          <w:rFonts w:hint="default" w:ascii="Times New Roman" w:hAnsi="Times New Roman" w:eastAsia="黑体" w:cs="Times New Roman"/>
          <w:b/>
          <w:bCs/>
          <w:color w:val="auto"/>
          <w:szCs w:val="21"/>
        </w:rPr>
        <w:t>operating losses</w:t>
      </w:r>
      <w:bookmarkEnd w:id="35"/>
      <w:bookmarkEnd w:id="36"/>
    </w:p>
    <w:p>
      <w:pPr>
        <w:spacing w:line="320" w:lineRule="exact"/>
        <w:ind w:firstLine="420" w:firstLineChars="200"/>
        <w:jc w:val="both"/>
        <w:rPr>
          <w:rFonts w:hint="eastAsia" w:eastAsia="宋体"/>
          <w:color w:val="auto"/>
          <w:szCs w:val="21"/>
          <w:lang w:val="en-US" w:eastAsia="zh-CN"/>
        </w:rPr>
      </w:pPr>
      <w:r>
        <w:rPr>
          <w:rFonts w:hint="eastAsia" w:eastAsia="宋体"/>
          <w:color w:val="auto"/>
          <w:szCs w:val="21"/>
          <w:lang w:val="en-US" w:eastAsia="zh-CN"/>
        </w:rPr>
        <w:t>SVG 在运行过程中产生的有功功率损耗总和，包括功率器件开关与导通损耗、磁元件损耗、冷却系统能耗等。</w:t>
      </w:r>
    </w:p>
    <w:p>
      <w:pPr>
        <w:pStyle w:val="120"/>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left"/>
        <w:textAlignment w:val="auto"/>
        <w:rPr>
          <w:rFonts w:hint="eastAsia"/>
          <w:color w:val="auto"/>
        </w:rPr>
      </w:pPr>
      <w:bookmarkStart w:id="37" w:name="_Toc5369"/>
      <w:bookmarkEnd w:id="37"/>
      <w:bookmarkStart w:id="38" w:name="_Toc21795"/>
      <w:bookmarkEnd w:id="38"/>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1"/>
        <w:rPr>
          <w:rFonts w:hint="eastAsia" w:ascii="黑体" w:hAnsi="黑体" w:eastAsia="黑体" w:cs="黑体"/>
          <w:color w:val="auto"/>
          <w:szCs w:val="21"/>
        </w:rPr>
      </w:pPr>
      <w:bookmarkStart w:id="39" w:name="_Toc19533"/>
      <w:bookmarkStart w:id="40" w:name="_Toc1562"/>
      <w:r>
        <w:rPr>
          <w:rFonts w:hint="eastAsia" w:ascii="黑体" w:hAnsi="黑体" w:eastAsia="黑体" w:cs="黑体"/>
          <w:color w:val="auto"/>
          <w:szCs w:val="21"/>
        </w:rPr>
        <w:t xml:space="preserve">能效等级 </w:t>
      </w:r>
      <w:r>
        <w:rPr>
          <w:rFonts w:hint="default" w:ascii="Times New Roman" w:hAnsi="Times New Roman" w:eastAsia="黑体" w:cs="Times New Roman"/>
          <w:b/>
          <w:bCs/>
          <w:color w:val="auto"/>
          <w:szCs w:val="21"/>
        </w:rPr>
        <w:t>energy efficiency grade</w:t>
      </w:r>
      <w:bookmarkEnd w:id="39"/>
      <w:bookmarkEnd w:id="40"/>
    </w:p>
    <w:p>
      <w:pPr>
        <w:spacing w:line="320" w:lineRule="exact"/>
        <w:ind w:firstLine="420" w:firstLineChars="200"/>
        <w:jc w:val="both"/>
        <w:rPr>
          <w:rFonts w:hint="eastAsia" w:eastAsia="宋体"/>
          <w:color w:val="auto"/>
          <w:szCs w:val="21"/>
          <w:lang w:val="en-US" w:eastAsia="zh-CN"/>
        </w:rPr>
      </w:pPr>
      <w:r>
        <w:rPr>
          <w:rFonts w:hint="eastAsia" w:eastAsia="宋体"/>
          <w:color w:val="auto"/>
          <w:szCs w:val="21"/>
          <w:lang w:val="en-US" w:eastAsia="zh-CN"/>
        </w:rPr>
        <w:t>基于SVG设备</w:t>
      </w:r>
      <w:r>
        <w:rPr>
          <w:rFonts w:hint="eastAsia"/>
          <w:color w:val="auto"/>
          <w:szCs w:val="21"/>
          <w:lang w:val="en-US" w:eastAsia="zh-CN"/>
        </w:rPr>
        <w:t>的自耗电率、响应时间</w:t>
      </w:r>
      <w:r>
        <w:rPr>
          <w:rFonts w:hint="eastAsia" w:eastAsia="宋体"/>
          <w:color w:val="auto"/>
          <w:szCs w:val="21"/>
          <w:lang w:val="en-US" w:eastAsia="zh-CN"/>
        </w:rPr>
        <w:t>、</w:t>
      </w:r>
      <w:r>
        <w:rPr>
          <w:rFonts w:hint="eastAsia"/>
          <w:color w:val="auto"/>
          <w:szCs w:val="21"/>
          <w:lang w:val="en-US" w:eastAsia="zh-CN"/>
        </w:rPr>
        <w:t>谐波含量</w:t>
      </w:r>
      <w:r>
        <w:rPr>
          <w:rFonts w:hint="eastAsia" w:eastAsia="宋体"/>
          <w:color w:val="auto"/>
          <w:szCs w:val="21"/>
          <w:lang w:val="en-US" w:eastAsia="zh-CN"/>
        </w:rPr>
        <w:t>等核心指标划分的节能性能等级。</w:t>
      </w:r>
    </w:p>
    <w:p>
      <w:pPr>
        <w:pStyle w:val="119"/>
        <w:spacing w:before="312" w:after="312"/>
        <w:jc w:val="left"/>
        <w:outlineLvl w:val="0"/>
        <w:rPr>
          <w:rFonts w:hint="eastAsia"/>
          <w:color w:val="auto"/>
          <w:lang w:val="en-US" w:eastAsia="zh-CN"/>
        </w:rPr>
      </w:pPr>
      <w:bookmarkStart w:id="41" w:name="_Toc32424"/>
      <w:bookmarkStart w:id="42" w:name="_Toc15904"/>
      <w:bookmarkStart w:id="43" w:name="_Toc32431"/>
      <w:r>
        <w:rPr>
          <w:rFonts w:hint="eastAsia"/>
          <w:color w:val="auto"/>
          <w:lang w:val="en-US" w:eastAsia="zh-CN"/>
        </w:rPr>
        <w:t>总体要求</w:t>
      </w:r>
      <w:bookmarkEnd w:id="41"/>
      <w:bookmarkEnd w:id="42"/>
      <w:bookmarkEnd w:id="43"/>
    </w:p>
    <w:p>
      <w:pPr>
        <w:spacing w:line="320" w:lineRule="exact"/>
        <w:ind w:firstLine="420" w:firstLineChars="200"/>
        <w:jc w:val="both"/>
        <w:rPr>
          <w:rFonts w:hint="eastAsia" w:eastAsia="宋体"/>
          <w:color w:val="auto"/>
          <w:szCs w:val="21"/>
          <w:lang w:val="en-US" w:eastAsia="zh-CN"/>
        </w:rPr>
      </w:pPr>
      <w:r>
        <w:rPr>
          <w:rFonts w:hint="eastAsia" w:eastAsia="宋体"/>
          <w:color w:val="auto"/>
          <w:szCs w:val="21"/>
          <w:lang w:val="en-US" w:eastAsia="zh-CN"/>
        </w:rPr>
        <w:t>静止无功发生器（SVG）的设计、制造与运行需遵循全生命周期能效最优的核心原则，通过系统化技术实现高效节能</w:t>
      </w:r>
      <w:r>
        <w:rPr>
          <w:rFonts w:hint="eastAsia"/>
          <w:color w:val="auto"/>
          <w:szCs w:val="21"/>
          <w:lang w:val="en-US" w:eastAsia="zh-CN"/>
        </w:rPr>
        <w:t>与</w:t>
      </w:r>
      <w:r>
        <w:rPr>
          <w:rFonts w:hint="eastAsia" w:eastAsia="宋体"/>
          <w:color w:val="auto"/>
          <w:szCs w:val="21"/>
          <w:lang w:val="en-US" w:eastAsia="zh-CN"/>
        </w:rPr>
        <w:t>可靠运行。设备应具备模块化架构与自适应能力，在满足电网无功补偿精度、动态响应</w:t>
      </w:r>
      <w:r>
        <w:rPr>
          <w:rFonts w:hint="eastAsia"/>
          <w:color w:val="auto"/>
          <w:szCs w:val="21"/>
          <w:lang w:val="en-US" w:eastAsia="zh-CN"/>
        </w:rPr>
        <w:t>速率</w:t>
      </w:r>
      <w:r>
        <w:rPr>
          <w:rFonts w:hint="eastAsia" w:eastAsia="宋体"/>
          <w:color w:val="auto"/>
          <w:szCs w:val="21"/>
          <w:lang w:val="en-US" w:eastAsia="zh-CN"/>
        </w:rPr>
        <w:t>及谐波</w:t>
      </w:r>
      <w:r>
        <w:rPr>
          <w:rFonts w:hint="eastAsia"/>
          <w:color w:val="auto"/>
          <w:szCs w:val="21"/>
          <w:lang w:val="en-US" w:eastAsia="zh-CN"/>
        </w:rPr>
        <w:t>补偿能力</w:t>
      </w:r>
      <w:r>
        <w:rPr>
          <w:rFonts w:hint="eastAsia" w:eastAsia="宋体"/>
          <w:color w:val="auto"/>
          <w:szCs w:val="21"/>
          <w:lang w:val="en-US" w:eastAsia="zh-CN"/>
        </w:rPr>
        <w:t>等</w:t>
      </w:r>
      <w:r>
        <w:rPr>
          <w:rFonts w:hint="eastAsia"/>
          <w:color w:val="auto"/>
          <w:szCs w:val="21"/>
          <w:lang w:val="en-US" w:eastAsia="zh-CN"/>
        </w:rPr>
        <w:t>基本</w:t>
      </w:r>
      <w:r>
        <w:rPr>
          <w:rFonts w:hint="eastAsia" w:eastAsia="宋体"/>
          <w:color w:val="auto"/>
          <w:szCs w:val="21"/>
          <w:lang w:val="en-US" w:eastAsia="zh-CN"/>
        </w:rPr>
        <w:t>性能指标的基础上，通过低损耗器件选型、智能控制策略、高效散热设计及闭环能效评价体系，确保额定工况自耗电率</w:t>
      </w:r>
      <w:r>
        <w:rPr>
          <w:rFonts w:hint="eastAsia"/>
          <w:color w:val="auto"/>
          <w:szCs w:val="21"/>
          <w:lang w:val="en-US" w:eastAsia="zh-CN"/>
        </w:rPr>
        <w:t>最低</w:t>
      </w:r>
      <w:r>
        <w:rPr>
          <w:rFonts w:hint="eastAsia" w:eastAsia="宋体"/>
          <w:color w:val="auto"/>
          <w:szCs w:val="21"/>
          <w:lang w:val="en-US" w:eastAsia="zh-CN"/>
        </w:rPr>
        <w:t>，并支持多工况动态优化。设备需兼容型式试验验证与实时运行监测双重机制，实现从设计、测试到运维的全流程能效管控，最终达成电网支撑能力与自身能耗平衡的系统级节能效益。</w:t>
      </w:r>
    </w:p>
    <w:p>
      <w:pPr>
        <w:pStyle w:val="119"/>
        <w:spacing w:before="312" w:after="312"/>
        <w:jc w:val="left"/>
        <w:outlineLvl w:val="0"/>
        <w:rPr>
          <w:rFonts w:hint="eastAsia"/>
          <w:color w:val="auto"/>
          <w:lang w:val="en-US" w:eastAsia="zh-CN"/>
        </w:rPr>
      </w:pPr>
      <w:bookmarkStart w:id="44" w:name="_Toc21169"/>
      <w:bookmarkStart w:id="45" w:name="_Toc16905"/>
      <w:r>
        <w:rPr>
          <w:rFonts w:hint="eastAsia"/>
          <w:color w:val="auto"/>
          <w:lang w:val="en-US" w:eastAsia="zh-CN"/>
        </w:rPr>
        <w:t>节能设计</w:t>
      </w:r>
      <w:bookmarkEnd w:id="44"/>
      <w:bookmarkEnd w:id="45"/>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olor w:val="auto"/>
        </w:rPr>
      </w:pPr>
      <w:r>
        <w:rPr>
          <w:rFonts w:hint="eastAsia"/>
          <w:color w:val="auto"/>
        </w:rPr>
        <w:t>主电路拓扑与器件选型</w:t>
      </w:r>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高效拓扑结构</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firstLine="420" w:firstLineChars="200"/>
        <w:jc w:val="left"/>
        <w:textAlignment w:val="auto"/>
        <w:rPr>
          <w:rFonts w:hint="eastAsia" w:ascii="黑体" w:hAnsi="黑体" w:eastAsia="黑体" w:cs="Times New Roman"/>
          <w:color w:val="auto"/>
          <w:kern w:val="2"/>
          <w:lang w:val="en-US" w:eastAsia="zh-CN"/>
        </w:rPr>
      </w:pPr>
      <w:r>
        <w:rPr>
          <w:rFonts w:hint="eastAsia"/>
          <w:color w:val="auto"/>
        </w:rPr>
        <w:t>拓扑结构应符合下列要求：</w:t>
      </w:r>
    </w:p>
    <w:p>
      <w:pPr>
        <w:pStyle w:val="123"/>
        <w:numPr>
          <w:ilvl w:val="0"/>
          <w:numId w:val="14"/>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应采用模块化多电平、H桥级联等多电平逆变拓扑结构，并基于功率半导体器件（如IGBT）的特性，优化选取开关频率及驱动参数，以实现输出电流正弦度好、开关损耗低、电磁干扰（EMI）小的综合能效目标</w:t>
      </w:r>
      <w:r>
        <w:rPr>
          <w:rFonts w:hint="eastAsia" w:cs="Times New Roman"/>
          <w:color w:val="auto"/>
          <w:sz w:val="21"/>
          <w:szCs w:val="21"/>
          <w:lang w:val="en-US" w:eastAsia="zh-CN"/>
        </w:rPr>
        <w:t>；</w:t>
      </w:r>
    </w:p>
    <w:p>
      <w:pPr>
        <w:pStyle w:val="123"/>
        <w:numPr>
          <w:ilvl w:val="0"/>
          <w:numId w:val="14"/>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应采用标准化、模块化</w:t>
      </w:r>
      <w:r>
        <w:rPr>
          <w:rFonts w:hint="eastAsia"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功率单元设计</w:t>
      </w:r>
      <w:r>
        <w:rPr>
          <w:rFonts w:hint="eastAsia" w:cs="Times New Roman"/>
          <w:color w:val="auto"/>
          <w:sz w:val="21"/>
          <w:szCs w:val="21"/>
          <w:lang w:val="en-US" w:eastAsia="zh-CN"/>
        </w:rPr>
        <w:t>，具备</w:t>
      </w:r>
      <w:r>
        <w:rPr>
          <w:rFonts w:hint="eastAsia" w:ascii="Times New Roman" w:hAnsi="Times New Roman" w:eastAsia="宋体" w:cs="Times New Roman"/>
          <w:color w:val="auto"/>
          <w:sz w:val="21"/>
          <w:szCs w:val="21"/>
          <w:lang w:val="en-US" w:eastAsia="zh-CN"/>
        </w:rPr>
        <w:t>N+X冗余配置</w:t>
      </w:r>
      <w:r>
        <w:rPr>
          <w:rFonts w:hint="eastAsia" w:cs="Times New Roman"/>
          <w:color w:val="auto"/>
          <w:sz w:val="21"/>
          <w:szCs w:val="21"/>
          <w:vertAlign w:val="superscript"/>
          <w:lang w:val="en-US" w:eastAsia="zh-CN"/>
        </w:rPr>
        <w:t>1</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以</w:t>
      </w:r>
      <w:r>
        <w:rPr>
          <w:rFonts w:hint="eastAsia" w:ascii="Times New Roman" w:hAnsi="Times New Roman" w:eastAsia="宋体" w:cs="Times New Roman"/>
          <w:color w:val="auto"/>
          <w:sz w:val="21"/>
          <w:szCs w:val="21"/>
          <w:lang w:val="en-US" w:eastAsia="zh-CN"/>
        </w:rPr>
        <w:t>提升系统可用性。</w:t>
      </w:r>
    </w:p>
    <w:p>
      <w:pPr>
        <w:pStyle w:val="123"/>
        <w:numPr>
          <w:ilvl w:val="0"/>
          <w:numId w:val="0"/>
        </w:numPr>
        <w:ind w:left="425" w:leftChars="0"/>
        <w:rPr>
          <w:rFonts w:hint="eastAsia" w:ascii="Times New Roman" w:hAnsi="Times New Roman" w:eastAsia="宋体" w:cs="Times New Roman"/>
          <w:color w:val="auto"/>
          <w:sz w:val="21"/>
          <w:szCs w:val="21"/>
          <w:lang w:val="en-US" w:eastAsia="zh-CN"/>
        </w:rPr>
      </w:pPr>
      <w:r>
        <w:rPr>
          <w:rFonts w:hint="eastAsia" w:ascii="Segoe UI" w:hAnsi="Segoe UI" w:eastAsia="宋体" w:cs="Segoe UI"/>
          <w:i w:val="0"/>
          <w:iCs w:val="0"/>
          <w:caps w:val="0"/>
          <w:color w:val="0F1115"/>
          <w:spacing w:val="0"/>
          <w:sz w:val="16"/>
          <w:szCs w:val="16"/>
          <w:shd w:val="clear" w:fill="FFFFFF"/>
          <w:vertAlign w:val="superscript"/>
          <w:lang w:val="en-US" w:eastAsia="zh-CN"/>
        </w:rPr>
        <w:t>1</w:t>
      </w:r>
      <w:r>
        <w:rPr>
          <w:rFonts w:ascii="Segoe UI" w:hAnsi="Segoe UI" w:eastAsia="Segoe UI" w:cs="Segoe UI"/>
          <w:i w:val="0"/>
          <w:iCs w:val="0"/>
          <w:caps w:val="0"/>
          <w:color w:val="0F1115"/>
          <w:spacing w:val="0"/>
          <w:sz w:val="16"/>
          <w:szCs w:val="16"/>
          <w:shd w:val="clear" w:fill="FFFFFF"/>
        </w:rPr>
        <w:t>N+X冗余配置：指系统由 (N) 个满足额定容量所需的最小功率单元，与 (X) 个额外的备用功率单元共同构成。当不超过 (X) 个单元发生故障时，系统可在不影响额定输出能力的前提下继续运行</w:t>
      </w:r>
      <w:r>
        <w:rPr>
          <w:rFonts w:hint="eastAsia" w:ascii="Segoe UI" w:hAnsi="Segoe UI" w:eastAsia="宋体" w:cs="Segoe UI"/>
          <w:i w:val="0"/>
          <w:iCs w:val="0"/>
          <w:caps w:val="0"/>
          <w:color w:val="0F1115"/>
          <w:spacing w:val="0"/>
          <w:sz w:val="16"/>
          <w:szCs w:val="16"/>
          <w:shd w:val="clear" w:fill="FFFFFF"/>
          <w:lang w:eastAsia="zh-CN"/>
        </w:rPr>
        <w:t>，</w:t>
      </w:r>
      <w:r>
        <w:rPr>
          <w:rFonts w:hint="eastAsia" w:ascii="Segoe UI" w:hAnsi="Segoe UI" w:eastAsia="宋体" w:cs="Segoe UI"/>
          <w:i w:val="0"/>
          <w:iCs w:val="0"/>
          <w:caps w:val="0"/>
          <w:color w:val="0F1115"/>
          <w:spacing w:val="0"/>
          <w:sz w:val="16"/>
          <w:szCs w:val="16"/>
          <w:shd w:val="clear" w:fill="FFFFFF"/>
          <w:lang w:val="en-US" w:eastAsia="zh-CN"/>
        </w:rPr>
        <w:t>且</w:t>
      </w:r>
      <w:r>
        <w:rPr>
          <w:rFonts w:hint="default" w:ascii="Segoe UI" w:hAnsi="Segoe UI" w:eastAsia="Segoe UI" w:cs="Segoe UI"/>
          <w:i w:val="0"/>
          <w:iCs w:val="0"/>
          <w:caps w:val="0"/>
          <w:color w:val="0F1115"/>
          <w:spacing w:val="0"/>
          <w:sz w:val="16"/>
          <w:szCs w:val="16"/>
          <w:shd w:val="clear" w:fill="FFFFFF"/>
        </w:rPr>
        <w:t>X 应不小于 1</w:t>
      </w:r>
      <w:r>
        <w:rPr>
          <w:rFonts w:hint="eastAsia" w:ascii="Segoe UI" w:hAnsi="Segoe UI" w:eastAsia="宋体" w:cs="Segoe UI"/>
          <w:i w:val="0"/>
          <w:iCs w:val="0"/>
          <w:caps w:val="0"/>
          <w:color w:val="0F1115"/>
          <w:spacing w:val="0"/>
          <w:sz w:val="16"/>
          <w:szCs w:val="16"/>
          <w:shd w:val="clear" w:fill="FFFFFF"/>
          <w:lang w:eastAsia="zh-CN"/>
        </w:rPr>
        <w:t>。</w:t>
      </w:r>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低损耗器件</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jc w:val="left"/>
        <w:textAlignment w:val="auto"/>
        <w:rPr>
          <w:rFonts w:hint="default"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 xml:space="preserve">    </w:t>
      </w:r>
      <w:r>
        <w:rPr>
          <w:rFonts w:hint="eastAsia" w:ascii="Times New Roman" w:hAnsi="Times New Roman" w:cs="Times New Roman"/>
          <w:color w:val="auto"/>
          <w:lang w:val="en-US" w:eastAsia="zh-CN"/>
        </w:rPr>
        <w:t>器件选择</w:t>
      </w:r>
      <w:r>
        <w:rPr>
          <w:rFonts w:hint="eastAsia" w:ascii="Times New Roman" w:hAnsi="Times New Roman" w:cs="Times New Roman"/>
          <w:color w:val="auto"/>
        </w:rPr>
        <w:t>应符</w:t>
      </w:r>
      <w:r>
        <w:rPr>
          <w:rFonts w:hint="eastAsia"/>
          <w:color w:val="auto"/>
        </w:rPr>
        <w:t>合下列要求：</w:t>
      </w:r>
    </w:p>
    <w:p>
      <w:pPr>
        <w:pStyle w:val="123"/>
        <w:numPr>
          <w:ilvl w:val="0"/>
          <w:numId w:val="15"/>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优先选用低导通压降、低开关损耗的IGBT模块，其额定电流和电压等级应留有适当裕量</w:t>
      </w:r>
      <w:r>
        <w:rPr>
          <w:rFonts w:hint="eastAsia" w:cs="Times New Roman"/>
          <w:color w:val="auto"/>
          <w:sz w:val="21"/>
          <w:szCs w:val="21"/>
          <w:lang w:val="en-US" w:eastAsia="zh-CN"/>
        </w:rPr>
        <w:t>；</w:t>
      </w:r>
    </w:p>
    <w:p>
      <w:pPr>
        <w:pStyle w:val="123"/>
        <w:numPr>
          <w:ilvl w:val="0"/>
          <w:numId w:val="15"/>
        </w:numP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优先</w:t>
      </w:r>
      <w:r>
        <w:rPr>
          <w:rFonts w:hint="eastAsia" w:ascii="Times New Roman" w:hAnsi="Times New Roman" w:eastAsia="宋体" w:cs="Times New Roman"/>
          <w:color w:val="auto"/>
          <w:sz w:val="21"/>
          <w:szCs w:val="21"/>
          <w:lang w:val="en-US" w:eastAsia="zh-CN"/>
        </w:rPr>
        <w:t>采用低损耗铁芯材料（如纳米晶、非晶态合金、优质取向硅钢）的磁性元件（连接电抗器、变压器），</w:t>
      </w:r>
      <w:r>
        <w:rPr>
          <w:rFonts w:hint="eastAsia" w:cs="Times New Roman"/>
          <w:color w:val="auto"/>
          <w:sz w:val="21"/>
          <w:szCs w:val="21"/>
          <w:lang w:val="en-US" w:eastAsia="zh-CN"/>
        </w:rPr>
        <w:t>必要时</w:t>
      </w:r>
      <w:r>
        <w:rPr>
          <w:rFonts w:hint="eastAsia" w:ascii="Times New Roman" w:hAnsi="Times New Roman" w:eastAsia="宋体" w:cs="Times New Roman"/>
          <w:color w:val="auto"/>
          <w:sz w:val="21"/>
          <w:szCs w:val="21"/>
          <w:lang w:val="en-US" w:eastAsia="zh-CN"/>
        </w:rPr>
        <w:t>采用利兹线或多股绞合线的绕组以降低高频涡流损耗</w:t>
      </w:r>
      <w:r>
        <w:rPr>
          <w:rFonts w:hint="eastAsia" w:cs="Times New Roman"/>
          <w:color w:val="auto"/>
          <w:sz w:val="21"/>
          <w:szCs w:val="21"/>
          <w:lang w:val="en-US" w:eastAsia="zh-CN"/>
        </w:rPr>
        <w:t>；</w:t>
      </w:r>
    </w:p>
    <w:p>
      <w:pPr>
        <w:pStyle w:val="123"/>
        <w:numPr>
          <w:ilvl w:val="0"/>
          <w:numId w:val="15"/>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宜选用低等效串联电阻和低等效串联电感的类型（如金属化聚丙烯薄膜电容器）</w:t>
      </w:r>
      <w:r>
        <w:rPr>
          <w:rFonts w:hint="eastAsia"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直流侧支撑与吸收电容。额定参数应留有充分裕量，结构设计应有利于降低寄生电感、实现均匀散热，并满足相应的阻燃安全等级要求。</w:t>
      </w:r>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olor w:val="auto"/>
          <w:lang w:val="en-US" w:eastAsia="zh-CN"/>
        </w:rPr>
      </w:pPr>
      <w:r>
        <w:rPr>
          <w:rFonts w:hint="eastAsia"/>
          <w:color w:val="auto"/>
          <w:lang w:val="en-US" w:eastAsia="zh-CN"/>
        </w:rPr>
        <w:t>控制与策略设计</w:t>
      </w:r>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智能控制架构</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jc w:val="left"/>
        <w:textAlignment w:val="auto"/>
        <w:rPr>
          <w:rFonts w:hint="default"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 xml:space="preserve">   </w:t>
      </w:r>
      <w:r>
        <w:rPr>
          <w:rFonts w:hint="eastAsia" w:ascii="Times New Roman" w:hAnsi="Times New Roman" w:eastAsia="宋体" w:cs="Times New Roman"/>
          <w:color w:val="auto"/>
          <w:sz w:val="21"/>
          <w:szCs w:val="21"/>
          <w:lang w:val="en-US" w:eastAsia="zh-CN" w:bidi="ar-SA"/>
        </w:rPr>
        <w:t xml:space="preserve"> 为最大化SVG装置的节能效果与运行效率，控制架构应符合下列要求：</w:t>
      </w:r>
    </w:p>
    <w:p>
      <w:pPr>
        <w:pStyle w:val="123"/>
        <w:numPr>
          <w:ilvl w:val="0"/>
          <w:numId w:val="16"/>
        </w:numP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 xml:space="preserve">宜采用分布式控制架构以确保系统的模块化与可扩展性。采样频率不低于20 kHz，控制周期不大于50 </w:t>
      </w:r>
      <w:r>
        <w:rPr>
          <w:rFonts w:hint="default" w:ascii="Times New Roman" w:hAnsi="Times New Roman" w:cs="Times New Roman"/>
          <w:color w:val="auto"/>
          <w:sz w:val="21"/>
          <w:szCs w:val="21"/>
          <w:lang w:val="en-US" w:eastAsia="zh-CN"/>
        </w:rPr>
        <w:t>μs</w:t>
      </w:r>
      <w:r>
        <w:rPr>
          <w:rFonts w:hint="eastAsia" w:cs="Times New Roman"/>
          <w:color w:val="auto"/>
          <w:sz w:val="21"/>
          <w:szCs w:val="21"/>
          <w:lang w:val="en-US" w:eastAsia="zh-CN"/>
        </w:rPr>
        <w:t>。控制架构应能实现高速、精确的无功功率调节与系统保护。</w:t>
      </w:r>
    </w:p>
    <w:p>
      <w:pPr>
        <w:pStyle w:val="123"/>
        <w:numPr>
          <w:ilvl w:val="0"/>
          <w:numId w:val="16"/>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应具备自适应控制功能，能够根据电网阻抗特性和负载变化自动优化控制参数，确保在各种工况下的高效稳定运行。</w:t>
      </w:r>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高效运行模式与动态容量限额</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jc w:val="left"/>
        <w:textAlignment w:val="auto"/>
        <w:rPr>
          <w:rFonts w:hint="default"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 xml:space="preserve">    </w:t>
      </w:r>
      <w:r>
        <w:rPr>
          <w:rFonts w:hint="eastAsia" w:ascii="Times New Roman" w:hAnsi="Times New Roman" w:eastAsia="宋体" w:cs="Times New Roman"/>
          <w:color w:val="auto"/>
          <w:sz w:val="21"/>
          <w:szCs w:val="21"/>
          <w:lang w:val="en-US" w:eastAsia="zh-CN" w:bidi="ar-SA"/>
        </w:rPr>
        <w:t>为最大化SVG装置的节能效果与运行效率，运行模式与</w:t>
      </w:r>
      <w:r>
        <w:rPr>
          <w:rFonts w:hint="eastAsia" w:cs="Times New Roman"/>
          <w:color w:val="auto"/>
          <w:sz w:val="21"/>
          <w:szCs w:val="21"/>
          <w:lang w:val="en-US" w:eastAsia="zh-CN" w:bidi="ar-SA"/>
        </w:rPr>
        <w:t>容量限额</w:t>
      </w:r>
      <w:r>
        <w:rPr>
          <w:rFonts w:hint="eastAsia" w:ascii="Times New Roman" w:hAnsi="Times New Roman" w:cs="Times New Roman"/>
          <w:color w:val="auto"/>
          <w:sz w:val="21"/>
          <w:szCs w:val="21"/>
          <w:lang w:val="en-US" w:eastAsia="zh-CN" w:bidi="ar-SA"/>
        </w:rPr>
        <w:t>策略</w:t>
      </w:r>
      <w:r>
        <w:rPr>
          <w:rFonts w:hint="eastAsia" w:ascii="Times New Roman" w:hAnsi="Times New Roman" w:eastAsia="宋体" w:cs="Times New Roman"/>
          <w:color w:val="auto"/>
          <w:sz w:val="21"/>
          <w:szCs w:val="21"/>
          <w:lang w:val="en-US" w:eastAsia="zh-CN" w:bidi="ar-SA"/>
        </w:rPr>
        <w:t>应符合下列要求：</w:t>
      </w:r>
    </w:p>
    <w:p>
      <w:pPr>
        <w:pStyle w:val="123"/>
        <w:numPr>
          <w:ilvl w:val="0"/>
          <w:numId w:val="17"/>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应支持恒无功控制（精度±1%）、恒功率因数（精度±1%）、恒电压控制（精度±0.5%）等多种运行模式，并能根据系统需求自动切换</w:t>
      </w:r>
      <w:r>
        <w:rPr>
          <w:rFonts w:hint="eastAsia" w:cs="Times New Roman"/>
          <w:color w:val="auto"/>
          <w:sz w:val="21"/>
          <w:szCs w:val="21"/>
          <w:lang w:val="en-US" w:eastAsia="zh-CN"/>
        </w:rPr>
        <w:t>；</w:t>
      </w:r>
    </w:p>
    <w:p>
      <w:pPr>
        <w:pStyle w:val="123"/>
        <w:numPr>
          <w:ilvl w:val="0"/>
          <w:numId w:val="17"/>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应具备动态容量限额功能，能够根据实时采集的功率器件结温、直流母线电压等关键参数，动态计算并设定装置的当前最大允许输出容量，在确保运行安全的前提下，最大化设备利用率</w:t>
      </w:r>
      <w:r>
        <w:rPr>
          <w:rFonts w:hint="eastAsia" w:cs="Times New Roman"/>
          <w:color w:val="auto"/>
          <w:sz w:val="21"/>
          <w:szCs w:val="21"/>
          <w:lang w:val="en-US" w:eastAsia="zh-CN"/>
        </w:rPr>
        <w:t>；</w:t>
      </w:r>
    </w:p>
    <w:p>
      <w:pPr>
        <w:pStyle w:val="123"/>
        <w:numPr>
          <w:ilvl w:val="0"/>
          <w:numId w:val="17"/>
        </w:numP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应具备13次及以下次数谐波的补偿能力，至少具备4个阶次谐波同时治理能力，单次谐波补偿电流输出能力不小于I</w:t>
      </w:r>
      <w:r>
        <w:rPr>
          <w:rFonts w:hint="eastAsia" w:ascii="Times New Roman" w:hAnsi="Times New Roman" w:eastAsia="宋体" w:cs="Times New Roman"/>
          <w:color w:val="auto"/>
          <w:sz w:val="21"/>
          <w:szCs w:val="21"/>
          <w:vertAlign w:val="subscript"/>
          <w:lang w:val="en-US" w:eastAsia="zh-CN"/>
        </w:rPr>
        <w:t>N</w:t>
      </w:r>
      <w:r>
        <w:rPr>
          <w:rFonts w:hint="eastAsia" w:ascii="Times New Roman" w:hAnsi="Times New Roman" w:eastAsia="宋体" w:cs="Times New Roman"/>
          <w:color w:val="auto"/>
          <w:sz w:val="21"/>
          <w:szCs w:val="21"/>
          <w:lang w:val="en-US" w:eastAsia="zh-CN"/>
        </w:rPr>
        <w:t>/n（I</w:t>
      </w:r>
      <w:r>
        <w:rPr>
          <w:rFonts w:hint="eastAsia" w:ascii="Times New Roman" w:hAnsi="Times New Roman" w:eastAsia="宋体" w:cs="Times New Roman"/>
          <w:color w:val="auto"/>
          <w:sz w:val="21"/>
          <w:szCs w:val="21"/>
          <w:vertAlign w:val="subscript"/>
          <w:lang w:val="en-US" w:eastAsia="zh-CN"/>
        </w:rPr>
        <w:t>N</w:t>
      </w:r>
      <w:r>
        <w:rPr>
          <w:rFonts w:hint="eastAsia" w:ascii="Times New Roman" w:hAnsi="Times New Roman" w:eastAsia="宋体" w:cs="Times New Roman"/>
          <w:color w:val="auto"/>
          <w:sz w:val="21"/>
          <w:szCs w:val="21"/>
          <w:lang w:val="en-US" w:eastAsia="zh-CN"/>
        </w:rPr>
        <w:t>为装置的额定输出电流，n 为谐波次数）</w:t>
      </w:r>
      <w:r>
        <w:rPr>
          <w:rFonts w:hint="eastAsia" w:cs="Times New Roman"/>
          <w:color w:val="auto"/>
          <w:sz w:val="21"/>
          <w:szCs w:val="21"/>
          <w:lang w:val="en-US" w:eastAsia="zh-CN"/>
        </w:rPr>
        <w:t>；</w:t>
      </w:r>
    </w:p>
    <w:p>
      <w:pPr>
        <w:pStyle w:val="123"/>
        <w:numPr>
          <w:ilvl w:val="0"/>
          <w:numId w:val="17"/>
        </w:numP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不平衡补偿：对于三相星形接线装置，最大不平衡补偿电流输出能力不小于0.3I</w:t>
      </w:r>
      <w:r>
        <w:rPr>
          <w:rFonts w:hint="eastAsia" w:ascii="Times New Roman" w:hAnsi="Times New Roman" w:eastAsia="宋体" w:cs="Times New Roman"/>
          <w:color w:val="auto"/>
          <w:sz w:val="21"/>
          <w:szCs w:val="21"/>
          <w:highlight w:val="none"/>
          <w:vertAlign w:val="subscript"/>
          <w:lang w:val="en-US" w:eastAsia="zh-CN"/>
        </w:rPr>
        <w:t>N</w:t>
      </w:r>
      <w:r>
        <w:rPr>
          <w:rFonts w:hint="eastAsia" w:ascii="Times New Roman" w:hAnsi="Times New Roman" w:eastAsia="宋体" w:cs="Times New Roman"/>
          <w:color w:val="auto"/>
          <w:sz w:val="21"/>
          <w:szCs w:val="21"/>
          <w:highlight w:val="none"/>
          <w:lang w:val="en-US" w:eastAsia="zh-CN"/>
        </w:rPr>
        <w:t>。</w:t>
      </w:r>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default"/>
          <w:color w:val="auto"/>
          <w:lang w:val="en-US" w:eastAsia="zh-CN"/>
        </w:rPr>
      </w:pPr>
      <w:bookmarkStart w:id="46" w:name="_Toc28923"/>
      <w:bookmarkStart w:id="47" w:name="_Toc15575"/>
      <w:r>
        <w:rPr>
          <w:rFonts w:hint="eastAsia"/>
          <w:color w:val="auto"/>
          <w:lang w:val="en-US" w:eastAsia="zh-CN"/>
        </w:rPr>
        <w:t>散热设计</w:t>
      </w:r>
      <w:bookmarkEnd w:id="46"/>
      <w:bookmarkEnd w:id="47"/>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default" w:ascii="黑体" w:hAnsi="黑体" w:eastAsia="黑体" w:cs="Times New Roman"/>
          <w:color w:val="auto"/>
          <w:kern w:val="2"/>
          <w:lang w:val="en-US" w:eastAsia="zh-CN"/>
        </w:rPr>
      </w:pPr>
      <w:r>
        <w:rPr>
          <w:rFonts w:hint="default" w:ascii="黑体" w:hAnsi="黑体" w:eastAsia="黑体" w:cs="Times New Roman"/>
          <w:color w:val="auto"/>
          <w:kern w:val="2"/>
          <w:lang w:val="en-US" w:eastAsia="zh-CN"/>
        </w:rPr>
        <w:t>高效冷却方式</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jc w:val="left"/>
        <w:textAlignment w:val="auto"/>
        <w:rPr>
          <w:rFonts w:hint="default"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 xml:space="preserve">   </w:t>
      </w:r>
      <w:r>
        <w:rPr>
          <w:rFonts w:hint="eastAsia" w:ascii="Times New Roman" w:hAnsi="Times New Roman" w:eastAsia="宋体" w:cs="Times New Roman"/>
          <w:color w:val="auto"/>
          <w:sz w:val="21"/>
          <w:szCs w:val="21"/>
          <w:lang w:val="en-US" w:eastAsia="zh-CN" w:bidi="ar-SA"/>
        </w:rPr>
        <w:t xml:space="preserve"> 冷却方式应符合下列要求：</w:t>
      </w:r>
    </w:p>
    <w:p>
      <w:pPr>
        <w:pStyle w:val="123"/>
        <w:numPr>
          <w:ilvl w:val="0"/>
          <w:numId w:val="18"/>
        </w:num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对于容量</w:t>
      </w: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4MVar的SVG，可采用强制风冷方式，风扇应选用高效直流无刷风机并配置智能调速功能</w:t>
      </w:r>
      <w:r>
        <w:rPr>
          <w:rFonts w:hint="eastAsia" w:cs="Times New Roman"/>
          <w:color w:val="auto"/>
          <w:sz w:val="21"/>
          <w:szCs w:val="21"/>
          <w:lang w:val="en-US" w:eastAsia="zh-CN"/>
        </w:rPr>
        <w:t>；</w:t>
      </w:r>
    </w:p>
    <w:p>
      <w:pPr>
        <w:pStyle w:val="123"/>
        <w:numPr>
          <w:ilvl w:val="0"/>
          <w:numId w:val="18"/>
        </w:num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对于容量</w:t>
      </w: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4MVar</w:t>
      </w:r>
      <w:r>
        <w:rPr>
          <w:rFonts w:hint="eastAsia" w:cs="Times New Roman"/>
          <w:color w:val="auto"/>
          <w:sz w:val="21"/>
          <w:szCs w:val="21"/>
          <w:lang w:val="en-US" w:eastAsia="zh-CN"/>
        </w:rPr>
        <w:t>的</w:t>
      </w:r>
      <w:r>
        <w:rPr>
          <w:rFonts w:hint="default" w:ascii="Times New Roman" w:hAnsi="Times New Roman" w:eastAsia="宋体" w:cs="Times New Roman"/>
          <w:color w:val="auto"/>
          <w:sz w:val="21"/>
          <w:szCs w:val="21"/>
          <w:lang w:val="en-US" w:eastAsia="zh-CN"/>
        </w:rPr>
        <w:t>SVG，</w:t>
      </w:r>
      <w:r>
        <w:rPr>
          <w:rFonts w:hint="eastAsia" w:ascii="Times New Roman" w:hAnsi="Times New Roman" w:eastAsia="宋体" w:cs="Times New Roman"/>
          <w:color w:val="auto"/>
          <w:sz w:val="21"/>
          <w:szCs w:val="21"/>
          <w:lang w:val="en-US" w:eastAsia="zh-CN"/>
        </w:rPr>
        <w:t>应</w:t>
      </w:r>
      <w:r>
        <w:rPr>
          <w:rFonts w:hint="default" w:ascii="Times New Roman" w:hAnsi="Times New Roman" w:eastAsia="宋体" w:cs="Times New Roman"/>
          <w:color w:val="auto"/>
          <w:sz w:val="21"/>
          <w:szCs w:val="21"/>
          <w:lang w:val="en-US" w:eastAsia="zh-CN"/>
        </w:rPr>
        <w:t>采用液冷散热方式，冷却系统应配备变频驱动泵，根据散热需求动态调节流量。</w:t>
      </w:r>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default" w:ascii="黑体" w:hAnsi="黑体" w:eastAsia="黑体" w:cs="Times New Roman"/>
          <w:color w:val="auto"/>
          <w:kern w:val="2"/>
          <w:lang w:val="en-US" w:eastAsia="zh-CN"/>
        </w:rPr>
      </w:pPr>
      <w:r>
        <w:rPr>
          <w:rFonts w:hint="default" w:ascii="黑体" w:hAnsi="黑体" w:eastAsia="黑体" w:cs="Times New Roman"/>
          <w:color w:val="auto"/>
          <w:kern w:val="2"/>
          <w:lang w:val="en-US" w:eastAsia="zh-CN"/>
        </w:rPr>
        <w:t xml:space="preserve"> 温控与辅机能耗管理</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firstLine="420" w:firstLineChars="200"/>
        <w:jc w:val="left"/>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温控与</w:t>
      </w:r>
      <w:r>
        <w:rPr>
          <w:rFonts w:hint="eastAsia" w:ascii="Times New Roman" w:hAnsi="Times New Roman" w:eastAsia="宋体" w:cs="Times New Roman"/>
          <w:color w:val="auto"/>
          <w:sz w:val="21"/>
          <w:szCs w:val="21"/>
          <w:lang w:val="en-US" w:eastAsia="zh-CN" w:bidi="ar-SA"/>
        </w:rPr>
        <w:t>能耗管理</w:t>
      </w:r>
      <w:r>
        <w:rPr>
          <w:rFonts w:hint="eastAsia" w:ascii="Times New Roman" w:hAnsi="Times New Roman" w:cs="Times New Roman"/>
          <w:color w:val="auto"/>
          <w:sz w:val="21"/>
          <w:szCs w:val="21"/>
          <w:lang w:val="en-US" w:eastAsia="zh-CN" w:bidi="ar-SA"/>
        </w:rPr>
        <w:t>应符合下列要求</w:t>
      </w:r>
      <w:r>
        <w:rPr>
          <w:rFonts w:hint="eastAsia" w:ascii="Times New Roman" w:hAnsi="Times New Roman" w:eastAsia="宋体" w:cs="Times New Roman"/>
          <w:color w:val="auto"/>
          <w:sz w:val="21"/>
          <w:szCs w:val="21"/>
          <w:lang w:val="en-US" w:eastAsia="zh-CN" w:bidi="ar-SA"/>
        </w:rPr>
        <w:t>：</w:t>
      </w:r>
    </w:p>
    <w:p>
      <w:pPr>
        <w:pStyle w:val="123"/>
        <w:numPr>
          <w:ilvl w:val="0"/>
          <w:numId w:val="19"/>
        </w:numP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应</w:t>
      </w:r>
      <w:r>
        <w:rPr>
          <w:rFonts w:hint="eastAsia" w:cs="Times New Roman"/>
          <w:color w:val="auto"/>
          <w:sz w:val="21"/>
          <w:szCs w:val="21"/>
          <w:lang w:val="en-US" w:eastAsia="zh-CN"/>
        </w:rPr>
        <w:t>为</w:t>
      </w:r>
      <w:r>
        <w:rPr>
          <w:rFonts w:hint="default" w:ascii="Times New Roman" w:hAnsi="Times New Roman" w:eastAsia="宋体" w:cs="Times New Roman"/>
          <w:color w:val="auto"/>
          <w:sz w:val="21"/>
          <w:szCs w:val="21"/>
          <w:lang w:val="en-US" w:eastAsia="zh-CN"/>
        </w:rPr>
        <w:t>冷却系统（风机、水泵）配备变频驱动和基于</w:t>
      </w:r>
      <w:r>
        <w:rPr>
          <w:rFonts w:hint="eastAsia" w:cs="Times New Roman"/>
          <w:color w:val="auto"/>
          <w:sz w:val="21"/>
          <w:szCs w:val="21"/>
          <w:lang w:val="en-US" w:eastAsia="zh-CN"/>
        </w:rPr>
        <w:t>可编程逻辑控制器（</w:t>
      </w:r>
      <w:r>
        <w:rPr>
          <w:rFonts w:hint="default" w:ascii="Times New Roman" w:hAnsi="Times New Roman" w:eastAsia="宋体" w:cs="Times New Roman"/>
          <w:color w:val="auto"/>
          <w:sz w:val="21"/>
          <w:szCs w:val="21"/>
          <w:lang w:val="en-US" w:eastAsia="zh-CN"/>
        </w:rPr>
        <w:t>PLC</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的智能温控策略，</w:t>
      </w:r>
      <w:r>
        <w:rPr>
          <w:rFonts w:hint="eastAsia" w:cs="Times New Roman"/>
          <w:color w:val="auto"/>
          <w:sz w:val="21"/>
          <w:szCs w:val="21"/>
          <w:lang w:val="en-US" w:eastAsia="zh-CN"/>
        </w:rPr>
        <w:t>应能</w:t>
      </w:r>
      <w:r>
        <w:rPr>
          <w:rFonts w:hint="default" w:ascii="Times New Roman" w:hAnsi="Times New Roman" w:eastAsia="宋体" w:cs="Times New Roman"/>
          <w:color w:val="auto"/>
          <w:sz w:val="21"/>
          <w:szCs w:val="21"/>
          <w:lang w:val="en-US" w:eastAsia="zh-CN"/>
        </w:rPr>
        <w:t>根据</w:t>
      </w:r>
      <w:r>
        <w:rPr>
          <w:rFonts w:hint="eastAsia" w:cs="Times New Roman"/>
          <w:color w:val="auto"/>
          <w:sz w:val="21"/>
          <w:szCs w:val="21"/>
          <w:lang w:val="en-US" w:eastAsia="zh-CN"/>
        </w:rPr>
        <w:t>功率模块温度、SVG舱（室）环境温度等</w:t>
      </w:r>
      <w:r>
        <w:rPr>
          <w:rFonts w:hint="default" w:ascii="Times New Roman" w:hAnsi="Times New Roman" w:eastAsia="宋体" w:cs="Times New Roman"/>
          <w:color w:val="auto"/>
          <w:sz w:val="21"/>
          <w:szCs w:val="21"/>
          <w:lang w:val="en-US" w:eastAsia="zh-CN"/>
        </w:rPr>
        <w:t>关键测温点温度动态调节转速</w:t>
      </w:r>
      <w:r>
        <w:rPr>
          <w:rFonts w:hint="eastAsia" w:ascii="Times New Roman" w:hAnsi="Times New Roman" w:eastAsia="宋体" w:cs="Times New Roman"/>
          <w:color w:val="auto"/>
          <w:sz w:val="21"/>
          <w:szCs w:val="21"/>
          <w:lang w:val="en-US" w:eastAsia="zh-CN"/>
        </w:rPr>
        <w:t>来</w:t>
      </w:r>
      <w:r>
        <w:rPr>
          <w:rFonts w:hint="default" w:ascii="Times New Roman" w:hAnsi="Times New Roman" w:eastAsia="宋体" w:cs="Times New Roman"/>
          <w:color w:val="auto"/>
          <w:sz w:val="21"/>
          <w:szCs w:val="21"/>
          <w:lang w:val="en-US" w:eastAsia="zh-CN"/>
        </w:rPr>
        <w:t>降低辅机能耗</w:t>
      </w:r>
      <w:r>
        <w:rPr>
          <w:rFonts w:hint="eastAsia" w:cs="Times New Roman"/>
          <w:color w:val="auto"/>
          <w:sz w:val="21"/>
          <w:szCs w:val="21"/>
          <w:lang w:val="en-US" w:eastAsia="zh-CN"/>
        </w:rPr>
        <w:t>；</w:t>
      </w:r>
    </w:p>
    <w:p>
      <w:pPr>
        <w:pStyle w:val="123"/>
        <w:numPr>
          <w:ilvl w:val="0"/>
          <w:numId w:val="19"/>
        </w:num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应优化散热器流道、风道设计，减小流阻，降低水泵/风机功耗。</w:t>
      </w:r>
    </w:p>
    <w:p>
      <w:pPr>
        <w:pStyle w:val="119"/>
        <w:spacing w:before="312" w:after="312"/>
        <w:jc w:val="left"/>
        <w:outlineLvl w:val="0"/>
        <w:rPr>
          <w:rFonts w:hint="eastAsia"/>
          <w:color w:val="auto"/>
          <w:lang w:val="en-US" w:eastAsia="zh-CN"/>
        </w:rPr>
      </w:pPr>
      <w:bookmarkStart w:id="48" w:name="_Toc11665"/>
      <w:bookmarkStart w:id="49" w:name="_Toc32319"/>
      <w:r>
        <w:rPr>
          <w:rFonts w:hint="eastAsia"/>
          <w:color w:val="auto"/>
          <w:lang w:val="en-US" w:eastAsia="zh-CN"/>
        </w:rPr>
        <w:t>试验方法</w:t>
      </w:r>
      <w:bookmarkEnd w:id="48"/>
      <w:bookmarkEnd w:id="49"/>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olor w:val="auto"/>
          <w:lang w:val="en-US" w:eastAsia="zh-CN"/>
        </w:rPr>
      </w:pPr>
      <w:r>
        <w:rPr>
          <w:rFonts w:hint="eastAsia"/>
          <w:color w:val="auto"/>
          <w:lang w:val="en-US" w:eastAsia="zh-CN"/>
        </w:rPr>
        <w:t>通用试验条件</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jc w:val="left"/>
        <w:textAlignment w:val="auto"/>
        <w:rPr>
          <w:rFonts w:hint="default"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 xml:space="preserve">   </w:t>
      </w:r>
      <w:r>
        <w:rPr>
          <w:rFonts w:hint="eastAsia" w:ascii="Times New Roman" w:hAnsi="Times New Roman" w:eastAsia="宋体" w:cs="Times New Roman"/>
          <w:color w:val="auto"/>
          <w:sz w:val="21"/>
          <w:szCs w:val="21"/>
          <w:lang w:val="en-US" w:eastAsia="zh-CN" w:bidi="ar-SA"/>
        </w:rPr>
        <w:t xml:space="preserve"> </w:t>
      </w:r>
      <w:r>
        <w:rPr>
          <w:rFonts w:hint="eastAsia" w:ascii="宋体" w:hAnsi="宋体" w:cs="宋体"/>
          <w:color w:val="auto"/>
        </w:rPr>
        <w:t>所有试验如无其它规定，均应在下列条件下进行</w:t>
      </w:r>
      <w:r>
        <w:rPr>
          <w:rFonts w:hint="eastAsia" w:ascii="Times New Roman" w:hAnsi="Times New Roman" w:eastAsia="宋体" w:cs="Times New Roman"/>
          <w:color w:val="auto"/>
          <w:sz w:val="21"/>
          <w:szCs w:val="21"/>
          <w:lang w:val="en-US" w:eastAsia="zh-CN" w:bidi="ar-SA"/>
        </w:rPr>
        <w:t>：</w:t>
      </w:r>
    </w:p>
    <w:p>
      <w:pPr>
        <w:pStyle w:val="123"/>
        <w:numPr>
          <w:ilvl w:val="0"/>
          <w:numId w:val="0"/>
        </w:numPr>
        <w:ind w:left="425" w:leftChars="0"/>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 </w:t>
      </w:r>
      <w:r>
        <w:rPr>
          <w:rFonts w:hint="eastAsia" w:ascii="Times New Roman" w:hAnsi="Times New Roman" w:eastAsia="宋体" w:cs="Times New Roman"/>
          <w:color w:val="auto"/>
          <w:sz w:val="21"/>
          <w:szCs w:val="21"/>
          <w:lang w:val="en-US" w:eastAsia="zh-CN"/>
        </w:rPr>
        <w:t>环境温度：25</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w:t>
      </w:r>
    </w:p>
    <w:p>
      <w:pPr>
        <w:pStyle w:val="123"/>
        <w:numPr>
          <w:ilvl w:val="0"/>
          <w:numId w:val="0"/>
        </w:numPr>
        <w:ind w:left="420" w:leftChars="0"/>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rPr>
        <w:t>——</w:t>
      </w:r>
      <w:r>
        <w:rPr>
          <w:rFonts w:hint="eastAsia" w:cs="Times New Roman"/>
          <w:color w:val="auto"/>
          <w:lang w:val="en-US" w:eastAsia="zh-CN"/>
        </w:rPr>
        <w:t xml:space="preserve"> </w:t>
      </w:r>
      <w:r>
        <w:rPr>
          <w:rFonts w:hint="eastAsia" w:ascii="Times New Roman" w:hAnsi="Times New Roman" w:eastAsia="宋体" w:cs="Times New Roman"/>
          <w:color w:val="auto"/>
          <w:sz w:val="21"/>
          <w:szCs w:val="21"/>
          <w:lang w:val="en-US" w:eastAsia="zh-CN"/>
        </w:rPr>
        <w:t>相对湿度：45%</w:t>
      </w:r>
      <w:r>
        <w:rPr>
          <w:rFonts w:hint="eastAsia" w:cs="Times New Roman"/>
          <w:color w:val="auto"/>
          <w:sz w:val="21"/>
          <w:szCs w:val="21"/>
          <w:lang w:val="en-US" w:eastAsia="zh-CN"/>
        </w:rPr>
        <w:t xml:space="preserve"> </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 xml:space="preserve"> </w:t>
      </w:r>
      <w:r>
        <w:rPr>
          <w:rFonts w:hint="eastAsia" w:ascii="Times New Roman" w:hAnsi="Times New Roman" w:eastAsia="宋体" w:cs="Times New Roman"/>
          <w:color w:val="auto"/>
          <w:sz w:val="21"/>
          <w:szCs w:val="21"/>
          <w:lang w:val="en-US" w:eastAsia="zh-CN"/>
        </w:rPr>
        <w:t>75%，无凝露</w:t>
      </w:r>
      <w:r>
        <w:rPr>
          <w:rFonts w:hint="eastAsia" w:cs="Times New Roman"/>
          <w:color w:val="auto"/>
          <w:sz w:val="21"/>
          <w:szCs w:val="21"/>
          <w:lang w:val="en-US" w:eastAsia="zh-CN"/>
        </w:rPr>
        <w:t>；</w:t>
      </w:r>
    </w:p>
    <w:p>
      <w:pPr>
        <w:pStyle w:val="123"/>
        <w:numPr>
          <w:ilvl w:val="0"/>
          <w:numId w:val="0"/>
        </w:numPr>
        <w:ind w:left="420" w:leftChars="0"/>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rPr>
        <w:t>——</w:t>
      </w:r>
      <w:r>
        <w:rPr>
          <w:rFonts w:hint="eastAsia" w:cs="Times New Roman"/>
          <w:color w:val="auto"/>
          <w:lang w:val="en-US" w:eastAsia="zh-CN"/>
        </w:rPr>
        <w:t xml:space="preserve"> </w:t>
      </w:r>
      <w:r>
        <w:rPr>
          <w:rFonts w:hint="eastAsia" w:ascii="Times New Roman" w:hAnsi="Times New Roman" w:eastAsia="宋体" w:cs="Times New Roman"/>
          <w:color w:val="auto"/>
          <w:sz w:val="21"/>
          <w:szCs w:val="21"/>
          <w:lang w:val="en-US" w:eastAsia="zh-CN"/>
        </w:rPr>
        <w:t>测试电压：额定电压±1%，电压谐波畸变率不超过2%</w:t>
      </w:r>
      <w:r>
        <w:rPr>
          <w:rFonts w:hint="eastAsia" w:cs="Times New Roman"/>
          <w:color w:val="auto"/>
          <w:sz w:val="21"/>
          <w:szCs w:val="21"/>
          <w:lang w:val="en-US" w:eastAsia="zh-CN"/>
        </w:rPr>
        <w:t>；</w:t>
      </w:r>
    </w:p>
    <w:p>
      <w:pPr>
        <w:pStyle w:val="123"/>
        <w:numPr>
          <w:ilvl w:val="0"/>
          <w:numId w:val="0"/>
        </w:numPr>
        <w:ind w:left="420" w:leftChars="0"/>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rPr>
        <w:t>——</w:t>
      </w:r>
      <w:r>
        <w:rPr>
          <w:rFonts w:hint="eastAsia" w:cs="Times New Roman"/>
          <w:color w:val="auto"/>
          <w:lang w:val="en-US" w:eastAsia="zh-CN"/>
        </w:rPr>
        <w:t xml:space="preserve"> </w:t>
      </w:r>
      <w:r>
        <w:rPr>
          <w:rFonts w:hint="eastAsia" w:ascii="Times New Roman" w:hAnsi="Times New Roman" w:eastAsia="宋体" w:cs="Times New Roman"/>
          <w:color w:val="auto"/>
          <w:sz w:val="21"/>
          <w:szCs w:val="21"/>
          <w:lang w:val="en-US" w:eastAsia="zh-CN"/>
        </w:rPr>
        <w:t>测试频率：50Hz±0.1Hz</w:t>
      </w:r>
      <w:r>
        <w:rPr>
          <w:rFonts w:hint="eastAsia" w:cs="Times New Roman"/>
          <w:color w:val="auto"/>
          <w:sz w:val="21"/>
          <w:szCs w:val="21"/>
          <w:lang w:val="en-US" w:eastAsia="zh-CN"/>
        </w:rPr>
        <w:t>。</w:t>
      </w:r>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olor w:val="auto"/>
          <w:lang w:val="en-US" w:eastAsia="zh-CN"/>
        </w:rPr>
      </w:pPr>
      <w:r>
        <w:rPr>
          <w:rFonts w:hint="eastAsia"/>
          <w:color w:val="auto"/>
          <w:lang w:val="en-US" w:eastAsia="zh-CN"/>
        </w:rPr>
        <w:t>关键性能试验</w:t>
      </w:r>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损耗功率测量</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firstLine="420" w:firstLineChars="200"/>
        <w:jc w:val="left"/>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损耗功率测量</w:t>
      </w:r>
      <w:r>
        <w:rPr>
          <w:rFonts w:hint="eastAsia" w:ascii="Times New Roman" w:hAnsi="Times New Roman" w:cs="Times New Roman"/>
          <w:color w:val="auto"/>
          <w:sz w:val="21"/>
          <w:szCs w:val="21"/>
          <w:lang w:val="en-US" w:eastAsia="zh-CN" w:bidi="ar-SA"/>
        </w:rPr>
        <w:t>应符合下列要求</w:t>
      </w:r>
      <w:r>
        <w:rPr>
          <w:rFonts w:hint="eastAsia" w:ascii="Times New Roman" w:hAnsi="Times New Roman" w:eastAsia="宋体" w:cs="Times New Roman"/>
          <w:color w:val="auto"/>
          <w:sz w:val="21"/>
          <w:szCs w:val="21"/>
          <w:lang w:val="en-US" w:eastAsia="zh-CN" w:bidi="ar-SA"/>
        </w:rPr>
        <w:t>：</w:t>
      </w:r>
    </w:p>
    <w:p>
      <w:pPr>
        <w:pStyle w:val="123"/>
        <w:numPr>
          <w:ilvl w:val="0"/>
          <w:numId w:val="20"/>
        </w:numP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损耗功率测量</w:t>
      </w:r>
      <w:r>
        <w:rPr>
          <w:rFonts w:hint="eastAsia" w:ascii="Times New Roman" w:hAnsi="Times New Roman" w:eastAsia="宋体" w:cs="Times New Roman"/>
          <w:color w:val="auto"/>
          <w:sz w:val="21"/>
          <w:szCs w:val="21"/>
          <w:lang w:val="en-US" w:eastAsia="zh-CN"/>
        </w:rPr>
        <w:t>应采用直接测量法（高精度功率分析仪）与热量法（测量冷却介质温升与流量）相结合的方式进行综合测量</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两种方法</w:t>
      </w:r>
      <w:r>
        <w:rPr>
          <w:rFonts w:hint="eastAsia"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测量结果偏差</w:t>
      </w:r>
      <w:r>
        <w:rPr>
          <w:rFonts w:hint="eastAsia" w:cs="Times New Roman"/>
          <w:color w:val="auto"/>
          <w:sz w:val="21"/>
          <w:szCs w:val="21"/>
          <w:lang w:val="en-US" w:eastAsia="zh-CN"/>
        </w:rPr>
        <w:t>应</w:t>
      </w:r>
      <w:r>
        <w:rPr>
          <w:rFonts w:hint="eastAsia" w:ascii="Times New Roman" w:hAnsi="Times New Roman" w:eastAsia="宋体" w:cs="Times New Roman"/>
          <w:color w:val="auto"/>
          <w:sz w:val="21"/>
          <w:szCs w:val="21"/>
          <w:lang w:val="en-US" w:eastAsia="zh-CN"/>
        </w:rPr>
        <w:t>不超过5%</w:t>
      </w:r>
      <w:r>
        <w:rPr>
          <w:rFonts w:hint="eastAsia" w:cs="Times New Roman"/>
          <w:color w:val="auto"/>
          <w:sz w:val="21"/>
          <w:szCs w:val="21"/>
          <w:lang w:val="en-US" w:eastAsia="zh-CN"/>
        </w:rPr>
        <w:t xml:space="preserve">。当偏差 </w:t>
      </w:r>
      <w:r>
        <w:rPr>
          <w:rFonts w:hint="default" w:ascii="Times New Roman" w:hAnsi="Times New Roman" w:cs="Times New Roman"/>
          <w:color w:val="auto"/>
          <w:sz w:val="21"/>
          <w:szCs w:val="21"/>
          <w:lang w:val="en-US" w:eastAsia="zh-CN"/>
        </w:rPr>
        <w:t>δ</w:t>
      </w:r>
      <w:r>
        <w:rPr>
          <w:rFonts w:hint="eastAsia" w:ascii="宋体" w:hAnsi="宋体" w:eastAsia="宋体" w:cs="宋体"/>
          <w:color w:val="auto"/>
          <w:sz w:val="21"/>
          <w:szCs w:val="21"/>
          <w:lang w:val="en-US" w:eastAsia="zh-CN"/>
        </w:rPr>
        <w:t>≤</w:t>
      </w:r>
      <w:r>
        <w:rPr>
          <w:rFonts w:hint="eastAsia" w:cs="Times New Roman"/>
          <w:color w:val="auto"/>
          <w:sz w:val="21"/>
          <w:szCs w:val="21"/>
          <w:lang w:val="en-US" w:eastAsia="zh-CN"/>
        </w:rPr>
        <w:t>5% 时</w:t>
      </w:r>
      <w:r>
        <w:rPr>
          <w:rFonts w:hint="eastAsia" w:ascii="Times New Roman" w:hAnsi="Times New Roman" w:eastAsia="宋体" w:cs="Times New Roman"/>
          <w:color w:val="auto"/>
          <w:sz w:val="21"/>
          <w:szCs w:val="21"/>
          <w:lang w:val="en-US" w:eastAsia="zh-CN"/>
        </w:rPr>
        <w:t>，取平均值作为最终结果</w:t>
      </w:r>
      <w:r>
        <w:rPr>
          <w:rFonts w:hint="eastAsia" w:cs="Times New Roman"/>
          <w:color w:val="auto"/>
          <w:sz w:val="21"/>
          <w:szCs w:val="21"/>
          <w:lang w:val="en-US" w:eastAsia="zh-CN"/>
        </w:rPr>
        <w:t xml:space="preserve">；当偏差 </w:t>
      </w:r>
      <w:r>
        <w:rPr>
          <w:rFonts w:hint="default" w:ascii="Times New Roman" w:hAnsi="Times New Roman" w:cs="Times New Roman"/>
          <w:color w:val="auto"/>
          <w:sz w:val="21"/>
          <w:szCs w:val="21"/>
          <w:lang w:val="en-US" w:eastAsia="zh-CN"/>
        </w:rPr>
        <w:t>δ</w:t>
      </w:r>
      <w:r>
        <w:rPr>
          <w:rFonts w:hint="eastAsia" w:cs="Times New Roman"/>
          <w:color w:val="auto"/>
          <w:sz w:val="21"/>
          <w:szCs w:val="21"/>
          <w:lang w:val="en-US" w:eastAsia="zh-CN"/>
        </w:rPr>
        <w:t>&gt; 5% 时，应暂停测试并对比排查两种测量方法，直至找到并解决问题。</w:t>
      </w:r>
    </w:p>
    <w:p>
      <w:pPr>
        <w:pStyle w:val="123"/>
        <w:numPr>
          <w:ilvl w:val="0"/>
          <w:numId w:val="20"/>
        </w:numP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各主要部件的损耗功率测量</w:t>
      </w:r>
      <w:r>
        <w:rPr>
          <w:rFonts w:hint="eastAsia" w:ascii="Times New Roman" w:hAnsi="Times New Roman" w:eastAsia="宋体" w:cs="Times New Roman"/>
          <w:color w:val="auto"/>
          <w:sz w:val="21"/>
          <w:szCs w:val="21"/>
          <w:lang w:val="en-US" w:eastAsia="zh-CN"/>
        </w:rPr>
        <w:t>应尽可能分离，包括：换流阀损耗、电抗器损耗、变压器损耗（若有）、冷却系统功耗、控制电源功耗。</w:t>
      </w:r>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谐波畸变率测试</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firstLine="420" w:firstLineChars="200"/>
        <w:jc w:val="left"/>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谐波畸变率测试</w:t>
      </w:r>
      <w:r>
        <w:rPr>
          <w:rFonts w:hint="eastAsia" w:ascii="Times New Roman" w:hAnsi="Times New Roman" w:cs="Times New Roman"/>
          <w:color w:val="auto"/>
          <w:sz w:val="21"/>
          <w:szCs w:val="21"/>
          <w:lang w:val="en-US" w:eastAsia="zh-CN" w:bidi="ar-SA"/>
        </w:rPr>
        <w:t>应符合下列要求</w:t>
      </w:r>
      <w:r>
        <w:rPr>
          <w:rFonts w:hint="eastAsia" w:ascii="Times New Roman" w:hAnsi="Times New Roman" w:eastAsia="宋体" w:cs="Times New Roman"/>
          <w:color w:val="auto"/>
          <w:sz w:val="21"/>
          <w:szCs w:val="21"/>
          <w:lang w:val="en-US" w:eastAsia="zh-CN" w:bidi="ar-SA"/>
        </w:rPr>
        <w:t>：</w:t>
      </w:r>
    </w:p>
    <w:p>
      <w:pPr>
        <w:pStyle w:val="123"/>
        <w:numPr>
          <w:ilvl w:val="0"/>
          <w:numId w:val="21"/>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按照 GB/T</w:t>
      </w:r>
      <w:r>
        <w:rPr>
          <w:rFonts w:hint="eastAsia" w:cs="Times New Roman"/>
          <w:color w:val="auto"/>
          <w:sz w:val="21"/>
          <w:szCs w:val="21"/>
          <w:lang w:val="en-US" w:eastAsia="zh-CN"/>
        </w:rPr>
        <w:t xml:space="preserve"> </w:t>
      </w:r>
      <w:r>
        <w:rPr>
          <w:rFonts w:hint="eastAsia" w:ascii="Times New Roman" w:hAnsi="Times New Roman" w:eastAsia="宋体" w:cs="Times New Roman"/>
          <w:color w:val="auto"/>
          <w:sz w:val="21"/>
          <w:szCs w:val="21"/>
          <w:lang w:val="en-US" w:eastAsia="zh-CN"/>
        </w:rPr>
        <w:t>14549</w:t>
      </w:r>
      <w:r>
        <w:rPr>
          <w:rFonts w:hint="eastAsia" w:cs="Times New Roman"/>
          <w:color w:val="auto"/>
          <w:sz w:val="21"/>
          <w:szCs w:val="21"/>
          <w:lang w:val="en-US" w:eastAsia="zh-CN"/>
        </w:rPr>
        <w:t>附录D</w:t>
      </w:r>
      <w:r>
        <w:rPr>
          <w:rFonts w:hint="eastAsia" w:ascii="Times New Roman" w:hAnsi="Times New Roman" w:eastAsia="宋体" w:cs="Times New Roman"/>
          <w:color w:val="auto"/>
          <w:sz w:val="21"/>
          <w:szCs w:val="21"/>
          <w:lang w:val="en-US" w:eastAsia="zh-CN"/>
        </w:rPr>
        <w:t>规定的</w:t>
      </w:r>
      <w:r>
        <w:rPr>
          <w:rFonts w:hint="eastAsia" w:cs="Times New Roman"/>
          <w:color w:val="auto"/>
          <w:sz w:val="21"/>
          <w:szCs w:val="21"/>
          <w:lang w:val="en-US" w:eastAsia="zh-CN"/>
        </w:rPr>
        <w:t>试验</w:t>
      </w:r>
      <w:r>
        <w:rPr>
          <w:rFonts w:hint="eastAsia" w:ascii="Times New Roman" w:hAnsi="Times New Roman" w:eastAsia="宋体" w:cs="Times New Roman"/>
          <w:color w:val="auto"/>
          <w:sz w:val="21"/>
          <w:szCs w:val="21"/>
          <w:lang w:val="en-US" w:eastAsia="zh-CN"/>
        </w:rPr>
        <w:t>方法进行</w:t>
      </w:r>
      <w:r>
        <w:rPr>
          <w:rFonts w:hint="eastAsia" w:cs="Times New Roman"/>
          <w:color w:val="auto"/>
          <w:sz w:val="21"/>
          <w:szCs w:val="21"/>
          <w:lang w:val="en-US" w:eastAsia="zh-CN"/>
        </w:rPr>
        <w:t>；</w:t>
      </w:r>
    </w:p>
    <w:p>
      <w:pPr>
        <w:pStyle w:val="123"/>
        <w:numPr>
          <w:ilvl w:val="0"/>
          <w:numId w:val="21"/>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测量时间不少于30分钟，每1分钟记录一组数据</w:t>
      </w:r>
      <w:r>
        <w:rPr>
          <w:rFonts w:hint="eastAsia" w:cs="Times New Roman"/>
          <w:color w:val="auto"/>
          <w:sz w:val="21"/>
          <w:szCs w:val="21"/>
          <w:lang w:val="en-US" w:eastAsia="zh-CN"/>
        </w:rPr>
        <w:t>；</w:t>
      </w:r>
    </w:p>
    <w:p>
      <w:pPr>
        <w:pStyle w:val="123"/>
        <w:numPr>
          <w:ilvl w:val="0"/>
          <w:numId w:val="21"/>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输出电流总谐波畸变率（THDi）</w:t>
      </w:r>
      <w:r>
        <w:rPr>
          <w:rFonts w:hint="eastAsia" w:cs="Times New Roman"/>
          <w:color w:val="auto"/>
          <w:sz w:val="21"/>
          <w:szCs w:val="21"/>
          <w:lang w:val="en-US" w:eastAsia="zh-CN"/>
        </w:rPr>
        <w:t>应</w:t>
      </w:r>
      <w:r>
        <w:rPr>
          <w:rFonts w:hint="eastAsia" w:ascii="Times New Roman" w:hAnsi="Times New Roman" w:eastAsia="宋体" w:cs="Times New Roman"/>
          <w:color w:val="auto"/>
          <w:sz w:val="21"/>
          <w:szCs w:val="21"/>
          <w:lang w:val="en-US" w:eastAsia="zh-CN"/>
        </w:rPr>
        <w:t>&lt;3%，且各次谐波电流含有率</w:t>
      </w:r>
      <w:r>
        <w:rPr>
          <w:rFonts w:hint="eastAsia" w:cs="Times New Roman"/>
          <w:color w:val="auto"/>
          <w:sz w:val="21"/>
          <w:szCs w:val="21"/>
          <w:lang w:val="en-US" w:eastAsia="zh-CN"/>
        </w:rPr>
        <w:t>应不超过</w:t>
      </w:r>
      <w:r>
        <w:rPr>
          <w:rFonts w:hint="eastAsia" w:ascii="Times New Roman" w:hAnsi="Times New Roman" w:eastAsia="宋体" w:cs="Times New Roman"/>
          <w:color w:val="auto"/>
          <w:sz w:val="21"/>
          <w:szCs w:val="21"/>
          <w:lang w:val="en-US" w:eastAsia="zh-CN"/>
        </w:rPr>
        <w:t xml:space="preserve"> GB/T 14549 中表</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规定的谐波电流允许值</w:t>
      </w:r>
      <w:r>
        <w:rPr>
          <w:rFonts w:hint="eastAsia" w:cs="Times New Roman"/>
          <w:color w:val="auto"/>
          <w:sz w:val="21"/>
          <w:szCs w:val="21"/>
          <w:lang w:val="en-US" w:eastAsia="zh-CN"/>
        </w:rPr>
        <w:t>。</w:t>
      </w:r>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动态响应测试</w:t>
      </w:r>
    </w:p>
    <w:p>
      <w:pPr>
        <w:pStyle w:val="123"/>
        <w:numPr>
          <w:ilvl w:val="0"/>
          <w:numId w:val="0"/>
        </w:numPr>
        <w:ind w:left="425" w:left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动态响应测试应采用阶跃负载变化法，并按以下步骤执行：</w:t>
      </w:r>
    </w:p>
    <w:p>
      <w:pPr>
        <w:pStyle w:val="123"/>
        <w:numPr>
          <w:ilvl w:val="0"/>
          <w:numId w:val="0"/>
        </w:numPr>
        <w:ind w:left="425" w:left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a) 阶跃上升测试：使SVG稳定运行于50%额定无功功率状态，随即输入阶跃控制信号，使其输出目标阶跃至100%额定无功功率。</w:t>
      </w:r>
    </w:p>
    <w:p>
      <w:pPr>
        <w:pStyle w:val="123"/>
        <w:numPr>
          <w:ilvl w:val="0"/>
          <w:numId w:val="0"/>
        </w:numPr>
        <w:ind w:left="425" w:left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b) 阶跃下降测试：待SVG在100%额定无功功率状态运行稳定后，输入阶跃控制信号，使其输出目标阶跃至50%额定无功功率。</w:t>
      </w:r>
    </w:p>
    <w:p>
      <w:pPr>
        <w:pStyle w:val="123"/>
        <w:numPr>
          <w:ilvl w:val="0"/>
          <w:numId w:val="0"/>
        </w:numPr>
        <w:ind w:left="425" w:left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 应使用具备高速录波功能的测量装置，记录从阶跃信号发出至输出无功功率达到90%目标值的完整瞬态过程。</w:t>
      </w:r>
    </w:p>
    <w:p>
      <w:pPr>
        <w:pStyle w:val="123"/>
        <w:numPr>
          <w:ilvl w:val="0"/>
          <w:numId w:val="0"/>
        </w:numPr>
        <w:ind w:left="425" w:leftChars="0"/>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d）感性工况和容性工况下分别按</w:t>
      </w:r>
      <w:r>
        <w:rPr>
          <w:rFonts w:hint="eastAsia" w:ascii="Times New Roman" w:hAnsi="Times New Roman" w:eastAsia="宋体" w:cs="Times New Roman"/>
          <w:color w:val="auto"/>
          <w:sz w:val="21"/>
          <w:szCs w:val="21"/>
          <w:lang w:val="en-US" w:eastAsia="zh-CN"/>
        </w:rPr>
        <w:t xml:space="preserve"> a) 与 b) 两步</w:t>
      </w:r>
      <w:r>
        <w:rPr>
          <w:rFonts w:hint="eastAsia" w:cs="Times New Roman"/>
          <w:color w:val="auto"/>
          <w:sz w:val="21"/>
          <w:szCs w:val="21"/>
          <w:lang w:val="en-US" w:eastAsia="zh-CN"/>
        </w:rPr>
        <w:t>进行</w:t>
      </w:r>
      <w:r>
        <w:rPr>
          <w:rFonts w:hint="eastAsia" w:ascii="Times New Roman" w:hAnsi="Times New Roman" w:eastAsia="宋体" w:cs="Times New Roman"/>
          <w:color w:val="auto"/>
          <w:sz w:val="21"/>
          <w:szCs w:val="21"/>
          <w:lang w:val="en-US" w:eastAsia="zh-CN"/>
        </w:rPr>
        <w:t>测试</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动态响应时间取所得</w:t>
      </w:r>
      <w:r>
        <w:rPr>
          <w:rFonts w:hint="eastAsia" w:cs="Times New Roman"/>
          <w:color w:val="auto"/>
          <w:sz w:val="21"/>
          <w:szCs w:val="21"/>
          <w:lang w:val="en-US" w:eastAsia="zh-CN"/>
        </w:rPr>
        <w:t>4次</w:t>
      </w:r>
      <w:r>
        <w:rPr>
          <w:rFonts w:hint="eastAsia" w:ascii="Times New Roman" w:hAnsi="Times New Roman" w:eastAsia="宋体" w:cs="Times New Roman"/>
          <w:color w:val="auto"/>
          <w:sz w:val="21"/>
          <w:szCs w:val="21"/>
          <w:lang w:val="en-US" w:eastAsia="zh-CN"/>
        </w:rPr>
        <w:t>响应时间的算术平均值。</w:t>
      </w:r>
      <w:bookmarkStart w:id="54" w:name="_GoBack"/>
      <w:bookmarkEnd w:id="54"/>
    </w:p>
    <w:p>
      <w:pPr>
        <w:pStyle w:val="122"/>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auto"/>
        <w:rPr>
          <w:rFonts w:hint="eastAsia" w:ascii="黑体" w:hAnsi="黑体" w:eastAsia="黑体" w:cs="Times New Roman"/>
          <w:color w:val="auto"/>
          <w:kern w:val="2"/>
          <w:lang w:val="en-US" w:eastAsia="zh-CN"/>
        </w:rPr>
      </w:pPr>
      <w:r>
        <w:rPr>
          <w:rFonts w:hint="eastAsia" w:ascii="黑体" w:hAnsi="黑体" w:eastAsia="黑体" w:cs="Times New Roman"/>
          <w:color w:val="auto"/>
          <w:kern w:val="2"/>
          <w:lang w:val="en-US" w:eastAsia="zh-CN"/>
        </w:rPr>
        <w:t>能效特性曲线测试</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firstLine="420" w:firstLineChars="200"/>
        <w:jc w:val="left"/>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能效特性曲线测试</w:t>
      </w:r>
      <w:r>
        <w:rPr>
          <w:rFonts w:hint="eastAsia" w:ascii="Times New Roman" w:hAnsi="Times New Roman" w:cs="Times New Roman"/>
          <w:color w:val="auto"/>
          <w:sz w:val="21"/>
          <w:szCs w:val="21"/>
          <w:lang w:val="en-US" w:eastAsia="zh-CN" w:bidi="ar-SA"/>
        </w:rPr>
        <w:t>应符合下列要求</w:t>
      </w:r>
      <w:r>
        <w:rPr>
          <w:rFonts w:hint="eastAsia" w:ascii="Times New Roman" w:hAnsi="Times New Roman" w:eastAsia="宋体" w:cs="Times New Roman"/>
          <w:color w:val="auto"/>
          <w:sz w:val="21"/>
          <w:szCs w:val="21"/>
          <w:lang w:val="en-US" w:eastAsia="zh-CN" w:bidi="ar-SA"/>
        </w:rPr>
        <w:t>：</w:t>
      </w:r>
    </w:p>
    <w:p>
      <w:pPr>
        <w:pStyle w:val="123"/>
        <w:numPr>
          <w:ilvl w:val="0"/>
          <w:numId w:val="22"/>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能效特性曲线测试应在额定容性至额定感性无功范围内，选取5个均匀分布的运行点（0%，25%，50%，75%，100%额定无功功率），测量各运行点的总</w:t>
      </w:r>
      <w:r>
        <w:rPr>
          <w:rFonts w:hint="eastAsia" w:cs="Times New Roman"/>
          <w:color w:val="auto"/>
          <w:sz w:val="21"/>
          <w:szCs w:val="21"/>
          <w:lang w:val="en-US" w:eastAsia="zh-CN"/>
        </w:rPr>
        <w:t>运行</w:t>
      </w:r>
      <w:r>
        <w:rPr>
          <w:rFonts w:hint="eastAsia" w:ascii="Times New Roman" w:hAnsi="Times New Roman" w:eastAsia="宋体" w:cs="Times New Roman"/>
          <w:color w:val="auto"/>
          <w:sz w:val="21"/>
          <w:szCs w:val="21"/>
          <w:lang w:val="en-US" w:eastAsia="zh-CN"/>
        </w:rPr>
        <w:t>损耗功率并计算</w:t>
      </w:r>
      <w:r>
        <w:rPr>
          <w:rFonts w:hint="eastAsia" w:cs="Times New Roman"/>
          <w:color w:val="auto"/>
          <w:sz w:val="21"/>
          <w:szCs w:val="21"/>
          <w:lang w:val="en-US" w:eastAsia="zh-CN"/>
        </w:rPr>
        <w:t>各运行点的自耗电</w:t>
      </w:r>
      <w:r>
        <w:rPr>
          <w:rFonts w:hint="eastAsia" w:ascii="Times New Roman" w:hAnsi="Times New Roman" w:eastAsia="宋体" w:cs="Times New Roman"/>
          <w:color w:val="auto"/>
          <w:sz w:val="21"/>
          <w:szCs w:val="21"/>
          <w:lang w:val="en-US" w:eastAsia="zh-CN"/>
        </w:rPr>
        <w:t>率。</w:t>
      </w:r>
    </w:p>
    <w:p>
      <w:pPr>
        <w:pStyle w:val="123"/>
        <w:numPr>
          <w:ilvl w:val="0"/>
          <w:numId w:val="22"/>
        </w:numP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SVG自耗电率为稳定</w:t>
      </w:r>
      <w:r>
        <w:rPr>
          <w:rFonts w:hint="eastAsia" w:ascii="Times New Roman" w:hAnsi="Times New Roman" w:eastAsia="宋体" w:cs="Times New Roman"/>
          <w:color w:val="auto"/>
          <w:sz w:val="21"/>
          <w:szCs w:val="21"/>
          <w:lang w:val="en-US" w:eastAsia="zh-CN"/>
        </w:rPr>
        <w:t>工况下SVG的总有功损耗功率与其额定视在功率之比，以百分比表示</w:t>
      </w:r>
      <w:r>
        <w:rPr>
          <w:rFonts w:hint="eastAsia" w:cs="Times New Roman"/>
          <w:color w:val="auto"/>
          <w:sz w:val="21"/>
          <w:szCs w:val="21"/>
          <w:lang w:val="en-US" w:eastAsia="zh-CN"/>
        </w:rPr>
        <w:t>，其中，</w:t>
      </w:r>
      <w:r>
        <w:rPr>
          <w:rFonts w:hint="eastAsia" w:ascii="Times New Roman" w:hAnsi="Times New Roman" w:eastAsia="宋体" w:cs="Times New Roman"/>
          <w:color w:val="auto"/>
          <w:sz w:val="21"/>
          <w:szCs w:val="21"/>
          <w:lang w:val="en-US" w:eastAsia="zh-CN"/>
        </w:rPr>
        <w:t>额定</w:t>
      </w:r>
      <w:r>
        <w:rPr>
          <w:rFonts w:hint="eastAsia" w:cs="Times New Roman"/>
          <w:color w:val="auto"/>
          <w:sz w:val="21"/>
          <w:szCs w:val="21"/>
          <w:lang w:val="en-US" w:eastAsia="zh-CN"/>
        </w:rPr>
        <w:t>自耗电</w:t>
      </w:r>
      <w:r>
        <w:rPr>
          <w:rFonts w:hint="eastAsia" w:ascii="Times New Roman" w:hAnsi="Times New Roman" w:eastAsia="宋体" w:cs="Times New Roman"/>
          <w:color w:val="auto"/>
          <w:sz w:val="21"/>
          <w:szCs w:val="21"/>
          <w:lang w:val="en-US" w:eastAsia="zh-CN"/>
        </w:rPr>
        <w:t>率按式（</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计算</w:t>
      </w:r>
      <w:r>
        <w:rPr>
          <w:rFonts w:hint="eastAsia" w:ascii="Times New Roman" w:hAnsi="Times New Roman" w:eastAsia="宋体" w:cs="Times New Roman"/>
          <w:color w:val="auto"/>
          <w:sz w:val="21"/>
          <w:szCs w:val="21"/>
          <w:lang w:val="en-US" w:eastAsia="zh-CN"/>
        </w:rPr>
        <w:t>：</w:t>
      </w:r>
    </w:p>
    <w:p>
      <w:pPr>
        <w:pStyle w:val="52"/>
        <w:keepNext w:val="0"/>
        <w:keepLines w:val="0"/>
        <w:pageBreakBefore w:val="0"/>
        <w:widowControl/>
        <w:tabs>
          <w:tab w:val="center" w:leader="dot" w:pos="9240"/>
        </w:tabs>
        <w:kinsoku/>
        <w:wordWrap/>
        <w:overflowPunct/>
        <w:topLinePunct w:val="0"/>
        <w:autoSpaceDE w:val="0"/>
        <w:autoSpaceDN w:val="0"/>
        <w:bidi w:val="0"/>
        <w:adjustRightInd/>
        <w:snapToGrid/>
        <w:spacing w:line="360" w:lineRule="auto"/>
        <w:ind w:left="0" w:leftChars="0" w:firstLine="3780" w:firstLineChars="1800"/>
        <w:textAlignment w:val="auto"/>
        <w:rPr>
          <w:rFonts w:hint="default" w:ascii="Times New Roman" w:hAnsi="Times New Roman" w:cs="Times New Roman"/>
          <w:color w:val="auto"/>
        </w:rPr>
      </w:pPr>
      <w:r>
        <w:rPr>
          <w:rFonts w:hint="eastAsia"/>
          <w:color w:val="auto"/>
          <w:position w:val="-30"/>
        </w:rPr>
        <w:object>
          <v:shape id="_x0000_i1026" o:spt="75" type="#_x0000_t75" style="height:34pt;width:85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5" r:id="rId13">
            <o:LockedField>false</o:LockedField>
          </o:OLEObject>
        </w:object>
      </w:r>
      <w:r>
        <w:rPr>
          <w:rFonts w:ascii="微软雅黑" w:hAnsi="微软雅黑" w:eastAsia="微软雅黑"/>
          <w:color w:val="auto"/>
        </w:rPr>
        <w:tab/>
      </w:r>
      <w:r>
        <w:rPr>
          <w:rFonts w:hint="default" w:ascii="Times New Roman" w:hAnsi="Times New Roman" w:cs="Times New Roman"/>
          <w:color w:val="auto"/>
        </w:rPr>
        <w:t>(</w:t>
      </w:r>
      <w:r>
        <w:rPr>
          <w:rFonts w:hint="eastAsia" w:ascii="Times New Roman" w:cs="Times New Roman"/>
          <w:color w:val="auto"/>
          <w:lang w:val="en-US" w:eastAsia="zh-CN"/>
        </w:rPr>
        <w:t>2</w:t>
      </w:r>
      <w:r>
        <w:rPr>
          <w:rFonts w:hint="default" w:ascii="Times New Roman" w:hAnsi="Times New Roman" w:cs="Times New Roman"/>
          <w:color w:val="auto"/>
        </w:rPr>
        <w:t>)</w:t>
      </w:r>
    </w:p>
    <w:p>
      <w:pPr>
        <w:keepNext w:val="0"/>
        <w:keepLines w:val="0"/>
        <w:pageBreakBefore w:val="0"/>
        <w:kinsoku/>
        <w:wordWrap/>
        <w:overflowPunct/>
        <w:topLinePunct w:val="0"/>
        <w:bidi w:val="0"/>
        <w:adjustRightInd/>
        <w:snapToGrid/>
        <w:spacing w:line="320" w:lineRule="exact"/>
        <w:ind w:firstLine="420" w:firstLineChars="200"/>
        <w:jc w:val="left"/>
        <w:textAlignment w:val="auto"/>
        <w:rPr>
          <w:rFonts w:hint="eastAsia" w:ascii="Times New Roman" w:hAnsi="Times New Roman" w:cs="Times New Roman"/>
          <w:i w:val="0"/>
          <w:iCs w:val="0"/>
          <w:color w:val="auto"/>
          <w:sz w:val="21"/>
        </w:rPr>
      </w:pPr>
      <w:r>
        <w:rPr>
          <w:rFonts w:hint="eastAsia" w:ascii="Times New Roman" w:hAnsi="Times New Roman" w:cs="Times New Roman"/>
          <w:i w:val="0"/>
          <w:iCs w:val="0"/>
          <w:color w:val="auto"/>
          <w:sz w:val="21"/>
          <w:lang w:val="en-US" w:eastAsia="zh-CN"/>
        </w:rPr>
        <w:t>式</w:t>
      </w:r>
      <w:r>
        <w:rPr>
          <w:rFonts w:hint="eastAsia" w:ascii="Times New Roman" w:hAnsi="Times New Roman" w:cs="Times New Roman"/>
          <w:i w:val="0"/>
          <w:iCs w:val="0"/>
          <w:color w:val="auto"/>
          <w:sz w:val="21"/>
        </w:rPr>
        <w:t>中：</w:t>
      </w:r>
    </w:p>
    <w:p>
      <w:pPr>
        <w:pStyle w:val="52"/>
        <w:keepNext w:val="0"/>
        <w:keepLines w:val="0"/>
        <w:pageBreakBefore w:val="0"/>
        <w:widowControl/>
        <w:tabs>
          <w:tab w:val="center" w:leader="dot" w:pos="9240"/>
        </w:tabs>
        <w:kinsoku/>
        <w:wordWrap/>
        <w:overflowPunct/>
        <w:topLinePunct w:val="0"/>
        <w:autoSpaceDE w:val="0"/>
        <w:autoSpaceDN w:val="0"/>
        <w:bidi w:val="0"/>
        <w:adjustRightInd/>
        <w:snapToGrid/>
        <w:spacing w:line="320" w:lineRule="exact"/>
        <w:ind w:left="0" w:leftChars="0" w:firstLine="420" w:firstLineChars="200"/>
        <w:textAlignment w:val="auto"/>
        <w:rPr>
          <w:rFonts w:hint="default" w:ascii="Times New Roman" w:hAnsi="Times New Roman" w:eastAsia="宋体" w:cs="Times New Roman"/>
          <w:i w:val="0"/>
          <w:iCs w:val="0"/>
          <w:color w:val="auto"/>
          <w:sz w:val="21"/>
          <w:lang w:val="en-US" w:eastAsia="zh-CN"/>
        </w:rPr>
      </w:pPr>
      <w:r>
        <w:rPr>
          <w:rFonts w:hint="default" w:ascii="Times New Roman" w:hAnsi="Times New Roman" w:eastAsia="宋体" w:cs="Times New Roman"/>
          <w:i/>
          <w:iCs/>
          <w:color w:val="auto"/>
          <w:sz w:val="21"/>
          <w:lang w:val="en-US" w:eastAsia="zh-CN"/>
        </w:rPr>
        <w:t>λ</w:t>
      </w:r>
      <w:r>
        <w:rPr>
          <w:rFonts w:hint="default" w:ascii="Times New Roman" w:hAnsi="Times New Roman" w:cs="Times New Roman"/>
          <w:i w:val="0"/>
          <w:iCs w:val="0"/>
          <w:color w:val="auto"/>
          <w:sz w:val="21"/>
          <w:vertAlign w:val="subscript"/>
          <w:lang w:val="en-US" w:eastAsia="zh-CN"/>
        </w:rPr>
        <w:t>N</w:t>
      </w:r>
      <w:r>
        <w:rPr>
          <w:rFonts w:hint="eastAsia" w:ascii="Times New Roman" w:hAnsi="Times New Roman" w:cs="Times New Roman"/>
          <w:i w:val="0"/>
          <w:iCs w:val="0"/>
          <w:color w:val="auto"/>
          <w:sz w:val="21"/>
          <w:vertAlign w:val="subscript"/>
          <w:lang w:val="en-US" w:eastAsia="zh-CN"/>
        </w:rPr>
        <w:t xml:space="preserve">  </w:t>
      </w:r>
      <w:r>
        <w:rPr>
          <w:color w:val="auto"/>
        </w:rPr>
        <w:t>——</w:t>
      </w:r>
      <w:r>
        <w:rPr>
          <w:rFonts w:hint="eastAsia" w:ascii="Times New Roman" w:hAnsi="Times New Roman" w:eastAsia="宋体" w:cs="Times New Roman"/>
          <w:i w:val="0"/>
          <w:iCs w:val="0"/>
          <w:color w:val="auto"/>
          <w:sz w:val="21"/>
          <w:lang w:val="en-US" w:eastAsia="zh-CN"/>
        </w:rPr>
        <w:t>额定自耗电率；</w:t>
      </w:r>
    </w:p>
    <w:p>
      <w:pPr>
        <w:pStyle w:val="52"/>
        <w:keepNext w:val="0"/>
        <w:keepLines w:val="0"/>
        <w:pageBreakBefore w:val="0"/>
        <w:widowControl/>
        <w:tabs>
          <w:tab w:val="center" w:leader="dot" w:pos="9240"/>
        </w:tabs>
        <w:kinsoku/>
        <w:wordWrap/>
        <w:overflowPunct/>
        <w:topLinePunct w:val="0"/>
        <w:autoSpaceDE w:val="0"/>
        <w:autoSpaceDN w:val="0"/>
        <w:bidi w:val="0"/>
        <w:adjustRightInd/>
        <w:snapToGrid/>
        <w:spacing w:line="320" w:lineRule="exact"/>
        <w:ind w:left="0" w:leftChars="0" w:firstLine="420" w:firstLineChars="200"/>
        <w:textAlignment w:val="auto"/>
        <w:rPr>
          <w:rFonts w:hint="default" w:ascii="Times New Roman" w:hAnsi="Times New Roman" w:eastAsia="宋体" w:cs="Times New Roman"/>
          <w:i w:val="0"/>
          <w:iCs w:val="0"/>
          <w:color w:val="auto"/>
          <w:sz w:val="21"/>
          <w:lang w:val="en-US" w:eastAsia="zh-CN"/>
        </w:rPr>
      </w:pPr>
      <w:r>
        <w:rPr>
          <w:rFonts w:hint="eastAsia" w:ascii="Times New Roman" w:hAnsi="Times New Roman" w:cs="Times New Roman"/>
          <w:i w:val="0"/>
          <w:iCs w:val="0"/>
          <w:color w:val="auto"/>
          <w:sz w:val="21"/>
          <w:lang w:val="en-US" w:eastAsia="zh-CN"/>
        </w:rPr>
        <w:t>P</w:t>
      </w:r>
      <w:r>
        <w:rPr>
          <w:rFonts w:hint="eastAsia" w:ascii="Times New Roman" w:hAnsi="Times New Roman" w:cs="Times New Roman"/>
          <w:i w:val="0"/>
          <w:iCs w:val="0"/>
          <w:color w:val="auto"/>
          <w:sz w:val="21"/>
          <w:vertAlign w:val="subscript"/>
          <w:lang w:val="en-US" w:eastAsia="zh-CN"/>
        </w:rPr>
        <w:t>loss</w:t>
      </w:r>
      <w:r>
        <w:rPr>
          <w:color w:val="auto"/>
        </w:rPr>
        <w:t>——</w:t>
      </w:r>
      <w:r>
        <w:rPr>
          <w:rFonts w:hint="eastAsia" w:ascii="Times New Roman" w:hAnsi="Times New Roman" w:eastAsia="宋体" w:cs="Times New Roman"/>
          <w:i w:val="0"/>
          <w:iCs w:val="0"/>
          <w:color w:val="auto"/>
          <w:sz w:val="21"/>
          <w:lang w:val="en-US" w:eastAsia="zh-CN"/>
        </w:rPr>
        <w:t>额定工况下的总有功损耗功率，单位为千瓦（kW）；</w:t>
      </w:r>
    </w:p>
    <w:p>
      <w:pPr>
        <w:pStyle w:val="52"/>
        <w:keepNext w:val="0"/>
        <w:keepLines w:val="0"/>
        <w:pageBreakBefore w:val="0"/>
        <w:widowControl/>
        <w:tabs>
          <w:tab w:val="center" w:leader="dot" w:pos="9240"/>
        </w:tabs>
        <w:kinsoku/>
        <w:wordWrap/>
        <w:overflowPunct/>
        <w:topLinePunct w:val="0"/>
        <w:autoSpaceDE w:val="0"/>
        <w:autoSpaceDN w:val="0"/>
        <w:bidi w:val="0"/>
        <w:adjustRightInd/>
        <w:snapToGrid/>
        <w:spacing w:line="320" w:lineRule="exact"/>
        <w:ind w:left="0" w:leftChars="0" w:firstLine="420" w:firstLineChars="200"/>
        <w:textAlignment w:val="auto"/>
        <w:rPr>
          <w:rFonts w:hint="eastAsia" w:ascii="Times New Roman" w:hAnsi="Times New Roman" w:eastAsia="宋体" w:cs="Times New Roman"/>
          <w:i w:val="0"/>
          <w:iCs w:val="0"/>
          <w:color w:val="auto"/>
          <w:sz w:val="21"/>
          <w:lang w:val="en-US" w:eastAsia="zh-CN"/>
        </w:rPr>
      </w:pPr>
      <w:r>
        <w:rPr>
          <w:rFonts w:hint="eastAsia" w:ascii="Times New Roman" w:hAnsi="Times New Roman" w:cs="Times New Roman"/>
          <w:i w:val="0"/>
          <w:iCs w:val="0"/>
          <w:color w:val="auto"/>
          <w:sz w:val="21"/>
          <w:lang w:val="en-US" w:eastAsia="zh-CN"/>
        </w:rPr>
        <w:t>S</w:t>
      </w:r>
      <w:r>
        <w:rPr>
          <w:rFonts w:hint="eastAsia" w:ascii="Times New Roman" w:hAnsi="Times New Roman" w:cs="Times New Roman"/>
          <w:i w:val="0"/>
          <w:iCs w:val="0"/>
          <w:color w:val="auto"/>
          <w:sz w:val="21"/>
          <w:vertAlign w:val="subscript"/>
          <w:lang w:val="en-US" w:eastAsia="zh-CN"/>
        </w:rPr>
        <w:t xml:space="preserve">N  </w:t>
      </w:r>
      <w:r>
        <w:rPr>
          <w:color w:val="auto"/>
        </w:rPr>
        <w:t>——</w:t>
      </w:r>
      <w:r>
        <w:rPr>
          <w:rFonts w:hint="eastAsia" w:ascii="Times New Roman" w:hAnsi="Times New Roman" w:eastAsia="宋体" w:cs="Times New Roman"/>
          <w:i w:val="0"/>
          <w:iCs w:val="0"/>
          <w:color w:val="auto"/>
          <w:sz w:val="21"/>
          <w:lang w:val="en-US" w:eastAsia="zh-CN"/>
        </w:rPr>
        <w:t>额定视在功率，单位为千乏（k</w:t>
      </w:r>
      <w:r>
        <w:rPr>
          <w:rFonts w:hint="eastAsia" w:ascii="Times New Roman" w:cs="Times New Roman"/>
          <w:i w:val="0"/>
          <w:iCs w:val="0"/>
          <w:color w:val="auto"/>
          <w:sz w:val="21"/>
          <w:lang w:val="en-US" w:eastAsia="zh-CN"/>
        </w:rPr>
        <w:t>VA</w:t>
      </w:r>
      <w:r>
        <w:rPr>
          <w:rFonts w:hint="eastAsia" w:ascii="Times New Roman" w:hAnsi="Times New Roman" w:eastAsia="宋体" w:cs="Times New Roman"/>
          <w:i w:val="0"/>
          <w:iCs w:val="0"/>
          <w:color w:val="auto"/>
          <w:sz w:val="21"/>
          <w:lang w:val="en-US" w:eastAsia="zh-CN"/>
        </w:rPr>
        <w:t>）。</w:t>
      </w:r>
    </w:p>
    <w:p>
      <w:pPr>
        <w:pStyle w:val="119"/>
        <w:spacing w:before="312" w:after="312"/>
        <w:jc w:val="left"/>
        <w:outlineLvl w:val="0"/>
        <w:rPr>
          <w:rFonts w:hint="eastAsia"/>
          <w:color w:val="auto"/>
          <w:lang w:val="en-US" w:eastAsia="zh-CN"/>
        </w:rPr>
      </w:pPr>
      <w:bookmarkStart w:id="50" w:name="_Toc12735"/>
      <w:bookmarkStart w:id="51" w:name="_Toc26837"/>
      <w:r>
        <w:rPr>
          <w:rFonts w:hint="eastAsia"/>
          <w:color w:val="auto"/>
          <w:lang w:val="en-US" w:eastAsia="zh-CN"/>
        </w:rPr>
        <w:t>节能评价</w:t>
      </w:r>
      <w:bookmarkEnd w:id="50"/>
      <w:bookmarkEnd w:id="51"/>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olor w:val="auto"/>
          <w:lang w:val="en-US" w:eastAsia="zh-CN"/>
        </w:rPr>
      </w:pPr>
      <w:r>
        <w:rPr>
          <w:rFonts w:hint="eastAsia"/>
          <w:color w:val="auto"/>
          <w:lang w:val="en-US" w:eastAsia="zh-CN"/>
        </w:rPr>
        <w:t>评价指标体系</w:t>
      </w:r>
    </w:p>
    <w:p>
      <w:pPr>
        <w:spacing w:line="320" w:lineRule="exact"/>
        <w:ind w:firstLine="420" w:firstLineChars="200"/>
        <w:jc w:val="both"/>
        <w:rPr>
          <w:rFonts w:hint="eastAsia" w:eastAsia="宋体"/>
          <w:color w:val="auto"/>
          <w:szCs w:val="21"/>
          <w:lang w:val="en-US" w:eastAsia="zh-CN"/>
        </w:rPr>
      </w:pPr>
      <w:r>
        <w:rPr>
          <w:rFonts w:hint="eastAsia" w:eastAsia="宋体"/>
          <w:color w:val="auto"/>
          <w:szCs w:val="21"/>
          <w:lang w:val="en-US" w:eastAsia="zh-CN"/>
        </w:rPr>
        <w:t>SVG的能效等级划分如表1：</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jc w:val="center"/>
        <w:textAlignment w:val="auto"/>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表1 SVG的能效等级划分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433"/>
        <w:gridCol w:w="1808"/>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default"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能效等级</w:t>
            </w:r>
          </w:p>
        </w:tc>
        <w:tc>
          <w:tcPr>
            <w:tcW w:w="2433"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default"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额定工况</w:t>
            </w:r>
            <w:r>
              <w:rPr>
                <w:rFonts w:hint="eastAsia" w:ascii="Times New Roman"/>
                <w:color w:val="auto"/>
                <w:sz w:val="18"/>
                <w:szCs w:val="18"/>
                <w:lang w:val="en-US" w:eastAsia="zh-CN"/>
              </w:rPr>
              <w:t>自耗电率</w:t>
            </w:r>
          </w:p>
        </w:tc>
        <w:tc>
          <w:tcPr>
            <w:tcW w:w="1808"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default"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响应时间</w:t>
            </w:r>
          </w:p>
        </w:tc>
        <w:tc>
          <w:tcPr>
            <w:tcW w:w="1859"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default"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谐波含量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default"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1级</w:t>
            </w:r>
          </w:p>
        </w:tc>
        <w:tc>
          <w:tcPr>
            <w:tcW w:w="2433"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 xml:space="preserve">≤ </w:t>
            </w:r>
            <w:r>
              <w:rPr>
                <w:rFonts w:hint="eastAsia" w:ascii="Times New Roman"/>
                <w:color w:val="auto"/>
                <w:sz w:val="18"/>
                <w:szCs w:val="18"/>
                <w:lang w:val="en-US" w:eastAsia="zh-CN"/>
              </w:rPr>
              <w:t>0.8</w:t>
            </w:r>
            <w:r>
              <w:rPr>
                <w:rFonts w:hint="eastAsia" w:ascii="Times New Roman" w:hAnsi="Times New Roman" w:eastAsia="宋体"/>
                <w:color w:val="auto"/>
                <w:sz w:val="18"/>
                <w:szCs w:val="18"/>
                <w:lang w:val="en-US" w:eastAsia="zh-CN"/>
              </w:rPr>
              <w:t>%</w:t>
            </w:r>
          </w:p>
        </w:tc>
        <w:tc>
          <w:tcPr>
            <w:tcW w:w="1808"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 10 ms</w:t>
            </w:r>
          </w:p>
        </w:tc>
        <w:tc>
          <w:tcPr>
            <w:tcW w:w="1859"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 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2级</w:t>
            </w:r>
          </w:p>
        </w:tc>
        <w:tc>
          <w:tcPr>
            <w:tcW w:w="2433"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 xml:space="preserve">≤ </w:t>
            </w:r>
            <w:r>
              <w:rPr>
                <w:rFonts w:hint="eastAsia" w:ascii="Times New Roman"/>
                <w:color w:val="auto"/>
                <w:sz w:val="18"/>
                <w:szCs w:val="18"/>
                <w:lang w:val="en-US" w:eastAsia="zh-CN"/>
              </w:rPr>
              <w:t>1.0</w:t>
            </w:r>
            <w:r>
              <w:rPr>
                <w:rFonts w:hint="eastAsia" w:ascii="Times New Roman" w:hAnsi="Times New Roman" w:eastAsia="宋体"/>
                <w:color w:val="auto"/>
                <w:sz w:val="18"/>
                <w:szCs w:val="18"/>
                <w:lang w:val="en-US" w:eastAsia="zh-CN"/>
              </w:rPr>
              <w:t>%</w:t>
            </w:r>
          </w:p>
        </w:tc>
        <w:tc>
          <w:tcPr>
            <w:tcW w:w="1808"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 20 ms</w:t>
            </w:r>
          </w:p>
        </w:tc>
        <w:tc>
          <w:tcPr>
            <w:tcW w:w="1859"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 2.</w:t>
            </w:r>
            <w:r>
              <w:rPr>
                <w:rFonts w:hint="eastAsia" w:ascii="Times New Roman"/>
                <w:color w:val="auto"/>
                <w:sz w:val="18"/>
                <w:szCs w:val="18"/>
                <w:lang w:val="en-US" w:eastAsia="zh-CN"/>
              </w:rPr>
              <w:t>5</w:t>
            </w:r>
            <w:r>
              <w:rPr>
                <w:rFonts w:hint="eastAsia" w:ascii="Times New Roman" w:hAnsi="Times New Roman" w:eastAsia="宋体"/>
                <w:color w:val="auto"/>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3级</w:t>
            </w:r>
          </w:p>
        </w:tc>
        <w:tc>
          <w:tcPr>
            <w:tcW w:w="2433"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 xml:space="preserve">≤ </w:t>
            </w:r>
            <w:r>
              <w:rPr>
                <w:rFonts w:hint="eastAsia" w:ascii="Times New Roman"/>
                <w:color w:val="auto"/>
                <w:sz w:val="18"/>
                <w:szCs w:val="18"/>
                <w:lang w:val="en-US" w:eastAsia="zh-CN"/>
              </w:rPr>
              <w:t>1</w:t>
            </w:r>
            <w:r>
              <w:rPr>
                <w:rFonts w:hint="eastAsia" w:ascii="Times New Roman" w:hAnsi="Times New Roman" w:eastAsia="宋体"/>
                <w:color w:val="auto"/>
                <w:sz w:val="18"/>
                <w:szCs w:val="18"/>
                <w:lang w:val="en-US" w:eastAsia="zh-CN"/>
              </w:rPr>
              <w:t>.5%</w:t>
            </w:r>
          </w:p>
        </w:tc>
        <w:tc>
          <w:tcPr>
            <w:tcW w:w="1808"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 30 ms</w:t>
            </w:r>
          </w:p>
        </w:tc>
        <w:tc>
          <w:tcPr>
            <w:tcW w:w="1859" w:type="dxa"/>
            <w:vAlign w:val="top"/>
          </w:tcPr>
          <w:p>
            <w:pPr>
              <w:pStyle w:val="52"/>
              <w:keepNext w:val="0"/>
              <w:keepLines w:val="0"/>
              <w:pageBreakBefore w:val="0"/>
              <w:widowControl w:val="0"/>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Times New Roman" w:hAnsi="Times New Roman" w:eastAsia="宋体"/>
                <w:color w:val="auto"/>
                <w:sz w:val="18"/>
                <w:szCs w:val="18"/>
                <w:lang w:val="en-US" w:eastAsia="zh-CN"/>
              </w:rPr>
            </w:pPr>
            <w:r>
              <w:rPr>
                <w:rFonts w:hint="eastAsia" w:ascii="Times New Roman" w:hAnsi="Times New Roman" w:eastAsia="宋体"/>
                <w:color w:val="auto"/>
                <w:sz w:val="18"/>
                <w:szCs w:val="18"/>
                <w:lang w:val="en-US" w:eastAsia="zh-CN"/>
              </w:rPr>
              <w:t xml:space="preserve">≤ </w:t>
            </w:r>
            <w:r>
              <w:rPr>
                <w:rFonts w:hint="eastAsia" w:ascii="Times New Roman"/>
                <w:color w:val="auto"/>
                <w:sz w:val="18"/>
                <w:szCs w:val="18"/>
                <w:lang w:val="en-US" w:eastAsia="zh-CN"/>
              </w:rPr>
              <w:t>3</w:t>
            </w:r>
            <w:r>
              <w:rPr>
                <w:rFonts w:hint="eastAsia" w:ascii="Times New Roman" w:hAnsi="Times New Roman" w:eastAsia="宋体"/>
                <w:color w:val="auto"/>
                <w:sz w:val="18"/>
                <w:szCs w:val="18"/>
                <w:lang w:val="en-US" w:eastAsia="zh-CN"/>
              </w:rPr>
              <w:t>.0 %</w:t>
            </w:r>
          </w:p>
        </w:tc>
      </w:tr>
    </w:tbl>
    <w:p>
      <w:pPr>
        <w:spacing w:line="320" w:lineRule="exact"/>
        <w:ind w:firstLine="360" w:firstLineChars="200"/>
        <w:jc w:val="both"/>
        <w:rPr>
          <w:rFonts w:hint="eastAsia" w:eastAsia="宋体"/>
          <w:color w:val="auto"/>
          <w:sz w:val="18"/>
          <w:szCs w:val="18"/>
          <w:lang w:val="en-US" w:eastAsia="zh-CN"/>
        </w:rPr>
      </w:pPr>
      <w:r>
        <w:rPr>
          <w:rFonts w:hint="eastAsia" w:ascii="黑体" w:hAnsi="黑体" w:eastAsia="黑体" w:cs="黑体"/>
          <w:color w:val="auto"/>
          <w:sz w:val="18"/>
          <w:szCs w:val="18"/>
          <w:lang w:val="en-US" w:eastAsia="zh-CN"/>
        </w:rPr>
        <w:t>注：</w:t>
      </w:r>
      <w:r>
        <w:rPr>
          <w:rFonts w:hint="eastAsia" w:eastAsia="宋体"/>
          <w:color w:val="auto"/>
          <w:sz w:val="18"/>
          <w:szCs w:val="18"/>
          <w:lang w:val="en-US" w:eastAsia="zh-CN"/>
        </w:rPr>
        <w:t>尽管本标准的能效等级依据额定工况下的数据进行判定，但测量多个运行点的目的是：</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720" w:firstLineChars="400"/>
        <w:jc w:val="both"/>
        <w:textAlignment w:val="auto"/>
        <w:rPr>
          <w:rFonts w:hint="eastAsia" w:eastAsia="宋体"/>
          <w:color w:val="auto"/>
          <w:sz w:val="18"/>
          <w:szCs w:val="18"/>
          <w:lang w:val="en-US" w:eastAsia="zh-CN"/>
        </w:rPr>
      </w:pPr>
      <w:r>
        <w:rPr>
          <w:rFonts w:hint="eastAsia" w:eastAsia="宋体"/>
          <w:color w:val="auto"/>
          <w:sz w:val="18"/>
          <w:szCs w:val="18"/>
          <w:lang w:val="en-US" w:eastAsia="zh-CN"/>
        </w:rPr>
        <w:t>1) 获取装置完整的能效特性，为用户评估设备在实际运行工况下的节能效益提供数据基础；</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720" w:firstLineChars="400"/>
        <w:jc w:val="both"/>
        <w:textAlignment w:val="auto"/>
        <w:rPr>
          <w:rFonts w:hint="eastAsia" w:eastAsia="宋体"/>
          <w:color w:val="auto"/>
          <w:sz w:val="18"/>
          <w:szCs w:val="18"/>
          <w:lang w:val="en-US" w:eastAsia="zh-CN"/>
        </w:rPr>
      </w:pPr>
      <w:r>
        <w:rPr>
          <w:rFonts w:hint="eastAsia" w:eastAsia="宋体"/>
          <w:color w:val="auto"/>
          <w:sz w:val="18"/>
          <w:szCs w:val="18"/>
          <w:lang w:val="en-US" w:eastAsia="zh-CN"/>
        </w:rPr>
        <w:t>2) 为计算基于特定负载分布的加权平均损耗提供依据；</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720" w:firstLineChars="400"/>
        <w:jc w:val="both"/>
        <w:textAlignment w:val="auto"/>
        <w:rPr>
          <w:rFonts w:hint="eastAsia" w:eastAsia="宋体"/>
          <w:color w:val="auto"/>
          <w:sz w:val="18"/>
          <w:szCs w:val="18"/>
          <w:lang w:val="en-US" w:eastAsia="zh-CN"/>
        </w:rPr>
      </w:pPr>
      <w:r>
        <w:rPr>
          <w:rFonts w:hint="eastAsia" w:eastAsia="宋体"/>
          <w:color w:val="auto"/>
          <w:sz w:val="18"/>
          <w:szCs w:val="18"/>
          <w:lang w:val="en-US" w:eastAsia="zh-CN"/>
        </w:rPr>
        <w:t>3) 为制造商的设计验证和技术优化提供参考。</w:t>
      </w:r>
    </w:p>
    <w:p>
      <w:pPr>
        <w:spacing w:line="320" w:lineRule="exact"/>
        <w:ind w:firstLine="360" w:firstLineChars="200"/>
        <w:jc w:val="both"/>
        <w:rPr>
          <w:rFonts w:hint="eastAsia" w:eastAsia="宋体"/>
          <w:color w:val="auto"/>
          <w:sz w:val="18"/>
          <w:szCs w:val="18"/>
          <w:lang w:val="en-US" w:eastAsia="zh-CN"/>
        </w:rPr>
      </w:pPr>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olor w:val="auto"/>
          <w:lang w:val="en-US" w:eastAsia="zh-CN"/>
        </w:rPr>
      </w:pPr>
      <w:r>
        <w:rPr>
          <w:rFonts w:hint="eastAsia"/>
          <w:color w:val="auto"/>
          <w:lang w:val="en-US" w:eastAsia="zh-CN"/>
        </w:rPr>
        <w:t>评价方法</w:t>
      </w:r>
    </w:p>
    <w:p>
      <w:pPr>
        <w:pStyle w:val="123"/>
        <w:numPr>
          <w:ilvl w:val="0"/>
          <w:numId w:val="0"/>
        </w:numPr>
        <w:ind w:left="425" w:left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SVG的节能评价应基于“型式试验基础”与“运行数据验证”相结合的原则</w:t>
      </w:r>
      <w:r>
        <w:rPr>
          <w:rFonts w:hint="eastAsia" w:cs="Times New Roman"/>
          <w:color w:val="auto"/>
          <w:sz w:val="21"/>
          <w:szCs w:val="21"/>
          <w:lang w:val="en-US" w:eastAsia="zh-CN"/>
        </w:rPr>
        <w:t>：</w:t>
      </w:r>
    </w:p>
    <w:p>
      <w:pPr>
        <w:pStyle w:val="123"/>
        <w:numPr>
          <w:ilvl w:val="0"/>
          <w:numId w:val="23"/>
        </w:numPr>
        <w:rPr>
          <w:rFonts w:hint="eastAsia" w:cs="Times New Roman"/>
          <w:color w:val="auto"/>
          <w:sz w:val="21"/>
          <w:szCs w:val="21"/>
          <w:lang w:val="en-US" w:eastAsia="zh-CN" w:bidi="ar-SA"/>
        </w:rPr>
      </w:pPr>
      <w:r>
        <w:rPr>
          <w:rFonts w:hint="eastAsia" w:cs="Times New Roman"/>
          <w:color w:val="auto"/>
          <w:sz w:val="21"/>
          <w:szCs w:val="21"/>
          <w:lang w:val="en-US" w:eastAsia="zh-CN" w:bidi="ar-SA"/>
        </w:rPr>
        <w:t>用于能效等级评定的自耗电率、响应时间、谐波含量等关键性能数据，必须来自制造商提供的、由具备资质的第三方检测机构出具的型式试验报告；</w:t>
      </w:r>
    </w:p>
    <w:p>
      <w:pPr>
        <w:pStyle w:val="123"/>
        <w:numPr>
          <w:ilvl w:val="0"/>
          <w:numId w:val="23"/>
        </w:numPr>
        <w:rPr>
          <w:rFonts w:hint="eastAsia" w:cs="Times New Roman"/>
          <w:color w:val="auto"/>
          <w:sz w:val="21"/>
          <w:szCs w:val="21"/>
          <w:lang w:val="en-US" w:eastAsia="zh-CN" w:bidi="ar-SA"/>
        </w:rPr>
      </w:pPr>
      <w:r>
        <w:rPr>
          <w:rFonts w:hint="eastAsia" w:cs="Times New Roman"/>
          <w:color w:val="auto"/>
          <w:sz w:val="21"/>
          <w:szCs w:val="21"/>
          <w:lang w:val="en-US" w:eastAsia="zh-CN" w:bidi="ar-SA"/>
        </w:rPr>
        <w:t>为验证设备在实际运行中的能效保持性与稳定性，评价方应收集评价周期内连续不少于一个月的运行数据。运行数据分析应侧重于：将实际运行点与型式试验的能效特性曲线进行对比，评估性能一致性；分析设备在不同负载率下的投运情况及系统整体功率因数改善效果；评估其损耗水平是否存在异常上升趋势；</w:t>
      </w:r>
    </w:p>
    <w:p>
      <w:pPr>
        <w:pStyle w:val="123"/>
        <w:numPr>
          <w:ilvl w:val="0"/>
          <w:numId w:val="23"/>
        </w:numPr>
        <w:rPr>
          <w:rFonts w:hint="eastAsia" w:cs="Times New Roman"/>
          <w:color w:val="auto"/>
          <w:sz w:val="21"/>
          <w:szCs w:val="21"/>
          <w:lang w:val="en-US" w:eastAsia="zh-CN" w:bidi="ar-SA"/>
        </w:rPr>
      </w:pPr>
      <w:r>
        <w:rPr>
          <w:rFonts w:hint="eastAsia" w:cs="Times New Roman"/>
          <w:color w:val="auto"/>
          <w:sz w:val="21"/>
          <w:szCs w:val="21"/>
          <w:lang w:val="en-US" w:eastAsia="zh-CN" w:bidi="ar-SA"/>
        </w:rPr>
        <w:t>现场评价报告应对运行工况进行描述，并对评价结果的影响因素进行分析说明；</w:t>
      </w:r>
    </w:p>
    <w:p>
      <w:pPr>
        <w:pStyle w:val="123"/>
        <w:numPr>
          <w:ilvl w:val="0"/>
          <w:numId w:val="23"/>
        </w:numPr>
        <w:rPr>
          <w:rFonts w:hint="eastAsia" w:cs="Times New Roman"/>
          <w:color w:val="auto"/>
          <w:sz w:val="21"/>
          <w:szCs w:val="21"/>
          <w:lang w:val="en-US" w:eastAsia="zh-CN" w:bidi="ar-SA"/>
        </w:rPr>
      </w:pPr>
      <w:r>
        <w:rPr>
          <w:rFonts w:hint="eastAsia" w:cs="Times New Roman"/>
          <w:color w:val="auto"/>
          <w:sz w:val="21"/>
          <w:szCs w:val="21"/>
          <w:lang w:val="en-US" w:eastAsia="zh-CN" w:bidi="ar-SA"/>
        </w:rPr>
        <w:t>综合型式试验与运行数据验证结果，对SVG的能效等级进行评定或复核，评价周期不超过三年；</w:t>
      </w:r>
    </w:p>
    <w:p>
      <w:pPr>
        <w:pStyle w:val="123"/>
        <w:numPr>
          <w:ilvl w:val="0"/>
          <w:numId w:val="23"/>
        </w:numPr>
        <w:rPr>
          <w:rFonts w:hint="eastAsia" w:cs="Times New Roman"/>
          <w:color w:val="auto"/>
          <w:sz w:val="21"/>
          <w:szCs w:val="21"/>
          <w:lang w:val="en-US" w:eastAsia="zh-CN" w:bidi="ar-SA"/>
        </w:rPr>
      </w:pPr>
      <w:r>
        <w:rPr>
          <w:rFonts w:hint="eastAsia" w:cs="Times New Roman"/>
          <w:color w:val="auto"/>
          <w:sz w:val="21"/>
          <w:szCs w:val="21"/>
          <w:lang w:val="en-US" w:eastAsia="zh-CN" w:bidi="ar-SA"/>
        </w:rPr>
        <w:t>当运行数据验证结果与型式试验基础严重不符时，应启动调查，查明原因（如设备老化、安装问题、测量误差或运行工况异常等）。</w:t>
      </w:r>
    </w:p>
    <w:p>
      <w:pPr>
        <w:pStyle w:val="119"/>
        <w:spacing w:before="312" w:after="312"/>
        <w:jc w:val="left"/>
        <w:outlineLvl w:val="0"/>
        <w:rPr>
          <w:rFonts w:hint="default"/>
          <w:color w:val="auto"/>
          <w:lang w:val="en-US" w:eastAsia="zh-CN"/>
        </w:rPr>
      </w:pPr>
      <w:bookmarkStart w:id="52" w:name="_Toc24328"/>
      <w:bookmarkStart w:id="53" w:name="_Toc32225"/>
      <w:r>
        <w:rPr>
          <w:rFonts w:hint="eastAsia"/>
          <w:color w:val="auto"/>
          <w:lang w:val="en-US" w:eastAsia="zh-CN"/>
        </w:rPr>
        <w:t>运行监测与维护</w:t>
      </w:r>
      <w:bookmarkEnd w:id="52"/>
      <w:bookmarkEnd w:id="53"/>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olor w:val="auto"/>
          <w:lang w:val="en-US" w:eastAsia="zh-CN"/>
        </w:rPr>
      </w:pPr>
      <w:r>
        <w:rPr>
          <w:rFonts w:hint="eastAsia"/>
          <w:color w:val="auto"/>
          <w:lang w:val="en-US" w:eastAsia="zh-CN"/>
        </w:rPr>
        <w:t>监测与能效分析</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firstLine="420" w:firstLineChars="200"/>
        <w:jc w:val="left"/>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监测与能效分析</w:t>
      </w:r>
      <w:r>
        <w:rPr>
          <w:rFonts w:hint="eastAsia" w:ascii="Times New Roman" w:hAnsi="Times New Roman" w:cs="Times New Roman"/>
          <w:color w:val="auto"/>
          <w:sz w:val="21"/>
          <w:szCs w:val="21"/>
          <w:lang w:val="en-US" w:eastAsia="zh-CN" w:bidi="ar-SA"/>
        </w:rPr>
        <w:t>应符合下列要求</w:t>
      </w:r>
      <w:r>
        <w:rPr>
          <w:rFonts w:hint="eastAsia" w:ascii="Times New Roman" w:hAnsi="Times New Roman" w:eastAsia="宋体" w:cs="Times New Roman"/>
          <w:color w:val="auto"/>
          <w:sz w:val="21"/>
          <w:szCs w:val="21"/>
          <w:lang w:val="en-US" w:eastAsia="zh-CN" w:bidi="ar-SA"/>
        </w:rPr>
        <w:t>：</w:t>
      </w:r>
    </w:p>
    <w:p>
      <w:pPr>
        <w:pStyle w:val="123"/>
        <w:numPr>
          <w:ilvl w:val="0"/>
          <w:numId w:val="24"/>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SVG应内置高精度传感器，实时监测并记录关键能效数据（如损耗、效率、关键点温度）</w:t>
      </w:r>
      <w:r>
        <w:rPr>
          <w:rFonts w:hint="eastAsia" w:cs="Times New Roman"/>
          <w:color w:val="auto"/>
          <w:sz w:val="21"/>
          <w:szCs w:val="21"/>
          <w:lang w:val="en-US" w:eastAsia="zh-CN"/>
        </w:rPr>
        <w:t>；</w:t>
      </w:r>
    </w:p>
    <w:p>
      <w:pPr>
        <w:pStyle w:val="123"/>
        <w:numPr>
          <w:ilvl w:val="0"/>
          <w:numId w:val="24"/>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应具备本地/远程的能效趋势分析功能，识别效率下降、损耗异常增加的时段和工况，并生成能效报表。</w:t>
      </w:r>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olor w:val="auto"/>
          <w:lang w:val="en-US" w:eastAsia="zh-CN"/>
        </w:rPr>
      </w:pPr>
      <w:r>
        <w:rPr>
          <w:rFonts w:hint="eastAsia"/>
          <w:color w:val="auto"/>
          <w:lang w:val="en-US" w:eastAsia="zh-CN"/>
        </w:rPr>
        <w:t>运行优化</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firstLine="420" w:firstLineChars="200"/>
        <w:jc w:val="left"/>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运行优化</w:t>
      </w:r>
      <w:r>
        <w:rPr>
          <w:rFonts w:hint="eastAsia" w:ascii="Times New Roman" w:hAnsi="Times New Roman" w:cs="Times New Roman"/>
          <w:color w:val="auto"/>
          <w:sz w:val="21"/>
          <w:szCs w:val="21"/>
          <w:lang w:val="en-US" w:eastAsia="zh-CN" w:bidi="ar-SA"/>
        </w:rPr>
        <w:t>应符合下列要求</w:t>
      </w:r>
      <w:r>
        <w:rPr>
          <w:rFonts w:hint="eastAsia" w:ascii="Times New Roman" w:hAnsi="Times New Roman" w:eastAsia="宋体" w:cs="Times New Roman"/>
          <w:color w:val="auto"/>
          <w:sz w:val="21"/>
          <w:szCs w:val="21"/>
          <w:lang w:val="en-US" w:eastAsia="zh-CN" w:bidi="ar-SA"/>
        </w:rPr>
        <w:t>：</w:t>
      </w:r>
    </w:p>
    <w:p>
      <w:pPr>
        <w:pStyle w:val="123"/>
        <w:numPr>
          <w:ilvl w:val="0"/>
          <w:numId w:val="25"/>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控制模式优化：根据负荷特性、系统阻抗及运行需求，选择并切换最适宜的控制模式，以实现装置自身及系统整体的综合能效最优。优化原理包括但不限于：</w:t>
      </w:r>
    </w:p>
    <w:p>
      <w:pPr>
        <w:pStyle w:val="123"/>
        <w:numPr>
          <w:ilvl w:val="0"/>
          <w:numId w:val="0"/>
        </w:numPr>
        <w:ind w:leftChars="400"/>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模式选择：在保证系统电压合格和无功平衡的前提下，优先采用能降低系统整体网损的控制模式。例如，对于波动性负荷，宜采用恒功率因数模式以避免过补或欠补；对于电网薄弱节点，经评估后可采用恒电压模式以支撑电压，降低上游网损。</w:t>
      </w:r>
    </w:p>
    <w:p>
      <w:pPr>
        <w:pStyle w:val="123"/>
        <w:numPr>
          <w:ilvl w:val="0"/>
          <w:numId w:val="0"/>
        </w:numPr>
        <w:ind w:leftChars="400"/>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参数优化：装置宜具备基于内部实时损耗模型的优化功能，在满足外部无功指令的同时，通过微调内部电气参数（如直流电压），使自身运行在损耗最低的工作点。</w:t>
      </w:r>
    </w:p>
    <w:p>
      <w:pPr>
        <w:pStyle w:val="123"/>
        <w:numPr>
          <w:ilvl w:val="0"/>
          <w:numId w:val="0"/>
        </w:numPr>
        <w:ind w:leftChars="400"/>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智能休眠：当系统长时间无需动态无功支撑时，装置应能自动进入低功耗待机或休眠模式，显著降低空载损耗。</w:t>
      </w:r>
    </w:p>
    <w:p>
      <w:pPr>
        <w:pStyle w:val="123"/>
        <w:numPr>
          <w:ilvl w:val="0"/>
          <w:numId w:val="25"/>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与固定补偿设备协调：优化SVG与固定电容器组/电抗器的投切配合策略，让SVG主要承担快速变化的无功分量，减少其长期运行在较大电流状态下的损耗。</w:t>
      </w:r>
    </w:p>
    <w:p>
      <w:pPr>
        <w:pStyle w:val="120"/>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color w:val="auto"/>
          <w:lang w:val="en-US" w:eastAsia="zh-CN"/>
        </w:rPr>
      </w:pPr>
      <w:r>
        <w:rPr>
          <w:rFonts w:hint="eastAsia"/>
          <w:color w:val="auto"/>
          <w:lang w:val="en-US" w:eastAsia="zh-CN"/>
        </w:rPr>
        <w:t>预防性维护</w:t>
      </w:r>
    </w:p>
    <w:p>
      <w:pPr>
        <w:pStyle w:val="122"/>
        <w:keepNext w:val="0"/>
        <w:keepLines w:val="0"/>
        <w:pageBreakBefore w:val="0"/>
        <w:widowControl w:val="0"/>
        <w:numPr>
          <w:ilvl w:val="3"/>
          <w:numId w:val="0"/>
        </w:numPr>
        <w:tabs>
          <w:tab w:val="center" w:pos="6804"/>
          <w:tab w:val="right" w:pos="7371"/>
        </w:tabs>
        <w:kinsoku/>
        <w:wordWrap/>
        <w:overflowPunct/>
        <w:topLinePunct w:val="0"/>
        <w:autoSpaceDE/>
        <w:autoSpaceDN/>
        <w:bidi w:val="0"/>
        <w:adjustRightInd w:val="0"/>
        <w:snapToGrid/>
        <w:spacing w:line="320" w:lineRule="exact"/>
        <w:ind w:leftChars="0" w:firstLine="420" w:firstLineChars="200"/>
        <w:jc w:val="left"/>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预防性维护</w:t>
      </w:r>
      <w:r>
        <w:rPr>
          <w:rFonts w:hint="eastAsia" w:ascii="Times New Roman" w:hAnsi="Times New Roman" w:cs="Times New Roman"/>
          <w:color w:val="auto"/>
          <w:sz w:val="21"/>
          <w:szCs w:val="21"/>
          <w:lang w:val="en-US" w:eastAsia="zh-CN" w:bidi="ar-SA"/>
        </w:rPr>
        <w:t>应符合下列要求</w:t>
      </w:r>
      <w:r>
        <w:rPr>
          <w:rFonts w:hint="eastAsia" w:ascii="Times New Roman" w:hAnsi="Times New Roman" w:eastAsia="宋体" w:cs="Times New Roman"/>
          <w:color w:val="auto"/>
          <w:sz w:val="21"/>
          <w:szCs w:val="21"/>
          <w:lang w:val="en-US" w:eastAsia="zh-CN" w:bidi="ar-SA"/>
        </w:rPr>
        <w:t>：</w:t>
      </w:r>
    </w:p>
    <w:p>
      <w:pPr>
        <w:pStyle w:val="123"/>
        <w:numPr>
          <w:ilvl w:val="0"/>
          <w:numId w:val="26"/>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散热系统维护：定期清洗/更换水冷系统的过滤器、冷却液；清洗风冷系统的滤网、散热翅片</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确保散热效率，避免因散热不良导致器件高温降额或损耗增加</w:t>
      </w:r>
      <w:r>
        <w:rPr>
          <w:rFonts w:hint="eastAsia" w:cs="Times New Roman"/>
          <w:color w:val="auto"/>
          <w:sz w:val="21"/>
          <w:szCs w:val="21"/>
          <w:lang w:val="en-US" w:eastAsia="zh-CN"/>
        </w:rPr>
        <w:t>；</w:t>
      </w:r>
    </w:p>
    <w:p>
      <w:pPr>
        <w:pStyle w:val="123"/>
        <w:numPr>
          <w:ilvl w:val="0"/>
          <w:numId w:val="26"/>
        </w:numP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电气连接检查：定期紧固电气连接点（母排、电缆端子），测量接触电阻，防止因接触不良导致局部过热和附加损耗。</w:t>
      </w:r>
    </w:p>
    <w:p>
      <w:pPr>
        <w:pStyle w:val="52"/>
        <w:pageBreakBefore w:val="0"/>
        <w:kinsoku/>
        <w:wordWrap/>
        <w:overflowPunct/>
        <w:topLinePunct w:val="0"/>
        <w:bidi w:val="0"/>
        <w:adjustRightInd/>
        <w:snapToGrid/>
        <w:spacing w:line="360" w:lineRule="auto"/>
        <w:jc w:val="center"/>
        <w:textAlignment w:val="auto"/>
        <w:rPr>
          <w:rFonts w:hint="eastAsia"/>
          <w:color w:val="auto"/>
        </w:rPr>
      </w:pPr>
      <w:r>
        <w:rPr>
          <w:rFonts w:hint="eastAsia"/>
          <w:color w:val="auto"/>
        </w:rPr>
        <w:drawing>
          <wp:inline distT="0" distB="0" distL="0" distR="0">
            <wp:extent cx="1485900" cy="317500"/>
            <wp:effectExtent l="0" t="0" r="0" b="6350"/>
            <wp:docPr id="88" name="图片 88"/>
            <wp:cNvGraphicFramePr/>
            <a:graphic xmlns:a="http://schemas.openxmlformats.org/drawingml/2006/main">
              <a:graphicData uri="http://schemas.openxmlformats.org/drawingml/2006/picture">
                <pic:pic xmlns:pic="http://schemas.openxmlformats.org/drawingml/2006/picture">
                  <pic:nvPicPr>
                    <pic:cNvPr id="88" name="图片 88"/>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pPr>
        <w:pStyle w:val="52"/>
        <w:pageBreakBefore w:val="0"/>
        <w:kinsoku/>
        <w:wordWrap/>
        <w:overflowPunct/>
        <w:topLinePunct w:val="0"/>
        <w:bidi w:val="0"/>
        <w:adjustRightInd/>
        <w:snapToGrid/>
        <w:spacing w:line="360" w:lineRule="auto"/>
        <w:textAlignment w:val="auto"/>
        <w:rPr>
          <w:rFonts w:hint="eastAsia"/>
          <w:color w:val="auto"/>
        </w:rPr>
      </w:pPr>
    </w:p>
    <w:p>
      <w:pPr>
        <w:pStyle w:val="52"/>
        <w:pageBreakBefore w:val="0"/>
        <w:kinsoku/>
        <w:wordWrap/>
        <w:overflowPunct/>
        <w:topLinePunct w:val="0"/>
        <w:bidi w:val="0"/>
        <w:adjustRightInd/>
        <w:snapToGrid/>
        <w:spacing w:line="360" w:lineRule="auto"/>
        <w:textAlignment w:val="auto"/>
        <w:rPr>
          <w:rFonts w:hint="eastAsia"/>
          <w:color w:val="auto"/>
          <w:lang w:val="en-US" w:eastAsia="zh-CN"/>
        </w:rPr>
      </w:pPr>
    </w:p>
    <w:sectPr>
      <w:endnotePr>
        <w:numFmt w:val="decimal"/>
      </w:endnotePr>
      <w:pgSz w:w="11907" w:h="16839"/>
      <w:pgMar w:top="1417" w:right="1134" w:bottom="1134" w:left="1417" w:header="1417" w:footer="113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Style w:val="37"/>
        <w:sz w:val="21"/>
        <w:szCs w:val="21"/>
      </w:rPr>
    </w:pP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1</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1240" w:y="247"/>
      <w:rPr>
        <w:rStyle w:val="37"/>
        <w:sz w:val="21"/>
        <w:szCs w:val="21"/>
      </w:rPr>
    </w:pPr>
    <w:r>
      <w:rPr>
        <w:sz w:val="21"/>
        <w:szCs w:val="21"/>
      </w:rPr>
      <w:fldChar w:fldCharType="begin"/>
    </w:r>
    <w:r>
      <w:rPr>
        <w:rStyle w:val="37"/>
        <w:sz w:val="21"/>
        <w:szCs w:val="21"/>
      </w:rPr>
      <w:instrText xml:space="preserve">PAGE  </w:instrText>
    </w:r>
    <w:r>
      <w:rPr>
        <w:sz w:val="21"/>
        <w:szCs w:val="21"/>
      </w:rPr>
      <w:fldChar w:fldCharType="separate"/>
    </w:r>
    <w:r>
      <w:rPr>
        <w:rStyle w:val="37"/>
        <w:sz w:val="21"/>
        <w:szCs w:val="21"/>
      </w:rPr>
      <w:t>6</w:t>
    </w:r>
    <w:r>
      <w:rPr>
        <w:sz w:val="21"/>
        <w:szCs w:val="21"/>
      </w:rPr>
      <w:fldChar w:fldCharType="end"/>
    </w:r>
  </w:p>
  <w:p>
    <w:pPr>
      <w:pStyle w:val="105"/>
      <w:rPr>
        <w:rStyle w:val="3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keepNext w:val="0"/>
      <w:keepLines w:val="0"/>
      <w:pageBreakBefore w:val="0"/>
      <w:widowControl w:val="0"/>
      <w:kinsoku/>
      <w:wordWrap/>
      <w:overflowPunct/>
      <w:topLinePunct w:val="0"/>
      <w:bidi w:val="0"/>
      <w:adjustRightInd/>
      <w:snapToGrid w:val="0"/>
      <w:ind w:right="0" w:rightChars="0"/>
      <w:textAlignment w:val="auto"/>
      <w:rPr>
        <w:rStyle w:val="37"/>
        <w:sz w:val="18"/>
        <w:szCs w:val="18"/>
      </w:rPr>
    </w:pPr>
    <w:r>
      <w:rPr>
        <w:sz w:val="18"/>
        <w:szCs w:val="18"/>
      </w:rPr>
      <w:fldChar w:fldCharType="begin"/>
    </w:r>
    <w:r>
      <w:rPr>
        <w:rStyle w:val="37"/>
        <w:sz w:val="18"/>
        <w:szCs w:val="18"/>
      </w:rPr>
      <w:instrText xml:space="preserve"> PAGE </w:instrText>
    </w:r>
    <w:r>
      <w:rPr>
        <w:sz w:val="18"/>
        <w:szCs w:val="18"/>
      </w:rPr>
      <w:fldChar w:fldCharType="separate"/>
    </w:r>
    <w:r>
      <w:rPr>
        <w:rStyle w:val="37"/>
        <w:sz w:val="18"/>
        <w:szCs w:val="18"/>
      </w:rPr>
      <w:t>1</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page" w:x="1459" w:y="23"/>
      <w:rPr>
        <w:rStyle w:val="37"/>
        <w:sz w:val="18"/>
        <w:szCs w:val="18"/>
      </w:rPr>
    </w:pPr>
    <w:r>
      <w:rPr>
        <w:sz w:val="18"/>
        <w:szCs w:val="18"/>
      </w:rPr>
      <w:fldChar w:fldCharType="begin"/>
    </w:r>
    <w:r>
      <w:rPr>
        <w:rStyle w:val="37"/>
        <w:sz w:val="18"/>
        <w:szCs w:val="18"/>
      </w:rPr>
      <w:instrText xml:space="preserve">PAGE  </w:instrText>
    </w:r>
    <w:r>
      <w:rPr>
        <w:sz w:val="18"/>
        <w:szCs w:val="18"/>
      </w:rPr>
      <w:fldChar w:fldCharType="separate"/>
    </w:r>
    <w:r>
      <w:rPr>
        <w:rStyle w:val="37"/>
        <w:sz w:val="18"/>
        <w:szCs w:val="18"/>
      </w:rPr>
      <w:t>6</w:t>
    </w:r>
    <w:r>
      <w:rPr>
        <w:sz w:val="18"/>
        <w:szCs w:val="18"/>
      </w:rPr>
      <w:fldChar w:fldCharType="end"/>
    </w:r>
  </w:p>
  <w:p>
    <w:pPr>
      <w:pStyle w:val="105"/>
      <w:rPr>
        <w:rStyle w:val="3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right"/>
      <w:rPr>
        <w:rFonts w:hint="default"/>
        <w:lang w:val="en-US" w:eastAsia="zh-CN"/>
      </w:rPr>
    </w:pPr>
    <w:r>
      <w:rPr>
        <w:rFonts w:hint="default" w:ascii="Times New Roman" w:hAnsi="Times New Roman" w:eastAsia="黑体" w:cs="Times New Roman"/>
        <w:b/>
        <w:bCs/>
        <w:kern w:val="0"/>
        <w:sz w:val="21"/>
        <w:szCs w:val="21"/>
      </w:rPr>
      <w:t>T/DZJN</w:t>
    </w:r>
    <w:r>
      <w:rPr>
        <w:rFonts w:hint="eastAsia" w:ascii="黑体" w:hAnsi="黑体" w:eastAsia="黑体" w:cs="黑体"/>
        <w:kern w:val="0"/>
        <w:sz w:val="21"/>
        <w:szCs w:val="21"/>
      </w:rPr>
      <w:t xml:space="preserve"> </w:t>
    </w:r>
    <w:r>
      <w:rPr>
        <w:rFonts w:hint="eastAsia" w:ascii="黑体" w:hAnsi="黑体" w:eastAsia="黑体" w:cs="黑体"/>
        <w:kern w:val="0"/>
        <w:sz w:val="21"/>
        <w:szCs w:val="20"/>
        <w:lang w:val="en-US" w:eastAsia="zh-CN"/>
      </w:rPr>
      <w:t>XX</w:t>
    </w:r>
    <w:r>
      <w:rPr>
        <w:rFonts w:hint="eastAsia" w:ascii="黑体" w:hAnsi="黑体" w:eastAsia="黑体"/>
        <w:spacing w:val="10"/>
        <w:sz w:val="21"/>
        <w:szCs w:val="21"/>
      </w:rPr>
      <w:t>－</w:t>
    </w:r>
    <w:r>
      <w:rPr>
        <w:rFonts w:hint="eastAsia" w:ascii="黑体" w:hAnsi="黑体" w:eastAsia="黑体" w:cs="黑体"/>
        <w:kern w:val="0"/>
        <w:sz w:val="21"/>
        <w:szCs w:val="20"/>
        <w:lang w:val="en-US" w:eastAsia="zh-CN"/>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6"/>
    </w:pPr>
    <w:r>
      <w:rPr>
        <w:rFonts w:hint="eastAsia"/>
      </w:rPr>
      <w:t>T/CACE XXX-2018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right"/>
      <w:rPr>
        <w:rFonts w:hint="default"/>
        <w:lang w:val="en-US" w:eastAsia="zh-CN"/>
      </w:rPr>
    </w:pPr>
    <w:r>
      <w:rPr>
        <w:rFonts w:hint="default" w:ascii="Times New Roman" w:hAnsi="Times New Roman" w:eastAsia="黑体" w:cs="Times New Roman"/>
        <w:b/>
        <w:bCs/>
        <w:kern w:val="0"/>
        <w:sz w:val="21"/>
        <w:szCs w:val="21"/>
      </w:rPr>
      <w:t>T/DZJN</w:t>
    </w:r>
    <w:r>
      <w:rPr>
        <w:rFonts w:hint="eastAsia" w:ascii="黑体" w:hAnsi="黑体" w:eastAsia="黑体" w:cs="黑体"/>
        <w:kern w:val="0"/>
        <w:sz w:val="21"/>
        <w:szCs w:val="21"/>
      </w:rPr>
      <w:t xml:space="preserve"> </w:t>
    </w:r>
    <w:r>
      <w:rPr>
        <w:rFonts w:hint="eastAsia" w:ascii="黑体" w:hAnsi="黑体" w:eastAsia="黑体" w:cs="黑体"/>
        <w:kern w:val="0"/>
        <w:sz w:val="21"/>
        <w:szCs w:val="20"/>
        <w:lang w:val="en-US" w:eastAsia="zh-CN"/>
      </w:rPr>
      <w:t>XX</w:t>
    </w:r>
    <w:r>
      <w:rPr>
        <w:rFonts w:hint="eastAsia" w:ascii="黑体" w:hAnsi="黑体" w:eastAsia="黑体"/>
        <w:spacing w:val="10"/>
        <w:sz w:val="21"/>
        <w:szCs w:val="21"/>
      </w:rPr>
      <w:t>－</w:t>
    </w:r>
    <w:r>
      <w:rPr>
        <w:rFonts w:hint="eastAsia" w:ascii="黑体" w:hAnsi="黑体" w:eastAsia="黑体" w:cs="黑体"/>
        <w:kern w:val="0"/>
        <w:sz w:val="21"/>
        <w:szCs w:val="20"/>
        <w:lang w:val="en-US" w:eastAsia="zh-CN"/>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spacing w:line="320" w:lineRule="exact"/>
      <w:jc w:val="left"/>
      <w:rPr>
        <w:rFonts w:hint="default"/>
        <w:lang w:val="en-US"/>
      </w:rPr>
    </w:pPr>
    <w:r>
      <w:rPr>
        <w:rFonts w:hint="default" w:ascii="Times New Roman" w:hAnsi="Times New Roman" w:eastAsia="黑体" w:cs="Times New Roman"/>
        <w:b/>
        <w:bCs/>
        <w:kern w:val="0"/>
        <w:sz w:val="21"/>
        <w:szCs w:val="21"/>
      </w:rPr>
      <w:t>T/DZJN</w:t>
    </w:r>
    <w:r>
      <w:rPr>
        <w:rFonts w:hint="eastAsia" w:ascii="黑体" w:hAnsi="黑体" w:eastAsia="黑体" w:cs="黑体"/>
        <w:kern w:val="0"/>
        <w:sz w:val="21"/>
        <w:szCs w:val="21"/>
      </w:rPr>
      <w:t xml:space="preserve"> </w:t>
    </w:r>
    <w:r>
      <w:rPr>
        <w:rFonts w:hint="eastAsia" w:ascii="黑体" w:hAnsi="黑体" w:eastAsia="黑体" w:cs="黑体"/>
        <w:kern w:val="0"/>
        <w:sz w:val="21"/>
        <w:szCs w:val="20"/>
        <w:lang w:val="en-US" w:eastAsia="zh-CN"/>
      </w:rPr>
      <w:t>XX</w:t>
    </w:r>
    <w:r>
      <w:rPr>
        <w:rFonts w:hint="eastAsia" w:ascii="黑体" w:hAnsi="黑体" w:eastAsia="黑体"/>
        <w:spacing w:val="10"/>
        <w:sz w:val="21"/>
        <w:szCs w:val="21"/>
      </w:rPr>
      <w:t>－</w:t>
    </w:r>
    <w:r>
      <w:rPr>
        <w:rFonts w:hint="eastAsia" w:ascii="黑体" w:hAnsi="黑体" w:eastAsia="黑体" w:cs="黑体"/>
        <w:kern w:val="0"/>
        <w:sz w:val="21"/>
        <w:szCs w:val="20"/>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5F48B"/>
    <w:multiLevelType w:val="multilevel"/>
    <w:tmpl w:val="9805F48B"/>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728229B"/>
    <w:multiLevelType w:val="multilevel"/>
    <w:tmpl w:val="A728229B"/>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B8CD1226"/>
    <w:multiLevelType w:val="multilevel"/>
    <w:tmpl w:val="B8CD1226"/>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BAF138BB"/>
    <w:multiLevelType w:val="multilevel"/>
    <w:tmpl w:val="BAF138BB"/>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C66EC65F"/>
    <w:multiLevelType w:val="multilevel"/>
    <w:tmpl w:val="C66EC65F"/>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D50B0217"/>
    <w:multiLevelType w:val="multilevel"/>
    <w:tmpl w:val="D50B0217"/>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D6932F51"/>
    <w:multiLevelType w:val="multilevel"/>
    <w:tmpl w:val="D6932F51"/>
    <w:lvl w:ilvl="0" w:tentative="0">
      <w:start w:val="1"/>
      <w:numFmt w:val="none"/>
      <w:suff w:val="nothing"/>
      <w:lvlText w:val="%1"/>
      <w:lvlJc w:val="left"/>
      <w:pPr>
        <w:ind w:left="0" w:firstLine="0"/>
      </w:pPr>
      <w:rPr>
        <w:rFonts w:hint="eastAsia"/>
      </w:rPr>
    </w:lvl>
    <w:lvl w:ilvl="1" w:tentative="0">
      <w:start w:val="1"/>
      <w:numFmt w:val="decimal"/>
      <w:pStyle w:val="119"/>
      <w:suff w:val="nothing"/>
      <w:lvlText w:val="%1%2　"/>
      <w:lvlJc w:val="left"/>
      <w:pPr>
        <w:ind w:left="0" w:firstLine="0"/>
      </w:pPr>
      <w:rPr>
        <w:rFonts w:hint="eastAsia" w:ascii="黑体" w:eastAsia="黑体"/>
        <w:b w:val="0"/>
        <w:i w:val="0"/>
        <w:sz w:val="21"/>
      </w:rPr>
    </w:lvl>
    <w:lvl w:ilvl="2" w:tentative="0">
      <w:start w:val="1"/>
      <w:numFmt w:val="decimal"/>
      <w:pStyle w:val="12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122"/>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E7A43502"/>
    <w:multiLevelType w:val="multilevel"/>
    <w:tmpl w:val="E7A43502"/>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F2BE1517"/>
    <w:multiLevelType w:val="multilevel"/>
    <w:tmpl w:val="F2BE1517"/>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00000002"/>
    <w:multiLevelType w:val="multilevel"/>
    <w:tmpl w:val="00000002"/>
    <w:lvl w:ilvl="0" w:tentative="0">
      <w:start w:val="1"/>
      <w:numFmt w:val="none"/>
      <w:pStyle w:val="64"/>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3"/>
    <w:multiLevelType w:val="multilevel"/>
    <w:tmpl w:val="00000003"/>
    <w:lvl w:ilvl="0" w:tentative="0">
      <w:start w:val="1"/>
      <w:numFmt w:val="none"/>
      <w:pStyle w:val="78"/>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5"/>
    <w:multiLevelType w:val="multilevel"/>
    <w:tmpl w:val="00000005"/>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109"/>
      <w:suff w:val="nothing"/>
      <w:lvlText w:val="%1%2.%3.%4　"/>
      <w:lvlJc w:val="left"/>
      <w:pPr>
        <w:ind w:left="0" w:firstLine="0"/>
      </w:pPr>
      <w:rPr>
        <w:rFonts w:hint="eastAsia" w:ascii="黑体" w:hAnsi="Times New Roman" w:eastAsia="黑体"/>
        <w:b w:val="0"/>
        <w:i w:val="0"/>
        <w:sz w:val="21"/>
      </w:rPr>
    </w:lvl>
    <w:lvl w:ilvl="4" w:tentative="0">
      <w:start w:val="1"/>
      <w:numFmt w:val="decimal"/>
      <w:pStyle w:val="96"/>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pStyle w:val="7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09"/>
    <w:multiLevelType w:val="multilevel"/>
    <w:tmpl w:val="00000009"/>
    <w:lvl w:ilvl="0" w:tentative="0">
      <w:start w:val="1"/>
      <w:numFmt w:val="decimal"/>
      <w:pStyle w:val="9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0000000A"/>
    <w:multiLevelType w:val="multilevel"/>
    <w:tmpl w:val="0000000A"/>
    <w:lvl w:ilvl="0" w:tentative="0">
      <w:start w:val="1"/>
      <w:numFmt w:val="upperLetter"/>
      <w:pStyle w:val="66"/>
      <w:suff w:val="nothing"/>
      <w:lvlText w:val="附　录　%1"/>
      <w:lvlJc w:val="left"/>
      <w:pPr>
        <w:ind w:left="0" w:firstLine="0"/>
      </w:pPr>
      <w:rPr>
        <w:rFonts w:hint="eastAsia" w:ascii="黑体" w:hAnsi="Times New Roman" w:eastAsia="黑体"/>
        <w:b w:val="0"/>
        <w:i w:val="0"/>
        <w:sz w:val="21"/>
      </w:rPr>
    </w:lvl>
    <w:lvl w:ilvl="1" w:tentative="0">
      <w:start w:val="1"/>
      <w:numFmt w:val="decimal"/>
      <w:pStyle w:val="6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7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0C"/>
    <w:multiLevelType w:val="multilevel"/>
    <w:tmpl w:val="0000000C"/>
    <w:lvl w:ilvl="0" w:tentative="0">
      <w:start w:val="1"/>
      <w:numFmt w:val="decimal"/>
      <w:pStyle w:val="6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0E"/>
    <w:multiLevelType w:val="multilevel"/>
    <w:tmpl w:val="0000000E"/>
    <w:lvl w:ilvl="0" w:tentative="0">
      <w:start w:val="1"/>
      <w:numFmt w:val="none"/>
      <w:pStyle w:val="82"/>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000012"/>
    <w:multiLevelType w:val="multilevel"/>
    <w:tmpl w:val="00000012"/>
    <w:lvl w:ilvl="0" w:tentative="0">
      <w:start w:val="1"/>
      <w:numFmt w:val="none"/>
      <w:pStyle w:val="11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3"/>
    <w:multiLevelType w:val="multilevel"/>
    <w:tmpl w:val="00000013"/>
    <w:lvl w:ilvl="0" w:tentative="0">
      <w:start w:val="1"/>
      <w:numFmt w:val="none"/>
      <w:pStyle w:val="67"/>
      <w:suff w:val="nothing"/>
      <w:lvlText w:val="%1"/>
      <w:lvlJc w:val="left"/>
      <w:pPr>
        <w:ind w:left="0" w:firstLine="0"/>
      </w:pPr>
      <w:rPr>
        <w:rFonts w:hint="default" w:ascii="Times New Roman" w:hAnsi="Times New Roman"/>
        <w:b/>
        <w:i w:val="0"/>
        <w:sz w:val="21"/>
      </w:rPr>
    </w:lvl>
    <w:lvl w:ilvl="1" w:tentative="0">
      <w:start w:val="1"/>
      <w:numFmt w:val="decimal"/>
      <w:pStyle w:val="88"/>
      <w:suff w:val="nothing"/>
      <w:lvlText w:val="%1%2　"/>
      <w:lvlJc w:val="left"/>
      <w:pPr>
        <w:ind w:left="210" w:firstLine="0"/>
      </w:pPr>
      <w:rPr>
        <w:rFonts w:hint="eastAsia" w:ascii="黑体" w:hAnsi="Times New Roman" w:eastAsia="黑体"/>
        <w:b w:val="0"/>
        <w:i w:val="0"/>
        <w:sz w:val="21"/>
      </w:rPr>
    </w:lvl>
    <w:lvl w:ilvl="2" w:tentative="0">
      <w:start w:val="1"/>
      <w:numFmt w:val="decimal"/>
      <w:pStyle w:val="98"/>
      <w:suff w:val="nothing"/>
      <w:lvlText w:val="%1%2.%3　"/>
      <w:lvlJc w:val="left"/>
      <w:pPr>
        <w:ind w:left="0" w:firstLine="0"/>
      </w:pPr>
      <w:rPr>
        <w:rFonts w:hint="eastAsia" w:ascii="黑体" w:hAnsi="Times New Roman" w:eastAsia="黑体"/>
        <w:b w:val="0"/>
        <w:i w:val="0"/>
        <w:sz w:val="21"/>
      </w:rPr>
    </w:lvl>
    <w:lvl w:ilvl="3" w:tentative="0">
      <w:start w:val="1"/>
      <w:numFmt w:val="decimal"/>
      <w:pStyle w:val="86"/>
      <w:suff w:val="nothing"/>
      <w:lvlText w:val="%1%2.%3.%4　"/>
      <w:lvlJc w:val="left"/>
      <w:pPr>
        <w:ind w:left="0" w:firstLine="0"/>
      </w:pPr>
      <w:rPr>
        <w:rFonts w:hint="eastAsia" w:ascii="黑体" w:hAnsi="Times New Roman" w:eastAsia="黑体"/>
        <w:b w:val="0"/>
        <w:i w:val="0"/>
        <w:sz w:val="21"/>
      </w:rPr>
    </w:lvl>
    <w:lvl w:ilvl="4" w:tentative="0">
      <w:start w:val="1"/>
      <w:numFmt w:val="decimal"/>
      <w:pStyle w:val="85"/>
      <w:suff w:val="nothing"/>
      <w:lvlText w:val="%1%2.%3.%4.%5　"/>
      <w:lvlJc w:val="left"/>
      <w:pPr>
        <w:ind w:left="0" w:firstLine="0"/>
      </w:pPr>
      <w:rPr>
        <w:rFonts w:hint="eastAsia" w:ascii="黑体" w:hAnsi="Times New Roman" w:eastAsia="黑体"/>
        <w:b w:val="0"/>
        <w:i w:val="0"/>
        <w:sz w:val="21"/>
      </w:rPr>
    </w:lvl>
    <w:lvl w:ilvl="5" w:tentative="0">
      <w:start w:val="1"/>
      <w:numFmt w:val="decimal"/>
      <w:pStyle w:val="84"/>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00000014"/>
    <w:multiLevelType w:val="multilevel"/>
    <w:tmpl w:val="00000014"/>
    <w:lvl w:ilvl="0" w:tentative="0">
      <w:start w:val="1"/>
      <w:numFmt w:val="none"/>
      <w:pStyle w:val="6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15DC6B70"/>
    <w:multiLevelType w:val="multilevel"/>
    <w:tmpl w:val="15DC6B70"/>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252D784C"/>
    <w:multiLevelType w:val="multilevel"/>
    <w:tmpl w:val="252D784C"/>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00405E7"/>
    <w:multiLevelType w:val="multilevel"/>
    <w:tmpl w:val="400405E7"/>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4C50F90"/>
    <w:multiLevelType w:val="multilevel"/>
    <w:tmpl w:val="44C50F90"/>
    <w:lvl w:ilvl="0" w:tentative="0">
      <w:start w:val="1"/>
      <w:numFmt w:val="lowerLetter"/>
      <w:pStyle w:val="123"/>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default" w:ascii="Times New Roman"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B347D9D"/>
    <w:multiLevelType w:val="multilevel"/>
    <w:tmpl w:val="4B347D9D"/>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557C2AF5"/>
    <w:multiLevelType w:val="multilevel"/>
    <w:tmpl w:val="557C2AF5"/>
    <w:lvl w:ilvl="0" w:tentative="0">
      <w:start w:val="1"/>
      <w:numFmt w:val="decimal"/>
      <w:pStyle w:val="11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DBD8BC8"/>
    <w:multiLevelType w:val="multilevel"/>
    <w:tmpl w:val="6DBD8BC8"/>
    <w:lvl w:ilvl="0" w:tentative="0">
      <w:start w:val="1"/>
      <w:numFmt w:val="lowerLetter"/>
      <w:lvlText w:val="%1)"/>
      <w:lvlJc w:val="left"/>
      <w:pPr>
        <w:tabs>
          <w:tab w:val="left" w:pos="851"/>
        </w:tabs>
        <w:ind w:left="851" w:hanging="426"/>
      </w:pPr>
      <w:rPr>
        <w:rFonts w:hint="default"/>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3"/>
  </w:num>
  <w:num w:numId="2">
    <w:abstractNumId w:val="14"/>
  </w:num>
  <w:num w:numId="3">
    <w:abstractNumId w:val="18"/>
  </w:num>
  <w:num w:numId="4">
    <w:abstractNumId w:val="9"/>
  </w:num>
  <w:num w:numId="5">
    <w:abstractNumId w:val="17"/>
  </w:num>
  <w:num w:numId="6">
    <w:abstractNumId w:val="11"/>
  </w:num>
  <w:num w:numId="7">
    <w:abstractNumId w:val="10"/>
  </w:num>
  <w:num w:numId="8">
    <w:abstractNumId w:val="15"/>
  </w:num>
  <w:num w:numId="9">
    <w:abstractNumId w:val="12"/>
  </w:num>
  <w:num w:numId="10">
    <w:abstractNumId w:val="24"/>
  </w:num>
  <w:num w:numId="11">
    <w:abstractNumId w:val="16"/>
  </w:num>
  <w:num w:numId="12">
    <w:abstractNumId w:val="6"/>
  </w:num>
  <w:num w:numId="13">
    <w:abstractNumId w:val="22"/>
  </w:num>
  <w:num w:numId="14">
    <w:abstractNumId w:val="1"/>
  </w:num>
  <w:num w:numId="15">
    <w:abstractNumId w:val="5"/>
  </w:num>
  <w:num w:numId="16">
    <w:abstractNumId w:val="0"/>
  </w:num>
  <w:num w:numId="17">
    <w:abstractNumId w:val="20"/>
  </w:num>
  <w:num w:numId="18">
    <w:abstractNumId w:val="25"/>
  </w:num>
  <w:num w:numId="19">
    <w:abstractNumId w:val="3"/>
  </w:num>
  <w:num w:numId="20">
    <w:abstractNumId w:val="8"/>
  </w:num>
  <w:num w:numId="21">
    <w:abstractNumId w:val="19"/>
  </w:num>
  <w:num w:numId="22">
    <w:abstractNumId w:val="21"/>
  </w:num>
  <w:num w:numId="23">
    <w:abstractNumId w:val="7"/>
  </w:num>
  <w:num w:numId="24">
    <w:abstractNumId w:val="4"/>
  </w:num>
  <w:num w:numId="25">
    <w:abstractNumId w:val="2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OTgwYzQ0MDU3ODRiMjVlYTFhNTQ2MjVmZmIxODMifQ=="/>
  </w:docVars>
  <w:rsids>
    <w:rsidRoot w:val="00172A27"/>
    <w:rsid w:val="00000378"/>
    <w:rsid w:val="000048FF"/>
    <w:rsid w:val="00021F37"/>
    <w:rsid w:val="00022216"/>
    <w:rsid w:val="00024C0E"/>
    <w:rsid w:val="00025FA8"/>
    <w:rsid w:val="000274F0"/>
    <w:rsid w:val="00030F9F"/>
    <w:rsid w:val="000338D7"/>
    <w:rsid w:val="0004224F"/>
    <w:rsid w:val="00050F46"/>
    <w:rsid w:val="00054113"/>
    <w:rsid w:val="000834A4"/>
    <w:rsid w:val="000972BB"/>
    <w:rsid w:val="000976BE"/>
    <w:rsid w:val="00097881"/>
    <w:rsid w:val="000A23B5"/>
    <w:rsid w:val="000B7F60"/>
    <w:rsid w:val="000C264A"/>
    <w:rsid w:val="000C6889"/>
    <w:rsid w:val="000C76C1"/>
    <w:rsid w:val="000D15FD"/>
    <w:rsid w:val="000D2AC4"/>
    <w:rsid w:val="000E1099"/>
    <w:rsid w:val="000E2E43"/>
    <w:rsid w:val="000E62F8"/>
    <w:rsid w:val="000F06DE"/>
    <w:rsid w:val="000F29F1"/>
    <w:rsid w:val="000F2C31"/>
    <w:rsid w:val="000F5FE7"/>
    <w:rsid w:val="00100C20"/>
    <w:rsid w:val="00106C69"/>
    <w:rsid w:val="0011206E"/>
    <w:rsid w:val="00114390"/>
    <w:rsid w:val="0012259A"/>
    <w:rsid w:val="001318C7"/>
    <w:rsid w:val="001326F6"/>
    <w:rsid w:val="001427BB"/>
    <w:rsid w:val="00146173"/>
    <w:rsid w:val="001500F2"/>
    <w:rsid w:val="0015475C"/>
    <w:rsid w:val="00172A27"/>
    <w:rsid w:val="001809CB"/>
    <w:rsid w:val="001846B2"/>
    <w:rsid w:val="001B4B7F"/>
    <w:rsid w:val="001F6DC1"/>
    <w:rsid w:val="0020174A"/>
    <w:rsid w:val="00202C19"/>
    <w:rsid w:val="00217BCA"/>
    <w:rsid w:val="00222EF2"/>
    <w:rsid w:val="002264DD"/>
    <w:rsid w:val="00243955"/>
    <w:rsid w:val="00250177"/>
    <w:rsid w:val="00260239"/>
    <w:rsid w:val="00262629"/>
    <w:rsid w:val="00292118"/>
    <w:rsid w:val="00292CBF"/>
    <w:rsid w:val="002942C0"/>
    <w:rsid w:val="00295C09"/>
    <w:rsid w:val="002A0932"/>
    <w:rsid w:val="002B20C2"/>
    <w:rsid w:val="002B37C3"/>
    <w:rsid w:val="002C02C4"/>
    <w:rsid w:val="002C5513"/>
    <w:rsid w:val="002D113D"/>
    <w:rsid w:val="002D3F59"/>
    <w:rsid w:val="002D7EC1"/>
    <w:rsid w:val="002E3F15"/>
    <w:rsid w:val="002E50F6"/>
    <w:rsid w:val="002F2895"/>
    <w:rsid w:val="003121C9"/>
    <w:rsid w:val="00320EF8"/>
    <w:rsid w:val="003370FF"/>
    <w:rsid w:val="00346DFC"/>
    <w:rsid w:val="0035133C"/>
    <w:rsid w:val="00354837"/>
    <w:rsid w:val="00355906"/>
    <w:rsid w:val="00365DFE"/>
    <w:rsid w:val="003B4170"/>
    <w:rsid w:val="003B70D5"/>
    <w:rsid w:val="003F0BA8"/>
    <w:rsid w:val="003F0F94"/>
    <w:rsid w:val="003F1503"/>
    <w:rsid w:val="00406685"/>
    <w:rsid w:val="00413CC8"/>
    <w:rsid w:val="00416B3D"/>
    <w:rsid w:val="00417246"/>
    <w:rsid w:val="0042108C"/>
    <w:rsid w:val="00434655"/>
    <w:rsid w:val="0044437F"/>
    <w:rsid w:val="00444F42"/>
    <w:rsid w:val="00457E51"/>
    <w:rsid w:val="004625EF"/>
    <w:rsid w:val="00465A17"/>
    <w:rsid w:val="00467B74"/>
    <w:rsid w:val="004730E3"/>
    <w:rsid w:val="00477E7C"/>
    <w:rsid w:val="004A301C"/>
    <w:rsid w:val="004A701C"/>
    <w:rsid w:val="004B54FD"/>
    <w:rsid w:val="004B576C"/>
    <w:rsid w:val="004B6856"/>
    <w:rsid w:val="004C00A6"/>
    <w:rsid w:val="004C12D4"/>
    <w:rsid w:val="004C29AA"/>
    <w:rsid w:val="004C407C"/>
    <w:rsid w:val="004D64D9"/>
    <w:rsid w:val="004E7BE0"/>
    <w:rsid w:val="004F57DA"/>
    <w:rsid w:val="004F70B6"/>
    <w:rsid w:val="00502A63"/>
    <w:rsid w:val="00513A40"/>
    <w:rsid w:val="005159F2"/>
    <w:rsid w:val="00516996"/>
    <w:rsid w:val="00523AD6"/>
    <w:rsid w:val="005531D5"/>
    <w:rsid w:val="00557EAD"/>
    <w:rsid w:val="00560B35"/>
    <w:rsid w:val="00562F2F"/>
    <w:rsid w:val="0058463D"/>
    <w:rsid w:val="00585B09"/>
    <w:rsid w:val="005918F7"/>
    <w:rsid w:val="00596603"/>
    <w:rsid w:val="005A0F33"/>
    <w:rsid w:val="005A44BF"/>
    <w:rsid w:val="005A6CE6"/>
    <w:rsid w:val="005B0B71"/>
    <w:rsid w:val="005B1262"/>
    <w:rsid w:val="005B5D2C"/>
    <w:rsid w:val="005C5137"/>
    <w:rsid w:val="005C6FBC"/>
    <w:rsid w:val="005D3CA2"/>
    <w:rsid w:val="005D57A1"/>
    <w:rsid w:val="005E6DC1"/>
    <w:rsid w:val="005E73C0"/>
    <w:rsid w:val="00614B9C"/>
    <w:rsid w:val="0063210B"/>
    <w:rsid w:val="00640264"/>
    <w:rsid w:val="00644F6F"/>
    <w:rsid w:val="00652346"/>
    <w:rsid w:val="006632F1"/>
    <w:rsid w:val="00665D7A"/>
    <w:rsid w:val="00674020"/>
    <w:rsid w:val="00675453"/>
    <w:rsid w:val="00675C31"/>
    <w:rsid w:val="0069136E"/>
    <w:rsid w:val="00691646"/>
    <w:rsid w:val="006A2F60"/>
    <w:rsid w:val="006E3F78"/>
    <w:rsid w:val="006E4393"/>
    <w:rsid w:val="006E5463"/>
    <w:rsid w:val="006E70ED"/>
    <w:rsid w:val="006F2F24"/>
    <w:rsid w:val="006F5FC2"/>
    <w:rsid w:val="00702F74"/>
    <w:rsid w:val="007109FC"/>
    <w:rsid w:val="00722447"/>
    <w:rsid w:val="00727A3B"/>
    <w:rsid w:val="0074338D"/>
    <w:rsid w:val="00750548"/>
    <w:rsid w:val="007575CA"/>
    <w:rsid w:val="007607E6"/>
    <w:rsid w:val="00763E02"/>
    <w:rsid w:val="007738B7"/>
    <w:rsid w:val="00781D01"/>
    <w:rsid w:val="00784E15"/>
    <w:rsid w:val="00790B54"/>
    <w:rsid w:val="007A2CD1"/>
    <w:rsid w:val="007B00CA"/>
    <w:rsid w:val="007B5D68"/>
    <w:rsid w:val="007C2628"/>
    <w:rsid w:val="007D40FF"/>
    <w:rsid w:val="007D77E0"/>
    <w:rsid w:val="007F487A"/>
    <w:rsid w:val="008026A1"/>
    <w:rsid w:val="00804C99"/>
    <w:rsid w:val="00804F5F"/>
    <w:rsid w:val="0080734E"/>
    <w:rsid w:val="00811C50"/>
    <w:rsid w:val="008154C8"/>
    <w:rsid w:val="00816280"/>
    <w:rsid w:val="00821B0E"/>
    <w:rsid w:val="00826486"/>
    <w:rsid w:val="008274D8"/>
    <w:rsid w:val="00833507"/>
    <w:rsid w:val="00844BFB"/>
    <w:rsid w:val="00856608"/>
    <w:rsid w:val="008701E2"/>
    <w:rsid w:val="008836EE"/>
    <w:rsid w:val="008F4013"/>
    <w:rsid w:val="00903821"/>
    <w:rsid w:val="00906B48"/>
    <w:rsid w:val="009106E2"/>
    <w:rsid w:val="0091709F"/>
    <w:rsid w:val="00946534"/>
    <w:rsid w:val="00947FE2"/>
    <w:rsid w:val="00960B1D"/>
    <w:rsid w:val="00963398"/>
    <w:rsid w:val="00970B65"/>
    <w:rsid w:val="00995BB1"/>
    <w:rsid w:val="00997954"/>
    <w:rsid w:val="009A156B"/>
    <w:rsid w:val="009A2448"/>
    <w:rsid w:val="009B0DB2"/>
    <w:rsid w:val="009D1CDA"/>
    <w:rsid w:val="009D6198"/>
    <w:rsid w:val="009E2F8A"/>
    <w:rsid w:val="009E3EC3"/>
    <w:rsid w:val="00A12BDE"/>
    <w:rsid w:val="00A15936"/>
    <w:rsid w:val="00A21A45"/>
    <w:rsid w:val="00A27DD8"/>
    <w:rsid w:val="00A3136E"/>
    <w:rsid w:val="00A36910"/>
    <w:rsid w:val="00A51ADD"/>
    <w:rsid w:val="00A64D93"/>
    <w:rsid w:val="00A7154D"/>
    <w:rsid w:val="00A811EF"/>
    <w:rsid w:val="00A82845"/>
    <w:rsid w:val="00A9571D"/>
    <w:rsid w:val="00AB7511"/>
    <w:rsid w:val="00AC25C1"/>
    <w:rsid w:val="00AC79E4"/>
    <w:rsid w:val="00AD590B"/>
    <w:rsid w:val="00AE61FB"/>
    <w:rsid w:val="00AF6F52"/>
    <w:rsid w:val="00B01753"/>
    <w:rsid w:val="00B1173A"/>
    <w:rsid w:val="00B3074B"/>
    <w:rsid w:val="00B400B0"/>
    <w:rsid w:val="00B44473"/>
    <w:rsid w:val="00B664E9"/>
    <w:rsid w:val="00B83D16"/>
    <w:rsid w:val="00BA23A0"/>
    <w:rsid w:val="00BA3197"/>
    <w:rsid w:val="00BB1EF8"/>
    <w:rsid w:val="00BD58F4"/>
    <w:rsid w:val="00BE00DC"/>
    <w:rsid w:val="00BF18BF"/>
    <w:rsid w:val="00BF1F6A"/>
    <w:rsid w:val="00C02580"/>
    <w:rsid w:val="00C16CAF"/>
    <w:rsid w:val="00C33B2D"/>
    <w:rsid w:val="00C478C3"/>
    <w:rsid w:val="00C60DD6"/>
    <w:rsid w:val="00C6143C"/>
    <w:rsid w:val="00C66DA5"/>
    <w:rsid w:val="00C66F81"/>
    <w:rsid w:val="00C709CE"/>
    <w:rsid w:val="00C72133"/>
    <w:rsid w:val="00C77E3A"/>
    <w:rsid w:val="00CB0D04"/>
    <w:rsid w:val="00CB28D8"/>
    <w:rsid w:val="00CB655E"/>
    <w:rsid w:val="00CD6ABB"/>
    <w:rsid w:val="00CE0180"/>
    <w:rsid w:val="00CE2EC9"/>
    <w:rsid w:val="00CE604C"/>
    <w:rsid w:val="00D04851"/>
    <w:rsid w:val="00D124DE"/>
    <w:rsid w:val="00D34E2D"/>
    <w:rsid w:val="00D352BB"/>
    <w:rsid w:val="00D4189D"/>
    <w:rsid w:val="00D43B44"/>
    <w:rsid w:val="00D476E7"/>
    <w:rsid w:val="00D56734"/>
    <w:rsid w:val="00D57448"/>
    <w:rsid w:val="00D742AE"/>
    <w:rsid w:val="00D7513D"/>
    <w:rsid w:val="00D80556"/>
    <w:rsid w:val="00D821D2"/>
    <w:rsid w:val="00D9143A"/>
    <w:rsid w:val="00D96647"/>
    <w:rsid w:val="00DA4A14"/>
    <w:rsid w:val="00DB3D23"/>
    <w:rsid w:val="00DB4BF7"/>
    <w:rsid w:val="00DC3633"/>
    <w:rsid w:val="00DC4A6E"/>
    <w:rsid w:val="00DD5833"/>
    <w:rsid w:val="00DE7730"/>
    <w:rsid w:val="00E00E28"/>
    <w:rsid w:val="00E21559"/>
    <w:rsid w:val="00E21595"/>
    <w:rsid w:val="00E218BD"/>
    <w:rsid w:val="00E25EA9"/>
    <w:rsid w:val="00E341AF"/>
    <w:rsid w:val="00E5291E"/>
    <w:rsid w:val="00E55DA1"/>
    <w:rsid w:val="00E72A44"/>
    <w:rsid w:val="00E84A03"/>
    <w:rsid w:val="00E86498"/>
    <w:rsid w:val="00E86D47"/>
    <w:rsid w:val="00EA476B"/>
    <w:rsid w:val="00EC1C26"/>
    <w:rsid w:val="00ED03AF"/>
    <w:rsid w:val="00ED532A"/>
    <w:rsid w:val="00EE169C"/>
    <w:rsid w:val="00EE17BF"/>
    <w:rsid w:val="00EE4DF8"/>
    <w:rsid w:val="00EF1DF4"/>
    <w:rsid w:val="00F14075"/>
    <w:rsid w:val="00F16D32"/>
    <w:rsid w:val="00F33D17"/>
    <w:rsid w:val="00F347FB"/>
    <w:rsid w:val="00F36762"/>
    <w:rsid w:val="00F42B6C"/>
    <w:rsid w:val="00F43C92"/>
    <w:rsid w:val="00F635EF"/>
    <w:rsid w:val="00F636DB"/>
    <w:rsid w:val="00F86901"/>
    <w:rsid w:val="00F87965"/>
    <w:rsid w:val="00FB0262"/>
    <w:rsid w:val="00FB163C"/>
    <w:rsid w:val="00FC402B"/>
    <w:rsid w:val="00FC419C"/>
    <w:rsid w:val="00FE3A73"/>
    <w:rsid w:val="00FF2A92"/>
    <w:rsid w:val="00FF54F9"/>
    <w:rsid w:val="035153B8"/>
    <w:rsid w:val="05924D4E"/>
    <w:rsid w:val="063A06D3"/>
    <w:rsid w:val="069F714A"/>
    <w:rsid w:val="07224AA7"/>
    <w:rsid w:val="090E3462"/>
    <w:rsid w:val="098909E8"/>
    <w:rsid w:val="09C51161"/>
    <w:rsid w:val="0A4273A2"/>
    <w:rsid w:val="0CA67477"/>
    <w:rsid w:val="0CAE7E07"/>
    <w:rsid w:val="0CC25BE5"/>
    <w:rsid w:val="0DED0AA9"/>
    <w:rsid w:val="0F5271F3"/>
    <w:rsid w:val="11785737"/>
    <w:rsid w:val="13241E4B"/>
    <w:rsid w:val="15B53707"/>
    <w:rsid w:val="15F843A8"/>
    <w:rsid w:val="16EB5E69"/>
    <w:rsid w:val="16FE2CB5"/>
    <w:rsid w:val="1897398C"/>
    <w:rsid w:val="19C86D28"/>
    <w:rsid w:val="1AA5457B"/>
    <w:rsid w:val="1B3D2F57"/>
    <w:rsid w:val="1BBA322C"/>
    <w:rsid w:val="1C23633A"/>
    <w:rsid w:val="1CEC0616"/>
    <w:rsid w:val="1FD378A9"/>
    <w:rsid w:val="21135FD2"/>
    <w:rsid w:val="24EA19E1"/>
    <w:rsid w:val="25D86B84"/>
    <w:rsid w:val="26465F10"/>
    <w:rsid w:val="26552D04"/>
    <w:rsid w:val="277A46D2"/>
    <w:rsid w:val="278542BB"/>
    <w:rsid w:val="278801D5"/>
    <w:rsid w:val="28CF1B56"/>
    <w:rsid w:val="299F117C"/>
    <w:rsid w:val="2AE26341"/>
    <w:rsid w:val="2C3739A6"/>
    <w:rsid w:val="2CFD5E16"/>
    <w:rsid w:val="2DB01CE6"/>
    <w:rsid w:val="2E3A3FA2"/>
    <w:rsid w:val="2FE733ED"/>
    <w:rsid w:val="304743FE"/>
    <w:rsid w:val="309E6125"/>
    <w:rsid w:val="30E404CB"/>
    <w:rsid w:val="31910915"/>
    <w:rsid w:val="32BF091D"/>
    <w:rsid w:val="338307AC"/>
    <w:rsid w:val="354F768E"/>
    <w:rsid w:val="376F31C6"/>
    <w:rsid w:val="39BC216A"/>
    <w:rsid w:val="3B5D15EA"/>
    <w:rsid w:val="3BA33C19"/>
    <w:rsid w:val="3D185714"/>
    <w:rsid w:val="3D5D0E5C"/>
    <w:rsid w:val="3E274DA6"/>
    <w:rsid w:val="3E3679D3"/>
    <w:rsid w:val="40123786"/>
    <w:rsid w:val="42733834"/>
    <w:rsid w:val="427D41F2"/>
    <w:rsid w:val="43630778"/>
    <w:rsid w:val="43C316BB"/>
    <w:rsid w:val="441E1804"/>
    <w:rsid w:val="44D75CFE"/>
    <w:rsid w:val="45982E91"/>
    <w:rsid w:val="45BD2803"/>
    <w:rsid w:val="46764356"/>
    <w:rsid w:val="473F473B"/>
    <w:rsid w:val="477F0B30"/>
    <w:rsid w:val="47D31E28"/>
    <w:rsid w:val="48E94BAA"/>
    <w:rsid w:val="4A426D45"/>
    <w:rsid w:val="4B1A6300"/>
    <w:rsid w:val="4B747A79"/>
    <w:rsid w:val="4CEC09B1"/>
    <w:rsid w:val="4D166611"/>
    <w:rsid w:val="4D41266C"/>
    <w:rsid w:val="4D8B6EAF"/>
    <w:rsid w:val="4E365AD4"/>
    <w:rsid w:val="5031393A"/>
    <w:rsid w:val="517542E5"/>
    <w:rsid w:val="51EB4C60"/>
    <w:rsid w:val="52BD029F"/>
    <w:rsid w:val="52CE7BB6"/>
    <w:rsid w:val="563D1411"/>
    <w:rsid w:val="577A4B15"/>
    <w:rsid w:val="59522196"/>
    <w:rsid w:val="59DF292A"/>
    <w:rsid w:val="59E339DA"/>
    <w:rsid w:val="5CAA6577"/>
    <w:rsid w:val="5DAF2CEE"/>
    <w:rsid w:val="5E69687B"/>
    <w:rsid w:val="5F1C3DB8"/>
    <w:rsid w:val="5FFD5B08"/>
    <w:rsid w:val="60A221F4"/>
    <w:rsid w:val="62A205E9"/>
    <w:rsid w:val="65755A78"/>
    <w:rsid w:val="658F0685"/>
    <w:rsid w:val="6851466B"/>
    <w:rsid w:val="686A62F9"/>
    <w:rsid w:val="6B126B86"/>
    <w:rsid w:val="6C3C2783"/>
    <w:rsid w:val="6C5F1B1B"/>
    <w:rsid w:val="6CE83127"/>
    <w:rsid w:val="6D7F3926"/>
    <w:rsid w:val="70C20D61"/>
    <w:rsid w:val="70F52EE5"/>
    <w:rsid w:val="718E3C75"/>
    <w:rsid w:val="71AC0AB5"/>
    <w:rsid w:val="72BE40D1"/>
    <w:rsid w:val="732D1A4E"/>
    <w:rsid w:val="74BE62C9"/>
    <w:rsid w:val="757C1312"/>
    <w:rsid w:val="7711408C"/>
    <w:rsid w:val="7896284E"/>
    <w:rsid w:val="78AF520D"/>
    <w:rsid w:val="791B5D51"/>
    <w:rsid w:val="79BA782E"/>
    <w:rsid w:val="79C1304A"/>
    <w:rsid w:val="7A621971"/>
    <w:rsid w:val="7C2705AC"/>
    <w:rsid w:val="7C936580"/>
    <w:rsid w:val="7DD10F7C"/>
    <w:rsid w:val="7E2A016C"/>
    <w:rsid w:val="7E92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0"/>
  </w:style>
  <w:style w:type="paragraph" w:styleId="16">
    <w:name w:val="toc 2"/>
    <w:basedOn w:val="17"/>
    <w:next w:val="1"/>
    <w:qFormat/>
    <w:uiPriority w:val="39"/>
  </w:style>
  <w:style w:type="paragraph" w:styleId="17">
    <w:name w:val="toc 1"/>
    <w:basedOn w:val="1"/>
    <w:next w:val="1"/>
    <w:qFormat/>
    <w:uiPriority w:val="39"/>
    <w:pPr>
      <w:jc w:val="both"/>
    </w:pPr>
    <w:rPr>
      <w:rFonts w:ascii="宋体" w:hAnsi="Times New Roman" w:eastAsia="宋体" w:cs="Times New Roman"/>
      <w:sz w:val="21"/>
      <w:lang w:val="en-US" w:eastAsia="zh-CN" w:bidi="ar-SA"/>
    </w:rPr>
  </w:style>
  <w:style w:type="paragraph" w:styleId="18">
    <w:name w:val="annotation text"/>
    <w:basedOn w:val="1"/>
    <w:link w:val="50"/>
    <w:qFormat/>
    <w:uiPriority w:val="0"/>
    <w:pPr>
      <w:jc w:val="left"/>
    </w:pPr>
  </w:style>
  <w:style w:type="paragraph" w:styleId="19">
    <w:name w:val="HTML Address"/>
    <w:basedOn w:val="1"/>
    <w:qFormat/>
    <w:uiPriority w:val="0"/>
    <w:rPr>
      <w:i/>
      <w:iCs/>
    </w:rPr>
  </w:style>
  <w:style w:type="paragraph" w:styleId="20">
    <w:name w:val="toc 8"/>
    <w:basedOn w:val="11"/>
    <w:next w:val="1"/>
    <w:qFormat/>
    <w:uiPriority w:val="0"/>
  </w:style>
  <w:style w:type="paragraph" w:styleId="21">
    <w:name w:val="Date"/>
    <w:basedOn w:val="1"/>
    <w:next w:val="1"/>
    <w:qFormat/>
    <w:uiPriority w:val="0"/>
    <w:pPr>
      <w:ind w:left="100" w:leftChars="2500"/>
    </w:pPr>
  </w:style>
  <w:style w:type="paragraph" w:styleId="22">
    <w:name w:val="endnote text"/>
    <w:basedOn w:val="1"/>
    <w:semiHidden/>
    <w:qFormat/>
    <w:uiPriority w:val="0"/>
    <w:pPr>
      <w:snapToGrid w:val="0"/>
      <w:jc w:val="left"/>
    </w:pPr>
  </w:style>
  <w:style w:type="paragraph" w:styleId="23">
    <w:name w:val="Balloon Text"/>
    <w:basedOn w:val="1"/>
    <w:link w:val="53"/>
    <w:qFormat/>
    <w:uiPriority w:val="0"/>
    <w:rPr>
      <w:sz w:val="18"/>
      <w:szCs w:val="18"/>
    </w:rPr>
  </w:style>
  <w:style w:type="paragraph" w:styleId="24">
    <w:name w:val="footer"/>
    <w:basedOn w:val="1"/>
    <w:qFormat/>
    <w:uiPriority w:val="0"/>
    <w:pPr>
      <w:tabs>
        <w:tab w:val="center" w:pos="4153"/>
        <w:tab w:val="right" w:pos="8306"/>
      </w:tabs>
      <w:snapToGrid w:val="0"/>
      <w:ind w:right="210" w:rightChars="100"/>
      <w:jc w:val="righ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footnote text"/>
    <w:basedOn w:val="1"/>
    <w:qFormat/>
    <w:uiPriority w:val="0"/>
    <w:pPr>
      <w:snapToGrid w:val="0"/>
      <w:jc w:val="left"/>
    </w:pPr>
    <w:rPr>
      <w:sz w:val="18"/>
      <w:szCs w:val="18"/>
    </w:rPr>
  </w:style>
  <w:style w:type="paragraph" w:styleId="27">
    <w:name w:val="toc 9"/>
    <w:basedOn w:val="20"/>
    <w:next w:val="1"/>
    <w:qFormat/>
    <w:uiPriority w:val="0"/>
  </w:style>
  <w:style w:type="paragraph" w:styleId="28">
    <w:name w:val="HTML Preformatted"/>
    <w:basedOn w:val="1"/>
    <w:qFormat/>
    <w:uiPriority w:val="0"/>
    <w:rPr>
      <w:rFonts w:ascii="Courier New" w:hAnsi="Courier New" w:cs="Courier New"/>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qFormat/>
    <w:uiPriority w:val="0"/>
    <w:pPr>
      <w:spacing w:before="240" w:after="60"/>
      <w:jc w:val="center"/>
      <w:outlineLvl w:val="0"/>
    </w:pPr>
    <w:rPr>
      <w:rFonts w:ascii="Arial" w:hAnsi="Arial" w:cs="Arial"/>
      <w:b/>
      <w:bCs/>
      <w:sz w:val="32"/>
      <w:szCs w:val="32"/>
    </w:rPr>
  </w:style>
  <w:style w:type="paragraph" w:styleId="31">
    <w:name w:val="annotation subject"/>
    <w:basedOn w:val="18"/>
    <w:next w:val="18"/>
    <w:link w:val="56"/>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endnote reference"/>
    <w:semiHidden/>
    <w:qFormat/>
    <w:uiPriority w:val="0"/>
    <w:rPr>
      <w:vertAlign w:val="superscript"/>
    </w:rPr>
  </w:style>
  <w:style w:type="character" w:styleId="37">
    <w:name w:val="page number"/>
    <w:basedOn w:val="34"/>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TML Definition"/>
    <w:qFormat/>
    <w:uiPriority w:val="0"/>
    <w:rPr>
      <w:i/>
      <w:iCs/>
    </w:rPr>
  </w:style>
  <w:style w:type="character" w:styleId="40">
    <w:name w:val="HTML Typewriter"/>
    <w:qFormat/>
    <w:uiPriority w:val="0"/>
    <w:rPr>
      <w:rFonts w:ascii="Courier New" w:hAnsi="Courier New"/>
      <w:sz w:val="20"/>
      <w:szCs w:val="20"/>
    </w:rPr>
  </w:style>
  <w:style w:type="character" w:styleId="41">
    <w:name w:val="HTML Acronym"/>
    <w:basedOn w:val="34"/>
    <w:qFormat/>
    <w:uiPriority w:val="0"/>
  </w:style>
  <w:style w:type="character" w:styleId="42">
    <w:name w:val="HTML Variable"/>
    <w:qFormat/>
    <w:uiPriority w:val="0"/>
    <w:rPr>
      <w:i/>
      <w:iCs/>
    </w:rPr>
  </w:style>
  <w:style w:type="character" w:styleId="43">
    <w:name w:val="Hyperlink"/>
    <w:qFormat/>
    <w:uiPriority w:val="99"/>
    <w:rPr>
      <w:rFonts w:ascii="Times New Roman" w:hAnsi="Times New Roman" w:eastAsia="宋体"/>
      <w:color w:val="auto"/>
      <w:spacing w:val="0"/>
      <w:w w:val="100"/>
      <w:position w:val="0"/>
      <w:sz w:val="21"/>
      <w:u w:val="none"/>
      <w:vertAlign w:val="baseline"/>
    </w:rPr>
  </w:style>
  <w:style w:type="character" w:styleId="44">
    <w:name w:val="HTML Code"/>
    <w:qFormat/>
    <w:uiPriority w:val="0"/>
    <w:rPr>
      <w:rFonts w:ascii="Courier New" w:hAnsi="Courier New"/>
      <w:sz w:val="20"/>
      <w:szCs w:val="20"/>
    </w:rPr>
  </w:style>
  <w:style w:type="character" w:styleId="45">
    <w:name w:val="annotation reference"/>
    <w:qFormat/>
    <w:uiPriority w:val="0"/>
    <w:rPr>
      <w:sz w:val="21"/>
      <w:szCs w:val="21"/>
    </w:rPr>
  </w:style>
  <w:style w:type="character" w:styleId="46">
    <w:name w:val="HTML Cite"/>
    <w:qFormat/>
    <w:uiPriority w:val="0"/>
    <w:rPr>
      <w:i/>
      <w:iCs/>
    </w:rPr>
  </w:style>
  <w:style w:type="character" w:styleId="47">
    <w:name w:val="footnote reference"/>
    <w:qFormat/>
    <w:uiPriority w:val="0"/>
    <w:rPr>
      <w:vertAlign w:val="superscript"/>
    </w:rPr>
  </w:style>
  <w:style w:type="character" w:styleId="48">
    <w:name w:val="HTML Keyboard"/>
    <w:qFormat/>
    <w:uiPriority w:val="0"/>
    <w:rPr>
      <w:rFonts w:ascii="Courier New" w:hAnsi="Courier New"/>
      <w:sz w:val="20"/>
      <w:szCs w:val="20"/>
    </w:rPr>
  </w:style>
  <w:style w:type="character" w:styleId="49">
    <w:name w:val="HTML Sample"/>
    <w:qFormat/>
    <w:uiPriority w:val="0"/>
    <w:rPr>
      <w:rFonts w:ascii="Courier New" w:hAnsi="Courier New"/>
    </w:rPr>
  </w:style>
  <w:style w:type="character" w:customStyle="1" w:styleId="50">
    <w:name w:val="批注文字 字符"/>
    <w:link w:val="18"/>
    <w:qFormat/>
    <w:uiPriority w:val="0"/>
    <w:rPr>
      <w:kern w:val="2"/>
      <w:sz w:val="21"/>
      <w:szCs w:val="24"/>
    </w:rPr>
  </w:style>
  <w:style w:type="character" w:customStyle="1" w:styleId="51">
    <w:name w:val="段 Char"/>
    <w:link w:val="52"/>
    <w:qFormat/>
    <w:uiPriority w:val="0"/>
    <w:rPr>
      <w:rFonts w:ascii="宋体"/>
      <w:sz w:val="21"/>
      <w:lang w:val="en-US" w:eastAsia="zh-CN" w:bidi="ar-SA"/>
    </w:rPr>
  </w:style>
  <w:style w:type="paragraph" w:customStyle="1" w:styleId="52">
    <w:name w:val="段"/>
    <w:link w:val="5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3">
    <w:name w:val="批注框文本 字符"/>
    <w:link w:val="23"/>
    <w:qFormat/>
    <w:uiPriority w:val="0"/>
    <w:rPr>
      <w:kern w:val="2"/>
      <w:sz w:val="18"/>
      <w:szCs w:val="18"/>
    </w:rPr>
  </w:style>
  <w:style w:type="character" w:customStyle="1" w:styleId="54">
    <w:name w:val="个人答复风格"/>
    <w:qFormat/>
    <w:uiPriority w:val="0"/>
    <w:rPr>
      <w:rFonts w:ascii="Arial" w:hAnsi="Arial" w:eastAsia="宋体" w:cs="Arial"/>
      <w:color w:val="auto"/>
      <w:sz w:val="20"/>
    </w:rPr>
  </w:style>
  <w:style w:type="character" w:customStyle="1" w:styleId="55">
    <w:name w:val="发布"/>
    <w:qFormat/>
    <w:uiPriority w:val="0"/>
    <w:rPr>
      <w:rFonts w:ascii="黑体" w:eastAsia="黑体"/>
      <w:spacing w:val="22"/>
      <w:w w:val="100"/>
      <w:position w:val="3"/>
      <w:sz w:val="28"/>
    </w:rPr>
  </w:style>
  <w:style w:type="character" w:customStyle="1" w:styleId="56">
    <w:name w:val="批注主题 字符"/>
    <w:link w:val="31"/>
    <w:qFormat/>
    <w:uiPriority w:val="0"/>
    <w:rPr>
      <w:b/>
      <w:bCs/>
      <w:kern w:val="2"/>
      <w:sz w:val="21"/>
      <w:szCs w:val="24"/>
    </w:rPr>
  </w:style>
  <w:style w:type="character" w:customStyle="1" w:styleId="57">
    <w:name w:val="个人撰写风格"/>
    <w:qFormat/>
    <w:uiPriority w:val="0"/>
    <w:rPr>
      <w:rFonts w:ascii="Arial" w:hAnsi="Arial" w:eastAsia="宋体" w:cs="Arial"/>
      <w:color w:val="auto"/>
      <w:sz w:val="20"/>
    </w:rPr>
  </w:style>
  <w:style w:type="paragraph" w:customStyle="1" w:styleId="58">
    <w:name w:val="附录三级条标题"/>
    <w:basedOn w:val="59"/>
    <w:next w:val="52"/>
    <w:qFormat/>
    <w:uiPriority w:val="0"/>
    <w:pPr>
      <w:numPr>
        <w:ilvl w:val="4"/>
      </w:numPr>
      <w:outlineLvl w:val="4"/>
    </w:pPr>
  </w:style>
  <w:style w:type="paragraph" w:customStyle="1" w:styleId="59">
    <w:name w:val="附录二级条标题"/>
    <w:basedOn w:val="60"/>
    <w:next w:val="52"/>
    <w:qFormat/>
    <w:uiPriority w:val="0"/>
    <w:pPr>
      <w:numPr>
        <w:ilvl w:val="3"/>
      </w:numPr>
      <w:outlineLvl w:val="3"/>
    </w:pPr>
  </w:style>
  <w:style w:type="paragraph" w:customStyle="1" w:styleId="60">
    <w:name w:val="附录一级条标题"/>
    <w:basedOn w:val="61"/>
    <w:next w:val="52"/>
    <w:qFormat/>
    <w:uiPriority w:val="0"/>
    <w:pPr>
      <w:numPr>
        <w:ilvl w:val="2"/>
      </w:numPr>
      <w:autoSpaceDN w:val="0"/>
      <w:spacing w:beforeLines="0" w:afterLines="0"/>
      <w:outlineLvl w:val="2"/>
    </w:pPr>
  </w:style>
  <w:style w:type="paragraph" w:customStyle="1" w:styleId="61">
    <w:name w:val="附录章标题"/>
    <w:next w:val="52"/>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2">
    <w:name w:val="正文表标题"/>
    <w:next w:val="52"/>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3">
    <w:name w:val="注："/>
    <w:next w:val="52"/>
    <w:qFormat/>
    <w:uiPriority w:val="0"/>
    <w:pPr>
      <w:widowControl w:val="0"/>
      <w:numPr>
        <w:ilvl w:val="0"/>
        <w:numId w:val="3"/>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64">
    <w:name w:val="示例"/>
    <w:next w:val="52"/>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6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6">
    <w:name w:val="附录标识"/>
    <w:basedOn w:val="67"/>
    <w:qFormat/>
    <w:uiPriority w:val="0"/>
    <w:pPr>
      <w:numPr>
        <w:ilvl w:val="0"/>
        <w:numId w:val="1"/>
      </w:numPr>
      <w:tabs>
        <w:tab w:val="left" w:pos="6405"/>
      </w:tabs>
      <w:spacing w:after="200"/>
    </w:pPr>
    <w:rPr>
      <w:sz w:val="21"/>
    </w:rPr>
  </w:style>
  <w:style w:type="paragraph" w:customStyle="1" w:styleId="67">
    <w:name w:val="前言、引言标题"/>
    <w:next w:val="1"/>
    <w:qFormat/>
    <w:uiPriority w:val="0"/>
    <w:pPr>
      <w:numPr>
        <w:ilvl w:val="0"/>
        <w:numId w:val="5"/>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9">
    <w:name w:val="标准标志"/>
    <w:next w:val="1"/>
    <w:qFormat/>
    <w:uiPriority w:val="99"/>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0">
    <w:name w:val="附录四级条标题"/>
    <w:basedOn w:val="58"/>
    <w:next w:val="52"/>
    <w:qFormat/>
    <w:uiPriority w:val="0"/>
    <w:pPr>
      <w:numPr>
        <w:ilvl w:val="5"/>
      </w:numPr>
      <w:outlineLvl w:val="5"/>
    </w:pPr>
  </w:style>
  <w:style w:type="paragraph" w:customStyle="1" w:styleId="7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2">
    <w:name w:val="四级无标题条"/>
    <w:basedOn w:val="1"/>
    <w:qFormat/>
    <w:uiPriority w:val="0"/>
    <w:pPr>
      <w:numPr>
        <w:ilvl w:val="5"/>
        <w:numId w:val="6"/>
      </w:numPr>
    </w:pPr>
  </w:style>
  <w:style w:type="paragraph" w:customStyle="1" w:styleId="73">
    <w:name w:val="附录五级条标题"/>
    <w:basedOn w:val="70"/>
    <w:next w:val="52"/>
    <w:qFormat/>
    <w:uiPriority w:val="0"/>
    <w:pPr>
      <w:numPr>
        <w:ilvl w:val="6"/>
      </w:numPr>
      <w:outlineLvl w:val="6"/>
    </w:pPr>
  </w:style>
  <w:style w:type="paragraph" w:customStyle="1" w:styleId="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5">
    <w:name w:val="五级无标题条"/>
    <w:basedOn w:val="1"/>
    <w:qFormat/>
    <w:uiPriority w:val="0"/>
    <w:pPr>
      <w:numPr>
        <w:ilvl w:val="6"/>
        <w:numId w:val="6"/>
      </w:numPr>
    </w:pPr>
  </w:style>
  <w:style w:type="paragraph" w:customStyle="1" w:styleId="76">
    <w:name w:val="参考文献、索引标题"/>
    <w:basedOn w:val="67"/>
    <w:next w:val="1"/>
    <w:qFormat/>
    <w:uiPriority w:val="0"/>
    <w:pPr>
      <w:numPr>
        <w:numId w:val="0"/>
      </w:numPr>
      <w:spacing w:after="200"/>
    </w:pPr>
    <w:rPr>
      <w:sz w:val="21"/>
    </w:rPr>
  </w:style>
  <w:style w:type="paragraph" w:customStyle="1" w:styleId="7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8">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79">
    <w:name w:val="其他发布部门"/>
    <w:basedOn w:val="80"/>
    <w:qFormat/>
    <w:uiPriority w:val="0"/>
    <w:pPr>
      <w:spacing w:line="0" w:lineRule="atLeast"/>
    </w:pPr>
    <w:rPr>
      <w:rFonts w:ascii="黑体" w:eastAsia="黑体"/>
      <w:b w:val="0"/>
    </w:rPr>
  </w:style>
  <w:style w:type="paragraph" w:customStyle="1" w:styleId="80">
    <w:name w:val="发布部门"/>
    <w:next w:val="52"/>
    <w:qFormat/>
    <w:uiPriority w:val="0"/>
    <w:pPr>
      <w:jc w:val="center"/>
    </w:pPr>
    <w:rPr>
      <w:rFonts w:ascii="宋体" w:hAnsi="Times New Roman" w:eastAsia="宋体" w:cs="Times New Roman"/>
      <w:b/>
      <w:spacing w:val="20"/>
      <w:w w:val="135"/>
      <w:sz w:val="36"/>
      <w:lang w:val="en-US" w:eastAsia="zh-CN" w:bidi="ar-SA"/>
    </w:rPr>
  </w:style>
  <w:style w:type="paragraph" w:customStyle="1" w:styleId="81">
    <w:name w:val="图表脚注"/>
    <w:next w:val="5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2">
    <w:name w:val="列项·"/>
    <w:qFormat/>
    <w:uiPriority w:val="0"/>
    <w:pPr>
      <w:numPr>
        <w:ilvl w:val="0"/>
        <w:numId w:val="8"/>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83">
    <w:name w:val="附录表标题"/>
    <w:next w:val="5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4">
    <w:name w:val="四级条标题"/>
    <w:basedOn w:val="85"/>
    <w:next w:val="52"/>
    <w:qFormat/>
    <w:uiPriority w:val="0"/>
    <w:pPr>
      <w:numPr>
        <w:ilvl w:val="5"/>
      </w:numPr>
      <w:outlineLvl w:val="5"/>
    </w:pPr>
  </w:style>
  <w:style w:type="paragraph" w:customStyle="1" w:styleId="85">
    <w:name w:val="三级条标题"/>
    <w:basedOn w:val="86"/>
    <w:next w:val="52"/>
    <w:qFormat/>
    <w:uiPriority w:val="0"/>
    <w:pPr>
      <w:numPr>
        <w:ilvl w:val="4"/>
      </w:numPr>
      <w:outlineLvl w:val="4"/>
    </w:pPr>
  </w:style>
  <w:style w:type="paragraph" w:customStyle="1" w:styleId="86">
    <w:name w:val="二级条标题"/>
    <w:basedOn w:val="87"/>
    <w:next w:val="52"/>
    <w:qFormat/>
    <w:uiPriority w:val="0"/>
    <w:pPr>
      <w:numPr>
        <w:ilvl w:val="3"/>
      </w:numPr>
      <w:outlineLvl w:val="3"/>
    </w:pPr>
  </w:style>
  <w:style w:type="paragraph" w:customStyle="1" w:styleId="87">
    <w:name w:val="一级条标题"/>
    <w:basedOn w:val="88"/>
    <w:next w:val="52"/>
    <w:qFormat/>
    <w:uiPriority w:val="0"/>
    <w:pPr>
      <w:numPr>
        <w:ilvl w:val="2"/>
      </w:numPr>
      <w:spacing w:beforeLines="0" w:afterLines="0"/>
      <w:outlineLvl w:val="2"/>
    </w:pPr>
  </w:style>
  <w:style w:type="paragraph" w:customStyle="1" w:styleId="88">
    <w:name w:val="章标题"/>
    <w:next w:val="52"/>
    <w:qFormat/>
    <w:uiPriority w:val="0"/>
    <w:pPr>
      <w:numPr>
        <w:ilvl w:val="1"/>
        <w:numId w:val="5"/>
      </w:numPr>
      <w:spacing w:beforeLines="50" w:afterLines="50"/>
      <w:jc w:val="both"/>
      <w:outlineLvl w:val="1"/>
    </w:pPr>
    <w:rPr>
      <w:rFonts w:ascii="黑体" w:hAnsi="Times New Roman" w:eastAsia="黑体" w:cs="Times New Roman"/>
      <w:sz w:val="21"/>
      <w:lang w:val="en-US" w:eastAsia="zh-CN" w:bidi="ar-SA"/>
    </w:rPr>
  </w:style>
  <w:style w:type="paragraph" w:customStyle="1" w:styleId="8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0">
    <w:name w:val="实施日期"/>
    <w:basedOn w:val="91"/>
    <w:qFormat/>
    <w:uiPriority w:val="0"/>
    <w:pPr>
      <w:jc w:val="right"/>
    </w:pPr>
  </w:style>
  <w:style w:type="paragraph" w:customStyle="1" w:styleId="91">
    <w:name w:val="发布日期"/>
    <w:qFormat/>
    <w:uiPriority w:val="0"/>
    <w:rPr>
      <w:rFonts w:ascii="Times New Roman" w:hAnsi="Times New Roman" w:eastAsia="黑体" w:cs="Times New Roman"/>
      <w:sz w:val="28"/>
      <w:lang w:val="en-US" w:eastAsia="zh-CN" w:bidi="ar-SA"/>
    </w:rPr>
  </w:style>
  <w:style w:type="paragraph" w:customStyle="1" w:styleId="92">
    <w:name w:val="无标题条"/>
    <w:next w:val="52"/>
    <w:qFormat/>
    <w:uiPriority w:val="0"/>
    <w:pPr>
      <w:jc w:val="both"/>
    </w:pPr>
    <w:rPr>
      <w:rFonts w:ascii="Times New Roman" w:hAnsi="Times New Roman" w:eastAsia="宋体" w:cs="Times New Roman"/>
      <w:sz w:val="21"/>
      <w:lang w:val="en-US" w:eastAsia="zh-CN" w:bidi="ar-SA"/>
    </w:rPr>
  </w:style>
  <w:style w:type="paragraph" w:customStyle="1" w:styleId="93">
    <w:name w:val="正文图标题"/>
    <w:next w:val="52"/>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9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9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6">
    <w:name w:val="三级无标题条"/>
    <w:basedOn w:val="1"/>
    <w:qFormat/>
    <w:uiPriority w:val="0"/>
    <w:pPr>
      <w:numPr>
        <w:ilvl w:val="4"/>
        <w:numId w:val="6"/>
      </w:numPr>
    </w:pPr>
  </w:style>
  <w:style w:type="paragraph" w:customStyle="1" w:styleId="97">
    <w:name w:val="五级条标题"/>
    <w:basedOn w:val="84"/>
    <w:next w:val="52"/>
    <w:qFormat/>
    <w:uiPriority w:val="0"/>
    <w:pPr>
      <w:numPr>
        <w:ilvl w:val="6"/>
      </w:numPr>
      <w:outlineLvl w:val="6"/>
    </w:pPr>
  </w:style>
  <w:style w:type="paragraph" w:customStyle="1" w:styleId="98">
    <w:name w:val="二级无"/>
    <w:basedOn w:val="86"/>
    <w:qFormat/>
    <w:uiPriority w:val="0"/>
    <w:pPr>
      <w:numPr>
        <w:ilvl w:val="2"/>
      </w:numPr>
      <w:jc w:val="left"/>
    </w:pPr>
    <w:rPr>
      <w:rFonts w:ascii="宋体" w:eastAsia="宋体"/>
      <w:szCs w:val="21"/>
    </w:rPr>
  </w:style>
  <w:style w:type="paragraph" w:customStyle="1" w:styleId="9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0">
    <w:name w:val="标准书眉一"/>
    <w:qFormat/>
    <w:uiPriority w:val="0"/>
    <w:pPr>
      <w:jc w:val="both"/>
    </w:pPr>
    <w:rPr>
      <w:rFonts w:ascii="Times New Roman" w:hAnsi="Times New Roman" w:eastAsia="宋体" w:cs="Times New Roman"/>
      <w:lang w:val="en-US" w:eastAsia="zh-CN" w:bidi="ar-SA"/>
    </w:rPr>
  </w:style>
  <w:style w:type="paragraph" w:customStyle="1" w:styleId="10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4">
    <w:name w:val="附录图标题"/>
    <w:next w:val="52"/>
    <w:qFormat/>
    <w:uiPriority w:val="0"/>
    <w:pPr>
      <w:jc w:val="center"/>
    </w:pPr>
    <w:rPr>
      <w:rFonts w:ascii="黑体" w:hAnsi="Times New Roman" w:eastAsia="黑体" w:cs="Times New Roman"/>
      <w:sz w:val="21"/>
      <w:lang w:val="en-US" w:eastAsia="zh-CN" w:bidi="ar-SA"/>
    </w:rPr>
  </w:style>
  <w:style w:type="paragraph" w:customStyle="1" w:styleId="1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6">
    <w:name w:val="标准书眉_偶数页"/>
    <w:basedOn w:val="68"/>
    <w:next w:val="1"/>
    <w:qFormat/>
    <w:uiPriority w:val="0"/>
    <w:pPr>
      <w:jc w:val="left"/>
    </w:pPr>
  </w:style>
  <w:style w:type="paragraph" w:customStyle="1" w:styleId="107">
    <w:name w:val="封面标准号2"/>
    <w:basedOn w:val="102"/>
    <w:qFormat/>
    <w:uiPriority w:val="0"/>
    <w:pPr>
      <w:adjustRightInd w:val="0"/>
      <w:spacing w:before="357" w:line="280" w:lineRule="exact"/>
    </w:pPr>
  </w:style>
  <w:style w:type="paragraph" w:customStyle="1" w:styleId="108">
    <w:name w:val="封面标准代替信息"/>
    <w:basedOn w:val="107"/>
    <w:qFormat/>
    <w:uiPriority w:val="0"/>
    <w:pPr>
      <w:spacing w:before="57"/>
    </w:pPr>
    <w:rPr>
      <w:rFonts w:ascii="宋体"/>
      <w:sz w:val="21"/>
    </w:rPr>
  </w:style>
  <w:style w:type="paragraph" w:customStyle="1" w:styleId="109">
    <w:name w:val="二级无标题条"/>
    <w:basedOn w:val="1"/>
    <w:qFormat/>
    <w:uiPriority w:val="0"/>
    <w:pPr>
      <w:numPr>
        <w:ilvl w:val="3"/>
        <w:numId w:val="6"/>
      </w:numPr>
    </w:pPr>
  </w:style>
  <w:style w:type="paragraph" w:customStyle="1" w:styleId="110">
    <w:name w:val="其他发布日期"/>
    <w:basedOn w:val="91"/>
    <w:qFormat/>
    <w:uiPriority w:val="0"/>
    <w:pPr>
      <w:framePr w:w="3997" w:h="471" w:hRule="exact" w:vSpace="181" w:wrap="around" w:vAnchor="page" w:hAnchor="page" w:x="1419" w:y="14097" w:anchorLock="1"/>
      <w:numPr>
        <w:ilvl w:val="0"/>
        <w:numId w:val="10"/>
      </w:numPr>
    </w:pPr>
  </w:style>
  <w:style w:type="paragraph" w:customStyle="1" w:styleId="111">
    <w:name w:val="一级无标题条"/>
    <w:basedOn w:val="1"/>
    <w:qFormat/>
    <w:uiPriority w:val="0"/>
    <w:pPr>
      <w:numPr>
        <w:ilvl w:val="2"/>
        <w:numId w:val="6"/>
      </w:numPr>
    </w:pPr>
  </w:style>
  <w:style w:type="paragraph" w:customStyle="1" w:styleId="11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3">
    <w:name w:val="目次、标准名称标题"/>
    <w:basedOn w:val="67"/>
    <w:next w:val="1"/>
    <w:qFormat/>
    <w:uiPriority w:val="0"/>
    <w:pPr>
      <w:numPr>
        <w:numId w:val="0"/>
      </w:numPr>
      <w:spacing w:line="460" w:lineRule="exact"/>
    </w:pPr>
  </w:style>
  <w:style w:type="paragraph" w:customStyle="1" w:styleId="114">
    <w:name w:val="条文脚注"/>
    <w:basedOn w:val="26"/>
    <w:qFormat/>
    <w:uiPriority w:val="0"/>
    <w:pPr>
      <w:ind w:left="780" w:leftChars="200" w:hanging="360" w:hangingChars="200"/>
      <w:jc w:val="both"/>
    </w:pPr>
    <w:rPr>
      <w:rFonts w:ascii="宋体"/>
    </w:rPr>
  </w:style>
  <w:style w:type="paragraph" w:customStyle="1" w:styleId="115">
    <w:name w:val="封面正文"/>
    <w:qFormat/>
    <w:uiPriority w:val="0"/>
    <w:pPr>
      <w:jc w:val="both"/>
    </w:pPr>
    <w:rPr>
      <w:rFonts w:ascii="Times New Roman" w:hAnsi="Times New Roman" w:eastAsia="宋体" w:cs="Times New Roman"/>
      <w:lang w:val="en-US" w:eastAsia="zh-CN" w:bidi="ar-SA"/>
    </w:rPr>
  </w:style>
  <w:style w:type="paragraph" w:customStyle="1" w:styleId="116">
    <w:name w:val="列项——"/>
    <w:qFormat/>
    <w:uiPriority w:val="0"/>
    <w:pPr>
      <w:widowControl w:val="0"/>
      <w:numPr>
        <w:ilvl w:val="0"/>
        <w:numId w:val="1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17">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8">
    <w:name w:val="WPSOffice手动目录 1"/>
    <w:qFormat/>
    <w:uiPriority w:val="0"/>
    <w:pPr>
      <w:ind w:leftChars="0"/>
    </w:pPr>
    <w:rPr>
      <w:rFonts w:ascii="Times New Roman" w:hAnsi="Times New Roman" w:eastAsia="宋体" w:cs="Times New Roman"/>
      <w:sz w:val="20"/>
      <w:szCs w:val="20"/>
    </w:rPr>
  </w:style>
  <w:style w:type="paragraph" w:customStyle="1" w:styleId="119">
    <w:name w:val="标准一级标题"/>
    <w:basedOn w:val="1"/>
    <w:qFormat/>
    <w:uiPriority w:val="0"/>
    <w:pPr>
      <w:numPr>
        <w:ilvl w:val="1"/>
        <w:numId w:val="12"/>
      </w:numPr>
      <w:spacing w:before="100" w:beforeLines="100" w:after="100" w:afterLines="100" w:line="320" w:lineRule="exact"/>
    </w:pPr>
    <w:rPr>
      <w:rFonts w:ascii="黑体" w:hAnsi="黑体" w:eastAsia="黑体" w:cs="黑体"/>
    </w:rPr>
  </w:style>
  <w:style w:type="paragraph" w:customStyle="1" w:styleId="120">
    <w:name w:val="团体标准二级标题"/>
    <w:basedOn w:val="1"/>
    <w:qFormat/>
    <w:uiPriority w:val="0"/>
    <w:pPr>
      <w:numPr>
        <w:ilvl w:val="2"/>
        <w:numId w:val="12"/>
      </w:numPr>
      <w:spacing w:before="50" w:beforeLines="50" w:after="50" w:afterLines="50" w:line="320" w:lineRule="exact"/>
      <w:outlineLvl w:val="1"/>
    </w:pPr>
    <w:rPr>
      <w:rFonts w:hint="eastAsia" w:ascii="黑体" w:hAnsi="黑体" w:eastAsia="黑体" w:cs="黑体"/>
    </w:rPr>
  </w:style>
  <w:style w:type="paragraph" w:customStyle="1" w:styleId="121">
    <w:name w:val="标准三级标题"/>
    <w:basedOn w:val="1"/>
    <w:qFormat/>
    <w:uiPriority w:val="0"/>
    <w:pPr>
      <w:numPr>
        <w:ilvl w:val="3"/>
        <w:numId w:val="12"/>
      </w:numPr>
      <w:adjustRightInd w:val="0"/>
      <w:spacing w:before="50" w:beforeLines="50" w:after="50" w:afterLines="50"/>
    </w:pPr>
    <w:rPr>
      <w:rFonts w:ascii="黑体" w:hAnsi="黑体" w:eastAsia="黑体" w:cs="黑体"/>
    </w:rPr>
  </w:style>
  <w:style w:type="paragraph" w:customStyle="1" w:styleId="122">
    <w:name w:val="三级标题带正文"/>
    <w:basedOn w:val="1"/>
    <w:qFormat/>
    <w:uiPriority w:val="0"/>
    <w:pPr>
      <w:numPr>
        <w:ilvl w:val="3"/>
        <w:numId w:val="12"/>
      </w:numPr>
      <w:adjustRightInd w:val="0"/>
      <w:spacing w:line="320" w:lineRule="exact"/>
      <w:jc w:val="left"/>
    </w:pPr>
    <w:rPr>
      <w:szCs w:val="21"/>
    </w:rPr>
  </w:style>
  <w:style w:type="paragraph" w:customStyle="1" w:styleId="123">
    <w:name w:val="标准文件_字母编号列项（一级）"/>
    <w:qFormat/>
    <w:uiPriority w:val="0"/>
    <w:pPr>
      <w:numPr>
        <w:ilvl w:val="0"/>
        <w:numId w:val="13"/>
      </w:numPr>
      <w:spacing w:line="320" w:lineRule="exact"/>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xd\Documents\Td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D0999-FEED-49AD-865B-A016AF483FDB}">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10</Pages>
  <Words>4241</Words>
  <Characters>4642</Characters>
  <Lines>1</Lines>
  <Paragraphs>1</Paragraphs>
  <TotalTime>36</TotalTime>
  <ScaleCrop>false</ScaleCrop>
  <LinksUpToDate>false</LinksUpToDate>
  <CharactersWithSpaces>4807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2019-08-20T03:09:00Z</dcterms:created>
  <dc:creator>aaa</dc:creator>
  <cp:lastModifiedBy>许伟</cp:lastModifiedBy>
  <cp:lastPrinted>2017-09-11T07:50:00Z</cp:lastPrinted>
  <dcterms:modified xsi:type="dcterms:W3CDTF">2025-12-31T02:04:49Z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D25A566DC1884CF19AB9ADAB66C87A9F</vt:lpwstr>
  </property>
  <property fmtid="{D5CDD505-2E9C-101B-9397-08002B2CF9AE}" pid="4" name="KSOTemplateDocerSaveRecord">
    <vt:lpwstr>eyJoZGlkIjoiNjkxNGY5M2RiODBhODE3ZjhkNTllYmVlNWFjMTJhZjciLCJ1c2VySWQiOiIyNzY4MTIxMTQifQ==</vt:lpwstr>
  </property>
</Properties>
</file>