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hint="eastAsia" w:ascii="黑体" w:hAnsi="黑体" w:eastAsia="黑体" w:cs="仿宋_GB2312"/>
          <w:sz w:val="32"/>
          <w:szCs w:val="24"/>
        </w:rPr>
      </w:pPr>
    </w:p>
    <w:p>
      <w:pPr>
        <w:widowControl/>
        <w:snapToGrid w:val="0"/>
        <w:spacing w:line="360" w:lineRule="auto"/>
        <w:jc w:val="center"/>
        <w:rPr>
          <w:rFonts w:hint="eastAsia" w:ascii="黑体" w:hAnsi="黑体" w:eastAsia="黑体" w:cs="宋体"/>
          <w:color w:val="000000"/>
          <w:kern w:val="0"/>
          <w:sz w:val="36"/>
          <w:szCs w:val="36"/>
        </w:rPr>
      </w:pPr>
    </w:p>
    <w:p>
      <w:pPr>
        <w:widowControl/>
        <w:snapToGrid w:val="0"/>
        <w:spacing w:line="360" w:lineRule="auto"/>
        <w:jc w:val="center"/>
        <w:rPr>
          <w:rFonts w:hint="eastAsia" w:ascii="黑体" w:hAnsi="黑体" w:eastAsia="黑体" w:cs="宋体"/>
          <w:color w:val="000000"/>
          <w:kern w:val="0"/>
          <w:sz w:val="36"/>
          <w:szCs w:val="36"/>
        </w:rPr>
      </w:pPr>
    </w:p>
    <w:p>
      <w:pPr>
        <w:tabs>
          <w:tab w:val="left" w:pos="0"/>
        </w:tabs>
        <w:jc w:val="center"/>
        <w:rPr>
          <w:rFonts w:eastAsia="黑体"/>
          <w:sz w:val="48"/>
          <w:szCs w:val="48"/>
        </w:rPr>
      </w:pPr>
      <w:r>
        <w:rPr>
          <w:rFonts w:hint="eastAsia" w:eastAsia="黑体"/>
          <w:sz w:val="48"/>
          <w:szCs w:val="48"/>
        </w:rPr>
        <w:t>《</w:t>
      </w:r>
      <w:r>
        <w:rPr>
          <w:rFonts w:hint="eastAsia" w:eastAsia="黑体"/>
          <w:sz w:val="48"/>
          <w:szCs w:val="48"/>
          <w:lang w:val="en-US" w:eastAsia="zh-CN"/>
        </w:rPr>
        <w:t>静止无功发生器</w:t>
      </w:r>
      <w:r>
        <w:rPr>
          <w:rFonts w:hint="eastAsia" w:eastAsia="黑体"/>
          <w:sz w:val="48"/>
          <w:szCs w:val="48"/>
        </w:rPr>
        <w:t>（SVG）节能技术规范》</w:t>
      </w:r>
      <w:bookmarkStart w:id="2" w:name="_GoBack"/>
      <w:bookmarkEnd w:id="2"/>
    </w:p>
    <w:p>
      <w:pPr>
        <w:tabs>
          <w:tab w:val="left" w:pos="303"/>
        </w:tabs>
        <w:ind w:firstLine="198" w:firstLineChars="66"/>
        <w:jc w:val="center"/>
        <w:rPr>
          <w:rFonts w:eastAsia="黑体"/>
          <w:sz w:val="30"/>
        </w:rPr>
      </w:pPr>
    </w:p>
    <w:p>
      <w:pPr>
        <w:tabs>
          <w:tab w:val="left" w:pos="0"/>
        </w:tabs>
        <w:jc w:val="center"/>
        <w:rPr>
          <w:rFonts w:eastAsia="黑体"/>
          <w:sz w:val="44"/>
          <w:szCs w:val="44"/>
        </w:rPr>
      </w:pPr>
      <w:r>
        <w:rPr>
          <w:rFonts w:eastAsia="黑体"/>
          <w:sz w:val="48"/>
          <w:szCs w:val="48"/>
        </w:rPr>
        <w:t>编制说明</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rPr>
          <w:sz w:val="24"/>
        </w:rPr>
      </w:pPr>
    </w:p>
    <w:p>
      <w:pPr>
        <w:ind w:firstLine="420"/>
        <w:rPr>
          <w:sz w:val="24"/>
        </w:rPr>
      </w:pPr>
    </w:p>
    <w:p>
      <w:pPr>
        <w:pStyle w:val="4"/>
        <w:rPr>
          <w:sz w:val="48"/>
          <w:szCs w:val="48"/>
        </w:rPr>
      </w:pPr>
      <w:bookmarkStart w:id="0" w:name="_Toc2017"/>
      <w:r>
        <w:rPr>
          <w:rFonts w:hint="eastAsia"/>
          <w:sz w:val="48"/>
          <w:szCs w:val="48"/>
        </w:rPr>
        <w:t>标准编制组</w:t>
      </w:r>
      <w:bookmarkEnd w:id="0"/>
    </w:p>
    <w:p>
      <w:pPr>
        <w:pStyle w:val="4"/>
        <w:rPr>
          <w:rFonts w:hint="default" w:eastAsia="宋体"/>
          <w:sz w:val="48"/>
          <w:szCs w:val="48"/>
          <w:lang w:val="en-US" w:eastAsia="zh-CN"/>
        </w:rPr>
        <w:sectPr>
          <w:footerReference r:id="rId3" w:type="default"/>
          <w:pgSz w:w="11906" w:h="16838"/>
          <w:pgMar w:top="1440" w:right="1800" w:bottom="1440" w:left="1800" w:header="851" w:footer="992" w:gutter="0"/>
          <w:cols w:space="720" w:num="1"/>
          <w:docGrid w:type="lines" w:linePitch="312" w:charSpace="0"/>
        </w:sectPr>
      </w:pPr>
      <w:bookmarkStart w:id="1" w:name="_Toc15439"/>
      <w:r>
        <w:rPr>
          <w:rFonts w:hint="eastAsia"/>
          <w:sz w:val="48"/>
          <w:szCs w:val="48"/>
        </w:rPr>
        <w:t>2025.</w:t>
      </w:r>
      <w:bookmarkEnd w:id="1"/>
      <w:r>
        <w:rPr>
          <w:rFonts w:hint="eastAsia"/>
          <w:sz w:val="48"/>
          <w:szCs w:val="48"/>
          <w:lang w:val="en-US" w:eastAsia="zh-CN"/>
        </w:rPr>
        <w:t>12</w:t>
      </w:r>
    </w:p>
    <w:p>
      <w:pPr>
        <w:spacing w:line="360" w:lineRule="auto"/>
        <w:rPr>
          <w:rFonts w:hint="eastAsia" w:ascii="黑体" w:hAnsi="黑体" w:eastAsia="黑体" w:cs="黑体"/>
          <w:sz w:val="32"/>
          <w:szCs w:val="32"/>
        </w:rPr>
      </w:pPr>
      <w:r>
        <w:rPr>
          <w:rFonts w:hint="eastAsia" w:ascii="黑体" w:hAnsi="黑体" w:eastAsia="黑体" w:cs="黑体"/>
          <w:sz w:val="32"/>
          <w:szCs w:val="32"/>
        </w:rPr>
        <w:t>一、 工作简况</w:t>
      </w:r>
    </w:p>
    <w:p>
      <w:pPr>
        <w:spacing w:line="360" w:lineRule="auto"/>
        <w:rPr>
          <w:rFonts w:hint="eastAsia" w:ascii="仿宋" w:hAnsi="仿宋" w:eastAsia="仿宋" w:cs="仿宋"/>
          <w:sz w:val="32"/>
          <w:szCs w:val="32"/>
        </w:rPr>
      </w:pPr>
      <w:r>
        <w:rPr>
          <w:rFonts w:hint="eastAsia" w:ascii="仿宋" w:hAnsi="仿宋" w:eastAsia="仿宋" w:cs="仿宋"/>
          <w:sz w:val="32"/>
          <w:szCs w:val="32"/>
        </w:rPr>
        <w:t>1.1 任务来源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为贯彻落实国家“碳达峰、碳中和”战略目标，推动电力行业绿色低碳转型，提升电能质量治理装备的能效水平，由中广核风电有限公司提出，并经中国电子节能技术协会批准，制定了《</w:t>
      </w:r>
      <w:r>
        <w:rPr>
          <w:rFonts w:hint="eastAsia" w:ascii="仿宋" w:hAnsi="仿宋" w:eastAsia="仿宋" w:cs="仿宋"/>
          <w:sz w:val="32"/>
          <w:szCs w:val="32"/>
          <w:lang w:val="en-US" w:eastAsia="zh-CN"/>
        </w:rPr>
        <w:t>静止</w:t>
      </w:r>
      <w:r>
        <w:rPr>
          <w:rFonts w:hint="eastAsia" w:ascii="仿宋" w:hAnsi="仿宋" w:eastAsia="仿宋" w:cs="仿宋"/>
          <w:sz w:val="32"/>
          <w:szCs w:val="32"/>
        </w:rPr>
        <w:t>无功</w:t>
      </w:r>
      <w:r>
        <w:rPr>
          <w:rFonts w:hint="eastAsia" w:ascii="仿宋" w:hAnsi="仿宋" w:eastAsia="仿宋" w:cs="仿宋"/>
          <w:sz w:val="32"/>
          <w:szCs w:val="32"/>
          <w:lang w:val="en-US" w:eastAsia="zh-CN"/>
        </w:rPr>
        <w:t>发生器</w:t>
      </w:r>
      <w:r>
        <w:rPr>
          <w:rFonts w:hint="eastAsia" w:ascii="仿宋" w:hAnsi="仿宋" w:eastAsia="仿宋" w:cs="仿宋"/>
          <w:sz w:val="32"/>
          <w:szCs w:val="32"/>
        </w:rPr>
        <w:t>（SVG）节能技术规范》团体标准。</w:t>
      </w:r>
    </w:p>
    <w:p>
      <w:pPr>
        <w:spacing w:line="360" w:lineRule="auto"/>
        <w:rPr>
          <w:rFonts w:hint="eastAsia" w:ascii="仿宋" w:hAnsi="仿宋" w:eastAsia="仿宋" w:cs="仿宋"/>
          <w:sz w:val="32"/>
          <w:szCs w:val="32"/>
        </w:rPr>
      </w:pPr>
      <w:r>
        <w:rPr>
          <w:rFonts w:hint="eastAsia" w:ascii="仿宋" w:hAnsi="仿宋" w:eastAsia="仿宋" w:cs="仿宋"/>
          <w:sz w:val="32"/>
          <w:szCs w:val="32"/>
        </w:rPr>
        <w:t>1.2 协作单位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标准由中广核风电有限公司牵头，联合华能共和光伏发电有限公司、特变电工西安柔性输配电有限公司、国电南瑞科技股份有限公司、河南许继电力电子有限公司、中煤木垒新能源有限公司、北京四方继保自动化股份有限公司、山东泰开电力电子有限公司、南京南瑞继保工程技术有限公司等多家在SVG研发、制造、检测和工程应用领域具有深厚技术积累和实践经验的单位共同起草完成。</w:t>
      </w:r>
    </w:p>
    <w:p>
      <w:pPr>
        <w:spacing w:line="360" w:lineRule="auto"/>
        <w:rPr>
          <w:rFonts w:hint="eastAsia" w:ascii="仿宋" w:hAnsi="仿宋" w:eastAsia="仿宋" w:cs="仿宋"/>
          <w:sz w:val="32"/>
          <w:szCs w:val="32"/>
        </w:rPr>
      </w:pPr>
      <w:r>
        <w:rPr>
          <w:rFonts w:hint="eastAsia" w:ascii="仿宋" w:hAnsi="仿宋" w:eastAsia="仿宋" w:cs="仿宋"/>
          <w:sz w:val="32"/>
          <w:szCs w:val="32"/>
        </w:rPr>
        <w:t>1.3 主要工作过程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前期调研与立项阶段（2025年4月-6月）：成立标准起草工作组，系统调研国内外SVG技术发展现状、能效水平以及现有相关标准，分析行业在节能设计、评价与运维方面的空白，完成标准立项申请与论证。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草案起草与内部讨论阶段（2025年7月-9月）：工作组在充分吸收现有企业技术规范和国家标准的基础上，整合形成了标准初稿。随后召开了3次内部研讨会，对标准框架、核心技术指标及试验方法进行多次修改与完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征求意见与专家评审阶段（2025年10月-</w:t>
      </w:r>
      <w:r>
        <w:rPr>
          <w:rFonts w:hint="eastAsia" w:ascii="仿宋" w:hAnsi="仿宋" w:eastAsia="仿宋" w:cs="仿宋"/>
          <w:color w:val="000000" w:themeColor="text1"/>
          <w:sz w:val="32"/>
          <w:szCs w:val="32"/>
          <w14:textFill>
            <w14:solidFill>
              <w14:schemeClr w14:val="tx1"/>
            </w14:solidFill>
          </w14:textFill>
        </w:rPr>
        <w:t>11月</w:t>
      </w:r>
      <w:r>
        <w:rPr>
          <w:rFonts w:hint="eastAsia" w:ascii="仿宋" w:hAnsi="仿宋" w:eastAsia="仿宋" w:cs="仿宋"/>
          <w:sz w:val="32"/>
          <w:szCs w:val="32"/>
        </w:rPr>
        <w:t>）：形成征求意见稿，面向行业相关单位、专家学者广泛征求意见。工作组对意见进行逐条归纳、分析和处理，形成征求意见汇总处理表，并据此修改形成送审稿。</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审查与报批阶段（</w:t>
      </w:r>
      <w:r>
        <w:rPr>
          <w:rFonts w:hint="eastAsia" w:ascii="仿宋" w:hAnsi="仿宋" w:eastAsia="仿宋" w:cs="仿宋"/>
          <w:color w:val="000000" w:themeColor="text1"/>
          <w:sz w:val="32"/>
          <w:szCs w:val="32"/>
          <w14:textFill>
            <w14:solidFill>
              <w14:schemeClr w14:val="tx1"/>
            </w14:solidFill>
          </w14:textFill>
        </w:rPr>
        <w:t>2025年12月-2026年2月</w:t>
      </w:r>
      <w:r>
        <w:rPr>
          <w:rFonts w:hint="eastAsia" w:ascii="仿宋" w:hAnsi="仿宋" w:eastAsia="仿宋" w:cs="仿宋"/>
          <w:sz w:val="32"/>
          <w:szCs w:val="32"/>
        </w:rPr>
        <w:t>）：召开标准审查会，与会专家一致通过审查。工作组根据审查意见进行最终修改，形成本标准报批稿。</w:t>
      </w:r>
    </w:p>
    <w:p>
      <w:pPr>
        <w:spacing w:line="360" w:lineRule="auto"/>
        <w:rPr>
          <w:rFonts w:hint="eastAsia" w:ascii="仿宋" w:hAnsi="仿宋" w:eastAsia="仿宋" w:cs="仿宋"/>
          <w:sz w:val="32"/>
          <w:szCs w:val="32"/>
        </w:rPr>
      </w:pPr>
      <w:r>
        <w:rPr>
          <w:rFonts w:hint="eastAsia" w:ascii="仿宋" w:hAnsi="仿宋" w:eastAsia="仿宋" w:cs="仿宋"/>
          <w:sz w:val="32"/>
          <w:szCs w:val="32"/>
        </w:rPr>
        <w:t>1.4 标准主要起草人及其所做的工作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许伟（中广核风电有限公司）：作为项目负责人，负责标准的整体策划、组织协调和最终审定。主持关键技术问题的决策。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XXX（XXX单位）</w:t>
      </w:r>
      <w:r>
        <w:rPr>
          <w:rFonts w:hint="eastAsia" w:ascii="仿宋" w:hAnsi="仿宋" w:eastAsia="仿宋" w:cs="仿宋"/>
          <w:sz w:val="32"/>
          <w:szCs w:val="32"/>
        </w:rPr>
        <w:t>：作为技术主笔，负责标准核心章节（节能设计、试验方法、节能评价）的起草与修订，并负责与国际标准进行对标。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XXX（XXX单位）</w:t>
      </w:r>
      <w:r>
        <w:rPr>
          <w:rFonts w:hint="eastAsia" w:ascii="仿宋" w:hAnsi="仿宋" w:eastAsia="仿宋" w:cs="仿宋"/>
          <w:sz w:val="32"/>
          <w:szCs w:val="32"/>
        </w:rPr>
        <w:t>： 负责“运行维护”、“监测系统”等章节的编写，提供了大量现场运维数据与实践案例支撑。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XXX（XXX单位）</w:t>
      </w:r>
      <w:r>
        <w:rPr>
          <w:rFonts w:hint="eastAsia" w:ascii="仿宋" w:hAnsi="仿宋" w:eastAsia="仿宋" w:cs="仿宋"/>
          <w:sz w:val="32"/>
          <w:szCs w:val="32"/>
        </w:rPr>
        <w:t>： 负责“散热设计”、“控制策略”等章节的技术内容编制，并对标准中涉及的电抗器、变压器等部件技术要求进行把关。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XXX（XXX单位）</w:t>
      </w:r>
      <w:r>
        <w:rPr>
          <w:rFonts w:hint="eastAsia" w:ascii="仿宋" w:hAnsi="仿宋" w:eastAsia="仿宋" w:cs="仿宋"/>
          <w:sz w:val="32"/>
          <w:szCs w:val="32"/>
        </w:rPr>
        <w:t>： 负责标准格式规范、文献引用及“编制说明”的撰写工作。</w:t>
      </w:r>
    </w:p>
    <w:p>
      <w:pPr>
        <w:spacing w:line="360" w:lineRule="auto"/>
        <w:ind w:firstLine="640" w:firstLineChars="200"/>
        <w:rPr>
          <w:rFonts w:hint="eastAsia" w:ascii="仿宋" w:hAnsi="仿宋" w:eastAsia="仿宋" w:cs="仿宋"/>
          <w:sz w:val="32"/>
          <w:szCs w:val="32"/>
        </w:rPr>
      </w:pPr>
    </w:p>
    <w:p>
      <w:pPr>
        <w:spacing w:line="360" w:lineRule="auto"/>
        <w:rPr>
          <w:rFonts w:hint="eastAsia" w:ascii="黑体" w:hAnsi="黑体" w:eastAsia="黑体" w:cs="黑体"/>
          <w:sz w:val="32"/>
          <w:szCs w:val="32"/>
        </w:rPr>
      </w:pPr>
      <w:r>
        <w:rPr>
          <w:rFonts w:hint="eastAsia" w:ascii="黑体" w:hAnsi="黑体" w:eastAsia="黑体" w:cs="黑体"/>
          <w:sz w:val="32"/>
          <w:szCs w:val="32"/>
        </w:rPr>
        <w:t>二、确定标准主要技术内容的论据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本标准是国内首份专门针对SVG设备全生命周期节能技术进行系统规范的团体标准。核心技术内容的确定基于以下论据：</w:t>
      </w:r>
    </w:p>
    <w:p>
      <w:pPr>
        <w:spacing w:line="360" w:lineRule="auto"/>
        <w:rPr>
          <w:rFonts w:hint="eastAsia" w:ascii="仿宋" w:hAnsi="仿宋" w:eastAsia="仿宋" w:cs="仿宋"/>
          <w:sz w:val="32"/>
          <w:szCs w:val="32"/>
        </w:rPr>
      </w:pPr>
      <w:r>
        <w:rPr>
          <w:rFonts w:hint="eastAsia" w:ascii="仿宋" w:hAnsi="仿宋" w:eastAsia="仿宋" w:cs="仿宋"/>
          <w:sz w:val="32"/>
          <w:szCs w:val="32"/>
        </w:rPr>
        <w:t>2.1 关于“节能设计要求”（第</w:t>
      </w:r>
      <w:r>
        <w:rPr>
          <w:rFonts w:hint="eastAsia" w:ascii="仿宋" w:hAnsi="仿宋" w:eastAsia="仿宋" w:cs="仿宋"/>
          <w:sz w:val="32"/>
          <w:szCs w:val="32"/>
          <w:lang w:val="en-US" w:eastAsia="zh-CN"/>
        </w:rPr>
        <w:t>5</w:t>
      </w:r>
      <w:r>
        <w:rPr>
          <w:rFonts w:hint="eastAsia" w:ascii="仿宋" w:hAnsi="仿宋" w:eastAsia="仿宋" w:cs="仿宋"/>
          <w:sz w:val="32"/>
          <w:szCs w:val="32"/>
        </w:rPr>
        <w:t>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论据：当前SVG设备在拓扑、器件和散热方面的能效潜力巨大但缺乏统一引导。通过规定采用高效拓扑（如MMC）、低损耗器件（如新一代IGBT）和智能变频冷却，旨在从源头上降低设备固有损耗。这些要求是基于对各主流制造商先进产品技术路线的归纳和对未来技术发展趋势的判断，确保技术先进性的同时兼具可实现性。</w:t>
      </w:r>
    </w:p>
    <w:p>
      <w:pPr>
        <w:spacing w:line="360" w:lineRule="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关于“试验方法”（第</w:t>
      </w:r>
      <w:r>
        <w:rPr>
          <w:rFonts w:hint="eastAsia" w:ascii="仿宋" w:hAnsi="仿宋" w:eastAsia="仿宋" w:cs="仿宋"/>
          <w:sz w:val="32"/>
          <w:szCs w:val="32"/>
          <w:lang w:val="en-US" w:eastAsia="zh-CN"/>
        </w:rPr>
        <w:t>6</w:t>
      </w:r>
      <w:r>
        <w:rPr>
          <w:rFonts w:hint="eastAsia" w:ascii="仿宋" w:hAnsi="仿宋" w:eastAsia="仿宋" w:cs="仿宋"/>
          <w:sz w:val="32"/>
          <w:szCs w:val="32"/>
        </w:rPr>
        <w:t>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论据：为确保测试结果的准确性和可比性，本标准明确规定采用“直接测量法”与“热量法”相结合的综合测量方式。该方法论参考了IEC 62596《电力电子变换器设备和系统的损耗和能效测定》的通用原则，确保了方法的科学性和国际通用性。要求绘制“能效特性曲线”而非仅考核额定点，更能真实反映设备在实际运行中的能效表现。</w:t>
      </w:r>
    </w:p>
    <w:p>
      <w:pPr>
        <w:spacing w:line="360" w:lineRule="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关于“能效等级划分”（第</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节及表1）：</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论据：为建立清晰的市场导向，亟需一套科学的能效评价体系。本标准首次提出了基于“额定工况</w:t>
      </w:r>
      <w:r>
        <w:rPr>
          <w:rFonts w:hint="eastAsia" w:ascii="仿宋" w:hAnsi="仿宋" w:eastAsia="仿宋" w:cs="仿宋"/>
          <w:sz w:val="32"/>
          <w:szCs w:val="32"/>
          <w:lang w:val="en-US" w:eastAsia="zh-CN"/>
        </w:rPr>
        <w:t>自耗电率</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响应时间</w:t>
      </w:r>
      <w:r>
        <w:rPr>
          <w:rFonts w:hint="eastAsia" w:ascii="仿宋" w:hAnsi="仿宋" w:eastAsia="仿宋" w:cs="仿宋"/>
          <w:sz w:val="32"/>
          <w:szCs w:val="32"/>
        </w:rPr>
        <w:t>”</w:t>
      </w:r>
      <w:r>
        <w:rPr>
          <w:rFonts w:hint="eastAsia" w:ascii="仿宋" w:hAnsi="仿宋" w:eastAsia="仿宋" w:cs="仿宋"/>
          <w:sz w:val="32"/>
          <w:szCs w:val="32"/>
          <w:lang w:val="en-US" w:eastAsia="zh-CN"/>
        </w:rPr>
        <w:t>和“谐波含量”</w:t>
      </w:r>
      <w:r>
        <w:rPr>
          <w:rFonts w:hint="eastAsia" w:ascii="仿宋" w:hAnsi="仿宋" w:eastAsia="仿宋" w:cs="仿宋"/>
          <w:sz w:val="32"/>
          <w:szCs w:val="32"/>
        </w:rPr>
        <w:t>的SVG能效</w:t>
      </w:r>
      <w:r>
        <w:rPr>
          <w:rFonts w:hint="eastAsia" w:ascii="仿宋" w:hAnsi="仿宋" w:eastAsia="仿宋" w:cs="仿宋"/>
          <w:sz w:val="32"/>
          <w:szCs w:val="32"/>
          <w:lang w:val="en-US" w:eastAsia="zh-CN"/>
        </w:rPr>
        <w:t>等</w:t>
      </w:r>
      <w:r>
        <w:rPr>
          <w:rFonts w:hint="eastAsia" w:ascii="仿宋" w:hAnsi="仿宋" w:eastAsia="仿宋" w:cs="仿宋"/>
          <w:sz w:val="32"/>
          <w:szCs w:val="32"/>
        </w:rPr>
        <w:t>级划分方案。指标参数的确定，综合参考了：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对国内在运主流SVG产品能效数据的抽样测试与统计分析。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 国际标准IEC 61800-9-2对变流器能效分级的理念和方法。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 鼓励技术创新和兼顾当前行业平均水平的平衡原则。1级标准旨在树立行业标杆，引导领先技术；2级和3级标准则覆盖了当前主流及合格产品的水平，为能效提升预留了清晰路径。</w:t>
      </w:r>
    </w:p>
    <w:p>
      <w:pPr>
        <w:spacing w:line="360" w:lineRule="auto"/>
        <w:rPr>
          <w:rFonts w:hint="eastAsia" w:ascii="黑体" w:hAnsi="黑体" w:eastAsia="黑体" w:cs="黑体"/>
          <w:sz w:val="32"/>
          <w:szCs w:val="32"/>
        </w:rPr>
      </w:pPr>
      <w:r>
        <w:rPr>
          <w:rFonts w:hint="eastAsia" w:ascii="黑体" w:hAnsi="黑体" w:eastAsia="黑体" w:cs="黑体"/>
          <w:sz w:val="32"/>
          <w:szCs w:val="32"/>
        </w:rPr>
        <w:t>三、采用国际标准的程度及水平的简要说明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本标准在制定过程中，积极研究并吸收了国际先进标准的技术精髓，其采用国际标准的程度和水平主要体现在：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等效采用国际标准的技术理念：本标准在能效评价体系构建上，等效采用了IEC 61800-9-2标准的核心思想，即通过多负载点测试、量化损耗、划分能效等级来评价变流设备的能效。虽然IEC 61800-9-2主要针对电机驱动变流器，但其方法论对本标准具有极强的指导和借鉴意义。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修改采用国际标准的试验方法：在损耗测量方法上，本标准修改采用了IEC 62596标准。我们根据SVG主要处理无功功率的特性，对测试工况（在容性/感性无功范围内取点）和数据处理进行了适应性修改，但其对测量精度、环境条件、仪器要求的核心原则与国际标准保持一致。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国际标准水平的对比：本标准填补了国际上在SVG专用节能技术规范领域的空白。相较于通用的性能标准（如IEEE 1898），本标准对“节能”的聚焦更深入、更系统；相较于区域性的强制法规，本标准的覆盖范围（高压SVG）和技术要求（如全生命周期能效管理）更具针对性和前瞻性。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总体而言，本标准的技术水平与当前国际电力电子能效标准的发展趋势同步，并在特定应用领域处于领先地位。</w:t>
      </w:r>
    </w:p>
    <w:p>
      <w:pPr>
        <w:spacing w:line="360" w:lineRule="auto"/>
        <w:rPr>
          <w:rFonts w:hint="eastAsia" w:ascii="黑体" w:hAnsi="黑体" w:eastAsia="黑体" w:cs="黑体"/>
          <w:sz w:val="32"/>
          <w:szCs w:val="32"/>
        </w:rPr>
      </w:pPr>
      <w:r>
        <w:rPr>
          <w:rFonts w:hint="eastAsia" w:ascii="黑体" w:hAnsi="黑体" w:eastAsia="黑体" w:cs="黑体"/>
          <w:sz w:val="32"/>
          <w:szCs w:val="32"/>
        </w:rPr>
        <w:t>四、重大分歧意见的处理经过和依据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在本标准征求意见和审查过程中，未出现原则性的重大分歧意见。对于一些技术性建议，处理如下：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关于冷却系统功耗的考核方式：有意见认为应单独考核冷却系统自身能效。经工作组讨论，认为冷却系统是SVG不可分割的一部分，其功耗已直接计入总损耗并体现在“运行效率”这一核心指标中，单独考核意义不大且增加复杂度，故未予采纳，但强调了对其采用变频节能控制的强制性要求。</w:t>
      </w:r>
    </w:p>
    <w:p>
      <w:pPr>
        <w:spacing w:line="360" w:lineRule="auto"/>
        <w:rPr>
          <w:rFonts w:hint="eastAsia" w:ascii="黑体" w:hAnsi="黑体" w:eastAsia="黑体" w:cs="黑体"/>
          <w:sz w:val="32"/>
          <w:szCs w:val="32"/>
        </w:rPr>
      </w:pPr>
      <w:r>
        <w:rPr>
          <w:rFonts w:hint="eastAsia" w:ascii="黑体" w:hAnsi="黑体" w:eastAsia="黑体" w:cs="黑体"/>
          <w:sz w:val="32"/>
          <w:szCs w:val="32"/>
        </w:rPr>
        <w:t>五、 其它应予说明的事项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1.本标准是推荐性团体标准，供各单位自愿采用。鼓励SVG设备制造商、用户和检测认证机构依据本标准开展产品的设计、选型、验收和评价工作。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2.随着电力电子技术，特别是宽禁带半导体技术的快速发展和成本下降，工作组将适时对本标准进行复审和修订，以保持其技术先进性和行业指导性。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3.本标准发布后，建议相关方加强宣贯和培训，并收集实际应用中的数据与反馈，为未来的修订工作积累实践经验。</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98"/>
    <w:rsid w:val="000E6898"/>
    <w:rsid w:val="004531BA"/>
    <w:rsid w:val="00A90E13"/>
    <w:rsid w:val="00BC04CB"/>
    <w:rsid w:val="00CF0518"/>
    <w:rsid w:val="00E16F43"/>
    <w:rsid w:val="01891F39"/>
    <w:rsid w:val="0B102937"/>
    <w:rsid w:val="0F155436"/>
    <w:rsid w:val="0FA062B9"/>
    <w:rsid w:val="2D425E90"/>
    <w:rsid w:val="3BA92877"/>
    <w:rsid w:val="40A8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1299</Words>
  <Characters>1365</Characters>
  <Lines>80</Lines>
  <Paragraphs>45</Paragraphs>
  <TotalTime>9</TotalTime>
  <ScaleCrop>false</ScaleCrop>
  <LinksUpToDate>false</LinksUpToDate>
  <CharactersWithSpaces>2619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2019-05-15T02:42:00Z</dcterms:created>
  <dc:creator>gyzyw</dc:creator>
  <cp:lastModifiedBy>许伟</cp:lastModifiedBy>
  <dcterms:modified xsi:type="dcterms:W3CDTF">2025-12-31T02:04:43Z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B71E1D5754B84FAA961F88B620BA3CF8</vt:lpwstr>
  </property>
  <property fmtid="{D5CDD505-2E9C-101B-9397-08002B2CF9AE}" pid="4" name="KSOTemplateDocerSaveRecord">
    <vt:lpwstr>eyJoZGlkIjoiNjkxNGY5M2RiODBhODE3ZjhkNTllYmVlNWFjMTJhZjciLCJ1c2VySWQiOiIyNzY4MTIxMTQifQ==</vt:lpwstr>
  </property>
</Properties>
</file>