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93"/>
            </w:textInput>
          </w:ffData>
        </w:fldChar>
      </w:r>
      <w:bookmarkStart w:id="6" w:name="NSTD_CODE_F"/>
      <w:r>
        <w:instrText xml:space="preserve"> FORMTEXT </w:instrText>
      </w:r>
      <w:r>
        <w:fldChar w:fldCharType="separate"/>
      </w:r>
      <w:r>
        <w:t>0193</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水利施工智慧化管控与质量验收规程"/>
            </w:textInput>
          </w:ffData>
        </w:fldChar>
      </w:r>
      <w:bookmarkStart w:id="9" w:name="CSTD_NAME"/>
      <w:r>
        <w:instrText xml:space="preserve"> FORMTEXT </w:instrText>
      </w:r>
      <w:r>
        <w:fldChar w:fldCharType="separate"/>
      </w:r>
      <w:r>
        <w:t>水利施工智慧化管控与质量验收规程</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intelligent control and quality acceptance in water conservancy construction"/>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intelligent control and quality acceptance in water conservancy construction</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BA290B3">
      <w:pPr>
        <w:pStyle w:val="91"/>
        <w:spacing w:after="360"/>
      </w:pPr>
      <w:bookmarkStart w:id="21" w:name="BookMark1"/>
      <w:r>
        <w:rPr>
          <w:rFonts w:hint="eastAsia"/>
          <w:spacing w:val="320"/>
        </w:rPr>
        <w:t>目</w:t>
      </w:r>
      <w:r>
        <w:rPr>
          <w:rFonts w:hint="eastAsia"/>
        </w:rPr>
        <w:t>次</w:t>
      </w:r>
    </w:p>
    <w:p w14:paraId="69A55A2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"_Toc219118869"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_Toc219118869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07806FE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"_Toc219118870"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_Toc219118870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65527DD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"_Toc219118871"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_Toc219118871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8B2511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"_Toc219118872"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_Toc219118872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BDC8FE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"_Toc219118873"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_Toc219118873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788860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"_Toc219118874"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_Toc219118874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B8990F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"_Toc219118875" </w:instrText>
      </w:r>
      <w:r>
        <w:fldChar w:fldCharType="separate"/>
      </w:r>
      <w:r>
        <w:rPr>
          <w:rStyle w:val="32"/>
          <w:rFonts w:hint="eastAsia"/>
        </w:rPr>
        <w:t>5</w:t>
      </w:r>
      <w:r>
        <w:rPr>
          <w:rStyle w:val="32"/>
        </w:rPr>
        <w:t xml:space="preserve"> </w:t>
      </w:r>
      <w:r>
        <w:rPr>
          <w:rStyle w:val="32"/>
          <w:rFonts w:hint="eastAsia"/>
        </w:rPr>
        <w:t xml:space="preserve"> 智慧化管控系统与数据要求</w:t>
      </w:r>
      <w:r>
        <w:rPr>
          <w:rFonts w:hint="eastAsia"/>
        </w:rPr>
        <w:tab/>
      </w:r>
      <w:r>
        <w:rPr>
          <w:rFonts w:hint="eastAsia"/>
        </w:rPr>
        <w:fldChar w:fldCharType="begin"/>
      </w:r>
      <w:r>
        <w:rPr>
          <w:rFonts w:hint="eastAsia"/>
        </w:rPr>
        <w:instrText xml:space="preserve"> </w:instrText>
      </w:r>
      <w:r>
        <w:instrText xml:space="preserve">PAGEREF _Toc219118875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78BC50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"_Toc219118876" </w:instrText>
      </w:r>
      <w:r>
        <w:fldChar w:fldCharType="separate"/>
      </w:r>
      <w:r>
        <w:rPr>
          <w:rStyle w:val="32"/>
          <w:rFonts w:hint="eastAsia"/>
        </w:rPr>
        <w:t>6</w:t>
      </w:r>
      <w:r>
        <w:rPr>
          <w:rStyle w:val="32"/>
        </w:rPr>
        <w:t xml:space="preserve"> </w:t>
      </w:r>
      <w:r>
        <w:rPr>
          <w:rStyle w:val="32"/>
          <w:rFonts w:hint="eastAsia"/>
        </w:rPr>
        <w:t xml:space="preserve"> 施工过程智慧化管控要求</w:t>
      </w:r>
      <w:r>
        <w:rPr>
          <w:rFonts w:hint="eastAsia"/>
        </w:rPr>
        <w:tab/>
      </w:r>
      <w:r>
        <w:rPr>
          <w:rFonts w:hint="eastAsia"/>
        </w:rPr>
        <w:fldChar w:fldCharType="begin"/>
      </w:r>
      <w:r>
        <w:rPr>
          <w:rFonts w:hint="eastAsia"/>
        </w:rPr>
        <w:instrText xml:space="preserve"> </w:instrText>
      </w:r>
      <w:r>
        <w:instrText xml:space="preserve">PAGEREF _Toc219118876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811665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"_Toc219118877" </w:instrText>
      </w:r>
      <w:r>
        <w:fldChar w:fldCharType="separate"/>
      </w:r>
      <w:r>
        <w:rPr>
          <w:rStyle w:val="32"/>
          <w:rFonts w:hint="eastAsia"/>
        </w:rPr>
        <w:t>7</w:t>
      </w:r>
      <w:r>
        <w:rPr>
          <w:rStyle w:val="32"/>
        </w:rPr>
        <w:t xml:space="preserve"> </w:t>
      </w:r>
      <w:r>
        <w:rPr>
          <w:rStyle w:val="32"/>
          <w:rFonts w:hint="eastAsia"/>
        </w:rPr>
        <w:t xml:space="preserve"> 质量检验检测与质量验收要求</w:t>
      </w:r>
      <w:r>
        <w:rPr>
          <w:rFonts w:hint="eastAsia"/>
        </w:rPr>
        <w:tab/>
      </w:r>
      <w:r>
        <w:rPr>
          <w:rFonts w:hint="eastAsia"/>
        </w:rPr>
        <w:fldChar w:fldCharType="begin"/>
      </w:r>
      <w:r>
        <w:rPr>
          <w:rFonts w:hint="eastAsia"/>
        </w:rPr>
        <w:instrText xml:space="preserve"> </w:instrText>
      </w:r>
      <w:r>
        <w:instrText xml:space="preserve">PAGEREF _Toc219118877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E90138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"_Toc219118878" </w:instrText>
      </w:r>
      <w:r>
        <w:fldChar w:fldCharType="separate"/>
      </w:r>
      <w:r>
        <w:rPr>
          <w:rStyle w:val="32"/>
          <w:rFonts w:hint="eastAsia"/>
        </w:rPr>
        <w:t>8</w:t>
      </w:r>
      <w:r>
        <w:rPr>
          <w:rStyle w:val="32"/>
        </w:rPr>
        <w:t xml:space="preserve"> </w:t>
      </w:r>
      <w:r>
        <w:rPr>
          <w:rStyle w:val="32"/>
          <w:rFonts w:hint="eastAsia"/>
        </w:rPr>
        <w:t xml:space="preserve"> 数字化交付与档案归集移交要求</w:t>
      </w:r>
      <w:r>
        <w:rPr>
          <w:rFonts w:hint="eastAsia"/>
        </w:rPr>
        <w:tab/>
      </w:r>
      <w:r>
        <w:rPr>
          <w:rFonts w:hint="eastAsia"/>
        </w:rPr>
        <w:fldChar w:fldCharType="begin"/>
      </w:r>
      <w:r>
        <w:rPr>
          <w:rFonts w:hint="eastAsia"/>
        </w:rPr>
        <w:instrText xml:space="preserve"> </w:instrText>
      </w:r>
      <w:r>
        <w:instrText xml:space="preserve">PAGEREF _Toc219118878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84A593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"_Toc219118879" </w:instrText>
      </w:r>
      <w:r>
        <w:fldChar w:fldCharType="separate"/>
      </w:r>
      <w:r>
        <w:rPr>
          <w:rStyle w:val="32"/>
          <w:rFonts w:hint="eastAsia"/>
        </w:rPr>
        <w:t>9</w:t>
      </w:r>
      <w:r>
        <w:rPr>
          <w:rStyle w:val="32"/>
        </w:rPr>
        <w:t xml:space="preserve"> </w:t>
      </w:r>
      <w:r>
        <w:rPr>
          <w:rStyle w:val="32"/>
          <w:rFonts w:hint="eastAsia"/>
        </w:rPr>
        <w:t xml:space="preserve"> 运行维护与系统保障要求</w:t>
      </w:r>
      <w:r>
        <w:rPr>
          <w:rFonts w:hint="eastAsia"/>
        </w:rPr>
        <w:tab/>
      </w:r>
      <w:r>
        <w:rPr>
          <w:rFonts w:hint="eastAsia"/>
        </w:rPr>
        <w:fldChar w:fldCharType="begin"/>
      </w:r>
      <w:r>
        <w:rPr>
          <w:rFonts w:hint="eastAsia"/>
        </w:rPr>
        <w:instrText xml:space="preserve"> </w:instrText>
      </w:r>
      <w:r>
        <w:instrText xml:space="preserve">PAGEREF _Toc219118879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774E7DA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"_Toc219118880" </w:instrText>
      </w:r>
      <w:r>
        <w:fldChar w:fldCharType="separate"/>
      </w:r>
      <w:r>
        <w:rPr>
          <w:rStyle w:val="32"/>
          <w:rFonts w:hint="eastAsia"/>
        </w:rPr>
        <w:t>10</w:t>
      </w:r>
      <w:r>
        <w:rPr>
          <w:rStyle w:val="32"/>
        </w:rPr>
        <w:t xml:space="preserve"> </w:t>
      </w:r>
      <w:r>
        <w:rPr>
          <w:rStyle w:val="32"/>
          <w:rFonts w:hint="eastAsia"/>
        </w:rPr>
        <w:t xml:space="preserve"> 监督评价与持续改进</w:t>
      </w:r>
      <w:r>
        <w:rPr>
          <w:rFonts w:hint="eastAsia"/>
        </w:rPr>
        <w:tab/>
      </w:r>
      <w:r>
        <w:rPr>
          <w:rFonts w:hint="eastAsia"/>
        </w:rPr>
        <w:fldChar w:fldCharType="begin"/>
      </w:r>
      <w:r>
        <w:rPr>
          <w:rFonts w:hint="eastAsia"/>
        </w:rPr>
        <w:instrText xml:space="preserve"> </w:instrText>
      </w:r>
      <w:r>
        <w:instrText xml:space="preserve">PAGEREF _Toc219118880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9368F1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"_Toc219118881" </w:instrText>
      </w:r>
      <w:r>
        <w:fldChar w:fldCharType="separate"/>
      </w:r>
      <w:r>
        <w:rPr>
          <w:rStyle w:val="32"/>
          <w:rFonts w:hint="eastAsia"/>
        </w:rPr>
        <w:t>附录A（资料性）</w:t>
      </w:r>
      <w:r>
        <w:rPr>
          <w:rStyle w:val="32"/>
        </w:rPr>
        <w:t xml:space="preserve"> </w:t>
      </w:r>
      <w:r>
        <w:rPr>
          <w:rStyle w:val="32"/>
          <w:rFonts w:hint="eastAsia"/>
        </w:rPr>
        <w:t xml:space="preserve"> 数据字典示例</w:t>
      </w:r>
      <w:r>
        <w:rPr>
          <w:rFonts w:hint="eastAsia"/>
        </w:rPr>
        <w:tab/>
      </w:r>
      <w:r>
        <w:rPr>
          <w:rFonts w:hint="eastAsia"/>
        </w:rPr>
        <w:fldChar w:fldCharType="begin"/>
      </w:r>
      <w:r>
        <w:rPr>
          <w:rFonts w:hint="eastAsia"/>
        </w:rPr>
        <w:instrText xml:space="preserve"> </w:instrText>
      </w:r>
      <w:r>
        <w:instrText xml:space="preserve">PAGEREF _Toc219118881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D1C13B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"_Toc219118882" </w:instrText>
      </w:r>
      <w:r>
        <w:fldChar w:fldCharType="separate"/>
      </w:r>
      <w:r>
        <w:rPr>
          <w:rStyle w:val="32"/>
          <w:rFonts w:hint="eastAsia"/>
        </w:rPr>
        <w:t>附录B（资料性）</w:t>
      </w:r>
      <w:r>
        <w:rPr>
          <w:rStyle w:val="32"/>
        </w:rPr>
        <w:t xml:space="preserve"> </w:t>
      </w:r>
      <w:r>
        <w:rPr>
          <w:rStyle w:val="32"/>
          <w:rFonts w:hint="eastAsia"/>
        </w:rPr>
        <w:t xml:space="preserve"> 隐蔽工程验收核查清单模板</w:t>
      </w:r>
      <w:r>
        <w:rPr>
          <w:rFonts w:hint="eastAsia"/>
        </w:rPr>
        <w:tab/>
      </w:r>
      <w:r>
        <w:rPr>
          <w:rFonts w:hint="eastAsia"/>
        </w:rPr>
        <w:fldChar w:fldCharType="begin"/>
      </w:r>
      <w:r>
        <w:rPr>
          <w:rFonts w:hint="eastAsia"/>
        </w:rPr>
        <w:instrText xml:space="preserve"> </w:instrText>
      </w:r>
      <w:r>
        <w:instrText xml:space="preserve">PAGEREF _Toc219118882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192DFDD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"_Toc219118883" </w:instrText>
      </w:r>
      <w:r>
        <w:fldChar w:fldCharType="separate"/>
      </w:r>
      <w:r>
        <w:rPr>
          <w:rStyle w:val="32"/>
          <w:rFonts w:hint="eastAsia"/>
        </w:rPr>
        <w:t>附录C（资料性）</w:t>
      </w:r>
      <w:r>
        <w:rPr>
          <w:rStyle w:val="32"/>
        </w:rPr>
        <w:t xml:space="preserve"> </w:t>
      </w:r>
      <w:r>
        <w:rPr>
          <w:rStyle w:val="32"/>
          <w:rFonts w:hint="eastAsia"/>
        </w:rPr>
        <w:t xml:space="preserve"> 单元工程验收记录模板要素</w:t>
      </w:r>
      <w:r>
        <w:rPr>
          <w:rFonts w:hint="eastAsia"/>
        </w:rPr>
        <w:tab/>
      </w:r>
      <w:r>
        <w:rPr>
          <w:rFonts w:hint="eastAsia"/>
        </w:rPr>
        <w:fldChar w:fldCharType="begin"/>
      </w:r>
      <w:r>
        <w:rPr>
          <w:rFonts w:hint="eastAsia"/>
        </w:rPr>
        <w:instrText xml:space="preserve"> </w:instrText>
      </w:r>
      <w:r>
        <w:instrText xml:space="preserve">PAGEREF _Toc219118883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4702C8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"_Toc219118884" </w:instrText>
      </w:r>
      <w:r>
        <w:fldChar w:fldCharType="separate"/>
      </w:r>
      <w:r>
        <w:rPr>
          <w:rStyle w:val="32"/>
          <w:rFonts w:hint="eastAsia"/>
        </w:rPr>
        <w:t>附录D（资料性）</w:t>
      </w:r>
      <w:r>
        <w:rPr>
          <w:rStyle w:val="32"/>
        </w:rPr>
        <w:t xml:space="preserve"> </w:t>
      </w:r>
      <w:r>
        <w:rPr>
          <w:rStyle w:val="32"/>
          <w:rFonts w:hint="eastAsia"/>
        </w:rPr>
        <w:t xml:space="preserve"> 数字化交付核查清单模板</w:t>
      </w:r>
      <w:r>
        <w:rPr>
          <w:rFonts w:hint="eastAsia"/>
        </w:rPr>
        <w:tab/>
      </w:r>
      <w:r>
        <w:rPr>
          <w:rFonts w:hint="eastAsia"/>
        </w:rPr>
        <w:fldChar w:fldCharType="begin"/>
      </w:r>
      <w:r>
        <w:rPr>
          <w:rFonts w:hint="eastAsia"/>
        </w:rPr>
        <w:instrText xml:space="preserve"> </w:instrText>
      </w:r>
      <w:r>
        <w:instrText xml:space="preserve">PAGEREF _Toc219118884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4C4819F6">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11886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本文件起草单位：黄河河口管理局利津黄河河务局</w:t>
      </w:r>
      <w:bookmarkStart w:id="64" w:name="_GoBack"/>
      <w:bookmarkEnd w:id="64"/>
      <w:r>
        <w:rPr>
          <w:rFonts w:hint="eastAsia"/>
        </w:rPr>
        <w:t>。</w:t>
      </w:r>
    </w:p>
    <w:p w14:paraId="55F4A5D1">
      <w:pPr>
        <w:pStyle w:val="56"/>
        <w:spacing w:line="360" w:lineRule="auto"/>
        <w:ind w:firstLine="420"/>
      </w:pPr>
      <w:r>
        <w:rPr>
          <w:rFonts w:hint="eastAsia"/>
        </w:rPr>
        <w:t>本文件主要起草人：冯思远。</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118870"/>
      <w:bookmarkStart w:id="25" w:name="BookMark3"/>
      <w:r>
        <w:rPr>
          <w:spacing w:val="320"/>
        </w:rPr>
        <w:t>引</w:t>
      </w:r>
      <w:r>
        <w:t>言</w:t>
      </w:r>
      <w:bookmarkEnd w:id="24"/>
    </w:p>
    <w:p w14:paraId="087A5CA9">
      <w:pPr>
        <w:pStyle w:val="56"/>
        <w:spacing w:line="360" w:lineRule="auto"/>
        <w:ind w:firstLine="420"/>
      </w:pPr>
      <w:r>
        <w:rPr>
          <w:rFonts w:hint="eastAsia"/>
        </w:rPr>
        <w:t>水利工程施工具有线性分布广、工序链条长、参建主体多、外部环境扰动强等特点，质量控制与验收管理长期面临“信息割裂、过程不可视、风险预警滞后、资料追溯困难”等共性问题。随着物联网、卫星定位、移动互联网、BIM/GIS、智能感知与数据分析等技术在工程建设领域的普及，水利施工管理正在从以经验驱动、事后抽检为主的传统模式，向以数据驱动、过程闭环、实时预警与数字化交付为特征的智慧化管控模式转型。如何将施工过程管控、质量检验检测、隐蔽工程验收、分部（单位）工程验收以及资料归档移交等关键环节进行一体化设计与标准化落地，成为提升水利工程建设质量与管理效能的重要抓手。</w:t>
      </w:r>
    </w:p>
    <w:p w14:paraId="40E60F68">
      <w:pPr>
        <w:pStyle w:val="56"/>
        <w:spacing w:line="360" w:lineRule="auto"/>
        <w:ind w:firstLine="420"/>
      </w:pPr>
      <w:r>
        <w:rPr>
          <w:rFonts w:hint="eastAsia"/>
        </w:rPr>
        <w:t>在智慧化管控体系下，施工现场应实现对“人、机、料、法、环”关键要素的在线采集与协同调度，形成施工过程的可视化、可量化与可追溯；同时，质量验收不应仅依赖末端结果判定，而应强调全过程质量证据链的形成与校核，包括原材料进场检验、工序质量自检互检、关键工序旁站与影像留存、检测数据自动采集与校准、验收流程线上化审批、以及数据与实体一致性核验等。上述能力的实现需要统一术语体系、明确数据标准与接口要求、固化业务流程与责任边界，并建立与现行质量验收制度相衔接的智慧化验收规则，确保“技术可用、管理可管、结果可信”。</w:t>
      </w:r>
    </w:p>
    <w:p w14:paraId="7F4A69FE">
      <w:pPr>
        <w:pStyle w:val="56"/>
        <w:spacing w:line="360" w:lineRule="auto"/>
        <w:ind w:firstLine="420"/>
      </w:pPr>
      <w:r>
        <w:rPr>
          <w:rFonts w:hint="eastAsia"/>
        </w:rPr>
        <w:t>为规范水利施工智慧化管控与质量验收工作，提升施工过程风险识别与预警能力，强化质量验收的一致性、严谨性与可追溯性，本文件在总结水利工程施工质量管理实践经验的基础上，提出智慧化管控与质量验收的总体原则、系统架构与数据要求，规定关键业务流程、现场实施要点、质量验收判定与证据链管理方法，以及运行维护、监督评价与持续改进要求，为水利工程建设单位、监理单位、施工单位、检测单位及相关管理机构开展智慧化管控与质量验收提供依据。</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水利施工智慧化管控与质量验收规程</w:t>
          </w:r>
        </w:p>
      </w:sdtContent>
    </w:sdt>
    <w:bookmarkEnd w:id="27"/>
    <w:p w14:paraId="3DB22445">
      <w:pPr>
        <w:pStyle w:val="104"/>
        <w:spacing w:before="240" w:after="240" w:line="360" w:lineRule="auto"/>
      </w:pPr>
      <w:bookmarkStart w:id="28" w:name="_Toc17233325"/>
      <w:bookmarkStart w:id="29" w:name="_Toc17233333"/>
      <w:bookmarkStart w:id="30" w:name="_Toc24884211"/>
      <w:bookmarkStart w:id="31" w:name="_Toc24884218"/>
      <w:bookmarkStart w:id="32" w:name="_Toc26648465"/>
      <w:bookmarkStart w:id="33" w:name="_Toc26986771"/>
      <w:bookmarkStart w:id="34" w:name="_Toc26718930"/>
      <w:bookmarkStart w:id="35" w:name="_Toc97192964"/>
      <w:bookmarkStart w:id="36" w:name="_Toc26986530"/>
      <w:bookmarkStart w:id="37" w:name="_Toc219118871"/>
      <w:r>
        <w:rPr>
          <w:rFonts w:hint="eastAsia"/>
        </w:rPr>
        <w:t>范围</w:t>
      </w:r>
      <w:bookmarkEnd w:id="28"/>
      <w:bookmarkEnd w:id="29"/>
      <w:bookmarkEnd w:id="30"/>
      <w:bookmarkEnd w:id="31"/>
      <w:bookmarkEnd w:id="32"/>
      <w:bookmarkEnd w:id="33"/>
      <w:bookmarkEnd w:id="34"/>
      <w:bookmarkEnd w:id="35"/>
      <w:bookmarkEnd w:id="36"/>
      <w:bookmarkEnd w:id="37"/>
    </w:p>
    <w:p w14:paraId="23C7F8A4">
      <w:pPr>
        <w:pStyle w:val="56"/>
        <w:spacing w:line="360" w:lineRule="auto"/>
        <w:ind w:firstLine="420"/>
      </w:pPr>
      <w:bookmarkStart w:id="38" w:name="_Toc17233326"/>
      <w:bookmarkStart w:id="39" w:name="_Toc17233334"/>
      <w:bookmarkStart w:id="40" w:name="_Toc24884212"/>
      <w:bookmarkStart w:id="41" w:name="_Toc26648466"/>
      <w:bookmarkStart w:id="42" w:name="_Toc24884219"/>
      <w:r>
        <w:rPr>
          <w:rFonts w:hint="eastAsia"/>
        </w:rPr>
        <w:t>本文件规定了水利工程施工阶段智慧化管控与质量验收的总体要求、智慧化管控系统与数据要求、施工过程智慧化管控要求、质量检验检测与质量验收要求、数字化交付与档案归集移交要求、运行维护与系统保障要求、监督评价与持续改进等内容。</w:t>
      </w:r>
    </w:p>
    <w:p w14:paraId="76265264">
      <w:pPr>
        <w:pStyle w:val="56"/>
        <w:spacing w:line="360" w:lineRule="auto"/>
        <w:ind w:firstLine="420"/>
      </w:pPr>
      <w:r>
        <w:rPr>
          <w:rFonts w:hint="eastAsia"/>
        </w:rPr>
        <w:t>本文件适用于新建、改建、扩建及除险加固等水利工程建设项目的施工过程管理与质量验收工作，适用对象包括建设单位、施工单位、监理单位、检测单位以及其他参与质量管理与验收活动的单位。</w:t>
      </w:r>
    </w:p>
    <w:p w14:paraId="3733B2AD">
      <w:pPr>
        <w:pStyle w:val="104"/>
        <w:spacing w:before="240" w:after="240" w:line="360" w:lineRule="auto"/>
      </w:pPr>
      <w:bookmarkStart w:id="43" w:name="_Toc97192965"/>
      <w:bookmarkStart w:id="44" w:name="_Toc219118872"/>
      <w:bookmarkStart w:id="45" w:name="_Toc26718931"/>
      <w:bookmarkStart w:id="46" w:name="_Toc26986531"/>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FCBAB0">
      <w:pPr>
        <w:pStyle w:val="56"/>
        <w:spacing w:line="360" w:lineRule="auto"/>
        <w:ind w:firstLine="420"/>
      </w:pPr>
      <w:r>
        <w:rPr>
          <w:rFonts w:hint="eastAsia"/>
        </w:rPr>
        <w:t xml:space="preserve">GB/T 1.1—2020 标准化工作导则 </w:t>
      </w:r>
      <w:r>
        <w:t xml:space="preserve"> </w:t>
      </w:r>
      <w:r>
        <w:rPr>
          <w:rFonts w:hint="eastAsia"/>
        </w:rPr>
        <w:t>第1部分：标准化文件的结构和起草规则</w:t>
      </w:r>
    </w:p>
    <w:p w14:paraId="6A373581">
      <w:pPr>
        <w:pStyle w:val="56"/>
        <w:spacing w:line="360" w:lineRule="auto"/>
        <w:ind w:firstLine="420"/>
      </w:pPr>
      <w:r>
        <w:t>GB/T 7408</w:t>
      </w:r>
      <w:r>
        <w:rPr>
          <w:rFonts w:hint="eastAsia"/>
        </w:rPr>
        <w:t>—</w:t>
      </w:r>
      <w:r>
        <w:t>2023</w:t>
      </w:r>
      <w:r>
        <w:rPr>
          <w:rFonts w:hint="eastAsia"/>
        </w:rPr>
        <w:t xml:space="preserve"> 日期和时间  信息交换表示法</w:t>
      </w:r>
    </w:p>
    <w:p w14:paraId="07A7F860">
      <w:pPr>
        <w:pStyle w:val="56"/>
        <w:spacing w:line="360" w:lineRule="auto"/>
        <w:ind w:firstLine="420"/>
      </w:pPr>
      <w:r>
        <w:rPr>
          <w:rFonts w:hint="eastAsia"/>
        </w:rPr>
        <w:t xml:space="preserve">GB/T 22239—2019 信息安全技术 </w:t>
      </w:r>
      <w:r>
        <w:t xml:space="preserve"> </w:t>
      </w:r>
      <w:r>
        <w:rPr>
          <w:rFonts w:hint="eastAsia"/>
        </w:rPr>
        <w:t>网络安全等级保护基本要求</w:t>
      </w:r>
    </w:p>
    <w:p w14:paraId="51F02A4E">
      <w:pPr>
        <w:pStyle w:val="104"/>
        <w:spacing w:before="240" w:after="240" w:line="360" w:lineRule="auto"/>
      </w:pPr>
      <w:bookmarkStart w:id="48" w:name="_Toc97192966"/>
      <w:bookmarkStart w:id="49" w:name="_Toc219118873"/>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715F19D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智慧化管控 intelligent management and control</w:t>
      </w:r>
    </w:p>
    <w:p w14:paraId="1CF4CB53">
      <w:pPr>
        <w:pStyle w:val="56"/>
        <w:spacing w:line="360" w:lineRule="auto"/>
        <w:ind w:firstLine="420"/>
      </w:pPr>
      <w:r>
        <w:rPr>
          <w:rFonts w:hint="eastAsia"/>
        </w:rPr>
        <w:t>以数据为核心驱动，综合应用物联网感知、移动互联、定位测量、视频智能分析、bim、gis、模型计算与规则引擎等技术，对施工现场的人、机、料、法、环要素及施工进度、质量、安全、环保等进行在线采集、协同控制、风险预警与闭环整改的管理方式。</w:t>
      </w:r>
    </w:p>
    <w:p w14:paraId="770FD32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质量验收 quality acceptance</w:t>
      </w:r>
    </w:p>
    <w:p w14:paraId="1D484119">
      <w:pPr>
        <w:pStyle w:val="56"/>
        <w:spacing w:line="360" w:lineRule="auto"/>
        <w:ind w:firstLine="420"/>
      </w:pPr>
      <w:r>
        <w:rPr>
          <w:rFonts w:hint="eastAsia"/>
        </w:rPr>
        <w:t>按规定程序对分项工程、单元工程、分部工程、单位工程等质量符合性进行检查、评定与确认的活动，包括资料核查、实体抽检、检测复核与验收结论形成。</w:t>
      </w:r>
    </w:p>
    <w:p w14:paraId="76630D7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质量证据链 quality evidence chain</w:t>
      </w:r>
    </w:p>
    <w:p w14:paraId="3701A423">
      <w:pPr>
        <w:pStyle w:val="56"/>
        <w:spacing w:line="360" w:lineRule="auto"/>
        <w:ind w:firstLine="420"/>
      </w:pPr>
      <w:r>
        <w:rPr>
          <w:rFonts w:hint="eastAsia"/>
        </w:rPr>
        <w:t>为支撑质量验收结论可信与可追溯，围绕原材料、工序、隐蔽工程、检验检测、监理旁站、验收签认等形成的连续证据集合，包含数据、影像、记录、报告、签章与版本留痕等要素。</w:t>
      </w:r>
    </w:p>
    <w:p w14:paraId="0214756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数字化交付 digital delivery</w:t>
      </w:r>
    </w:p>
    <w:p w14:paraId="626917D8">
      <w:pPr>
        <w:pStyle w:val="56"/>
        <w:spacing w:line="360" w:lineRule="auto"/>
        <w:ind w:firstLine="420"/>
      </w:pPr>
      <w:r>
        <w:rPr>
          <w:rFonts w:hint="eastAsia"/>
        </w:rPr>
        <w:t>在满足工程建设管理与运行管理需求的前提下，以结构化数据与标准化文件形式交付施工过程与质量验收成果（含模型、图纸、检测数据、影像资料、验收记录、台账与档案目录等），并确保可读取、可校核、可追溯与可长期保存。</w:t>
      </w:r>
    </w:p>
    <w:p w14:paraId="21669C3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隐蔽工程 hidden works</w:t>
      </w:r>
    </w:p>
    <w:p w14:paraId="351D4652">
      <w:pPr>
        <w:pStyle w:val="56"/>
        <w:spacing w:line="360" w:lineRule="auto"/>
        <w:ind w:firstLine="420"/>
      </w:pPr>
      <w:r>
        <w:rPr>
          <w:rFonts w:hint="eastAsia"/>
        </w:rPr>
        <w:t>在后续工序完成后将被覆盖、难以直接检查或复查成本高的工程部位或工序，例如基础处理、钢筋埋设、预埋件、止水与防渗构造、管线敷设等。</w:t>
      </w:r>
    </w:p>
    <w:p w14:paraId="11ED402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关键工序 critical process</w:t>
      </w:r>
    </w:p>
    <w:p w14:paraId="3614C256">
      <w:pPr>
        <w:pStyle w:val="56"/>
        <w:spacing w:line="360" w:lineRule="auto"/>
        <w:ind w:firstLine="420"/>
      </w:pPr>
      <w:r>
        <w:rPr>
          <w:rFonts w:hint="eastAsia"/>
        </w:rPr>
        <w:t>对工程结构安全、耐久性、防渗性能、运行可靠性或后续验收结论具有决定性影响，且质量风险高、纠偏代价大的施工工序或作业活动。</w:t>
      </w:r>
    </w:p>
    <w:p w14:paraId="0D98B38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旁站监理旁站旁站现场监督旁站 site supervision by stationing</w:t>
      </w:r>
    </w:p>
    <w:p w14:paraId="4E2EA497">
      <w:pPr>
        <w:pStyle w:val="56"/>
        <w:spacing w:line="360" w:lineRule="auto"/>
        <w:ind w:firstLine="420"/>
      </w:pPr>
      <w:r>
        <w:rPr>
          <w:rFonts w:hint="eastAsia"/>
        </w:rPr>
        <w:t>监理单位按规定对关键工序、重要部位或风险作业实施全过程或关键节点现场见证与监督，并形成可核验记录的活动。</w:t>
      </w:r>
    </w:p>
    <w:p w14:paraId="52C4744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数据对齐 time-space alignment</w:t>
      </w:r>
    </w:p>
    <w:p w14:paraId="6C4EEC80">
      <w:pPr>
        <w:pStyle w:val="56"/>
        <w:spacing w:line="360" w:lineRule="auto"/>
        <w:ind w:firstLine="420"/>
      </w:pPr>
      <w:r>
        <w:rPr>
          <w:rFonts w:hint="eastAsia"/>
        </w:rPr>
        <w:t>对多源数据进行统一时间基准与空间基准处理，使监测数据、工序记录、影像资料、检测报告与模型对象在同一项目编码体系下实现一一对应与关联检索的过程。</w:t>
      </w:r>
    </w:p>
    <w:p w14:paraId="38E63FF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数据质量控制 data quality control</w:t>
      </w:r>
    </w:p>
    <w:p w14:paraId="1E55D359">
      <w:pPr>
        <w:pStyle w:val="56"/>
        <w:spacing w:line="360" w:lineRule="auto"/>
        <w:ind w:firstLine="420"/>
      </w:pPr>
      <w:r>
        <w:rPr>
          <w:rFonts w:hint="eastAsia"/>
        </w:rPr>
        <w:t>对数据采集、传输、存储、处理与共享过程实施的完整性、准确性、一致性、及时性与可追溯性控制活动，包括校准、比对、异常识别、修正留痕与版本管理等。</w:t>
      </w:r>
    </w:p>
    <w:p w14:paraId="3F0D231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电子签认 electronic approval</w:t>
      </w:r>
    </w:p>
    <w:p w14:paraId="11ED0D72">
      <w:pPr>
        <w:pStyle w:val="56"/>
        <w:spacing w:line="360" w:lineRule="auto"/>
        <w:ind w:firstLine="420"/>
      </w:pPr>
      <w:r>
        <w:rPr>
          <w:rFonts w:hint="eastAsia"/>
        </w:rPr>
        <w:t>在满足法律法规与管理制度要求前提下，采用电子签名、电子印章或等效机制完成验收记录、指令、报告等文件的签署确认与流转归档的方式。</w:t>
      </w:r>
    </w:p>
    <w:p w14:paraId="3CF85299">
      <w:pPr>
        <w:pStyle w:val="56"/>
        <w:spacing w:line="360" w:lineRule="auto"/>
        <w:ind w:firstLine="199" w:firstLineChars="95"/>
      </w:pPr>
    </w:p>
    <w:p w14:paraId="1713BE42">
      <w:pPr>
        <w:pStyle w:val="104"/>
        <w:spacing w:before="240" w:after="240" w:line="360" w:lineRule="auto"/>
      </w:pPr>
      <w:bookmarkStart w:id="51" w:name="_Toc219118874"/>
      <w:r>
        <w:rPr>
          <w:rFonts w:hint="eastAsia"/>
        </w:rPr>
        <w:t>总体要求</w:t>
      </w:r>
      <w:bookmarkEnd w:id="51"/>
    </w:p>
    <w:p w14:paraId="6E00D145">
      <w:pPr>
        <w:pStyle w:val="105"/>
        <w:spacing w:before="120" w:after="120" w:line="360" w:lineRule="auto"/>
      </w:pPr>
      <w:r>
        <w:rPr>
          <w:rFonts w:hint="eastAsia"/>
        </w:rPr>
        <w:t>基本原则</w:t>
      </w:r>
    </w:p>
    <w:p w14:paraId="40C15CBB">
      <w:pPr>
        <w:pStyle w:val="56"/>
        <w:spacing w:line="360" w:lineRule="auto"/>
        <w:ind w:firstLine="420"/>
      </w:pPr>
      <w:r>
        <w:rPr>
          <w:rFonts w:hint="eastAsia"/>
        </w:rPr>
        <w:t>智慧化管控与质量验收应坚持“标准统一、过程可控、证据可信、数据可用、责任可追溯”的原则，并满足以下要求：</w:t>
      </w:r>
    </w:p>
    <w:p w14:paraId="550F36B8">
      <w:pPr>
        <w:pStyle w:val="56"/>
        <w:spacing w:line="360" w:lineRule="auto"/>
        <w:ind w:firstLine="420"/>
      </w:pPr>
      <w:r>
        <w:rPr>
          <w:rFonts w:hint="eastAsia"/>
        </w:rPr>
        <w:t>a) 底线思维与风险导向：围绕结构安全、防渗安全、度汛安全与施工安全等底线目标，识别关键工序与高风险部位，实施分级分类管控；</w:t>
      </w:r>
    </w:p>
    <w:p w14:paraId="43B300F1">
      <w:pPr>
        <w:pStyle w:val="56"/>
        <w:spacing w:line="360" w:lineRule="auto"/>
        <w:ind w:firstLine="420"/>
      </w:pPr>
      <w:r>
        <w:rPr>
          <w:rFonts w:hint="eastAsia"/>
        </w:rPr>
        <w:t>b) 过程控制优先：以工序质量控制与隐蔽工程验收为主线，形成“计划—执行—校核—纠偏—复核—闭环”链条，避免仅依赖末端抽检；</w:t>
      </w:r>
    </w:p>
    <w:p w14:paraId="4537FE0F">
      <w:pPr>
        <w:pStyle w:val="56"/>
        <w:spacing w:line="360" w:lineRule="auto"/>
        <w:ind w:firstLine="420"/>
      </w:pPr>
      <w:r>
        <w:rPr>
          <w:rFonts w:hint="eastAsia"/>
        </w:rPr>
        <w:t>c) 数据与实体一致：坚持“数据对应实体、数据来源可核验”，对关键指标实施多源校核，防止“数据漂亮、实体失真”；</w:t>
      </w:r>
    </w:p>
    <w:p w14:paraId="101A5D7E">
      <w:pPr>
        <w:pStyle w:val="56"/>
        <w:spacing w:line="360" w:lineRule="auto"/>
        <w:ind w:firstLine="420"/>
      </w:pPr>
      <w:r>
        <w:rPr>
          <w:rFonts w:hint="eastAsia"/>
        </w:rPr>
        <w:t>d) 协同一致与权责清晰：建设、施工、监理、检测等单位在同一数据口径与流程规则下协同作业，责任边界、审批权限与留痕要求明确；</w:t>
      </w:r>
    </w:p>
    <w:p w14:paraId="4E298868">
      <w:pPr>
        <w:pStyle w:val="56"/>
        <w:spacing w:line="360" w:lineRule="auto"/>
        <w:ind w:firstLine="420"/>
      </w:pPr>
      <w:r>
        <w:rPr>
          <w:rFonts w:hint="eastAsia"/>
        </w:rPr>
        <w:t>e) 安全合规与长期可用：信息系统与数据管理满足网络安全与档案管理要求，数字化成果具备可读取、可迁移与可长期保存能力。</w:t>
      </w:r>
    </w:p>
    <w:p w14:paraId="51B4B981">
      <w:pPr>
        <w:pStyle w:val="105"/>
        <w:spacing w:before="120" w:after="120" w:line="360" w:lineRule="auto"/>
      </w:pPr>
      <w:r>
        <w:rPr>
          <w:rFonts w:hint="eastAsia"/>
        </w:rPr>
        <w:t>智慧化管控与质量验收闭环框架</w:t>
      </w:r>
    </w:p>
    <w:p w14:paraId="58E44E04">
      <w:pPr>
        <w:pStyle w:val="56"/>
        <w:spacing w:line="360" w:lineRule="auto"/>
        <w:ind w:firstLine="420"/>
      </w:pPr>
      <w:r>
        <w:rPr>
          <w:rFonts w:hint="eastAsia"/>
        </w:rPr>
        <w:t>智慧化管控应覆盖施工准备、过程施工、质量检测、验收评定与资料移交全过程，形成以“数据采集—过程控制—验收判定—档案归集—反馈改进”为核心的闭环框架。闭环框架见图1。</w:t>
      </w:r>
    </w:p>
    <w:p w14:paraId="4991D641">
      <w:pPr>
        <w:pStyle w:val="56"/>
        <w:spacing w:line="360" w:lineRule="auto"/>
        <w:ind w:firstLine="0" w:firstLineChars="0"/>
        <w:jc w:val="center"/>
      </w:pPr>
      <w:r>
        <w:drawing>
          <wp:inline distT="0" distB="0" distL="0" distR="0">
            <wp:extent cx="3352800" cy="3005455"/>
            <wp:effectExtent l="0" t="0" r="0" b="4445"/>
            <wp:docPr id="12420854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85499" name="图片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3352800" cy="3005455"/>
                    </a:xfrm>
                    <a:prstGeom prst="rect">
                      <a:avLst/>
                    </a:prstGeom>
                    <a:noFill/>
                  </pic:spPr>
                </pic:pic>
              </a:graphicData>
            </a:graphic>
          </wp:inline>
        </w:drawing>
      </w:r>
    </w:p>
    <w:p w14:paraId="320BEBD0">
      <w:pPr>
        <w:pStyle w:val="114"/>
        <w:spacing w:before="120" w:after="120" w:line="360" w:lineRule="auto"/>
      </w:pPr>
      <w:r>
        <w:rPr>
          <w:rFonts w:hint="eastAsia"/>
        </w:rPr>
        <w:t>水利施工智慧化管控与质量验收闭环框架</w:t>
      </w:r>
    </w:p>
    <w:p w14:paraId="03A1E9DD">
      <w:pPr>
        <w:pStyle w:val="56"/>
        <w:ind w:firstLine="199" w:firstLineChars="95"/>
      </w:pPr>
    </w:p>
    <w:p w14:paraId="667286D8">
      <w:pPr>
        <w:pStyle w:val="105"/>
        <w:spacing w:before="120" w:after="120" w:line="360" w:lineRule="auto"/>
      </w:pPr>
      <w:r>
        <w:rPr>
          <w:rFonts w:hint="eastAsia"/>
        </w:rPr>
        <w:t>管控对象、数据项与最小配置要求</w:t>
      </w:r>
    </w:p>
    <w:p w14:paraId="15D401B4">
      <w:pPr>
        <w:pStyle w:val="56"/>
        <w:spacing w:line="360" w:lineRule="auto"/>
        <w:ind w:firstLine="420"/>
      </w:pPr>
      <w:r>
        <w:rPr>
          <w:rFonts w:hint="eastAsia"/>
        </w:rPr>
        <w:t>智慧化管控应以工程实体对象与施工过程对象为管理主线，至少应实现对关键工序、关键材料与关键设备的可视化、可量化与可追溯。表1给出了典型管控对象与建议采集数据项的最小配置示例，项目可根据工程类型与合同管理要求细化扩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2127"/>
        <w:gridCol w:w="2268"/>
        <w:gridCol w:w="2126"/>
        <w:gridCol w:w="1689"/>
      </w:tblGrid>
      <w:tr w14:paraId="43699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26088BB9">
            <w:pPr>
              <w:pStyle w:val="178"/>
            </w:pPr>
            <w:r>
              <w:rPr>
                <w:rFonts w:hint="eastAsia"/>
              </w:rPr>
              <w:t>管控对象类别</w:t>
            </w:r>
          </w:p>
        </w:tc>
        <w:tc>
          <w:tcPr>
            <w:tcW w:w="2127" w:type="dxa"/>
            <w:tcBorders>
              <w:top w:val="single" w:color="auto" w:sz="8" w:space="0"/>
              <w:bottom w:val="single" w:color="auto" w:sz="8" w:space="0"/>
            </w:tcBorders>
            <w:vAlign w:val="center"/>
          </w:tcPr>
          <w:p w14:paraId="30E4EE4E">
            <w:pPr>
              <w:pStyle w:val="178"/>
            </w:pPr>
            <w:r>
              <w:rPr>
                <w:rFonts w:hint="eastAsia"/>
              </w:rPr>
              <w:t>典型对象</w:t>
            </w:r>
          </w:p>
        </w:tc>
        <w:tc>
          <w:tcPr>
            <w:tcW w:w="2268" w:type="dxa"/>
            <w:tcBorders>
              <w:top w:val="single" w:color="auto" w:sz="8" w:space="0"/>
              <w:bottom w:val="single" w:color="auto" w:sz="8" w:space="0"/>
            </w:tcBorders>
            <w:vAlign w:val="center"/>
          </w:tcPr>
          <w:p w14:paraId="599705B8">
            <w:pPr>
              <w:pStyle w:val="178"/>
            </w:pPr>
            <w:r>
              <w:rPr>
                <w:rFonts w:hint="eastAsia"/>
              </w:rPr>
              <w:t>建议采集数据项</w:t>
            </w:r>
          </w:p>
        </w:tc>
        <w:tc>
          <w:tcPr>
            <w:tcW w:w="2126" w:type="dxa"/>
            <w:tcBorders>
              <w:top w:val="single" w:color="auto" w:sz="8" w:space="0"/>
              <w:bottom w:val="single" w:color="auto" w:sz="8" w:space="0"/>
            </w:tcBorders>
            <w:vAlign w:val="center"/>
          </w:tcPr>
          <w:p w14:paraId="11C34674">
            <w:pPr>
              <w:pStyle w:val="178"/>
            </w:pPr>
            <w:r>
              <w:rPr>
                <w:rFonts w:hint="eastAsia"/>
              </w:rPr>
              <w:t>采集方式</w:t>
            </w:r>
          </w:p>
        </w:tc>
        <w:tc>
          <w:tcPr>
            <w:tcW w:w="1689" w:type="dxa"/>
            <w:tcBorders>
              <w:top w:val="single" w:color="auto" w:sz="8" w:space="0"/>
              <w:bottom w:val="single" w:color="auto" w:sz="8" w:space="0"/>
            </w:tcBorders>
            <w:vAlign w:val="center"/>
          </w:tcPr>
          <w:p w14:paraId="0B72851E">
            <w:pPr>
              <w:pStyle w:val="178"/>
            </w:pPr>
            <w:r>
              <w:rPr>
                <w:rFonts w:hint="eastAsia"/>
              </w:rPr>
              <w:t>质量控制要点</w:t>
            </w:r>
          </w:p>
        </w:tc>
      </w:tr>
      <w:tr w14:paraId="1B2C3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444BCFBE">
            <w:pPr>
              <w:pStyle w:val="178"/>
            </w:pPr>
            <w:r>
              <w:rPr>
                <w:rFonts w:hint="eastAsia"/>
              </w:rPr>
              <w:t>人员</w:t>
            </w:r>
          </w:p>
        </w:tc>
        <w:tc>
          <w:tcPr>
            <w:tcW w:w="2127" w:type="dxa"/>
            <w:tcBorders>
              <w:top w:val="single" w:color="auto" w:sz="8" w:space="0"/>
            </w:tcBorders>
            <w:vAlign w:val="center"/>
          </w:tcPr>
          <w:p w14:paraId="2B6D81BE">
            <w:pPr>
              <w:pStyle w:val="178"/>
            </w:pPr>
            <w:r>
              <w:rPr>
                <w:rFonts w:hint="eastAsia"/>
              </w:rPr>
              <w:t>关键岗位人员、特种作业人员</w:t>
            </w:r>
          </w:p>
        </w:tc>
        <w:tc>
          <w:tcPr>
            <w:tcW w:w="2268" w:type="dxa"/>
            <w:tcBorders>
              <w:top w:val="single" w:color="auto" w:sz="8" w:space="0"/>
            </w:tcBorders>
            <w:vAlign w:val="center"/>
          </w:tcPr>
          <w:p w14:paraId="23172812">
            <w:pPr>
              <w:pStyle w:val="178"/>
            </w:pPr>
            <w:r>
              <w:rPr>
                <w:rFonts w:hint="eastAsia"/>
              </w:rPr>
              <w:t>身份、资质、培训记录、到岗/离岗、作业轨迹</w:t>
            </w:r>
          </w:p>
        </w:tc>
        <w:tc>
          <w:tcPr>
            <w:tcW w:w="2126" w:type="dxa"/>
            <w:tcBorders>
              <w:top w:val="single" w:color="auto" w:sz="8" w:space="0"/>
            </w:tcBorders>
            <w:vAlign w:val="center"/>
          </w:tcPr>
          <w:p w14:paraId="4A691068">
            <w:pPr>
              <w:pStyle w:val="178"/>
            </w:pPr>
            <w:r>
              <w:rPr>
                <w:rFonts w:hint="eastAsia"/>
              </w:rPr>
              <w:t>人脸/工卡、定位、移动端</w:t>
            </w:r>
          </w:p>
        </w:tc>
        <w:tc>
          <w:tcPr>
            <w:tcW w:w="1689" w:type="dxa"/>
            <w:tcBorders>
              <w:top w:val="single" w:color="auto" w:sz="8" w:space="0"/>
            </w:tcBorders>
            <w:vAlign w:val="center"/>
          </w:tcPr>
          <w:p w14:paraId="3BA745C4">
            <w:pPr>
              <w:pStyle w:val="178"/>
            </w:pPr>
            <w:r>
              <w:rPr>
                <w:rFonts w:hint="eastAsia"/>
              </w:rPr>
              <w:t>资质有效性校验、越权作业预警</w:t>
            </w:r>
          </w:p>
        </w:tc>
      </w:tr>
      <w:tr w14:paraId="2CCFD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0B4CCEC0">
            <w:pPr>
              <w:pStyle w:val="178"/>
            </w:pPr>
            <w:r>
              <w:rPr>
                <w:rFonts w:hint="eastAsia"/>
              </w:rPr>
              <w:t>机械设备</w:t>
            </w:r>
          </w:p>
        </w:tc>
        <w:tc>
          <w:tcPr>
            <w:tcW w:w="2127" w:type="dxa"/>
            <w:vAlign w:val="center"/>
          </w:tcPr>
          <w:p w14:paraId="1CA46256">
            <w:pPr>
              <w:pStyle w:val="178"/>
            </w:pPr>
            <w:r>
              <w:rPr>
                <w:rFonts w:hint="eastAsia"/>
              </w:rPr>
              <w:t>吊装、碾压、拌和、泵送、焊接等设备</w:t>
            </w:r>
          </w:p>
        </w:tc>
        <w:tc>
          <w:tcPr>
            <w:tcW w:w="2268" w:type="dxa"/>
            <w:vAlign w:val="center"/>
          </w:tcPr>
          <w:p w14:paraId="695D34C3">
            <w:pPr>
              <w:pStyle w:val="178"/>
            </w:pPr>
            <w:r>
              <w:rPr>
                <w:rFonts w:hint="eastAsia"/>
              </w:rPr>
              <w:t>设备编号、工况参数、启停、保养检修、故障码</w:t>
            </w:r>
          </w:p>
        </w:tc>
        <w:tc>
          <w:tcPr>
            <w:tcW w:w="2126" w:type="dxa"/>
            <w:vAlign w:val="center"/>
          </w:tcPr>
          <w:p w14:paraId="37BE0D88">
            <w:pPr>
              <w:pStyle w:val="178"/>
            </w:pPr>
            <w:r>
              <w:rPr>
                <w:rFonts w:hint="eastAsia"/>
              </w:rPr>
              <w:t>物联网、台账、设备接口</w:t>
            </w:r>
          </w:p>
        </w:tc>
        <w:tc>
          <w:tcPr>
            <w:tcW w:w="1689" w:type="dxa"/>
            <w:vAlign w:val="center"/>
          </w:tcPr>
          <w:p w14:paraId="1119FB71">
            <w:pPr>
              <w:pStyle w:val="178"/>
            </w:pPr>
            <w:r>
              <w:rPr>
                <w:rFonts w:hint="eastAsia"/>
              </w:rPr>
              <w:t>关键参数阈值控制、检修期禁用</w:t>
            </w:r>
          </w:p>
        </w:tc>
      </w:tr>
      <w:tr w14:paraId="0E17E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3CF08AD8">
            <w:pPr>
              <w:pStyle w:val="178"/>
            </w:pPr>
            <w:r>
              <w:rPr>
                <w:rFonts w:hint="eastAsia"/>
              </w:rPr>
              <w:t>材料</w:t>
            </w:r>
          </w:p>
        </w:tc>
        <w:tc>
          <w:tcPr>
            <w:tcW w:w="2127" w:type="dxa"/>
            <w:vAlign w:val="center"/>
          </w:tcPr>
          <w:p w14:paraId="730B4C4B">
            <w:pPr>
              <w:pStyle w:val="178"/>
            </w:pPr>
            <w:r>
              <w:rPr>
                <w:rFonts w:hint="eastAsia"/>
              </w:rPr>
              <w:t>水泥、钢筋、骨料、止水材料等</w:t>
            </w:r>
          </w:p>
        </w:tc>
        <w:tc>
          <w:tcPr>
            <w:tcW w:w="2268" w:type="dxa"/>
            <w:vAlign w:val="center"/>
          </w:tcPr>
          <w:p w14:paraId="137AD28F">
            <w:pPr>
              <w:pStyle w:val="178"/>
            </w:pPr>
            <w:r>
              <w:rPr>
                <w:rFonts w:hint="eastAsia"/>
              </w:rPr>
              <w:t>批次、进场验收、取样见证、检验报告、使用部位</w:t>
            </w:r>
          </w:p>
        </w:tc>
        <w:tc>
          <w:tcPr>
            <w:tcW w:w="2126" w:type="dxa"/>
            <w:vAlign w:val="center"/>
          </w:tcPr>
          <w:p w14:paraId="69EC6E6B">
            <w:pPr>
              <w:pStyle w:val="178"/>
            </w:pPr>
            <w:r>
              <w:rPr>
                <w:rFonts w:hint="eastAsia"/>
              </w:rPr>
              <w:t>条码/rfid、移动端、试验系统</w:t>
            </w:r>
          </w:p>
        </w:tc>
        <w:tc>
          <w:tcPr>
            <w:tcW w:w="1689" w:type="dxa"/>
            <w:vAlign w:val="center"/>
          </w:tcPr>
          <w:p w14:paraId="2E550119">
            <w:pPr>
              <w:pStyle w:val="178"/>
            </w:pPr>
            <w:r>
              <w:rPr>
                <w:rFonts w:hint="eastAsia"/>
              </w:rPr>
              <w:t>批次一致性、报告真伪与时效核验</w:t>
            </w:r>
          </w:p>
        </w:tc>
      </w:tr>
      <w:tr w14:paraId="60C73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67C04D7">
            <w:pPr>
              <w:pStyle w:val="178"/>
            </w:pPr>
            <w:r>
              <w:rPr>
                <w:rFonts w:hint="eastAsia"/>
              </w:rPr>
              <w:t>工序</w:t>
            </w:r>
          </w:p>
        </w:tc>
        <w:tc>
          <w:tcPr>
            <w:tcW w:w="2127" w:type="dxa"/>
            <w:vAlign w:val="center"/>
          </w:tcPr>
          <w:p w14:paraId="1ED28473">
            <w:pPr>
              <w:pStyle w:val="178"/>
            </w:pPr>
            <w:r>
              <w:rPr>
                <w:rFonts w:hint="eastAsia"/>
              </w:rPr>
              <w:t>基础处理、钢筋绑扎、混凝土浇筑、防渗施工等</w:t>
            </w:r>
          </w:p>
        </w:tc>
        <w:tc>
          <w:tcPr>
            <w:tcW w:w="2268" w:type="dxa"/>
            <w:vAlign w:val="center"/>
          </w:tcPr>
          <w:p w14:paraId="0D2FE92D">
            <w:pPr>
              <w:pStyle w:val="178"/>
            </w:pPr>
            <w:r>
              <w:rPr>
                <w:rFonts w:hint="eastAsia"/>
              </w:rPr>
              <w:t>工序开始/结束、关键参数、旁站记录、影像、整改闭环</w:t>
            </w:r>
          </w:p>
        </w:tc>
        <w:tc>
          <w:tcPr>
            <w:tcW w:w="2126" w:type="dxa"/>
            <w:vAlign w:val="center"/>
          </w:tcPr>
          <w:p w14:paraId="02111C13">
            <w:pPr>
              <w:pStyle w:val="178"/>
            </w:pPr>
            <w:r>
              <w:rPr>
                <w:rFonts w:hint="eastAsia"/>
              </w:rPr>
              <w:t>移动端、视频、传感器</w:t>
            </w:r>
          </w:p>
        </w:tc>
        <w:tc>
          <w:tcPr>
            <w:tcW w:w="1689" w:type="dxa"/>
            <w:vAlign w:val="center"/>
          </w:tcPr>
          <w:p w14:paraId="656EA545">
            <w:pPr>
              <w:pStyle w:val="178"/>
            </w:pPr>
            <w:r>
              <w:rPr>
                <w:rFonts w:hint="eastAsia"/>
              </w:rPr>
              <w:t>“先验后隐蔽”、整改闭环率</w:t>
            </w:r>
          </w:p>
        </w:tc>
      </w:tr>
      <w:tr w14:paraId="1E75F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551E8AEB">
            <w:pPr>
              <w:pStyle w:val="178"/>
            </w:pPr>
            <w:r>
              <w:rPr>
                <w:rFonts w:hint="eastAsia"/>
              </w:rPr>
              <w:t>测量</w:t>
            </w:r>
          </w:p>
        </w:tc>
        <w:tc>
          <w:tcPr>
            <w:tcW w:w="2127" w:type="dxa"/>
            <w:vAlign w:val="center"/>
          </w:tcPr>
          <w:p w14:paraId="0FC43217">
            <w:pPr>
              <w:pStyle w:val="178"/>
            </w:pPr>
            <w:r>
              <w:rPr>
                <w:rFonts w:hint="eastAsia"/>
              </w:rPr>
              <w:t>轴线/高程/沉降/变形</w:t>
            </w:r>
          </w:p>
        </w:tc>
        <w:tc>
          <w:tcPr>
            <w:tcW w:w="2268" w:type="dxa"/>
            <w:vAlign w:val="center"/>
          </w:tcPr>
          <w:p w14:paraId="74C2523A">
            <w:pPr>
              <w:pStyle w:val="178"/>
            </w:pPr>
            <w:r>
              <w:rPr>
                <w:rFonts w:hint="eastAsia"/>
              </w:rPr>
              <w:t>测量成果、复核记录、点位、时间、仪器校准</w:t>
            </w:r>
          </w:p>
        </w:tc>
        <w:tc>
          <w:tcPr>
            <w:tcW w:w="2126" w:type="dxa"/>
            <w:vAlign w:val="center"/>
          </w:tcPr>
          <w:p w14:paraId="5DD96BE9">
            <w:pPr>
              <w:pStyle w:val="178"/>
            </w:pPr>
            <w:r>
              <w:rPr>
                <w:rFonts w:hint="eastAsia"/>
              </w:rPr>
              <w:t>RTK/全站仪接口、移动端</w:t>
            </w:r>
          </w:p>
        </w:tc>
        <w:tc>
          <w:tcPr>
            <w:tcW w:w="1689" w:type="dxa"/>
            <w:vAlign w:val="center"/>
          </w:tcPr>
          <w:p w14:paraId="790DB8C3">
            <w:pPr>
              <w:pStyle w:val="178"/>
            </w:pPr>
            <w:r>
              <w:rPr>
                <w:rFonts w:hint="eastAsia"/>
              </w:rPr>
              <w:t>双人复核、基准统一、成果版本化</w:t>
            </w:r>
          </w:p>
        </w:tc>
      </w:tr>
      <w:tr w14:paraId="6DB23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EDDEE55">
            <w:pPr>
              <w:pStyle w:val="178"/>
            </w:pPr>
            <w:r>
              <w:rPr>
                <w:rFonts w:hint="eastAsia"/>
              </w:rPr>
              <w:t>验收</w:t>
            </w:r>
          </w:p>
        </w:tc>
        <w:tc>
          <w:tcPr>
            <w:tcW w:w="2127" w:type="dxa"/>
            <w:vAlign w:val="center"/>
          </w:tcPr>
          <w:p w14:paraId="130D065A">
            <w:pPr>
              <w:pStyle w:val="178"/>
            </w:pPr>
            <w:r>
              <w:rPr>
                <w:rFonts w:hint="eastAsia"/>
              </w:rPr>
              <w:t>单元/分部/单位工程验收</w:t>
            </w:r>
          </w:p>
        </w:tc>
        <w:tc>
          <w:tcPr>
            <w:tcW w:w="2268" w:type="dxa"/>
            <w:vAlign w:val="center"/>
          </w:tcPr>
          <w:p w14:paraId="75B96B81">
            <w:pPr>
              <w:pStyle w:val="178"/>
            </w:pPr>
            <w:r>
              <w:rPr>
                <w:rFonts w:hint="eastAsia"/>
              </w:rPr>
              <w:t>验收申请、核查清单、抽检数据、签认结论</w:t>
            </w:r>
          </w:p>
        </w:tc>
        <w:tc>
          <w:tcPr>
            <w:tcW w:w="2126" w:type="dxa"/>
            <w:vAlign w:val="center"/>
          </w:tcPr>
          <w:p w14:paraId="655E38A2">
            <w:pPr>
              <w:pStyle w:val="178"/>
            </w:pPr>
            <w:r>
              <w:rPr>
                <w:rFonts w:hint="eastAsia"/>
              </w:rPr>
              <w:t>平台流程、电子签认</w:t>
            </w:r>
          </w:p>
        </w:tc>
        <w:tc>
          <w:tcPr>
            <w:tcW w:w="1689" w:type="dxa"/>
            <w:vAlign w:val="center"/>
          </w:tcPr>
          <w:p w14:paraId="6AAF99F5">
            <w:pPr>
              <w:pStyle w:val="178"/>
            </w:pPr>
            <w:r>
              <w:rPr>
                <w:rFonts w:hint="eastAsia"/>
              </w:rPr>
              <w:t>证据链完整性、结论可追溯</w:t>
            </w:r>
          </w:p>
        </w:tc>
      </w:tr>
    </w:tbl>
    <w:p w14:paraId="5FCD9D0D">
      <w:pPr>
        <w:pStyle w:val="104"/>
        <w:spacing w:before="240" w:after="240" w:line="360" w:lineRule="auto"/>
      </w:pPr>
      <w:bookmarkStart w:id="52" w:name="_Toc219118875"/>
      <w:r>
        <w:rPr>
          <w:rFonts w:hint="eastAsia"/>
        </w:rPr>
        <w:t>智慧化管控系统与数据要求</w:t>
      </w:r>
      <w:bookmarkEnd w:id="52"/>
    </w:p>
    <w:p w14:paraId="5A321BB2">
      <w:pPr>
        <w:pStyle w:val="105"/>
        <w:spacing w:before="120" w:after="120" w:line="360" w:lineRule="auto"/>
      </w:pPr>
      <w:r>
        <w:rPr>
          <w:rFonts w:hint="eastAsia"/>
        </w:rPr>
        <w:t>系统总体架构要求</w:t>
      </w:r>
    </w:p>
    <w:p w14:paraId="2BE53BE9">
      <w:pPr>
        <w:pStyle w:val="165"/>
        <w:spacing w:line="360" w:lineRule="auto"/>
      </w:pPr>
      <w:r>
        <w:rPr>
          <w:rFonts w:hint="eastAsia"/>
        </w:rPr>
        <w:t>智慧化管控系统应满足“业务一体化、数据统一化、流程标准化、证据可追溯、安全可管控”的总体要求，宜由以下子系统构成并实现互联互通：</w:t>
      </w:r>
    </w:p>
    <w:p w14:paraId="14381225">
      <w:pPr>
        <w:pStyle w:val="56"/>
        <w:spacing w:line="360" w:lineRule="auto"/>
        <w:ind w:firstLine="420"/>
      </w:pPr>
      <w:r>
        <w:rPr>
          <w:rFonts w:hint="eastAsia"/>
        </w:rPr>
        <w:t>a) 项目基础数据与编码管理子系统；</w:t>
      </w:r>
    </w:p>
    <w:p w14:paraId="461CC745">
      <w:pPr>
        <w:pStyle w:val="56"/>
        <w:spacing w:line="360" w:lineRule="auto"/>
        <w:ind w:firstLine="420"/>
      </w:pPr>
      <w:r>
        <w:rPr>
          <w:rFonts w:hint="eastAsia"/>
        </w:rPr>
        <w:t>b) 施工过程管理子系统（进度、工序报验、隐蔽验收、旁站、整改闭环等）；</w:t>
      </w:r>
    </w:p>
    <w:p w14:paraId="591573E3">
      <w:pPr>
        <w:pStyle w:val="56"/>
        <w:spacing w:line="360" w:lineRule="auto"/>
        <w:ind w:firstLine="420"/>
      </w:pPr>
      <w:r>
        <w:rPr>
          <w:rFonts w:hint="eastAsia"/>
        </w:rPr>
        <w:t>c) 质量检验检测管理子系统（取样见证、试验数据、报告流转、校准比对等）；</w:t>
      </w:r>
    </w:p>
    <w:p w14:paraId="270BB2CB">
      <w:pPr>
        <w:pStyle w:val="56"/>
        <w:spacing w:line="360" w:lineRule="auto"/>
        <w:ind w:firstLine="420"/>
      </w:pPr>
      <w:r>
        <w:rPr>
          <w:rFonts w:hint="eastAsia"/>
        </w:rPr>
        <w:t>d) 现场感知与视频管理子系统（物联网、视频监控、视频智能分析等）；</w:t>
      </w:r>
    </w:p>
    <w:p w14:paraId="06D6DBBC">
      <w:pPr>
        <w:pStyle w:val="56"/>
        <w:spacing w:line="360" w:lineRule="auto"/>
        <w:ind w:firstLine="420"/>
      </w:pPr>
      <w:r>
        <w:rPr>
          <w:rFonts w:hint="eastAsia"/>
        </w:rPr>
        <w:t>e) 测量与形变监测数据接入子系统（测量成果、监测数据、仪器校准信息等）；</w:t>
      </w:r>
    </w:p>
    <w:p w14:paraId="7BB8616F">
      <w:pPr>
        <w:pStyle w:val="56"/>
        <w:spacing w:line="360" w:lineRule="auto"/>
        <w:ind w:firstLine="420"/>
      </w:pPr>
      <w:r>
        <w:rPr>
          <w:rFonts w:hint="eastAsia"/>
        </w:rPr>
        <w:t>f) 质量验收评定与电子签认子系统（单元/分部/单位工程验收流程、签章留痕等）；</w:t>
      </w:r>
    </w:p>
    <w:p w14:paraId="6B7ECA9F">
      <w:pPr>
        <w:pStyle w:val="56"/>
        <w:spacing w:line="360" w:lineRule="auto"/>
        <w:ind w:firstLine="420"/>
      </w:pPr>
      <w:r>
        <w:rPr>
          <w:rFonts w:hint="eastAsia"/>
        </w:rPr>
        <w:t>g) 数字化交付与档案管理子系统（目录、版本、移交、长期保存等）；</w:t>
      </w:r>
    </w:p>
    <w:p w14:paraId="4C38756E">
      <w:pPr>
        <w:pStyle w:val="56"/>
        <w:spacing w:line="360" w:lineRule="auto"/>
        <w:ind w:firstLine="420"/>
      </w:pPr>
      <w:r>
        <w:rPr>
          <w:rFonts w:hint="eastAsia"/>
        </w:rPr>
        <w:t>h) 统计分析与预警看板子系统（指标体系、预警规则、趋势分析、问题库等）。</w:t>
      </w:r>
    </w:p>
    <w:p w14:paraId="20DB8B82">
      <w:pPr>
        <w:pStyle w:val="165"/>
        <w:spacing w:line="360" w:lineRule="auto"/>
      </w:pPr>
      <w:r>
        <w:rPr>
          <w:rFonts w:hint="eastAsia"/>
        </w:rPr>
        <w:t>系统应支持离线采集与断点续传，确保复杂工况、网络不稳定条件下关键数据不断链；应支持移动端与PC端协同操作，满足现场作业与管理审查需求。</w:t>
      </w:r>
    </w:p>
    <w:p w14:paraId="58297055">
      <w:pPr>
        <w:pStyle w:val="105"/>
        <w:spacing w:before="120" w:after="120" w:line="360" w:lineRule="auto"/>
      </w:pPr>
      <w:r>
        <w:rPr>
          <w:rFonts w:hint="eastAsia"/>
        </w:rPr>
        <w:t>工程对象编码与数据对齐要求</w:t>
      </w:r>
    </w:p>
    <w:p w14:paraId="35C4DF99">
      <w:pPr>
        <w:pStyle w:val="165"/>
        <w:spacing w:line="360" w:lineRule="auto"/>
      </w:pPr>
      <w:r>
        <w:rPr>
          <w:rFonts w:hint="eastAsia"/>
        </w:rPr>
        <w:t>智慧化管控应建立统一编码体系，实现“工程实体—工序—材料—设备—人员—检测—验收记录”的全链条关联。编码体系至少应覆盖：</w:t>
      </w:r>
    </w:p>
    <w:p w14:paraId="5CC2B8F6">
      <w:pPr>
        <w:pStyle w:val="56"/>
        <w:spacing w:line="360" w:lineRule="auto"/>
        <w:ind w:firstLine="420"/>
      </w:pPr>
      <w:r>
        <w:rPr>
          <w:rFonts w:hint="eastAsia"/>
        </w:rPr>
        <w:t>a) 工程层级编码：项目—单位工程—分部工程—单元工程—分项工程（或工序包）；</w:t>
      </w:r>
    </w:p>
    <w:p w14:paraId="353EA10A">
      <w:pPr>
        <w:pStyle w:val="56"/>
        <w:spacing w:line="360" w:lineRule="auto"/>
        <w:ind w:firstLine="420"/>
      </w:pPr>
      <w:r>
        <w:rPr>
          <w:rFonts w:hint="eastAsia"/>
        </w:rPr>
        <w:t>b) 位置空间编码：桩号、坐标、高程、构筑物部位、仓面（或施工段）等；</w:t>
      </w:r>
    </w:p>
    <w:p w14:paraId="3EB4D726">
      <w:pPr>
        <w:pStyle w:val="56"/>
        <w:spacing w:line="360" w:lineRule="auto"/>
        <w:ind w:firstLine="420"/>
      </w:pPr>
      <w:r>
        <w:rPr>
          <w:rFonts w:hint="eastAsia"/>
        </w:rPr>
        <w:t>c) 材料批次与构配件编码：批次号、供货单位、检验状态、使用部位；</w:t>
      </w:r>
    </w:p>
    <w:p w14:paraId="3AAE9077">
      <w:pPr>
        <w:pStyle w:val="56"/>
        <w:spacing w:line="360" w:lineRule="auto"/>
        <w:ind w:firstLine="420"/>
      </w:pPr>
      <w:r>
        <w:rPr>
          <w:rFonts w:hint="eastAsia"/>
        </w:rPr>
        <w:t>d) 设备与仪器编码：设备台账号、接口ID、校准状态、维修记录；</w:t>
      </w:r>
    </w:p>
    <w:p w14:paraId="200D9139">
      <w:pPr>
        <w:pStyle w:val="56"/>
        <w:spacing w:line="360" w:lineRule="auto"/>
        <w:ind w:firstLine="420"/>
      </w:pPr>
      <w:r>
        <w:rPr>
          <w:rFonts w:hint="eastAsia"/>
        </w:rPr>
        <w:t>e) 文件与记录编码：记录类型、编制单位、版本号、签认状态、归档号。</w:t>
      </w:r>
    </w:p>
    <w:p w14:paraId="3389A8CE">
      <w:pPr>
        <w:pStyle w:val="165"/>
        <w:spacing w:line="360" w:lineRule="auto"/>
      </w:pPr>
      <w:r>
        <w:rPr>
          <w:rFonts w:hint="eastAsia"/>
        </w:rPr>
        <w:t>编码规则与字段定义宜采用“统一命名+唯一标识+可扩展字段”的方式固化，并形成可执行的数据字典；数据字典示例见附录A。</w:t>
      </w:r>
    </w:p>
    <w:p w14:paraId="7BF47F38">
      <w:pPr>
        <w:pStyle w:val="165"/>
        <w:spacing w:line="360" w:lineRule="auto"/>
      </w:pPr>
      <w:r>
        <w:rPr>
          <w:rFonts w:hint="eastAsia"/>
        </w:rPr>
        <w:t>系统应实现时间基准与空间基准统一，确保测量成果、监测数据、影像资料与验收记录能够按同一对象编码体系进行检索与核验。</w:t>
      </w:r>
    </w:p>
    <w:p w14:paraId="32D62A7D">
      <w:pPr>
        <w:pStyle w:val="105"/>
        <w:spacing w:before="120" w:after="120" w:line="360" w:lineRule="auto"/>
      </w:pPr>
      <w:r>
        <w:rPr>
          <w:rFonts w:hint="eastAsia"/>
        </w:rPr>
        <w:t>数据采集与接口要求</w:t>
      </w:r>
    </w:p>
    <w:p w14:paraId="71701609">
      <w:pPr>
        <w:pStyle w:val="56"/>
        <w:spacing w:line="360" w:lineRule="auto"/>
        <w:ind w:firstLine="420"/>
      </w:pPr>
      <w:r>
        <w:rPr>
          <w:rFonts w:hint="eastAsia"/>
        </w:rPr>
        <w:t>系统应支持多源数据接入，至少包括：移动端表单、条码或rfid、设备接口、试验室系统、测量仪器接口、视频平台与第三方检测系统等。接口应满足：</w:t>
      </w:r>
    </w:p>
    <w:p w14:paraId="740A3E85">
      <w:pPr>
        <w:pStyle w:val="56"/>
        <w:spacing w:line="360" w:lineRule="auto"/>
        <w:ind w:firstLine="420"/>
      </w:pPr>
      <w:r>
        <w:rPr>
          <w:rFonts w:hint="eastAsia"/>
        </w:rPr>
        <w:t>a) 数据格式标准化：统一字段、单位、时间戳与坐标基准；</w:t>
      </w:r>
    </w:p>
    <w:p w14:paraId="480D59D8">
      <w:pPr>
        <w:pStyle w:val="56"/>
        <w:spacing w:line="360" w:lineRule="auto"/>
        <w:ind w:firstLine="420"/>
      </w:pPr>
      <w:r>
        <w:rPr>
          <w:rFonts w:hint="eastAsia"/>
        </w:rPr>
        <w:t>b) 数据校验机制：必填项校验、范围校验、逻辑校验、重复校验；</w:t>
      </w:r>
    </w:p>
    <w:p w14:paraId="433C921A">
      <w:pPr>
        <w:pStyle w:val="56"/>
        <w:spacing w:line="360" w:lineRule="auto"/>
        <w:ind w:firstLine="420"/>
      </w:pPr>
      <w:r>
        <w:rPr>
          <w:rFonts w:hint="eastAsia"/>
        </w:rPr>
        <w:t>c) 传输安全：关键数据传输应采用加密通道；</w:t>
      </w:r>
    </w:p>
    <w:p w14:paraId="05BDD919">
      <w:pPr>
        <w:pStyle w:val="56"/>
        <w:spacing w:line="360" w:lineRule="auto"/>
        <w:ind w:firstLine="420"/>
      </w:pPr>
      <w:r>
        <w:rPr>
          <w:rFonts w:hint="eastAsia"/>
        </w:rPr>
        <w:t>d) 接口可追溯：接口调用、数据入库、修改与回滚应保留日志；</w:t>
      </w:r>
    </w:p>
    <w:p w14:paraId="0201CD7F">
      <w:pPr>
        <w:pStyle w:val="56"/>
        <w:spacing w:line="360" w:lineRule="auto"/>
        <w:ind w:firstLine="420"/>
      </w:pPr>
      <w:r>
        <w:rPr>
          <w:rFonts w:hint="eastAsia"/>
        </w:rPr>
        <w:t>e) 数据权限控制：按角色、单位与业务范围授权访问与操作。</w:t>
      </w:r>
    </w:p>
    <w:p w14:paraId="05D440DA">
      <w:pPr>
        <w:pStyle w:val="105"/>
        <w:spacing w:before="120" w:after="120" w:line="360" w:lineRule="auto"/>
      </w:pPr>
      <w:r>
        <w:rPr>
          <w:rFonts w:hint="eastAsia"/>
        </w:rPr>
        <w:t>数据质量控制要求</w:t>
      </w:r>
    </w:p>
    <w:p w14:paraId="12CAEEB8">
      <w:pPr>
        <w:pStyle w:val="56"/>
        <w:spacing w:line="360" w:lineRule="auto"/>
        <w:ind w:firstLine="420"/>
      </w:pPr>
      <w:r>
        <w:rPr>
          <w:rFonts w:hint="eastAsia"/>
        </w:rPr>
        <w:t>数据质量控制应覆盖采集、传输、存储、处理、共享全过程，至少包括：</w:t>
      </w:r>
    </w:p>
    <w:p w14:paraId="0E34CADC">
      <w:pPr>
        <w:pStyle w:val="56"/>
        <w:spacing w:line="360" w:lineRule="auto"/>
        <w:ind w:firstLine="420"/>
      </w:pPr>
      <w:r>
        <w:rPr>
          <w:rFonts w:hint="eastAsia"/>
        </w:rPr>
        <w:t>a) 完整性控制：缺失、重复、时间戳异常识别与修复留痕；</w:t>
      </w:r>
    </w:p>
    <w:p w14:paraId="1A570E60">
      <w:pPr>
        <w:pStyle w:val="56"/>
        <w:spacing w:line="360" w:lineRule="auto"/>
        <w:ind w:firstLine="420"/>
      </w:pPr>
      <w:r>
        <w:rPr>
          <w:rFonts w:hint="eastAsia"/>
        </w:rPr>
        <w:t>b) 准确性控制：关键参数阈值检查、多源比对、仪器校准信息关联；</w:t>
      </w:r>
    </w:p>
    <w:p w14:paraId="18CF320C">
      <w:pPr>
        <w:pStyle w:val="56"/>
        <w:spacing w:line="360" w:lineRule="auto"/>
        <w:ind w:firstLine="420"/>
      </w:pPr>
      <w:r>
        <w:rPr>
          <w:rFonts w:hint="eastAsia"/>
        </w:rPr>
        <w:t>c) 一致性控制：同一对象不同系统之间的数据一致性校核；</w:t>
      </w:r>
    </w:p>
    <w:p w14:paraId="5FBFC089">
      <w:pPr>
        <w:pStyle w:val="56"/>
        <w:spacing w:line="360" w:lineRule="auto"/>
        <w:ind w:firstLine="420"/>
      </w:pPr>
      <w:r>
        <w:rPr>
          <w:rFonts w:hint="eastAsia"/>
        </w:rPr>
        <w:t>d) 及时性控制：关键工序、隐蔽验收、试验数据应满足规定时限上传；</w:t>
      </w:r>
    </w:p>
    <w:p w14:paraId="3DA15C7A">
      <w:pPr>
        <w:pStyle w:val="56"/>
        <w:spacing w:line="360" w:lineRule="auto"/>
        <w:ind w:firstLine="420"/>
      </w:pPr>
      <w:r>
        <w:rPr>
          <w:rFonts w:hint="eastAsia"/>
        </w:rPr>
        <w:t>e) 可追溯控制：原始数据、修正数据、替代数据应分层保存并记录原因、责任人与时间。</w:t>
      </w:r>
    </w:p>
    <w:p w14:paraId="3AB2C799">
      <w:pPr>
        <w:pStyle w:val="105"/>
        <w:spacing w:before="120" w:after="120" w:line="360" w:lineRule="auto"/>
      </w:pPr>
      <w:r>
        <w:rPr>
          <w:rFonts w:hint="eastAsia"/>
        </w:rPr>
        <w:t>权限、日志与留痕要求</w:t>
      </w:r>
    </w:p>
    <w:p w14:paraId="390568A5">
      <w:pPr>
        <w:pStyle w:val="165"/>
        <w:spacing w:line="360" w:lineRule="auto"/>
      </w:pPr>
      <w:r>
        <w:rPr>
          <w:rFonts w:hint="eastAsia"/>
        </w:rPr>
        <w:t>系统应建立基于角色的权限管理机制，至少区分建设单位、监理单位、施工单位、检测单位与运维管理等角色权限。对以下关键操作应强制留痕：</w:t>
      </w:r>
    </w:p>
    <w:p w14:paraId="1F8C56FD">
      <w:pPr>
        <w:pStyle w:val="56"/>
        <w:spacing w:line="360" w:lineRule="auto"/>
        <w:ind w:firstLine="420"/>
      </w:pPr>
      <w:r>
        <w:rPr>
          <w:rFonts w:hint="eastAsia"/>
        </w:rPr>
        <w:t>a) 工序报验提交、退回、重新提交；</w:t>
      </w:r>
    </w:p>
    <w:p w14:paraId="65F1E19A">
      <w:pPr>
        <w:pStyle w:val="56"/>
        <w:spacing w:line="360" w:lineRule="auto"/>
        <w:ind w:firstLine="420"/>
      </w:pPr>
      <w:r>
        <w:rPr>
          <w:rFonts w:hint="eastAsia"/>
        </w:rPr>
        <w:t>b) 隐蔽工程验收申请、旁站记录提交与签认；</w:t>
      </w:r>
    </w:p>
    <w:p w14:paraId="0B68CBE8">
      <w:pPr>
        <w:pStyle w:val="56"/>
        <w:spacing w:line="360" w:lineRule="auto"/>
        <w:ind w:firstLine="420"/>
      </w:pPr>
      <w:r>
        <w:rPr>
          <w:rFonts w:hint="eastAsia"/>
        </w:rPr>
        <w:t>c) 试验数据上传、报告出具与签章；</w:t>
      </w:r>
    </w:p>
    <w:p w14:paraId="4E633987">
      <w:pPr>
        <w:pStyle w:val="56"/>
        <w:spacing w:line="360" w:lineRule="auto"/>
        <w:ind w:firstLine="420"/>
      </w:pPr>
      <w:r>
        <w:rPr>
          <w:rFonts w:hint="eastAsia"/>
        </w:rPr>
        <w:t>d) 验收结论形成与变更；</w:t>
      </w:r>
    </w:p>
    <w:p w14:paraId="4FA2DD5D">
      <w:pPr>
        <w:pStyle w:val="56"/>
        <w:spacing w:line="360" w:lineRule="auto"/>
        <w:ind w:firstLine="420"/>
      </w:pPr>
      <w:r>
        <w:rPr>
          <w:rFonts w:hint="eastAsia"/>
        </w:rPr>
        <w:t>e) 数据修正、替代、回填与作废；</w:t>
      </w:r>
    </w:p>
    <w:p w14:paraId="36131326">
      <w:pPr>
        <w:pStyle w:val="56"/>
        <w:spacing w:line="360" w:lineRule="auto"/>
        <w:ind w:firstLine="420"/>
      </w:pPr>
      <w:r>
        <w:rPr>
          <w:rFonts w:hint="eastAsia"/>
        </w:rPr>
        <w:t>f) 关键预警规则、阈值与流程配置变更。</w:t>
      </w:r>
    </w:p>
    <w:p w14:paraId="4FB96FE5">
      <w:pPr>
        <w:pStyle w:val="165"/>
        <w:spacing w:line="360" w:lineRule="auto"/>
      </w:pPr>
      <w:r>
        <w:rPr>
          <w:rFonts w:hint="eastAsia"/>
        </w:rPr>
        <w:t>日志应满足可检索、可导出、可审计要求，并设置合理保存期限。</w:t>
      </w:r>
    </w:p>
    <w:p w14:paraId="4A745DB8">
      <w:pPr>
        <w:pStyle w:val="105"/>
        <w:spacing w:before="120" w:after="120" w:line="360" w:lineRule="auto"/>
      </w:pPr>
      <w:r>
        <w:rPr>
          <w:rFonts w:hint="eastAsia"/>
        </w:rPr>
        <w:t>网络安全与备份容灾要求</w:t>
      </w:r>
    </w:p>
    <w:p w14:paraId="393D93BF">
      <w:pPr>
        <w:pStyle w:val="56"/>
        <w:spacing w:line="360" w:lineRule="auto"/>
        <w:ind w:firstLine="420"/>
      </w:pPr>
      <w:r>
        <w:rPr>
          <w:rFonts w:hint="eastAsia"/>
        </w:rPr>
        <w:t>系统建设与运行应落实身份鉴别、访问控制、传输加密、恶意代码防护、漏洞管理、日志审计、备份与恢复等安全措施。关键数据应定期备份，宜至少包含本地备份与异地备份；应具备故障恢复与应急切换能力，确保验收关键资料不丢失、不断档。</w:t>
      </w:r>
    </w:p>
    <w:p w14:paraId="29ADCEFF">
      <w:pPr>
        <w:pStyle w:val="104"/>
        <w:spacing w:before="240" w:after="240" w:line="360" w:lineRule="auto"/>
      </w:pPr>
      <w:bookmarkStart w:id="53" w:name="_Toc219118876"/>
      <w:r>
        <w:rPr>
          <w:rFonts w:hint="eastAsia"/>
        </w:rPr>
        <w:t>施工过程智慧化管控要求</w:t>
      </w:r>
      <w:bookmarkEnd w:id="53"/>
    </w:p>
    <w:p w14:paraId="363DD442">
      <w:pPr>
        <w:pStyle w:val="105"/>
        <w:spacing w:before="120" w:after="120" w:line="360" w:lineRule="auto"/>
      </w:pPr>
      <w:r>
        <w:rPr>
          <w:rFonts w:hint="eastAsia"/>
        </w:rPr>
        <w:t>施工策划与规则库配置</w:t>
      </w:r>
    </w:p>
    <w:p w14:paraId="14D1A766">
      <w:pPr>
        <w:pStyle w:val="165"/>
        <w:spacing w:line="360" w:lineRule="auto"/>
      </w:pPr>
      <w:r>
        <w:rPr>
          <w:rFonts w:hint="eastAsia"/>
        </w:rPr>
        <w:t>施工单位应在开工前完成智慧化管控策划，至少包括：</w:t>
      </w:r>
    </w:p>
    <w:p w14:paraId="4A0FADE6">
      <w:pPr>
        <w:pStyle w:val="56"/>
        <w:spacing w:line="360" w:lineRule="auto"/>
        <w:ind w:firstLine="420"/>
      </w:pPr>
      <w:r>
        <w:rPr>
          <w:rFonts w:hint="eastAsia"/>
        </w:rPr>
        <w:t>a) 管控对象清单与关键工序清单；</w:t>
      </w:r>
    </w:p>
    <w:p w14:paraId="568F3316">
      <w:pPr>
        <w:pStyle w:val="56"/>
        <w:spacing w:line="360" w:lineRule="auto"/>
        <w:ind w:firstLine="420"/>
      </w:pPr>
      <w:r>
        <w:rPr>
          <w:rFonts w:hint="eastAsia"/>
        </w:rPr>
        <w:t>b) 工序报验与验收流程配置；</w:t>
      </w:r>
    </w:p>
    <w:p w14:paraId="4EA7A75C">
      <w:pPr>
        <w:pStyle w:val="56"/>
        <w:spacing w:line="360" w:lineRule="auto"/>
        <w:ind w:firstLine="420"/>
      </w:pPr>
      <w:r>
        <w:rPr>
          <w:rFonts w:hint="eastAsia"/>
        </w:rPr>
        <w:t>c) 关键参数阈值与预警规则配置；</w:t>
      </w:r>
    </w:p>
    <w:p w14:paraId="10CC627F">
      <w:pPr>
        <w:pStyle w:val="56"/>
        <w:spacing w:line="360" w:lineRule="auto"/>
        <w:ind w:firstLine="420"/>
      </w:pPr>
      <w:r>
        <w:rPr>
          <w:rFonts w:hint="eastAsia"/>
        </w:rPr>
        <w:t>d) 取样见证点与试验计划配置；</w:t>
      </w:r>
    </w:p>
    <w:p w14:paraId="0BEB4F19">
      <w:pPr>
        <w:pStyle w:val="56"/>
        <w:spacing w:line="360" w:lineRule="auto"/>
        <w:ind w:firstLine="420"/>
      </w:pPr>
      <w:r>
        <w:rPr>
          <w:rFonts w:hint="eastAsia"/>
        </w:rPr>
        <w:t>e) 隐蔽工程验收点与影像留存要求；</w:t>
      </w:r>
    </w:p>
    <w:p w14:paraId="5D4624F5">
      <w:pPr>
        <w:pStyle w:val="56"/>
        <w:spacing w:line="360" w:lineRule="auto"/>
        <w:ind w:firstLine="420"/>
      </w:pPr>
      <w:r>
        <w:rPr>
          <w:rFonts w:hint="eastAsia"/>
        </w:rPr>
        <w:t>f) 编码体系与数据字典落地。</w:t>
      </w:r>
    </w:p>
    <w:p w14:paraId="3A4D0372">
      <w:pPr>
        <w:pStyle w:val="165"/>
        <w:spacing w:line="360" w:lineRule="auto"/>
      </w:pPr>
      <w:r>
        <w:rPr>
          <w:rFonts w:hint="eastAsia"/>
        </w:rPr>
        <w:t>监理单位应对规则库配置进行核查并提出完善意见，建设单位应组织确认关键规则与关键阈值。</w:t>
      </w:r>
    </w:p>
    <w:p w14:paraId="41646839">
      <w:pPr>
        <w:pStyle w:val="105"/>
        <w:spacing w:before="120" w:after="120" w:line="360" w:lineRule="auto"/>
      </w:pPr>
      <w:r>
        <w:rPr>
          <w:rFonts w:hint="eastAsia"/>
        </w:rPr>
        <w:t>工序报验与过程控制</w:t>
      </w:r>
    </w:p>
    <w:p w14:paraId="4DE1A724">
      <w:pPr>
        <w:pStyle w:val="56"/>
        <w:spacing w:line="360" w:lineRule="auto"/>
        <w:ind w:firstLine="420"/>
      </w:pPr>
      <w:r>
        <w:rPr>
          <w:rFonts w:hint="eastAsia"/>
        </w:rPr>
        <w:t>智慧化工序报验应满足“先报验、后施工（或后转序）”的控制要求，至少应实现：</w:t>
      </w:r>
    </w:p>
    <w:p w14:paraId="64D5E1F9">
      <w:pPr>
        <w:pStyle w:val="56"/>
        <w:spacing w:line="360" w:lineRule="auto"/>
        <w:ind w:firstLine="420"/>
      </w:pPr>
      <w:r>
        <w:rPr>
          <w:rFonts w:hint="eastAsia"/>
        </w:rPr>
        <w:t>a) 工序开工条件校核：人员资质、设备状态、材料检验状态、测量复核、技术交底与安全环保条件；</w:t>
      </w:r>
    </w:p>
    <w:p w14:paraId="7C4AFBC0">
      <w:pPr>
        <w:pStyle w:val="56"/>
        <w:spacing w:line="360" w:lineRule="auto"/>
        <w:ind w:firstLine="420"/>
      </w:pPr>
      <w:r>
        <w:rPr>
          <w:rFonts w:hint="eastAsia"/>
        </w:rPr>
        <w:t>b) 工序过程记录：关键参数自动采集或人工记录、过程影像、旁站记录；</w:t>
      </w:r>
    </w:p>
    <w:p w14:paraId="63A8DCF9">
      <w:pPr>
        <w:pStyle w:val="56"/>
        <w:spacing w:line="360" w:lineRule="auto"/>
        <w:ind w:firstLine="420"/>
      </w:pPr>
      <w:r>
        <w:rPr>
          <w:rFonts w:hint="eastAsia"/>
        </w:rPr>
        <w:t>c) 工序完工自检：按验收标准形成自检记录并提交报验；</w:t>
      </w:r>
    </w:p>
    <w:p w14:paraId="60322FC5">
      <w:pPr>
        <w:pStyle w:val="56"/>
        <w:spacing w:line="360" w:lineRule="auto"/>
        <w:ind w:firstLine="420"/>
      </w:pPr>
      <w:r>
        <w:rPr>
          <w:rFonts w:hint="eastAsia"/>
        </w:rPr>
        <w:t>d) 监理审核与签认：不符合项应明确退回原因、整改要求与复检路径；</w:t>
      </w:r>
    </w:p>
    <w:p w14:paraId="2D5D1F8D">
      <w:pPr>
        <w:pStyle w:val="56"/>
        <w:spacing w:line="360" w:lineRule="auto"/>
        <w:ind w:firstLine="420"/>
      </w:pPr>
      <w:r>
        <w:rPr>
          <w:rFonts w:hint="eastAsia"/>
        </w:rPr>
        <w:t>e) 转序控制：未完成签认不得进入下一道关键工序或覆盖隐蔽部位。</w:t>
      </w:r>
    </w:p>
    <w:p w14:paraId="014AB63F">
      <w:pPr>
        <w:pStyle w:val="105"/>
        <w:spacing w:before="120" w:after="120" w:line="360" w:lineRule="auto"/>
      </w:pPr>
      <w:r>
        <w:rPr>
          <w:rFonts w:hint="eastAsia"/>
        </w:rPr>
        <w:t>关键工序与关键参数控制</w:t>
      </w:r>
    </w:p>
    <w:p w14:paraId="315C7D45">
      <w:pPr>
        <w:pStyle w:val="56"/>
        <w:spacing w:line="360" w:lineRule="auto"/>
        <w:ind w:firstLine="420"/>
      </w:pPr>
      <w:r>
        <w:rPr>
          <w:rFonts w:hint="eastAsia"/>
        </w:rPr>
        <w:t>关键工序应实施“参数控制+证据留存+抽检复核”的组合措施。表2给出典型关键工序关键参数与控制要点示例，项目应结合工程类型与设计要求细化。</w:t>
      </w:r>
    </w:p>
    <w:p w14:paraId="7BA08B35">
      <w:pPr>
        <w:pStyle w:val="112"/>
        <w:spacing w:before="120" w:after="120" w:line="360" w:lineRule="auto"/>
      </w:pPr>
      <w:r>
        <w:rPr>
          <w:rFonts w:hint="eastAsia"/>
        </w:rPr>
        <w:t>典型关键工序关键参数智慧化控制要点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6"/>
        <w:gridCol w:w="2660"/>
        <w:gridCol w:w="1701"/>
        <w:gridCol w:w="1560"/>
        <w:gridCol w:w="1547"/>
      </w:tblGrid>
      <w:tr w14:paraId="00D2D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866" w:type="dxa"/>
            <w:tcBorders>
              <w:top w:val="single" w:color="auto" w:sz="8" w:space="0"/>
              <w:bottom w:val="single" w:color="auto" w:sz="8" w:space="0"/>
            </w:tcBorders>
            <w:vAlign w:val="center"/>
          </w:tcPr>
          <w:p w14:paraId="2A5C45E5">
            <w:pPr>
              <w:pStyle w:val="178"/>
            </w:pPr>
            <w:r>
              <w:rPr>
                <w:rFonts w:hint="eastAsia"/>
              </w:rPr>
              <w:t>关键工序</w:t>
            </w:r>
          </w:p>
        </w:tc>
        <w:tc>
          <w:tcPr>
            <w:tcW w:w="2660" w:type="dxa"/>
            <w:tcBorders>
              <w:top w:val="single" w:color="auto" w:sz="8" w:space="0"/>
              <w:bottom w:val="single" w:color="auto" w:sz="8" w:space="0"/>
            </w:tcBorders>
            <w:vAlign w:val="center"/>
          </w:tcPr>
          <w:p w14:paraId="30F23271">
            <w:pPr>
              <w:pStyle w:val="178"/>
            </w:pPr>
            <w:r>
              <w:rPr>
                <w:rFonts w:hint="eastAsia"/>
              </w:rPr>
              <w:t>关键参数</w:t>
            </w:r>
          </w:p>
        </w:tc>
        <w:tc>
          <w:tcPr>
            <w:tcW w:w="1701" w:type="dxa"/>
            <w:tcBorders>
              <w:top w:val="single" w:color="auto" w:sz="8" w:space="0"/>
              <w:bottom w:val="single" w:color="auto" w:sz="8" w:space="0"/>
            </w:tcBorders>
            <w:vAlign w:val="center"/>
          </w:tcPr>
          <w:p w14:paraId="5685E121">
            <w:pPr>
              <w:pStyle w:val="178"/>
            </w:pPr>
            <w:r>
              <w:rPr>
                <w:rFonts w:hint="eastAsia"/>
              </w:rPr>
              <w:t>数据来源</w:t>
            </w:r>
          </w:p>
        </w:tc>
        <w:tc>
          <w:tcPr>
            <w:tcW w:w="1560" w:type="dxa"/>
            <w:tcBorders>
              <w:top w:val="single" w:color="auto" w:sz="8" w:space="0"/>
              <w:bottom w:val="single" w:color="auto" w:sz="8" w:space="0"/>
            </w:tcBorders>
            <w:vAlign w:val="center"/>
          </w:tcPr>
          <w:p w14:paraId="691AA526">
            <w:pPr>
              <w:pStyle w:val="178"/>
            </w:pPr>
            <w:r>
              <w:rPr>
                <w:rFonts w:hint="eastAsia"/>
              </w:rPr>
              <w:t>控制方法</w:t>
            </w:r>
          </w:p>
        </w:tc>
        <w:tc>
          <w:tcPr>
            <w:tcW w:w="1547" w:type="dxa"/>
            <w:tcBorders>
              <w:top w:val="single" w:color="auto" w:sz="8" w:space="0"/>
              <w:bottom w:val="single" w:color="auto" w:sz="8" w:space="0"/>
            </w:tcBorders>
            <w:vAlign w:val="center"/>
          </w:tcPr>
          <w:p w14:paraId="3E3E8DCD">
            <w:pPr>
              <w:pStyle w:val="178"/>
            </w:pPr>
            <w:r>
              <w:rPr>
                <w:rFonts w:hint="eastAsia"/>
              </w:rPr>
              <w:t>验收要点</w:t>
            </w:r>
          </w:p>
        </w:tc>
      </w:tr>
      <w:tr w14:paraId="252BE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tcBorders>
              <w:top w:val="single" w:color="auto" w:sz="8" w:space="0"/>
            </w:tcBorders>
            <w:vAlign w:val="center"/>
          </w:tcPr>
          <w:p w14:paraId="3401F463">
            <w:pPr>
              <w:pStyle w:val="178"/>
            </w:pPr>
            <w:r>
              <w:rPr>
                <w:rFonts w:hint="eastAsia"/>
              </w:rPr>
              <w:t>基础处理/地基加固</w:t>
            </w:r>
          </w:p>
        </w:tc>
        <w:tc>
          <w:tcPr>
            <w:tcW w:w="2660" w:type="dxa"/>
            <w:tcBorders>
              <w:top w:val="single" w:color="auto" w:sz="8" w:space="0"/>
            </w:tcBorders>
            <w:vAlign w:val="center"/>
          </w:tcPr>
          <w:p w14:paraId="4A095142">
            <w:pPr>
              <w:pStyle w:val="178"/>
            </w:pPr>
            <w:r>
              <w:rPr>
                <w:rFonts w:hint="eastAsia"/>
              </w:rPr>
              <w:t>处理深度、加固材料用量、注浆压力/流量、施工轨迹</w:t>
            </w:r>
          </w:p>
        </w:tc>
        <w:tc>
          <w:tcPr>
            <w:tcW w:w="1701" w:type="dxa"/>
            <w:tcBorders>
              <w:top w:val="single" w:color="auto" w:sz="8" w:space="0"/>
            </w:tcBorders>
            <w:vAlign w:val="center"/>
          </w:tcPr>
          <w:p w14:paraId="627F2768">
            <w:pPr>
              <w:pStyle w:val="178"/>
            </w:pPr>
            <w:r>
              <w:rPr>
                <w:rFonts w:hint="eastAsia"/>
              </w:rPr>
              <w:t>设备接口、定位、施工记录</w:t>
            </w:r>
          </w:p>
        </w:tc>
        <w:tc>
          <w:tcPr>
            <w:tcW w:w="1560" w:type="dxa"/>
            <w:tcBorders>
              <w:top w:val="single" w:color="auto" w:sz="8" w:space="0"/>
            </w:tcBorders>
            <w:vAlign w:val="center"/>
          </w:tcPr>
          <w:p w14:paraId="43179B72">
            <w:pPr>
              <w:pStyle w:val="178"/>
            </w:pPr>
            <w:r>
              <w:rPr>
                <w:rFonts w:hint="eastAsia"/>
              </w:rPr>
              <w:t>阈值报警、轨迹回放、批次关联</w:t>
            </w:r>
          </w:p>
        </w:tc>
        <w:tc>
          <w:tcPr>
            <w:tcW w:w="1547" w:type="dxa"/>
            <w:tcBorders>
              <w:top w:val="single" w:color="auto" w:sz="8" w:space="0"/>
            </w:tcBorders>
            <w:vAlign w:val="center"/>
          </w:tcPr>
          <w:p w14:paraId="7BB33602">
            <w:pPr>
              <w:pStyle w:val="178"/>
            </w:pPr>
            <w:r>
              <w:rPr>
                <w:rFonts w:hint="eastAsia"/>
              </w:rPr>
              <w:t>过程记录完整；抽检与实体一致</w:t>
            </w:r>
          </w:p>
        </w:tc>
      </w:tr>
    </w:tbl>
    <w:p w14:paraId="6CE655E8">
      <w:pPr>
        <w:pStyle w:val="56"/>
        <w:spacing w:before="120" w:beforeLines="50" w:after="120" w:afterLines="50"/>
        <w:ind w:firstLine="0" w:firstLineChars="0"/>
        <w:jc w:val="center"/>
        <w:rPr>
          <w:rFonts w:ascii="黑体" w:hAnsi="黑体" w:eastAsia="黑体"/>
        </w:rPr>
      </w:pPr>
      <w:r>
        <w:rPr>
          <w:rFonts w:hint="eastAsia" w:ascii="黑体" w:hAnsi="黑体" w:eastAsia="黑体"/>
        </w:rPr>
        <w:t>表1  典型关键工序关键参数智慧化控制要点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6"/>
        <w:gridCol w:w="2660"/>
        <w:gridCol w:w="1701"/>
        <w:gridCol w:w="1560"/>
        <w:gridCol w:w="1547"/>
      </w:tblGrid>
      <w:tr w14:paraId="24544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66" w:type="dxa"/>
            <w:tcBorders>
              <w:top w:val="single" w:color="auto" w:sz="8" w:space="0"/>
              <w:bottom w:val="single" w:color="auto" w:sz="8" w:space="0"/>
            </w:tcBorders>
            <w:vAlign w:val="center"/>
          </w:tcPr>
          <w:p w14:paraId="5B7A8F3B">
            <w:pPr>
              <w:pStyle w:val="178"/>
            </w:pPr>
            <w:r>
              <w:rPr>
                <w:rFonts w:hint="eastAsia"/>
              </w:rPr>
              <w:t>关键工序</w:t>
            </w:r>
          </w:p>
        </w:tc>
        <w:tc>
          <w:tcPr>
            <w:tcW w:w="2660" w:type="dxa"/>
            <w:tcBorders>
              <w:top w:val="single" w:color="auto" w:sz="8" w:space="0"/>
              <w:bottom w:val="single" w:color="auto" w:sz="8" w:space="0"/>
            </w:tcBorders>
            <w:vAlign w:val="center"/>
          </w:tcPr>
          <w:p w14:paraId="07D59E48">
            <w:pPr>
              <w:pStyle w:val="178"/>
            </w:pPr>
            <w:r>
              <w:rPr>
                <w:rFonts w:hint="eastAsia"/>
              </w:rPr>
              <w:t>关键参数</w:t>
            </w:r>
          </w:p>
        </w:tc>
        <w:tc>
          <w:tcPr>
            <w:tcW w:w="1701" w:type="dxa"/>
            <w:tcBorders>
              <w:top w:val="single" w:color="auto" w:sz="8" w:space="0"/>
              <w:bottom w:val="single" w:color="auto" w:sz="8" w:space="0"/>
            </w:tcBorders>
            <w:vAlign w:val="center"/>
          </w:tcPr>
          <w:p w14:paraId="2925ED73">
            <w:pPr>
              <w:pStyle w:val="178"/>
            </w:pPr>
            <w:r>
              <w:rPr>
                <w:rFonts w:hint="eastAsia"/>
              </w:rPr>
              <w:t>数据来源</w:t>
            </w:r>
          </w:p>
        </w:tc>
        <w:tc>
          <w:tcPr>
            <w:tcW w:w="1560" w:type="dxa"/>
            <w:tcBorders>
              <w:top w:val="single" w:color="auto" w:sz="8" w:space="0"/>
              <w:bottom w:val="single" w:color="auto" w:sz="8" w:space="0"/>
            </w:tcBorders>
            <w:vAlign w:val="center"/>
          </w:tcPr>
          <w:p w14:paraId="2F131E95">
            <w:pPr>
              <w:pStyle w:val="178"/>
            </w:pPr>
            <w:r>
              <w:rPr>
                <w:rFonts w:hint="eastAsia"/>
              </w:rPr>
              <w:t>控制方法</w:t>
            </w:r>
          </w:p>
        </w:tc>
        <w:tc>
          <w:tcPr>
            <w:tcW w:w="1547" w:type="dxa"/>
            <w:tcBorders>
              <w:top w:val="single" w:color="auto" w:sz="8" w:space="0"/>
              <w:bottom w:val="single" w:color="auto" w:sz="8" w:space="0"/>
            </w:tcBorders>
            <w:vAlign w:val="center"/>
          </w:tcPr>
          <w:p w14:paraId="0B8910C0">
            <w:pPr>
              <w:pStyle w:val="178"/>
            </w:pPr>
            <w:r>
              <w:rPr>
                <w:rFonts w:hint="eastAsia"/>
              </w:rPr>
              <w:t>验收要点</w:t>
            </w:r>
          </w:p>
        </w:tc>
      </w:tr>
      <w:tr w14:paraId="64F21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39B6FA29">
            <w:pPr>
              <w:pStyle w:val="178"/>
            </w:pPr>
            <w:r>
              <w:rPr>
                <w:rFonts w:hint="eastAsia"/>
              </w:rPr>
              <w:t>钢筋工程</w:t>
            </w:r>
          </w:p>
        </w:tc>
        <w:tc>
          <w:tcPr>
            <w:tcW w:w="2660" w:type="dxa"/>
            <w:vAlign w:val="center"/>
          </w:tcPr>
          <w:p w14:paraId="3BA7DC33">
            <w:pPr>
              <w:pStyle w:val="178"/>
            </w:pPr>
            <w:r>
              <w:rPr>
                <w:rFonts w:hint="eastAsia"/>
              </w:rPr>
              <w:t>规格、间距、锚固长度、保护层厚度</w:t>
            </w:r>
          </w:p>
        </w:tc>
        <w:tc>
          <w:tcPr>
            <w:tcW w:w="1701" w:type="dxa"/>
            <w:vAlign w:val="center"/>
          </w:tcPr>
          <w:p w14:paraId="31B75A2F">
            <w:pPr>
              <w:pStyle w:val="178"/>
            </w:pPr>
            <w:r>
              <w:rPr>
                <w:rFonts w:hint="eastAsia"/>
              </w:rPr>
              <w:t>现场测量、影像、复核记录</w:t>
            </w:r>
          </w:p>
        </w:tc>
        <w:tc>
          <w:tcPr>
            <w:tcW w:w="1560" w:type="dxa"/>
            <w:vAlign w:val="center"/>
          </w:tcPr>
          <w:p w14:paraId="620B85C1">
            <w:pPr>
              <w:pStyle w:val="178"/>
            </w:pPr>
            <w:r>
              <w:rPr>
                <w:rFonts w:hint="eastAsia"/>
              </w:rPr>
              <w:t>影像对照、测量复核、二维码关联</w:t>
            </w:r>
          </w:p>
        </w:tc>
        <w:tc>
          <w:tcPr>
            <w:tcW w:w="1547" w:type="dxa"/>
            <w:vAlign w:val="center"/>
          </w:tcPr>
          <w:p w14:paraId="6F171E4B">
            <w:pPr>
              <w:pStyle w:val="178"/>
            </w:pPr>
            <w:r>
              <w:rPr>
                <w:rFonts w:hint="eastAsia"/>
              </w:rPr>
              <w:t>隐蔽前签认；抽测满足要求</w:t>
            </w:r>
          </w:p>
        </w:tc>
      </w:tr>
      <w:tr w14:paraId="60EA8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35E83FBD">
            <w:pPr>
              <w:pStyle w:val="178"/>
            </w:pPr>
            <w:r>
              <w:rPr>
                <w:rFonts w:hint="eastAsia"/>
              </w:rPr>
              <w:t>混凝土浇筑</w:t>
            </w:r>
          </w:p>
        </w:tc>
        <w:tc>
          <w:tcPr>
            <w:tcW w:w="2660" w:type="dxa"/>
            <w:vAlign w:val="center"/>
          </w:tcPr>
          <w:p w14:paraId="29E2023D">
            <w:pPr>
              <w:pStyle w:val="178"/>
            </w:pPr>
            <w:r>
              <w:rPr>
                <w:rFonts w:hint="eastAsia"/>
              </w:rPr>
              <w:t>配合比、坍落度、入仓温度、振捣/养护记录</w:t>
            </w:r>
          </w:p>
        </w:tc>
        <w:tc>
          <w:tcPr>
            <w:tcW w:w="1701" w:type="dxa"/>
            <w:vAlign w:val="center"/>
          </w:tcPr>
          <w:p w14:paraId="5E7CAA10">
            <w:pPr>
              <w:pStyle w:val="178"/>
            </w:pPr>
            <w:r>
              <w:rPr>
                <w:rFonts w:hint="eastAsia"/>
              </w:rPr>
              <w:t>试验系统、温度传感、视频</w:t>
            </w:r>
          </w:p>
        </w:tc>
        <w:tc>
          <w:tcPr>
            <w:tcW w:w="1560" w:type="dxa"/>
            <w:vAlign w:val="center"/>
          </w:tcPr>
          <w:p w14:paraId="6F9501B9">
            <w:pPr>
              <w:pStyle w:val="178"/>
            </w:pPr>
            <w:r>
              <w:rPr>
                <w:rFonts w:hint="eastAsia"/>
              </w:rPr>
              <w:t>自动采集+人工复核；超限预警</w:t>
            </w:r>
          </w:p>
        </w:tc>
        <w:tc>
          <w:tcPr>
            <w:tcW w:w="1547" w:type="dxa"/>
            <w:vAlign w:val="center"/>
          </w:tcPr>
          <w:p w14:paraId="42701536">
            <w:pPr>
              <w:pStyle w:val="178"/>
            </w:pPr>
            <w:r>
              <w:rPr>
                <w:rFonts w:hint="eastAsia"/>
              </w:rPr>
              <w:t>试验报告有效；温控与养护可追溯</w:t>
            </w:r>
          </w:p>
        </w:tc>
      </w:tr>
      <w:tr w14:paraId="33A65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2154EBF0">
            <w:pPr>
              <w:pStyle w:val="178"/>
            </w:pPr>
            <w:r>
              <w:rPr>
                <w:rFonts w:hint="eastAsia"/>
              </w:rPr>
              <w:t>防渗/止水施工</w:t>
            </w:r>
          </w:p>
        </w:tc>
        <w:tc>
          <w:tcPr>
            <w:tcW w:w="2660" w:type="dxa"/>
            <w:vAlign w:val="center"/>
          </w:tcPr>
          <w:p w14:paraId="51EC1A4C">
            <w:pPr>
              <w:pStyle w:val="178"/>
            </w:pPr>
            <w:r>
              <w:rPr>
                <w:rFonts w:hint="eastAsia"/>
              </w:rPr>
              <w:t>材料批次、焊接温度/速度、搭接宽度、节点处理</w:t>
            </w:r>
          </w:p>
        </w:tc>
        <w:tc>
          <w:tcPr>
            <w:tcW w:w="1701" w:type="dxa"/>
            <w:vAlign w:val="center"/>
          </w:tcPr>
          <w:p w14:paraId="69B9B3B8">
            <w:pPr>
              <w:pStyle w:val="178"/>
            </w:pPr>
            <w:r>
              <w:rPr>
                <w:rFonts w:hint="eastAsia"/>
              </w:rPr>
              <w:t>设备参数、影像、检验记录</w:t>
            </w:r>
          </w:p>
        </w:tc>
        <w:tc>
          <w:tcPr>
            <w:tcW w:w="1560" w:type="dxa"/>
            <w:vAlign w:val="center"/>
          </w:tcPr>
          <w:p w14:paraId="14307915">
            <w:pPr>
              <w:pStyle w:val="178"/>
            </w:pPr>
            <w:r>
              <w:rPr>
                <w:rFonts w:hint="eastAsia"/>
              </w:rPr>
              <w:t>关键节点强制拍照；旁站见证</w:t>
            </w:r>
          </w:p>
        </w:tc>
        <w:tc>
          <w:tcPr>
            <w:tcW w:w="1547" w:type="dxa"/>
            <w:vAlign w:val="center"/>
          </w:tcPr>
          <w:p w14:paraId="22A1C8F0">
            <w:pPr>
              <w:pStyle w:val="178"/>
            </w:pPr>
            <w:r>
              <w:rPr>
                <w:rFonts w:hint="eastAsia"/>
              </w:rPr>
              <w:t>节点处理符合；检测记录闭环</w:t>
            </w:r>
          </w:p>
        </w:tc>
      </w:tr>
      <w:tr w14:paraId="4516C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1033C49F">
            <w:pPr>
              <w:pStyle w:val="178"/>
            </w:pPr>
            <w:r>
              <w:rPr>
                <w:rFonts w:hint="eastAsia"/>
              </w:rPr>
              <w:t>土石方填筑/碾压</w:t>
            </w:r>
          </w:p>
        </w:tc>
        <w:tc>
          <w:tcPr>
            <w:tcW w:w="2660" w:type="dxa"/>
            <w:vAlign w:val="center"/>
          </w:tcPr>
          <w:p w14:paraId="2D0ABC23">
            <w:pPr>
              <w:pStyle w:val="178"/>
            </w:pPr>
            <w:r>
              <w:rPr>
                <w:rFonts w:hint="eastAsia"/>
              </w:rPr>
              <w:t>分层厚度、含水率、碾压遍数、压实度</w:t>
            </w:r>
          </w:p>
        </w:tc>
        <w:tc>
          <w:tcPr>
            <w:tcW w:w="1701" w:type="dxa"/>
            <w:vAlign w:val="center"/>
          </w:tcPr>
          <w:p w14:paraId="0FE06349">
            <w:pPr>
              <w:pStyle w:val="178"/>
            </w:pPr>
            <w:r>
              <w:rPr>
                <w:rFonts w:hint="eastAsia"/>
              </w:rPr>
              <w:t>设备接口、试验数据、定位</w:t>
            </w:r>
          </w:p>
        </w:tc>
        <w:tc>
          <w:tcPr>
            <w:tcW w:w="1560" w:type="dxa"/>
            <w:vAlign w:val="center"/>
          </w:tcPr>
          <w:p w14:paraId="2E4D8F75">
            <w:pPr>
              <w:pStyle w:val="178"/>
            </w:pPr>
            <w:r>
              <w:rPr>
                <w:rFonts w:hint="eastAsia"/>
              </w:rPr>
              <w:t>智能碾压曲线；试验比对</w:t>
            </w:r>
          </w:p>
        </w:tc>
        <w:tc>
          <w:tcPr>
            <w:tcW w:w="1547" w:type="dxa"/>
            <w:vAlign w:val="center"/>
          </w:tcPr>
          <w:p w14:paraId="70854E39">
            <w:pPr>
              <w:pStyle w:val="178"/>
            </w:pPr>
            <w:r>
              <w:rPr>
                <w:rFonts w:hint="eastAsia"/>
              </w:rPr>
              <w:t>压实度达标；层间验收合格</w:t>
            </w:r>
          </w:p>
        </w:tc>
      </w:tr>
      <w:tr w14:paraId="5A11D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vAlign w:val="center"/>
          </w:tcPr>
          <w:p w14:paraId="170D3B6F">
            <w:pPr>
              <w:pStyle w:val="178"/>
            </w:pPr>
            <w:r>
              <w:rPr>
                <w:rFonts w:hint="eastAsia"/>
              </w:rPr>
              <w:t>机电安装与调试</w:t>
            </w:r>
          </w:p>
        </w:tc>
        <w:tc>
          <w:tcPr>
            <w:tcW w:w="2660" w:type="dxa"/>
            <w:vAlign w:val="center"/>
          </w:tcPr>
          <w:p w14:paraId="71ADC2ED">
            <w:pPr>
              <w:pStyle w:val="178"/>
            </w:pPr>
            <w:r>
              <w:rPr>
                <w:rFonts w:hint="eastAsia"/>
              </w:rPr>
              <w:t>扭矩、对中、绝缘、试运行参数</w:t>
            </w:r>
          </w:p>
        </w:tc>
        <w:tc>
          <w:tcPr>
            <w:tcW w:w="1701" w:type="dxa"/>
            <w:vAlign w:val="center"/>
          </w:tcPr>
          <w:p w14:paraId="321BE161">
            <w:pPr>
              <w:pStyle w:val="178"/>
            </w:pPr>
            <w:r>
              <w:rPr>
                <w:rFonts w:hint="eastAsia"/>
              </w:rPr>
              <w:t>仪器数据、调试记录</w:t>
            </w:r>
          </w:p>
        </w:tc>
        <w:tc>
          <w:tcPr>
            <w:tcW w:w="1560" w:type="dxa"/>
            <w:vAlign w:val="center"/>
          </w:tcPr>
          <w:p w14:paraId="72A213A3">
            <w:pPr>
              <w:pStyle w:val="178"/>
            </w:pPr>
            <w:r>
              <w:rPr>
                <w:rFonts w:hint="eastAsia"/>
              </w:rPr>
              <w:t>数据自动采集；异常告警</w:t>
            </w:r>
          </w:p>
        </w:tc>
        <w:tc>
          <w:tcPr>
            <w:tcW w:w="1547" w:type="dxa"/>
            <w:vAlign w:val="center"/>
          </w:tcPr>
          <w:p w14:paraId="4ED84668">
            <w:pPr>
              <w:pStyle w:val="178"/>
            </w:pPr>
            <w:r>
              <w:rPr>
                <w:rFonts w:hint="eastAsia"/>
              </w:rPr>
              <w:t>调试记录完整；功能测试通过</w:t>
            </w:r>
          </w:p>
        </w:tc>
      </w:tr>
    </w:tbl>
    <w:p w14:paraId="2F7108BA">
      <w:pPr>
        <w:pStyle w:val="105"/>
        <w:spacing w:before="120" w:after="120" w:line="360" w:lineRule="auto"/>
      </w:pPr>
      <w:r>
        <w:rPr>
          <w:rFonts w:hint="eastAsia"/>
        </w:rPr>
        <w:t>隐蔽工程验收与影像留存</w:t>
      </w:r>
    </w:p>
    <w:p w14:paraId="3782F334">
      <w:pPr>
        <w:pStyle w:val="165"/>
        <w:spacing w:line="360" w:lineRule="auto"/>
      </w:pPr>
      <w:r>
        <w:rPr>
          <w:rFonts w:hint="eastAsia"/>
        </w:rPr>
        <w:t>隐蔽工程应执行“隐蔽前验收”与“证据链完整”要求。隐蔽工程验收至少应包含：</w:t>
      </w:r>
    </w:p>
    <w:p w14:paraId="35B8DED8">
      <w:pPr>
        <w:pStyle w:val="56"/>
        <w:spacing w:line="360" w:lineRule="auto"/>
        <w:ind w:firstLine="420"/>
      </w:pPr>
      <w:r>
        <w:rPr>
          <w:rFonts w:hint="eastAsia"/>
        </w:rPr>
        <w:t>a) 隐蔽工程清单与验收点位定义；</w:t>
      </w:r>
    </w:p>
    <w:p w14:paraId="1049CCDA">
      <w:pPr>
        <w:pStyle w:val="56"/>
        <w:spacing w:line="360" w:lineRule="auto"/>
        <w:ind w:firstLine="420"/>
      </w:pPr>
      <w:r>
        <w:rPr>
          <w:rFonts w:hint="eastAsia"/>
        </w:rPr>
        <w:t>b) 影像留存要求：应包含整体、局部细节、尺寸/标尺、关键节点处理、材料批次标识等；</w:t>
      </w:r>
    </w:p>
    <w:p w14:paraId="7A448C80">
      <w:pPr>
        <w:pStyle w:val="56"/>
        <w:spacing w:line="360" w:lineRule="auto"/>
        <w:ind w:firstLine="420"/>
      </w:pPr>
      <w:r>
        <w:rPr>
          <w:rFonts w:hint="eastAsia"/>
        </w:rPr>
        <w:t>c) 旁站与见证要求：对关键隐蔽部位宜实施旁站或见证；</w:t>
      </w:r>
    </w:p>
    <w:p w14:paraId="32CF0B61">
      <w:pPr>
        <w:pStyle w:val="56"/>
        <w:spacing w:line="360" w:lineRule="auto"/>
        <w:ind w:firstLine="420"/>
      </w:pPr>
      <w:r>
        <w:rPr>
          <w:rFonts w:hint="eastAsia"/>
        </w:rPr>
        <w:t>d) 验收记录：验收时间、地点（或桩号）、参与人员、核查要点、结论与处置措施；</w:t>
      </w:r>
    </w:p>
    <w:p w14:paraId="4BF44BE6">
      <w:pPr>
        <w:pStyle w:val="56"/>
        <w:spacing w:line="360" w:lineRule="auto"/>
        <w:ind w:firstLine="420"/>
      </w:pPr>
      <w:r>
        <w:rPr>
          <w:rFonts w:hint="eastAsia"/>
        </w:rPr>
        <w:t>e) 覆盖/回填许可：未完成验收签认不得覆盖、回填或进入后续不可逆工序。</w:t>
      </w:r>
    </w:p>
    <w:p w14:paraId="2E9AAF9A">
      <w:pPr>
        <w:pStyle w:val="165"/>
        <w:spacing w:line="360" w:lineRule="auto"/>
      </w:pPr>
      <w:r>
        <w:rPr>
          <w:rFonts w:hint="eastAsia"/>
        </w:rPr>
        <w:t>隐蔽工程验收核查清单模板见附录B。</w:t>
      </w:r>
    </w:p>
    <w:p w14:paraId="27D5D326">
      <w:pPr>
        <w:pStyle w:val="105"/>
        <w:spacing w:before="120" w:after="120" w:line="360" w:lineRule="auto"/>
      </w:pPr>
      <w:r>
        <w:rPr>
          <w:rFonts w:hint="eastAsia"/>
        </w:rPr>
        <w:t>旁站监理与现场见证</w:t>
      </w:r>
    </w:p>
    <w:p w14:paraId="425BB38B">
      <w:pPr>
        <w:pStyle w:val="56"/>
        <w:spacing w:line="360" w:lineRule="auto"/>
        <w:ind w:firstLine="420"/>
      </w:pPr>
      <w:r>
        <w:rPr>
          <w:rFonts w:hint="eastAsia"/>
        </w:rPr>
        <w:t>对关键工序、重要部位、风险作业应按规定实施旁站监理。旁站应实现线上化记录，至少包含：旁站起止时间、作业内容、关键参数核查、异常情况、处置措施与影像证据等。旁站记录应与工序编码、作业位置、材料批次与检测数据自动关联，形成可追溯证据链。</w:t>
      </w:r>
    </w:p>
    <w:p w14:paraId="51DD2411">
      <w:pPr>
        <w:pStyle w:val="105"/>
        <w:spacing w:before="120" w:after="120" w:line="360" w:lineRule="auto"/>
      </w:pPr>
      <w:r>
        <w:rPr>
          <w:rFonts w:hint="eastAsia"/>
        </w:rPr>
        <w:t>质量问题闭环整改</w:t>
      </w:r>
    </w:p>
    <w:p w14:paraId="65E0AEDB">
      <w:pPr>
        <w:pStyle w:val="165"/>
        <w:spacing w:line="360" w:lineRule="auto"/>
      </w:pPr>
      <w:r>
        <w:rPr>
          <w:rFonts w:hint="eastAsia"/>
        </w:rPr>
        <w:t>系统应建立问题库与闭环整改机制，至少包括：</w:t>
      </w:r>
    </w:p>
    <w:p w14:paraId="77A0E42B">
      <w:pPr>
        <w:pStyle w:val="56"/>
        <w:spacing w:line="360" w:lineRule="auto"/>
        <w:ind w:firstLine="420"/>
      </w:pPr>
      <w:r>
        <w:rPr>
          <w:rFonts w:hint="eastAsia"/>
        </w:rPr>
        <w:t>a) 问题发现：来自监理检查、抽检复核、试验不合格、数据预警、巡检等；</w:t>
      </w:r>
    </w:p>
    <w:p w14:paraId="725E32F0">
      <w:pPr>
        <w:pStyle w:val="56"/>
        <w:spacing w:line="360" w:lineRule="auto"/>
        <w:ind w:firstLine="420"/>
      </w:pPr>
      <w:r>
        <w:rPr>
          <w:rFonts w:hint="eastAsia"/>
        </w:rPr>
        <w:t>b) 问题分级：按影响程度与风险等级分级；</w:t>
      </w:r>
    </w:p>
    <w:p w14:paraId="22D521FE">
      <w:pPr>
        <w:pStyle w:val="56"/>
        <w:spacing w:line="360" w:lineRule="auto"/>
        <w:ind w:firstLine="420"/>
      </w:pPr>
      <w:r>
        <w:rPr>
          <w:rFonts w:hint="eastAsia"/>
        </w:rPr>
        <w:t>c) 整改要求：整改措施、责任人、完成时限、复验方式；</w:t>
      </w:r>
    </w:p>
    <w:p w14:paraId="6585CA0A">
      <w:pPr>
        <w:pStyle w:val="56"/>
        <w:spacing w:line="360" w:lineRule="auto"/>
        <w:ind w:firstLine="420"/>
      </w:pPr>
      <w:r>
        <w:rPr>
          <w:rFonts w:hint="eastAsia"/>
        </w:rPr>
        <w:t>d) 复验销项：复验合格后关闭问题；不合格应升级处理；</w:t>
      </w:r>
    </w:p>
    <w:p w14:paraId="58A4C762">
      <w:pPr>
        <w:pStyle w:val="56"/>
        <w:spacing w:line="360" w:lineRule="auto"/>
        <w:ind w:firstLine="420"/>
      </w:pPr>
      <w:r>
        <w:rPr>
          <w:rFonts w:hint="eastAsia"/>
        </w:rPr>
        <w:t>e) 统计分析：对重复问题与高发风险开展根因分析与规则优化。</w:t>
      </w:r>
    </w:p>
    <w:p w14:paraId="1FF03244">
      <w:pPr>
        <w:pStyle w:val="165"/>
        <w:spacing w:line="360" w:lineRule="auto"/>
      </w:pPr>
      <w:r>
        <w:rPr>
          <w:rFonts w:hint="eastAsia"/>
        </w:rPr>
        <w:t>闭环整改记录应纳入质量证据链归档。</w:t>
      </w:r>
    </w:p>
    <w:p w14:paraId="1A5A1146">
      <w:pPr>
        <w:pStyle w:val="165"/>
        <w:numPr>
          <w:ilvl w:val="0"/>
          <w:numId w:val="0"/>
        </w:numPr>
        <w:spacing w:line="360" w:lineRule="auto"/>
      </w:pPr>
    </w:p>
    <w:p w14:paraId="16CE8401">
      <w:pPr>
        <w:pStyle w:val="165"/>
        <w:numPr>
          <w:ilvl w:val="0"/>
          <w:numId w:val="0"/>
        </w:numPr>
        <w:spacing w:line="360" w:lineRule="auto"/>
      </w:pPr>
    </w:p>
    <w:p w14:paraId="56C28B24">
      <w:pPr>
        <w:pStyle w:val="165"/>
        <w:numPr>
          <w:ilvl w:val="0"/>
          <w:numId w:val="0"/>
        </w:numPr>
        <w:spacing w:line="360" w:lineRule="auto"/>
      </w:pPr>
    </w:p>
    <w:p w14:paraId="00FC3D35">
      <w:pPr>
        <w:pStyle w:val="104"/>
        <w:spacing w:before="240" w:after="240" w:line="360" w:lineRule="auto"/>
      </w:pPr>
      <w:bookmarkStart w:id="54" w:name="_Toc219118877"/>
      <w:r>
        <w:rPr>
          <w:rFonts w:hint="eastAsia"/>
        </w:rPr>
        <w:t>质量检验检测与质量验收要求</w:t>
      </w:r>
      <w:bookmarkEnd w:id="54"/>
    </w:p>
    <w:p w14:paraId="0E8A0EB7">
      <w:pPr>
        <w:pStyle w:val="105"/>
        <w:spacing w:before="120" w:after="120" w:line="360" w:lineRule="auto"/>
      </w:pPr>
      <w:r>
        <w:rPr>
          <w:rFonts w:hint="eastAsia"/>
        </w:rPr>
        <w:t>检验检测智慧化管理</w:t>
      </w:r>
    </w:p>
    <w:p w14:paraId="6FFC0B15">
      <w:pPr>
        <w:pStyle w:val="56"/>
        <w:spacing w:line="360" w:lineRule="auto"/>
        <w:ind w:firstLine="420"/>
      </w:pPr>
      <w:r>
        <w:rPr>
          <w:rFonts w:hint="eastAsia"/>
        </w:rPr>
        <w:t>检验检测管理应覆盖“计划—取样—见证—试验—报告—应用—归档”全过程，并满足：</w:t>
      </w:r>
    </w:p>
    <w:p w14:paraId="33421852">
      <w:pPr>
        <w:pStyle w:val="56"/>
        <w:spacing w:line="360" w:lineRule="auto"/>
        <w:ind w:firstLine="420"/>
      </w:pPr>
      <w:r>
        <w:rPr>
          <w:rFonts w:hint="eastAsia"/>
        </w:rPr>
        <w:t>a) 试验计划与工序联动：试验项目应与工序类型、材料批次与验收节点自动关联；</w:t>
      </w:r>
    </w:p>
    <w:p w14:paraId="09ABC6A7">
      <w:pPr>
        <w:pStyle w:val="56"/>
        <w:spacing w:line="360" w:lineRule="auto"/>
        <w:ind w:firstLine="420"/>
      </w:pPr>
      <w:r>
        <w:rPr>
          <w:rFonts w:hint="eastAsia"/>
        </w:rPr>
        <w:t>b) 取样见证可追溯：取样时间、地点、批次、见证人、封样信息与样品流转记录完整；</w:t>
      </w:r>
    </w:p>
    <w:p w14:paraId="1DF0A560">
      <w:pPr>
        <w:pStyle w:val="56"/>
        <w:spacing w:line="360" w:lineRule="auto"/>
        <w:ind w:firstLine="420"/>
      </w:pPr>
      <w:r>
        <w:rPr>
          <w:rFonts w:hint="eastAsia"/>
        </w:rPr>
        <w:t>c) 数据自动采集与校准关联：试验仪器校准状态应与试验数据关联，校准过期不得出具报告；</w:t>
      </w:r>
    </w:p>
    <w:p w14:paraId="340509E6">
      <w:pPr>
        <w:pStyle w:val="56"/>
        <w:spacing w:line="360" w:lineRule="auto"/>
        <w:ind w:firstLine="420"/>
      </w:pPr>
      <w:r>
        <w:rPr>
          <w:rFonts w:hint="eastAsia"/>
        </w:rPr>
        <w:t>d) 报告真伪与版本控制：报告应具备唯一编号与版本号，作废、补发应留痕；</w:t>
      </w:r>
    </w:p>
    <w:p w14:paraId="35A6CEDA">
      <w:pPr>
        <w:pStyle w:val="56"/>
        <w:spacing w:line="360" w:lineRule="auto"/>
        <w:ind w:firstLine="420"/>
      </w:pPr>
      <w:r>
        <w:rPr>
          <w:rFonts w:hint="eastAsia"/>
        </w:rPr>
        <w:t>e) 结果驱动验收：不合格报告应触发问题库与整改闭环，未闭环不得进入相应验收结论。</w:t>
      </w:r>
    </w:p>
    <w:p w14:paraId="30472947">
      <w:pPr>
        <w:pStyle w:val="105"/>
        <w:spacing w:before="120" w:after="120" w:line="360" w:lineRule="auto"/>
      </w:pPr>
      <w:r>
        <w:rPr>
          <w:rFonts w:hint="eastAsia"/>
        </w:rPr>
        <w:t>单元工程质量验收与评定</w:t>
      </w:r>
    </w:p>
    <w:p w14:paraId="2E2ABE38">
      <w:pPr>
        <w:pStyle w:val="165"/>
        <w:spacing w:line="360" w:lineRule="auto"/>
      </w:pPr>
      <w:r>
        <w:rPr>
          <w:rFonts w:hint="eastAsia"/>
        </w:rPr>
        <w:t>单元工程质量验收应按现行水利水电工程质量验收相关标准执行，并在此基础上实现流程线上化、证据链数字化。单元工程验收应至少核查：</w:t>
      </w:r>
    </w:p>
    <w:p w14:paraId="38D04528">
      <w:pPr>
        <w:pStyle w:val="56"/>
        <w:spacing w:line="360" w:lineRule="auto"/>
        <w:ind w:firstLine="420"/>
      </w:pPr>
      <w:r>
        <w:rPr>
          <w:rFonts w:hint="eastAsia"/>
        </w:rPr>
        <w:t>a) 工序报验与签认完整性；</w:t>
      </w:r>
    </w:p>
    <w:p w14:paraId="28F9EF11">
      <w:pPr>
        <w:pStyle w:val="56"/>
        <w:spacing w:line="360" w:lineRule="auto"/>
        <w:ind w:firstLine="420"/>
      </w:pPr>
      <w:r>
        <w:rPr>
          <w:rFonts w:hint="eastAsia"/>
        </w:rPr>
        <w:t>b) 隐蔽工程验收记录完整性；</w:t>
      </w:r>
    </w:p>
    <w:p w14:paraId="1755295C">
      <w:pPr>
        <w:pStyle w:val="56"/>
        <w:spacing w:line="360" w:lineRule="auto"/>
        <w:ind w:firstLine="420"/>
      </w:pPr>
      <w:r>
        <w:rPr>
          <w:rFonts w:hint="eastAsia"/>
        </w:rPr>
        <w:t>c) 关键参数控制记录与抽检复核一致性；</w:t>
      </w:r>
    </w:p>
    <w:p w14:paraId="39205B28">
      <w:pPr>
        <w:pStyle w:val="56"/>
        <w:spacing w:line="360" w:lineRule="auto"/>
        <w:ind w:firstLine="420"/>
      </w:pPr>
      <w:r>
        <w:rPr>
          <w:rFonts w:hint="eastAsia"/>
        </w:rPr>
        <w:t>d) 检验检测报告有效性与结论一致性；</w:t>
      </w:r>
    </w:p>
    <w:p w14:paraId="2955D1DE">
      <w:pPr>
        <w:pStyle w:val="56"/>
        <w:spacing w:line="360" w:lineRule="auto"/>
        <w:ind w:firstLine="420"/>
      </w:pPr>
      <w:r>
        <w:rPr>
          <w:rFonts w:hint="eastAsia"/>
        </w:rPr>
        <w:t>e) 整改闭环完成情况。</w:t>
      </w:r>
    </w:p>
    <w:p w14:paraId="73606090">
      <w:pPr>
        <w:pStyle w:val="165"/>
        <w:spacing w:line="360" w:lineRule="auto"/>
      </w:pPr>
      <w:r>
        <w:rPr>
          <w:rFonts w:hint="eastAsia"/>
        </w:rPr>
        <w:t>单元工程验收记录模板要素见附录C。</w:t>
      </w:r>
    </w:p>
    <w:p w14:paraId="71C730A7">
      <w:pPr>
        <w:pStyle w:val="105"/>
        <w:spacing w:before="120" w:after="120" w:line="360" w:lineRule="auto"/>
      </w:pPr>
      <w:r>
        <w:rPr>
          <w:rFonts w:hint="eastAsia"/>
        </w:rPr>
        <w:t>分部工程与单位工程验收</w:t>
      </w:r>
    </w:p>
    <w:p w14:paraId="6EB9E9CE">
      <w:pPr>
        <w:pStyle w:val="165"/>
        <w:spacing w:line="360" w:lineRule="auto"/>
      </w:pPr>
      <w:r>
        <w:rPr>
          <w:rFonts w:hint="eastAsia"/>
        </w:rPr>
        <w:t>分部工程与单位工程验收应在单元工程验收合格基础上开展，除按规定进行实体核查外，应重点核查数字化证据链的完整性与一致性，包括：</w:t>
      </w:r>
    </w:p>
    <w:p w14:paraId="6D4B6431">
      <w:pPr>
        <w:pStyle w:val="56"/>
        <w:spacing w:line="360" w:lineRule="auto"/>
        <w:ind w:firstLine="420"/>
      </w:pPr>
      <w:r>
        <w:rPr>
          <w:rFonts w:hint="eastAsia"/>
        </w:rPr>
        <w:t>a) 关键工序与关键部位的证据链闭合率；</w:t>
      </w:r>
    </w:p>
    <w:p w14:paraId="004F9C6C">
      <w:pPr>
        <w:pStyle w:val="56"/>
        <w:spacing w:line="360" w:lineRule="auto"/>
        <w:ind w:firstLine="420"/>
      </w:pPr>
      <w:r>
        <w:rPr>
          <w:rFonts w:hint="eastAsia"/>
        </w:rPr>
        <w:t>b) 试验检测覆盖率与不合格闭环率；</w:t>
      </w:r>
    </w:p>
    <w:p w14:paraId="09308F03">
      <w:pPr>
        <w:pStyle w:val="56"/>
        <w:spacing w:line="360" w:lineRule="auto"/>
        <w:ind w:firstLine="420"/>
      </w:pPr>
      <w:r>
        <w:rPr>
          <w:rFonts w:hint="eastAsia"/>
        </w:rPr>
        <w:t>c) 设计变更、洽商、技术核定与施工记录一致性；</w:t>
      </w:r>
    </w:p>
    <w:p w14:paraId="26EB2D46">
      <w:pPr>
        <w:pStyle w:val="56"/>
        <w:spacing w:line="360" w:lineRule="auto"/>
        <w:ind w:firstLine="420"/>
      </w:pPr>
      <w:r>
        <w:rPr>
          <w:rFonts w:hint="eastAsia"/>
        </w:rPr>
        <w:t>d) 监理指令、旁站记录与处置结果一致性；</w:t>
      </w:r>
    </w:p>
    <w:p w14:paraId="2734ADB7">
      <w:pPr>
        <w:pStyle w:val="56"/>
        <w:spacing w:line="360" w:lineRule="auto"/>
        <w:ind w:firstLine="420"/>
      </w:pPr>
      <w:r>
        <w:rPr>
          <w:rFonts w:hint="eastAsia"/>
        </w:rPr>
        <w:t>e) 数字化交付成果的完整性与可读取性。</w:t>
      </w:r>
    </w:p>
    <w:p w14:paraId="4DCE9C2E">
      <w:pPr>
        <w:pStyle w:val="165"/>
        <w:spacing w:line="360" w:lineRule="auto"/>
      </w:pPr>
      <w:r>
        <w:rPr>
          <w:rFonts w:hint="eastAsia"/>
        </w:rPr>
        <w:t>单位工程验收宜形成“实体质量结论+数字化证据链审查结论”的双结论机制，确保结果可信。</w:t>
      </w:r>
    </w:p>
    <w:p w14:paraId="62CFACE7">
      <w:pPr>
        <w:pStyle w:val="105"/>
        <w:spacing w:before="120" w:after="120" w:line="360" w:lineRule="auto"/>
      </w:pPr>
      <w:r>
        <w:rPr>
          <w:rFonts w:hint="eastAsia"/>
        </w:rPr>
        <w:t>验收电子签认与文件管理</w:t>
      </w:r>
    </w:p>
    <w:p w14:paraId="48AE409F">
      <w:pPr>
        <w:pStyle w:val="165"/>
        <w:spacing w:line="360" w:lineRule="auto"/>
      </w:pPr>
      <w:r>
        <w:rPr>
          <w:rFonts w:hint="eastAsia"/>
        </w:rPr>
        <w:t>验收流程中的申请、审核、签认与归档可采用电子签认方式实现，但应确保：</w:t>
      </w:r>
    </w:p>
    <w:p w14:paraId="5FF1FA13">
      <w:pPr>
        <w:pStyle w:val="56"/>
        <w:spacing w:line="360" w:lineRule="auto"/>
        <w:ind w:firstLine="420"/>
      </w:pPr>
      <w:r>
        <w:rPr>
          <w:rFonts w:hint="eastAsia"/>
        </w:rPr>
        <w:t>a) 签认主体明确、权限受控；</w:t>
      </w:r>
    </w:p>
    <w:p w14:paraId="6113990C">
      <w:pPr>
        <w:pStyle w:val="56"/>
        <w:spacing w:line="360" w:lineRule="auto"/>
        <w:ind w:firstLine="420"/>
      </w:pPr>
      <w:r>
        <w:rPr>
          <w:rFonts w:hint="eastAsia"/>
        </w:rPr>
        <w:t>b) 签认行为可追溯、不可抵赖；</w:t>
      </w:r>
    </w:p>
    <w:p w14:paraId="47E33BA6">
      <w:pPr>
        <w:pStyle w:val="56"/>
        <w:spacing w:line="360" w:lineRule="auto"/>
        <w:ind w:firstLine="420"/>
      </w:pPr>
      <w:r>
        <w:rPr>
          <w:rFonts w:hint="eastAsia"/>
        </w:rPr>
        <w:t>c) 文件版本受控、作废留痕；</w:t>
      </w:r>
    </w:p>
    <w:p w14:paraId="7374246C">
      <w:pPr>
        <w:pStyle w:val="56"/>
        <w:spacing w:line="360" w:lineRule="auto"/>
        <w:ind w:firstLine="420"/>
      </w:pPr>
      <w:r>
        <w:rPr>
          <w:rFonts w:hint="eastAsia"/>
        </w:rPr>
        <w:t>d) 电子文件与纸质文件一致。</w:t>
      </w:r>
    </w:p>
    <w:p w14:paraId="43415DF5">
      <w:pPr>
        <w:pStyle w:val="165"/>
        <w:spacing w:line="360" w:lineRule="auto"/>
      </w:pPr>
      <w:r>
        <w:rPr>
          <w:rFonts w:hint="eastAsia"/>
        </w:rPr>
        <w:t>验收文件应与工程对象编码关联归档，便于检索与复核。</w:t>
      </w:r>
    </w:p>
    <w:p w14:paraId="2D51146C">
      <w:pPr>
        <w:pStyle w:val="104"/>
        <w:spacing w:before="240" w:after="240" w:line="360" w:lineRule="auto"/>
      </w:pPr>
      <w:bookmarkStart w:id="55" w:name="_Toc219118878"/>
      <w:r>
        <w:rPr>
          <w:rFonts w:hint="eastAsia"/>
        </w:rPr>
        <w:t>数字化交付与档案归集移交要求</w:t>
      </w:r>
      <w:bookmarkEnd w:id="55"/>
    </w:p>
    <w:p w14:paraId="4AB78312">
      <w:pPr>
        <w:pStyle w:val="105"/>
        <w:spacing w:before="120" w:after="120" w:line="360" w:lineRule="auto"/>
      </w:pPr>
      <w:r>
        <w:rPr>
          <w:rFonts w:hint="eastAsia"/>
        </w:rPr>
        <w:t>数字化交付范围</w:t>
      </w:r>
    </w:p>
    <w:p w14:paraId="6C57AA7F">
      <w:pPr>
        <w:pStyle w:val="56"/>
        <w:spacing w:line="360" w:lineRule="auto"/>
        <w:ind w:firstLine="420"/>
      </w:pPr>
      <w:r>
        <w:rPr>
          <w:rFonts w:hint="eastAsia"/>
        </w:rPr>
        <w:t>数字化交付应至少包含：</w:t>
      </w:r>
    </w:p>
    <w:p w14:paraId="7A34AD30">
      <w:pPr>
        <w:pStyle w:val="56"/>
        <w:spacing w:line="360" w:lineRule="auto"/>
        <w:ind w:firstLine="420"/>
      </w:pPr>
      <w:r>
        <w:rPr>
          <w:rFonts w:hint="eastAsia"/>
        </w:rPr>
        <w:t>a) 工程对象编码体系与数据字典；</w:t>
      </w:r>
    </w:p>
    <w:p w14:paraId="51E50FBC">
      <w:pPr>
        <w:pStyle w:val="56"/>
        <w:spacing w:line="360" w:lineRule="auto"/>
        <w:ind w:firstLine="420"/>
      </w:pPr>
      <w:r>
        <w:rPr>
          <w:rFonts w:hint="eastAsia"/>
        </w:rPr>
        <w:t>b) 施工过程记录；</w:t>
      </w:r>
    </w:p>
    <w:p w14:paraId="5B997E88">
      <w:pPr>
        <w:pStyle w:val="56"/>
        <w:spacing w:line="360" w:lineRule="auto"/>
        <w:ind w:firstLine="420"/>
      </w:pPr>
      <w:r>
        <w:rPr>
          <w:rFonts w:hint="eastAsia"/>
        </w:rPr>
        <w:t>c) 检验检测数据与报告；</w:t>
      </w:r>
    </w:p>
    <w:p w14:paraId="2A97FC14">
      <w:pPr>
        <w:pStyle w:val="56"/>
        <w:spacing w:line="360" w:lineRule="auto"/>
        <w:ind w:firstLine="420"/>
      </w:pPr>
      <w:r>
        <w:rPr>
          <w:rFonts w:hint="eastAsia"/>
        </w:rPr>
        <w:t>d) 测量成果与监测数据；</w:t>
      </w:r>
    </w:p>
    <w:p w14:paraId="23AE487C">
      <w:pPr>
        <w:pStyle w:val="56"/>
        <w:spacing w:line="360" w:lineRule="auto"/>
        <w:ind w:firstLine="420"/>
      </w:pPr>
      <w:r>
        <w:rPr>
          <w:rFonts w:hint="eastAsia"/>
        </w:rPr>
        <w:t>e) 验收记录、评定表、会议纪要与签认文件；</w:t>
      </w:r>
    </w:p>
    <w:p w14:paraId="701F7FE1">
      <w:pPr>
        <w:pStyle w:val="56"/>
        <w:spacing w:line="360" w:lineRule="auto"/>
        <w:ind w:firstLine="420"/>
      </w:pPr>
      <w:r>
        <w:rPr>
          <w:rFonts w:hint="eastAsia"/>
        </w:rPr>
        <w:t>f) 竣工图与相关模型；</w:t>
      </w:r>
    </w:p>
    <w:p w14:paraId="22E2C011">
      <w:pPr>
        <w:pStyle w:val="56"/>
        <w:spacing w:line="360" w:lineRule="auto"/>
        <w:ind w:firstLine="420"/>
      </w:pPr>
      <w:r>
        <w:rPr>
          <w:rFonts w:hint="eastAsia"/>
        </w:rPr>
        <w:t>g) 运行维护所需的关键质量追溯信息与设备台账。</w:t>
      </w:r>
    </w:p>
    <w:p w14:paraId="3FC3F07A">
      <w:pPr>
        <w:pStyle w:val="105"/>
        <w:spacing w:before="120" w:after="120" w:line="360" w:lineRule="auto"/>
      </w:pPr>
      <w:r>
        <w:rPr>
          <w:rFonts w:hint="eastAsia"/>
        </w:rPr>
        <w:t>档案归集与目录管理</w:t>
      </w:r>
    </w:p>
    <w:p w14:paraId="3F632CD3">
      <w:pPr>
        <w:pStyle w:val="56"/>
        <w:spacing w:line="360" w:lineRule="auto"/>
        <w:ind w:firstLine="420"/>
      </w:pPr>
      <w:r>
        <w:rPr>
          <w:rFonts w:hint="eastAsia"/>
        </w:rPr>
        <w:t>档案归集应满足“分类清晰、目录完整、版本可控、查询便捷”的要求。应建立档案目录结构与编码规则，并实现以下控制：</w:t>
      </w:r>
    </w:p>
    <w:p w14:paraId="5ABB704B">
      <w:pPr>
        <w:pStyle w:val="56"/>
        <w:spacing w:line="360" w:lineRule="auto"/>
        <w:ind w:firstLine="420"/>
      </w:pPr>
      <w:r>
        <w:rPr>
          <w:rFonts w:hint="eastAsia"/>
        </w:rPr>
        <w:t>a) 形成阶段归集：做到“边施工、边归集、边校核”；</w:t>
      </w:r>
    </w:p>
    <w:p w14:paraId="63CFDEB0">
      <w:pPr>
        <w:pStyle w:val="56"/>
        <w:spacing w:line="360" w:lineRule="auto"/>
        <w:ind w:firstLine="420"/>
      </w:pPr>
      <w:r>
        <w:rPr>
          <w:rFonts w:hint="eastAsia"/>
        </w:rPr>
        <w:t>b) 关键节点归档：单元、分部、单位工程验收完成后应及时固化归档包；</w:t>
      </w:r>
    </w:p>
    <w:p w14:paraId="389EDFED">
      <w:pPr>
        <w:pStyle w:val="56"/>
        <w:spacing w:line="360" w:lineRule="auto"/>
        <w:ind w:firstLine="420"/>
      </w:pPr>
      <w:r>
        <w:rPr>
          <w:rFonts w:hint="eastAsia"/>
        </w:rPr>
        <w:t>c) 版本管理：对变更、补充、作废文件进行版本标识与留痕；</w:t>
      </w:r>
    </w:p>
    <w:p w14:paraId="5D47C2A2">
      <w:pPr>
        <w:pStyle w:val="56"/>
        <w:spacing w:line="360" w:lineRule="auto"/>
        <w:ind w:firstLine="420"/>
      </w:pPr>
      <w:r>
        <w:rPr>
          <w:rFonts w:hint="eastAsia"/>
        </w:rPr>
        <w:t>d) 关联检索：档案应可按工程对象编码、工序、材料批次、时间与责任单位多维检索。</w:t>
      </w:r>
    </w:p>
    <w:p w14:paraId="7405DB27">
      <w:pPr>
        <w:pStyle w:val="105"/>
        <w:spacing w:before="120" w:after="120" w:line="360" w:lineRule="auto"/>
      </w:pPr>
      <w:r>
        <w:rPr>
          <w:rFonts w:hint="eastAsia"/>
        </w:rPr>
        <w:t>数字化交付完整性核查</w:t>
      </w:r>
    </w:p>
    <w:p w14:paraId="25D5CA0D">
      <w:pPr>
        <w:pStyle w:val="56"/>
        <w:spacing w:line="360" w:lineRule="auto"/>
        <w:ind w:firstLine="420"/>
      </w:pPr>
      <w:r>
        <w:rPr>
          <w:rFonts w:hint="eastAsia"/>
        </w:rPr>
        <w:t>建设单位应组织对数字化交付成果进行完整性核查，核查应覆盖数据、文件与关联关系三类要素。数字化交付核查清单模板见附录D。</w:t>
      </w:r>
    </w:p>
    <w:p w14:paraId="0DE0F289">
      <w:pPr>
        <w:pStyle w:val="56"/>
        <w:spacing w:line="360" w:lineRule="auto"/>
        <w:ind w:firstLine="420"/>
      </w:pPr>
      <w:r>
        <w:rPr>
          <w:rFonts w:hint="eastAsia"/>
        </w:rPr>
        <w:t>核查不合格的，应明确缺项清单与整改时限，整改闭环后方可办理移交。</w:t>
      </w:r>
    </w:p>
    <w:p w14:paraId="323A1CDC">
      <w:pPr>
        <w:pStyle w:val="112"/>
        <w:spacing w:before="120" w:after="120" w:line="360" w:lineRule="auto"/>
      </w:pPr>
      <w:r>
        <w:rPr>
          <w:rFonts w:hint="eastAsia"/>
        </w:rPr>
        <w:t>数字化交付成果组成与核查要点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3401"/>
        <w:gridCol w:w="3261"/>
        <w:gridCol w:w="1406"/>
      </w:tblGrid>
      <w:tr w14:paraId="26A54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tcPr>
          <w:p w14:paraId="5E619AAE">
            <w:pPr>
              <w:pStyle w:val="178"/>
            </w:pPr>
            <w:r>
              <w:rPr>
                <w:rFonts w:hint="eastAsia"/>
              </w:rPr>
              <w:t>成果类别</w:t>
            </w:r>
          </w:p>
        </w:tc>
        <w:tc>
          <w:tcPr>
            <w:tcW w:w="3401" w:type="dxa"/>
            <w:tcBorders>
              <w:top w:val="single" w:color="auto" w:sz="8" w:space="0"/>
              <w:bottom w:val="single" w:color="auto" w:sz="8" w:space="0"/>
            </w:tcBorders>
          </w:tcPr>
          <w:p w14:paraId="6177E0D9">
            <w:pPr>
              <w:pStyle w:val="178"/>
            </w:pPr>
            <w:r>
              <w:rPr>
                <w:rFonts w:hint="eastAsia"/>
              </w:rPr>
              <w:t>主要内容</w:t>
            </w:r>
          </w:p>
        </w:tc>
        <w:tc>
          <w:tcPr>
            <w:tcW w:w="3261" w:type="dxa"/>
            <w:tcBorders>
              <w:top w:val="single" w:color="auto" w:sz="8" w:space="0"/>
              <w:bottom w:val="single" w:color="auto" w:sz="8" w:space="0"/>
            </w:tcBorders>
          </w:tcPr>
          <w:p w14:paraId="4EF9C44A">
            <w:pPr>
              <w:pStyle w:val="178"/>
            </w:pPr>
            <w:r>
              <w:rPr>
                <w:rFonts w:hint="eastAsia"/>
              </w:rPr>
              <w:t>核查要点</w:t>
            </w:r>
          </w:p>
        </w:tc>
        <w:tc>
          <w:tcPr>
            <w:tcW w:w="1406" w:type="dxa"/>
            <w:tcBorders>
              <w:top w:val="single" w:color="auto" w:sz="8" w:space="0"/>
              <w:bottom w:val="single" w:color="auto" w:sz="8" w:space="0"/>
            </w:tcBorders>
          </w:tcPr>
          <w:p w14:paraId="5EEC3475">
            <w:pPr>
              <w:pStyle w:val="178"/>
            </w:pPr>
            <w:r>
              <w:rPr>
                <w:rFonts w:hint="eastAsia"/>
              </w:rPr>
              <w:t>责任单位</w:t>
            </w:r>
          </w:p>
        </w:tc>
      </w:tr>
      <w:tr w14:paraId="45DB8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tcPr>
          <w:p w14:paraId="2D23D42B">
            <w:pPr>
              <w:pStyle w:val="178"/>
            </w:pPr>
            <w:r>
              <w:rPr>
                <w:rFonts w:hint="eastAsia"/>
              </w:rPr>
              <w:t>编码与字典</w:t>
            </w:r>
          </w:p>
        </w:tc>
        <w:tc>
          <w:tcPr>
            <w:tcW w:w="3401" w:type="dxa"/>
            <w:tcBorders>
              <w:top w:val="single" w:color="auto" w:sz="8" w:space="0"/>
            </w:tcBorders>
          </w:tcPr>
          <w:p w14:paraId="528F45CB">
            <w:pPr>
              <w:pStyle w:val="178"/>
            </w:pPr>
            <w:r>
              <w:rPr>
                <w:rFonts w:hint="eastAsia"/>
              </w:rPr>
              <w:t>编码体系、字段定义、枚举值</w:t>
            </w:r>
          </w:p>
        </w:tc>
        <w:tc>
          <w:tcPr>
            <w:tcW w:w="3261" w:type="dxa"/>
            <w:tcBorders>
              <w:top w:val="single" w:color="auto" w:sz="8" w:space="0"/>
            </w:tcBorders>
          </w:tcPr>
          <w:p w14:paraId="5D756438">
            <w:pPr>
              <w:pStyle w:val="178"/>
            </w:pPr>
            <w:r>
              <w:rPr>
                <w:rFonts w:hint="eastAsia"/>
              </w:rPr>
              <w:t>唯一性、可扩展、与数据一致</w:t>
            </w:r>
          </w:p>
        </w:tc>
        <w:tc>
          <w:tcPr>
            <w:tcW w:w="1406" w:type="dxa"/>
            <w:tcBorders>
              <w:top w:val="single" w:color="auto" w:sz="8" w:space="0"/>
            </w:tcBorders>
          </w:tcPr>
          <w:p w14:paraId="7B92B2A0">
            <w:pPr>
              <w:pStyle w:val="178"/>
            </w:pPr>
            <w:r>
              <w:rPr>
                <w:rFonts w:hint="eastAsia"/>
              </w:rPr>
              <w:t>施工/平台运维</w:t>
            </w:r>
          </w:p>
        </w:tc>
      </w:tr>
      <w:tr w14:paraId="6F0E59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13002183">
            <w:pPr>
              <w:pStyle w:val="178"/>
            </w:pPr>
            <w:r>
              <w:rPr>
                <w:rFonts w:hint="eastAsia"/>
              </w:rPr>
              <w:t>过程记录</w:t>
            </w:r>
          </w:p>
        </w:tc>
        <w:tc>
          <w:tcPr>
            <w:tcW w:w="3401" w:type="dxa"/>
          </w:tcPr>
          <w:p w14:paraId="07125631">
            <w:pPr>
              <w:pStyle w:val="178"/>
            </w:pPr>
            <w:r>
              <w:rPr>
                <w:rFonts w:hint="eastAsia"/>
              </w:rPr>
              <w:t>工序报验、隐蔽验收、旁站、整改闭环</w:t>
            </w:r>
          </w:p>
        </w:tc>
        <w:tc>
          <w:tcPr>
            <w:tcW w:w="3261" w:type="dxa"/>
          </w:tcPr>
          <w:p w14:paraId="658140BC">
            <w:pPr>
              <w:pStyle w:val="178"/>
            </w:pPr>
            <w:r>
              <w:rPr>
                <w:rFonts w:hint="eastAsia"/>
              </w:rPr>
              <w:t>关联完整、签认齐全、留痕可追溯</w:t>
            </w:r>
          </w:p>
        </w:tc>
        <w:tc>
          <w:tcPr>
            <w:tcW w:w="1406" w:type="dxa"/>
          </w:tcPr>
          <w:p w14:paraId="2A9D4936">
            <w:pPr>
              <w:pStyle w:val="178"/>
            </w:pPr>
            <w:r>
              <w:rPr>
                <w:rFonts w:hint="eastAsia"/>
              </w:rPr>
              <w:t>施工/监理</w:t>
            </w:r>
          </w:p>
        </w:tc>
      </w:tr>
      <w:tr w14:paraId="2F45B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147C6AE0">
            <w:pPr>
              <w:pStyle w:val="178"/>
            </w:pPr>
            <w:r>
              <w:rPr>
                <w:rFonts w:hint="eastAsia"/>
              </w:rPr>
              <w:t>检测资料</w:t>
            </w:r>
          </w:p>
        </w:tc>
        <w:tc>
          <w:tcPr>
            <w:tcW w:w="3401" w:type="dxa"/>
          </w:tcPr>
          <w:p w14:paraId="041CCAC0">
            <w:pPr>
              <w:pStyle w:val="178"/>
            </w:pPr>
            <w:r>
              <w:rPr>
                <w:rFonts w:hint="eastAsia"/>
              </w:rPr>
              <w:t>取样见证、试验数据、报告、校准信息</w:t>
            </w:r>
          </w:p>
        </w:tc>
        <w:tc>
          <w:tcPr>
            <w:tcW w:w="3261" w:type="dxa"/>
          </w:tcPr>
          <w:p w14:paraId="5F9AE424">
            <w:pPr>
              <w:pStyle w:val="178"/>
            </w:pPr>
            <w:r>
              <w:rPr>
                <w:rFonts w:hint="eastAsia"/>
              </w:rPr>
              <w:t>报告有效、校准关联、不合格闭环</w:t>
            </w:r>
          </w:p>
        </w:tc>
        <w:tc>
          <w:tcPr>
            <w:tcW w:w="1406" w:type="dxa"/>
          </w:tcPr>
          <w:p w14:paraId="542F225A">
            <w:pPr>
              <w:pStyle w:val="178"/>
            </w:pPr>
            <w:r>
              <w:rPr>
                <w:rFonts w:hint="eastAsia"/>
              </w:rPr>
              <w:t>检测/施工</w:t>
            </w:r>
          </w:p>
        </w:tc>
      </w:tr>
      <w:tr w14:paraId="46947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20C01BDD">
            <w:pPr>
              <w:pStyle w:val="178"/>
            </w:pPr>
            <w:r>
              <w:rPr>
                <w:rFonts w:hint="eastAsia"/>
              </w:rPr>
              <w:t>验收资料</w:t>
            </w:r>
          </w:p>
        </w:tc>
        <w:tc>
          <w:tcPr>
            <w:tcW w:w="3401" w:type="dxa"/>
          </w:tcPr>
          <w:p w14:paraId="04F9BBF7">
            <w:pPr>
              <w:pStyle w:val="178"/>
            </w:pPr>
            <w:r>
              <w:rPr>
                <w:rFonts w:hint="eastAsia"/>
              </w:rPr>
              <w:t>评定表、验收记录、会议纪要</w:t>
            </w:r>
          </w:p>
        </w:tc>
        <w:tc>
          <w:tcPr>
            <w:tcW w:w="3261" w:type="dxa"/>
          </w:tcPr>
          <w:p w14:paraId="7BAC9B90">
            <w:pPr>
              <w:pStyle w:val="178"/>
            </w:pPr>
            <w:r>
              <w:rPr>
                <w:rFonts w:hint="eastAsia"/>
              </w:rPr>
              <w:t>结论一致、签章完整、版本受控</w:t>
            </w:r>
          </w:p>
        </w:tc>
        <w:tc>
          <w:tcPr>
            <w:tcW w:w="1406" w:type="dxa"/>
          </w:tcPr>
          <w:p w14:paraId="27D8E34B">
            <w:pPr>
              <w:pStyle w:val="178"/>
            </w:pPr>
            <w:r>
              <w:rPr>
                <w:rFonts w:hint="eastAsia"/>
              </w:rPr>
              <w:t>监理/建设</w:t>
            </w:r>
          </w:p>
        </w:tc>
      </w:tr>
      <w:tr w14:paraId="3B32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47C065D8">
            <w:pPr>
              <w:pStyle w:val="178"/>
            </w:pPr>
            <w:r>
              <w:rPr>
                <w:rFonts w:hint="eastAsia"/>
              </w:rPr>
              <w:t>图纸与模型</w:t>
            </w:r>
          </w:p>
        </w:tc>
        <w:tc>
          <w:tcPr>
            <w:tcW w:w="3401" w:type="dxa"/>
          </w:tcPr>
          <w:p w14:paraId="3B0FDC92">
            <w:pPr>
              <w:pStyle w:val="178"/>
            </w:pPr>
            <w:r>
              <w:rPr>
                <w:rFonts w:hint="eastAsia"/>
              </w:rPr>
              <w:t>竣工图、模型</w:t>
            </w:r>
          </w:p>
        </w:tc>
        <w:tc>
          <w:tcPr>
            <w:tcW w:w="3261" w:type="dxa"/>
          </w:tcPr>
          <w:p w14:paraId="6A8DA35B">
            <w:pPr>
              <w:pStyle w:val="178"/>
            </w:pPr>
            <w:r>
              <w:rPr>
                <w:rFonts w:hint="eastAsia"/>
              </w:rPr>
              <w:t>可读取、坐标一致、与实体一致</w:t>
            </w:r>
          </w:p>
        </w:tc>
        <w:tc>
          <w:tcPr>
            <w:tcW w:w="1406" w:type="dxa"/>
          </w:tcPr>
          <w:p w14:paraId="56C0BD7D">
            <w:pPr>
              <w:pStyle w:val="178"/>
            </w:pPr>
            <w:r>
              <w:rPr>
                <w:rFonts w:hint="eastAsia"/>
              </w:rPr>
              <w:t>设计/施工</w:t>
            </w:r>
          </w:p>
        </w:tc>
      </w:tr>
    </w:tbl>
    <w:p w14:paraId="66C6E739">
      <w:pPr>
        <w:pStyle w:val="104"/>
        <w:spacing w:before="240" w:after="240" w:line="360" w:lineRule="auto"/>
      </w:pPr>
      <w:bookmarkStart w:id="56" w:name="_Toc219118879"/>
      <w:r>
        <w:rPr>
          <w:rFonts w:hint="eastAsia"/>
        </w:rPr>
        <w:t>运行维护与系统保障要求</w:t>
      </w:r>
      <w:bookmarkEnd w:id="56"/>
    </w:p>
    <w:p w14:paraId="6E8E2CE3">
      <w:pPr>
        <w:pStyle w:val="105"/>
        <w:spacing w:before="120" w:after="120" w:line="360" w:lineRule="auto"/>
      </w:pPr>
      <w:r>
        <w:rPr>
          <w:rFonts w:hint="eastAsia"/>
        </w:rPr>
        <w:t>系统运维与服务保障</w:t>
      </w:r>
    </w:p>
    <w:p w14:paraId="0D2EDA76">
      <w:pPr>
        <w:pStyle w:val="56"/>
        <w:spacing w:line="360" w:lineRule="auto"/>
        <w:ind w:firstLine="420"/>
      </w:pPr>
      <w:r>
        <w:rPr>
          <w:rFonts w:hint="eastAsia"/>
        </w:rPr>
        <w:t>智慧化管控系统应建立运维制度，至少包括：系统巡检、故障处置、版本升级、权限审计、备份恢复演练等。对验收高峰期和重要工序集中期应设置运维保障与应急响应机制，确保系统稳定可用。</w:t>
      </w:r>
    </w:p>
    <w:p w14:paraId="0F7BD95C">
      <w:pPr>
        <w:pStyle w:val="105"/>
        <w:spacing w:before="120" w:after="120" w:line="360" w:lineRule="auto"/>
      </w:pPr>
      <w:r>
        <w:rPr>
          <w:rFonts w:hint="eastAsia"/>
        </w:rPr>
        <w:t>设备与传感器维护</w:t>
      </w:r>
    </w:p>
    <w:p w14:paraId="5F69A495">
      <w:pPr>
        <w:pStyle w:val="56"/>
        <w:spacing w:line="360" w:lineRule="auto"/>
        <w:ind w:firstLine="420"/>
      </w:pPr>
      <w:r>
        <w:rPr>
          <w:rFonts w:hint="eastAsia"/>
        </w:rPr>
        <w:t>现场感知设备与传感器应建立台账与维护计划，至少包括安装位置、校准周期、巡检记录、故障记录与更换记录。关键设备宜设置冗余或替代采集方案，确保关键参数可持续获取。</w:t>
      </w:r>
    </w:p>
    <w:p w14:paraId="732BBE95">
      <w:pPr>
        <w:pStyle w:val="105"/>
        <w:spacing w:before="120" w:after="120" w:line="360" w:lineRule="auto"/>
      </w:pPr>
      <w:r>
        <w:rPr>
          <w:rFonts w:hint="eastAsia"/>
        </w:rPr>
        <w:t>数据保存与长期可用</w:t>
      </w:r>
    </w:p>
    <w:p w14:paraId="2F028C44">
      <w:pPr>
        <w:pStyle w:val="56"/>
        <w:spacing w:line="360" w:lineRule="auto"/>
        <w:ind w:firstLine="420"/>
      </w:pPr>
      <w:r>
        <w:rPr>
          <w:rFonts w:hint="eastAsia"/>
        </w:rPr>
        <w:t>项目数据应满足长期保存与可迁移要求。对结构化数据与电子文件应明确保存格式、导出方式与校验机制，避免系统更替导致数据不可用；关键成果应提供可离线读取的交付包。</w:t>
      </w:r>
    </w:p>
    <w:p w14:paraId="6092A674">
      <w:pPr>
        <w:pStyle w:val="104"/>
        <w:spacing w:before="240" w:after="240" w:line="360" w:lineRule="auto"/>
      </w:pPr>
      <w:bookmarkStart w:id="57" w:name="_Toc219118880"/>
      <w:r>
        <w:rPr>
          <w:rFonts w:hint="eastAsia"/>
        </w:rPr>
        <w:t>监督评价与持续改进</w:t>
      </w:r>
      <w:bookmarkEnd w:id="57"/>
    </w:p>
    <w:p w14:paraId="1B6C7EC6">
      <w:pPr>
        <w:pStyle w:val="105"/>
        <w:spacing w:before="120" w:after="120" w:line="360" w:lineRule="auto"/>
      </w:pPr>
      <w:r>
        <w:rPr>
          <w:rFonts w:hint="eastAsia"/>
        </w:rPr>
        <w:t>监督检查要求</w:t>
      </w:r>
    </w:p>
    <w:p w14:paraId="6B64A3B0">
      <w:pPr>
        <w:pStyle w:val="56"/>
        <w:spacing w:line="360" w:lineRule="auto"/>
        <w:ind w:firstLine="420"/>
      </w:pPr>
      <w:r>
        <w:rPr>
          <w:rFonts w:hint="eastAsia"/>
        </w:rPr>
        <w:t>建设单位应组织对智慧化管控实施效果开展监督检查，监理单位应将智慧化过程控制纳入日常巡视、旁站与验收核查范围。监督检查重点包括：关键工序覆盖率、隐蔽验收合规率、检测资料完整率、整改闭环率、数据质量合格率与电子签认规范性等。</w:t>
      </w:r>
    </w:p>
    <w:p w14:paraId="07270970">
      <w:pPr>
        <w:pStyle w:val="105"/>
        <w:spacing w:before="120" w:after="120" w:line="360" w:lineRule="auto"/>
      </w:pPr>
      <w:r>
        <w:rPr>
          <w:rFonts w:hint="eastAsia"/>
        </w:rPr>
        <w:t>评价指标与考核应用</w:t>
      </w:r>
    </w:p>
    <w:p w14:paraId="73C3FAFA">
      <w:pPr>
        <w:pStyle w:val="56"/>
        <w:spacing w:line="360" w:lineRule="auto"/>
        <w:ind w:firstLine="420"/>
      </w:pPr>
      <w:r>
        <w:rPr>
          <w:rFonts w:hint="eastAsia"/>
        </w:rPr>
        <w:t>宜建立智慧化管控评价指标体系，用于阶段性评价与年度总结。指标可包括：</w:t>
      </w:r>
    </w:p>
    <w:p w14:paraId="40804BCC">
      <w:pPr>
        <w:pStyle w:val="56"/>
        <w:spacing w:line="360" w:lineRule="auto"/>
        <w:ind w:firstLine="420"/>
      </w:pPr>
      <w:r>
        <w:rPr>
          <w:rFonts w:hint="eastAsia"/>
        </w:rPr>
        <w:t>a) 关键工序线上化覆盖率；</w:t>
      </w:r>
    </w:p>
    <w:p w14:paraId="14E89812">
      <w:pPr>
        <w:pStyle w:val="56"/>
        <w:spacing w:line="360" w:lineRule="auto"/>
        <w:ind w:firstLine="420"/>
      </w:pPr>
      <w:r>
        <w:rPr>
          <w:rFonts w:hint="eastAsia"/>
        </w:rPr>
        <w:t>b) 隐蔽工程“先验后隐蔽”执行率；</w:t>
      </w:r>
    </w:p>
    <w:p w14:paraId="3A1E9E8A">
      <w:pPr>
        <w:pStyle w:val="56"/>
        <w:spacing w:line="360" w:lineRule="auto"/>
        <w:ind w:firstLine="420"/>
      </w:pPr>
      <w:r>
        <w:rPr>
          <w:rFonts w:hint="eastAsia"/>
        </w:rPr>
        <w:t>c) 检测数据自动采集率与校准关联率；</w:t>
      </w:r>
    </w:p>
    <w:p w14:paraId="43B4F038">
      <w:pPr>
        <w:pStyle w:val="56"/>
        <w:spacing w:line="360" w:lineRule="auto"/>
        <w:ind w:firstLine="420"/>
      </w:pPr>
      <w:r>
        <w:rPr>
          <w:rFonts w:hint="eastAsia"/>
        </w:rPr>
        <w:t>d) 不合格项闭环率与平均闭环时长；</w:t>
      </w:r>
    </w:p>
    <w:p w14:paraId="0F707741">
      <w:pPr>
        <w:pStyle w:val="56"/>
        <w:spacing w:line="360" w:lineRule="auto"/>
        <w:ind w:firstLine="420"/>
      </w:pPr>
      <w:r>
        <w:rPr>
          <w:rFonts w:hint="eastAsia"/>
        </w:rPr>
        <w:t>e) 证据链完整性（关联闭合率）；</w:t>
      </w:r>
    </w:p>
    <w:p w14:paraId="689BA318">
      <w:pPr>
        <w:pStyle w:val="56"/>
        <w:spacing w:line="360" w:lineRule="auto"/>
        <w:ind w:firstLine="420"/>
      </w:pPr>
      <w:r>
        <w:rPr>
          <w:rFonts w:hint="eastAsia"/>
        </w:rPr>
        <w:t>f) 数据缺失率、异常率与修正留痕合规率。</w:t>
      </w:r>
    </w:p>
    <w:p w14:paraId="7D900200">
      <w:pPr>
        <w:pStyle w:val="56"/>
        <w:spacing w:line="360" w:lineRule="auto"/>
        <w:ind w:firstLine="420"/>
      </w:pPr>
      <w:r>
        <w:rPr>
          <w:rFonts w:hint="eastAsia"/>
        </w:rPr>
        <w:t>评价结果可作为参建单位质量管理绩效考核、奖惩与改进的重要依据。</w:t>
      </w:r>
    </w:p>
    <w:p w14:paraId="4305A6E1">
      <w:pPr>
        <w:pStyle w:val="105"/>
        <w:spacing w:before="120" w:after="120" w:line="360" w:lineRule="auto"/>
      </w:pPr>
      <w:r>
        <w:rPr>
          <w:rFonts w:hint="eastAsia"/>
        </w:rPr>
        <w:t>持续改进</w:t>
      </w:r>
    </w:p>
    <w:p w14:paraId="07FBB4AD">
      <w:pPr>
        <w:pStyle w:val="56"/>
        <w:spacing w:line="360" w:lineRule="auto"/>
        <w:ind w:firstLine="420"/>
      </w:pPr>
      <w:r>
        <w:rPr>
          <w:rFonts w:hint="eastAsia"/>
        </w:rPr>
        <w:t>应基于监督检查、验收复盘与问题库统计分析，对阈值规则、流程节点、表单模板与数据字典进行迭代优化；重大优化应进行版本管理并宣贯培训，确保现场执行一致。</w:t>
      </w:r>
    </w:p>
    <w:p w14:paraId="5E4F097E">
      <w:pPr>
        <w:pStyle w:val="56"/>
        <w:ind w:firstLine="420"/>
      </w:pPr>
    </w:p>
    <w:p w14:paraId="686CE9F1">
      <w:pPr>
        <w:pStyle w:val="56"/>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p>
    <w:bookmarkEnd w:id="26"/>
    <w:p w14:paraId="24C4AF03">
      <w:pPr>
        <w:pStyle w:val="198"/>
      </w:pPr>
      <w:bookmarkStart w:id="58" w:name="BookMark5"/>
    </w:p>
    <w:p w14:paraId="1007ED91">
      <w:pPr>
        <w:pStyle w:val="76"/>
        <w:spacing w:after="120" w:line="360" w:lineRule="auto"/>
      </w:pPr>
      <w:r>
        <w:br w:type="textWrapping"/>
      </w:r>
      <w:bookmarkStart w:id="59" w:name="_Toc219118881"/>
      <w:r>
        <w:rPr>
          <w:rFonts w:hint="eastAsia"/>
        </w:rPr>
        <w:t>（资料性）</w:t>
      </w:r>
      <w:r>
        <w:br w:type="textWrapping"/>
      </w:r>
      <w:r>
        <w:rPr>
          <w:rFonts w:hint="eastAsia"/>
        </w:rPr>
        <w:t>数据字典示例</w:t>
      </w:r>
      <w:bookmarkEnd w:id="59"/>
    </w:p>
    <w:p w14:paraId="44AA1F0E">
      <w:pPr>
        <w:pStyle w:val="78"/>
        <w:spacing w:before="120" w:after="120" w:line="360" w:lineRule="auto"/>
      </w:pPr>
      <w:r>
        <w:rPr>
          <w:rFonts w:hint="eastAsia"/>
        </w:rPr>
        <w:t>基本字段：</w:t>
      </w:r>
    </w:p>
    <w:p w14:paraId="4D763BEB">
      <w:pPr>
        <w:pStyle w:val="56"/>
        <w:spacing w:line="360" w:lineRule="auto"/>
        <w:ind w:firstLine="420"/>
      </w:pPr>
      <w:r>
        <w:rPr>
          <w:rFonts w:hint="eastAsia"/>
        </w:rPr>
        <w:t>a) project_id 项目唯一标识；</w:t>
      </w:r>
    </w:p>
    <w:p w14:paraId="4BE58C6C">
      <w:pPr>
        <w:pStyle w:val="56"/>
        <w:spacing w:line="360" w:lineRule="auto"/>
        <w:ind w:firstLine="420"/>
      </w:pPr>
      <w:r>
        <w:rPr>
          <w:rFonts w:hint="eastAsia"/>
        </w:rPr>
        <w:t>b) unit_project_id 单位工程编码；</w:t>
      </w:r>
    </w:p>
    <w:p w14:paraId="4048F436">
      <w:pPr>
        <w:pStyle w:val="56"/>
        <w:spacing w:line="360" w:lineRule="auto"/>
        <w:ind w:firstLine="420"/>
      </w:pPr>
      <w:r>
        <w:rPr>
          <w:rFonts w:hint="eastAsia"/>
        </w:rPr>
        <w:t>c) sub_project_id 分部工程编码；</w:t>
      </w:r>
    </w:p>
    <w:p w14:paraId="49CD8173">
      <w:pPr>
        <w:pStyle w:val="56"/>
        <w:spacing w:line="360" w:lineRule="auto"/>
        <w:ind w:firstLine="420"/>
      </w:pPr>
      <w:r>
        <w:rPr>
          <w:rFonts w:hint="eastAsia"/>
        </w:rPr>
        <w:t>d) unit_work_id 单元工程编码；</w:t>
      </w:r>
    </w:p>
    <w:p w14:paraId="6BEBFDB4">
      <w:pPr>
        <w:pStyle w:val="56"/>
        <w:spacing w:line="360" w:lineRule="auto"/>
        <w:ind w:firstLine="420"/>
      </w:pPr>
      <w:r>
        <w:rPr>
          <w:rFonts w:hint="eastAsia"/>
        </w:rPr>
        <w:t>e) process_id 工序编码；</w:t>
      </w:r>
    </w:p>
    <w:p w14:paraId="5770D5EE">
      <w:pPr>
        <w:pStyle w:val="56"/>
        <w:spacing w:line="360" w:lineRule="auto"/>
        <w:ind w:firstLine="420"/>
      </w:pPr>
      <w:r>
        <w:rPr>
          <w:rFonts w:hint="eastAsia"/>
        </w:rPr>
        <w:t>f) location_code 位置编码（桩号/坐标/高程/部位）；</w:t>
      </w:r>
    </w:p>
    <w:p w14:paraId="1ECBE8E6">
      <w:pPr>
        <w:pStyle w:val="56"/>
        <w:spacing w:line="360" w:lineRule="auto"/>
        <w:ind w:firstLine="420"/>
      </w:pPr>
      <w:r>
        <w:rPr>
          <w:rFonts w:hint="eastAsia"/>
        </w:rPr>
        <w:t>g) material_batch 材料批次号；</w:t>
      </w:r>
    </w:p>
    <w:p w14:paraId="0FB28671">
      <w:pPr>
        <w:pStyle w:val="56"/>
        <w:spacing w:line="360" w:lineRule="auto"/>
        <w:ind w:firstLine="420"/>
      </w:pPr>
      <w:r>
        <w:rPr>
          <w:rFonts w:hint="eastAsia"/>
        </w:rPr>
        <w:t>h) equipment_id 设备台账号；</w:t>
      </w:r>
    </w:p>
    <w:p w14:paraId="4EDC4A15">
      <w:pPr>
        <w:pStyle w:val="56"/>
        <w:spacing w:line="360" w:lineRule="auto"/>
        <w:ind w:firstLine="420"/>
      </w:pPr>
      <w:r>
        <w:rPr>
          <w:rFonts w:hint="eastAsia"/>
        </w:rPr>
        <w:t>i) record_type 记录类型（报验/旁站/隐蔽/整改/验收等）；</w:t>
      </w:r>
    </w:p>
    <w:p w14:paraId="7412E7D5">
      <w:pPr>
        <w:pStyle w:val="56"/>
        <w:spacing w:line="360" w:lineRule="auto"/>
        <w:ind w:firstLine="420"/>
      </w:pPr>
      <w:r>
        <w:rPr>
          <w:rFonts w:hint="eastAsia"/>
        </w:rPr>
        <w:t>j) record_status 状态（草稿/提交/退回/已签认/作废等）；</w:t>
      </w:r>
    </w:p>
    <w:p w14:paraId="1454DF47">
      <w:pPr>
        <w:pStyle w:val="56"/>
        <w:spacing w:line="360" w:lineRule="auto"/>
        <w:ind w:firstLine="420"/>
      </w:pPr>
      <w:r>
        <w:rPr>
          <w:rFonts w:hint="eastAsia"/>
        </w:rPr>
        <w:t>k) ts 时间戳（统一时间基准）；</w:t>
      </w:r>
    </w:p>
    <w:p w14:paraId="170654E0">
      <w:pPr>
        <w:pStyle w:val="56"/>
        <w:spacing w:line="360" w:lineRule="auto"/>
        <w:ind w:firstLine="420"/>
      </w:pPr>
      <w:r>
        <w:rPr>
          <w:rFonts w:hint="eastAsia"/>
        </w:rPr>
        <w:t>l) version 版本号；</w:t>
      </w:r>
    </w:p>
    <w:p w14:paraId="68F2E40C">
      <w:pPr>
        <w:pStyle w:val="56"/>
        <w:spacing w:line="360" w:lineRule="auto"/>
        <w:ind w:firstLine="420"/>
      </w:pPr>
      <w:r>
        <w:rPr>
          <w:rFonts w:hint="eastAsia"/>
        </w:rPr>
        <w:t>m) signer 签认人标识；</w:t>
      </w:r>
    </w:p>
    <w:p w14:paraId="084774AD">
      <w:pPr>
        <w:pStyle w:val="56"/>
        <w:spacing w:line="360" w:lineRule="auto"/>
        <w:ind w:firstLine="420"/>
      </w:pPr>
      <w:r>
        <w:rPr>
          <w:rFonts w:hint="eastAsia"/>
        </w:rPr>
        <w:t>n) sign_time 签认时间。</w:t>
      </w:r>
    </w:p>
    <w:p w14:paraId="00B93177">
      <w:pPr>
        <w:pStyle w:val="56"/>
        <w:spacing w:line="360" w:lineRule="auto"/>
        <w:ind w:firstLine="420"/>
      </w:pPr>
      <w:r>
        <w:rPr>
          <w:rFonts w:hint="eastAsia"/>
        </w:rPr>
        <w:t>A.2 枚举值：</w:t>
      </w:r>
    </w:p>
    <w:p w14:paraId="5BAB61B2">
      <w:pPr>
        <w:pStyle w:val="56"/>
        <w:spacing w:line="360" w:lineRule="auto"/>
        <w:ind w:firstLine="420"/>
      </w:pPr>
      <w:r>
        <w:rPr>
          <w:rFonts w:hint="eastAsia"/>
        </w:rPr>
        <w:t>a) risk_level：low、medium、high；</w:t>
      </w:r>
    </w:p>
    <w:p w14:paraId="58CFBDBC">
      <w:pPr>
        <w:pStyle w:val="56"/>
        <w:spacing w:line="360" w:lineRule="auto"/>
        <w:ind w:firstLine="420"/>
      </w:pPr>
      <w:r>
        <w:rPr>
          <w:rFonts w:hint="eastAsia"/>
        </w:rPr>
        <w:t>b) evidence_type：data、image、video、report、form；</w:t>
      </w:r>
    </w:p>
    <w:p w14:paraId="0345D74F">
      <w:pPr>
        <w:pStyle w:val="56"/>
        <w:spacing w:line="360" w:lineRule="auto"/>
        <w:ind w:firstLine="420"/>
      </w:pPr>
      <w:r>
        <w:rPr>
          <w:rFonts w:hint="eastAsia"/>
        </w:rPr>
        <w:t>c) check_result：pass、fail、pending。</w:t>
      </w:r>
    </w:p>
    <w:p w14:paraId="2A2EA43A">
      <w:pPr>
        <w:pStyle w:val="56"/>
        <w:ind w:firstLine="420"/>
      </w:pPr>
    </w:p>
    <w:p w14:paraId="472835EC">
      <w:pPr>
        <w:pStyle w:val="56"/>
        <w:ind w:firstLine="420"/>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pPr>
    </w:p>
    <w:p w14:paraId="2961973D">
      <w:pPr>
        <w:pStyle w:val="198"/>
      </w:pPr>
    </w:p>
    <w:p w14:paraId="53CC6D59">
      <w:pPr>
        <w:pStyle w:val="76"/>
        <w:spacing w:after="120" w:line="360" w:lineRule="auto"/>
      </w:pPr>
      <w:r>
        <w:br w:type="textWrapping"/>
      </w:r>
      <w:bookmarkStart w:id="60" w:name="_Toc219118882"/>
      <w:r>
        <w:rPr>
          <w:rFonts w:hint="eastAsia"/>
        </w:rPr>
        <w:t>（资料性）</w:t>
      </w:r>
      <w:r>
        <w:br w:type="textWrapping"/>
      </w:r>
      <w:r>
        <w:rPr>
          <w:rFonts w:hint="eastAsia"/>
        </w:rPr>
        <w:t>隐蔽工程验收核查清单模板</w:t>
      </w:r>
      <w:bookmarkEnd w:id="60"/>
    </w:p>
    <w:p w14:paraId="124709B4">
      <w:pPr>
        <w:pStyle w:val="211"/>
        <w:spacing w:line="360" w:lineRule="auto"/>
      </w:pPr>
      <w:r>
        <w:rPr>
          <w:rFonts w:hint="eastAsia"/>
        </w:rPr>
        <w:t>基本信息</w:t>
      </w:r>
    </w:p>
    <w:p w14:paraId="4A4BF04B">
      <w:pPr>
        <w:pStyle w:val="56"/>
        <w:spacing w:line="360" w:lineRule="auto"/>
        <w:ind w:firstLine="420"/>
      </w:pPr>
      <w:r>
        <w:rPr>
          <w:rFonts w:hint="eastAsia"/>
        </w:rPr>
        <w:t>工程对象编码、位置（桩号/部位/坐标）、隐蔽类型、申请单位、申请时间、计划隐蔽时间、参与单位与人员。</w:t>
      </w:r>
    </w:p>
    <w:p w14:paraId="7BE1AA79">
      <w:pPr>
        <w:pStyle w:val="211"/>
        <w:spacing w:line="360" w:lineRule="auto"/>
      </w:pPr>
      <w:r>
        <w:rPr>
          <w:rFonts w:hint="eastAsia"/>
        </w:rPr>
        <w:t>核查要点示例</w:t>
      </w:r>
    </w:p>
    <w:p w14:paraId="1B55D0AE">
      <w:pPr>
        <w:pStyle w:val="56"/>
        <w:spacing w:line="360" w:lineRule="auto"/>
        <w:ind w:firstLine="420"/>
      </w:pPr>
      <w:r>
        <w:rPr>
          <w:rFonts w:hint="eastAsia"/>
        </w:rPr>
        <w:t>a) 图纸与变更一致性核查；</w:t>
      </w:r>
    </w:p>
    <w:p w14:paraId="46336C44">
      <w:pPr>
        <w:pStyle w:val="56"/>
        <w:spacing w:line="360" w:lineRule="auto"/>
        <w:ind w:firstLine="420"/>
      </w:pPr>
      <w:r>
        <w:rPr>
          <w:rFonts w:hint="eastAsia"/>
        </w:rPr>
        <w:t>b) 材料批次与检验状态核查；</w:t>
      </w:r>
    </w:p>
    <w:p w14:paraId="3DCD4A5D">
      <w:pPr>
        <w:pStyle w:val="56"/>
        <w:spacing w:line="360" w:lineRule="auto"/>
        <w:ind w:firstLine="420"/>
      </w:pPr>
      <w:r>
        <w:rPr>
          <w:rFonts w:hint="eastAsia"/>
        </w:rPr>
        <w:t>c) 尺寸、间距、搭接、锚固等关键几何参数核查；</w:t>
      </w:r>
    </w:p>
    <w:p w14:paraId="07AAAD93">
      <w:pPr>
        <w:pStyle w:val="56"/>
        <w:spacing w:line="360" w:lineRule="auto"/>
        <w:ind w:firstLine="420"/>
      </w:pPr>
      <w:r>
        <w:rPr>
          <w:rFonts w:hint="eastAsia"/>
        </w:rPr>
        <w:t>d) 关键节点处理（止水、防渗、预埋件等）核查；</w:t>
      </w:r>
    </w:p>
    <w:p w14:paraId="39D1A76F">
      <w:pPr>
        <w:pStyle w:val="56"/>
        <w:spacing w:line="360" w:lineRule="auto"/>
        <w:ind w:firstLine="420"/>
      </w:pPr>
      <w:r>
        <w:rPr>
          <w:rFonts w:hint="eastAsia"/>
        </w:rPr>
        <w:t>e) 影像留存是否满足整体/局部/标尺/标识要求；</w:t>
      </w:r>
    </w:p>
    <w:p w14:paraId="3B112EA8">
      <w:pPr>
        <w:pStyle w:val="56"/>
        <w:spacing w:line="360" w:lineRule="auto"/>
        <w:ind w:firstLine="420"/>
      </w:pPr>
      <w:r>
        <w:rPr>
          <w:rFonts w:hint="eastAsia"/>
        </w:rPr>
        <w:t>f) 检测或抽检记录是否齐全；</w:t>
      </w:r>
    </w:p>
    <w:p w14:paraId="1D37BB00">
      <w:pPr>
        <w:pStyle w:val="56"/>
        <w:spacing w:line="360" w:lineRule="auto"/>
        <w:ind w:firstLine="420"/>
      </w:pPr>
      <w:r>
        <w:rPr>
          <w:rFonts w:hint="eastAsia"/>
        </w:rPr>
        <w:t>g) 不符合项及整改要求、复验要求。</w:t>
      </w:r>
    </w:p>
    <w:p w14:paraId="7E0DABEA">
      <w:pPr>
        <w:pStyle w:val="211"/>
        <w:spacing w:line="360" w:lineRule="auto"/>
      </w:pPr>
      <w:r>
        <w:rPr>
          <w:rFonts w:hint="eastAsia"/>
        </w:rPr>
        <w:t>结论与签认</w:t>
      </w:r>
    </w:p>
    <w:p w14:paraId="06B0D394">
      <w:pPr>
        <w:pStyle w:val="56"/>
        <w:spacing w:line="360" w:lineRule="auto"/>
        <w:ind w:firstLine="420"/>
        <w:sectPr>
          <w:headerReference r:id="rId30" w:type="default"/>
          <w:footerReference r:id="rId32" w:type="default"/>
          <w:headerReference r:id="rId31" w:type="even"/>
          <w:footerReference r:id="rId33" w:type="even"/>
          <w:pgSz w:w="11906" w:h="16838"/>
          <w:pgMar w:top="1928" w:right="1134" w:bottom="1134" w:left="1134" w:header="1418" w:footer="1134" w:gutter="284"/>
          <w:cols w:space="425" w:num="1"/>
          <w:formProt w:val="0"/>
          <w:docGrid w:linePitch="312" w:charSpace="0"/>
        </w:sectPr>
      </w:pPr>
      <w:r>
        <w:rPr>
          <w:rFonts w:hint="eastAsia"/>
        </w:rPr>
        <w:t>结论（合格/不合格/限期整改后复验）、签认信息、签认时间、附件清单（影像/测量/检测报告等）。</w:t>
      </w:r>
    </w:p>
    <w:p w14:paraId="1FF3D914">
      <w:pPr>
        <w:pStyle w:val="198"/>
      </w:pPr>
    </w:p>
    <w:p w14:paraId="5D141E8B">
      <w:pPr>
        <w:pStyle w:val="76"/>
        <w:spacing w:after="120" w:line="360" w:lineRule="auto"/>
      </w:pPr>
      <w:r>
        <w:br w:type="textWrapping"/>
      </w:r>
      <w:bookmarkStart w:id="61" w:name="_Toc219118883"/>
      <w:r>
        <w:rPr>
          <w:rFonts w:hint="eastAsia"/>
        </w:rPr>
        <w:t>（资料性）</w:t>
      </w:r>
      <w:r>
        <w:br w:type="textWrapping"/>
      </w:r>
      <w:r>
        <w:rPr>
          <w:rFonts w:hint="eastAsia"/>
        </w:rPr>
        <w:t>单元工程验收记录模板要素</w:t>
      </w:r>
      <w:bookmarkEnd w:id="61"/>
    </w:p>
    <w:p w14:paraId="3DA35E32">
      <w:pPr>
        <w:pStyle w:val="211"/>
        <w:spacing w:line="360" w:lineRule="auto"/>
      </w:pPr>
      <w:r>
        <w:rPr>
          <w:rFonts w:hint="eastAsia"/>
        </w:rPr>
        <w:t>验收申请信息：对象编码、范围、时间、参与单位。</w:t>
      </w:r>
    </w:p>
    <w:p w14:paraId="3F618BCA">
      <w:pPr>
        <w:pStyle w:val="211"/>
        <w:spacing w:line="360" w:lineRule="auto"/>
      </w:pPr>
      <w:r>
        <w:rPr>
          <w:rFonts w:hint="eastAsia"/>
        </w:rPr>
        <w:t>资料核查清单：工序报验、隐蔽验收、旁站记录、整改闭环、检测报告、测量成果等。</w:t>
      </w:r>
    </w:p>
    <w:p w14:paraId="1C3CA63E">
      <w:pPr>
        <w:pStyle w:val="211"/>
        <w:spacing w:line="360" w:lineRule="auto"/>
      </w:pPr>
      <w:r>
        <w:rPr>
          <w:rFonts w:hint="eastAsia"/>
        </w:rPr>
        <w:t>实体核查与抽检：抽检项目、抽检点位、数据与判定。</w:t>
      </w:r>
    </w:p>
    <w:p w14:paraId="5DC2548A">
      <w:pPr>
        <w:pStyle w:val="211"/>
        <w:spacing w:line="360" w:lineRule="auto"/>
      </w:pPr>
      <w:r>
        <w:rPr>
          <w:rFonts w:hint="eastAsia"/>
        </w:rPr>
        <w:t>验收结论：评定等级、不符合项处置、后续要求。</w:t>
      </w:r>
    </w:p>
    <w:p w14:paraId="4C37D010">
      <w:pPr>
        <w:pStyle w:val="211"/>
        <w:spacing w:line="360" w:lineRule="auto"/>
      </w:pPr>
      <w:r>
        <w:rPr>
          <w:rFonts w:hint="eastAsia"/>
        </w:rPr>
        <w:t>电子签认：签认主体、签章、时间戳、版本号与作废留痕。</w:t>
      </w:r>
    </w:p>
    <w:p w14:paraId="6BA9FF2E">
      <w:pPr>
        <w:pStyle w:val="56"/>
        <w:ind w:firstLine="420"/>
        <w:sectPr>
          <w:headerReference r:id="rId34" w:type="default"/>
          <w:footerReference r:id="rId36" w:type="default"/>
          <w:headerReference r:id="rId35" w:type="even"/>
          <w:footerReference r:id="rId37" w:type="even"/>
          <w:pgSz w:w="11906" w:h="16838"/>
          <w:pgMar w:top="1928" w:right="1134" w:bottom="1134" w:left="1134" w:header="1418" w:footer="1134" w:gutter="284"/>
          <w:cols w:space="425" w:num="1"/>
          <w:formProt w:val="0"/>
          <w:docGrid w:linePitch="312" w:charSpace="0"/>
        </w:sectPr>
      </w:pPr>
    </w:p>
    <w:p w14:paraId="1435C53D">
      <w:pPr>
        <w:pStyle w:val="198"/>
      </w:pPr>
    </w:p>
    <w:p w14:paraId="5164D27B">
      <w:pPr>
        <w:pStyle w:val="76"/>
        <w:spacing w:after="120" w:line="360" w:lineRule="auto"/>
      </w:pPr>
      <w:r>
        <w:br w:type="textWrapping"/>
      </w:r>
      <w:bookmarkStart w:id="62" w:name="_Toc219118884"/>
      <w:r>
        <w:rPr>
          <w:rFonts w:hint="eastAsia"/>
        </w:rPr>
        <w:t>（资料性）</w:t>
      </w:r>
      <w:r>
        <w:br w:type="textWrapping"/>
      </w:r>
      <w:r>
        <w:rPr>
          <w:rFonts w:hint="eastAsia"/>
        </w:rPr>
        <w:t>数字化交付核查清单模板</w:t>
      </w:r>
      <w:bookmarkEnd w:id="62"/>
    </w:p>
    <w:p w14:paraId="1CC9A236">
      <w:pPr>
        <w:pStyle w:val="211"/>
        <w:spacing w:line="360" w:lineRule="auto"/>
      </w:pPr>
      <w:r>
        <w:rPr>
          <w:rFonts w:hint="eastAsia"/>
        </w:rPr>
        <w:t>交付包清单：编码字典、过程记录、检测资料、验收资料、图纸/模型、台账与目录。</w:t>
      </w:r>
    </w:p>
    <w:p w14:paraId="7E60BBB8">
      <w:pPr>
        <w:pStyle w:val="211"/>
        <w:spacing w:line="360" w:lineRule="auto"/>
      </w:pPr>
      <w:r>
        <w:rPr>
          <w:rFonts w:hint="eastAsia"/>
        </w:rPr>
        <w:t>完整性核查：数量与范围覆盖、缺项清单、关联闭合率核查。</w:t>
      </w:r>
    </w:p>
    <w:p w14:paraId="600E7455">
      <w:pPr>
        <w:pStyle w:val="211"/>
        <w:spacing w:line="360" w:lineRule="auto"/>
      </w:pPr>
      <w:r>
        <w:rPr>
          <w:rFonts w:hint="eastAsia"/>
        </w:rPr>
        <w:t>可用性核查：文件可打开、格式可读取、结构化数据可导入、检索可用。</w:t>
      </w:r>
    </w:p>
    <w:p w14:paraId="2591CFB3">
      <w:pPr>
        <w:pStyle w:val="211"/>
        <w:spacing w:line="360" w:lineRule="auto"/>
      </w:pPr>
      <w:r>
        <w:rPr>
          <w:rFonts w:hint="eastAsia"/>
        </w:rPr>
        <w:t>一致性核查：数据与实体一致、结论与证据链一致、版本一致。</w:t>
      </w:r>
    </w:p>
    <w:p w14:paraId="511A2BD7">
      <w:pPr>
        <w:pStyle w:val="211"/>
        <w:spacing w:line="360" w:lineRule="auto"/>
      </w:pPr>
      <w:r>
        <w:rPr>
          <w:rFonts w:hint="eastAsia"/>
        </w:rPr>
        <w:t>安全性核查：权限与脱敏要求、备份介质与校验码。</w:t>
      </w:r>
    </w:p>
    <w:bookmarkEnd w:id="58"/>
    <w:p w14:paraId="4F9C9115">
      <w:pPr>
        <w:pStyle w:val="56"/>
        <w:ind w:firstLine="0" w:firstLineChars="0"/>
        <w:jc w:val="center"/>
      </w:pPr>
      <w:bookmarkStart w:id="63" w:name="BookMark8"/>
      <w:r>
        <w:rPr>
          <w:rFonts w:hint="eastAsia"/>
        </w:rPr>
        <w:drawing>
          <wp:inline distT="0" distB="0" distL="0" distR="0">
            <wp:extent cx="1485900" cy="317500"/>
            <wp:effectExtent l="0" t="0" r="0" b="6350"/>
            <wp:docPr id="2042372203" name="图片 1"/>
            <wp:cNvGraphicFramePr/>
            <a:graphic xmlns:a="http://schemas.openxmlformats.org/drawingml/2006/main">
              <a:graphicData uri="http://schemas.openxmlformats.org/drawingml/2006/picture">
                <pic:pic xmlns:pic="http://schemas.openxmlformats.org/drawingml/2006/picture">
                  <pic:nvPicPr>
                    <pic:cNvPr id="2042372203" name="图片 1"/>
                    <pic:cNvPicPr/>
                  </pic:nvPicPr>
                  <pic:blipFill>
                    <a:blip r:embed="rId4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3"/>
    </w:p>
    <w:sectPr>
      <w:headerReference r:id="rId38" w:type="default"/>
      <w:footerReference r:id="rId40" w:type="default"/>
      <w:headerReference r:id="rId39" w:type="even"/>
      <w:footerReference r:id="rId41"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B4D0">
    <w:pPr>
      <w:pStyle w:val="51"/>
    </w:pPr>
    <w:r>
      <w:fldChar w:fldCharType="begin"/>
    </w:r>
    <w:r>
      <w:instrText xml:space="preserve"> PAGE   \* MERGEFORMAT \* MERGEFORMAT </w:instrText>
    </w:r>
    <w:r>
      <w:fldChar w:fldCharType="separate"/>
    </w:r>
    <w:r>
      <w:t>10</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815E">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D650A">
    <w:pPr>
      <w:pStyle w:val="51"/>
    </w:pPr>
    <w:r>
      <w:fldChar w:fldCharType="begin"/>
    </w:r>
    <w:r>
      <w:instrText xml:space="preserve"> PAGE   \* MERGEFORMAT \* MERGEFORMAT </w:instrText>
    </w:r>
    <w:r>
      <w:fldChar w:fldCharType="separate"/>
    </w:r>
    <w:r>
      <w:t>11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4BB4E">
    <w:pPr>
      <w:pStyle w:val="52"/>
    </w:pPr>
    <w:r>
      <w:fldChar w:fldCharType="begin"/>
    </w:r>
    <w:r>
      <w:instrText xml:space="preserve">PAGE   \* MERGEFORMAT</w:instrText>
    </w:r>
    <w:r>
      <w:fldChar w:fldCharType="separate"/>
    </w:r>
    <w:r>
      <w:rPr>
        <w:lang w:val="zh-CN"/>
      </w:rPr>
      <w:t>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D959">
    <w:pPr>
      <w:pStyle w:val="51"/>
    </w:pPr>
    <w:r>
      <w:fldChar w:fldCharType="begin"/>
    </w:r>
    <w:r>
      <w:instrText xml:space="preserve"> PAGE   \* MERGEFORMAT \* MERGEFORMAT </w:instrText>
    </w:r>
    <w:r>
      <w:fldChar w:fldCharType="separate"/>
    </w:r>
    <w:r>
      <w:t>12</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14AF4">
    <w:pPr>
      <w:pStyle w:val="52"/>
    </w:pPr>
    <w:r>
      <w:fldChar w:fldCharType="begin"/>
    </w:r>
    <w:r>
      <w:instrText xml:space="preserve">PAGE   \* MERGEFORMAT</w:instrText>
    </w:r>
    <w:r>
      <w:fldChar w:fldCharType="separate"/>
    </w:r>
    <w:r>
      <w:rPr>
        <w:lang w:val="zh-CN"/>
      </w:rPr>
      <w:t>1</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AAB07">
    <w:pPr>
      <w:pStyle w:val="51"/>
    </w:pPr>
    <w:r>
      <w:fldChar w:fldCharType="begin"/>
    </w:r>
    <w:r>
      <w:instrText xml:space="preserve"> PAGE   \* MERGEFORMAT \* MERGEFORMAT </w:instrText>
    </w:r>
    <w:r>
      <w:fldChar w:fldCharType="separate"/>
    </w:r>
    <w:r>
      <w:t>13</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C8CA">
    <w:pPr>
      <w:pStyle w:val="52"/>
    </w:pPr>
    <w:r>
      <w:fldChar w:fldCharType="begin"/>
    </w:r>
    <w:r>
      <w:instrText xml:space="preserve">PAGE   \* MERGEFORMAT</w:instrText>
    </w:r>
    <w:r>
      <w:fldChar w:fldCharType="separate"/>
    </w:r>
    <w:r>
      <w:rPr>
        <w:lang w:val="zh-CN"/>
      </w:rPr>
      <w:t>1</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81134">
    <w:pPr>
      <w:pStyle w:val="51"/>
    </w:pPr>
    <w:r>
      <w:fldChar w:fldCharType="begin"/>
    </w:r>
    <w:r>
      <w:instrText xml:space="preserve"> PAGE   \* MERGEFORMAT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EB4D8">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E06D">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5F35">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CFCDB">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E9E3D">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C43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6461">
    <w:pPr>
      <w:pStyle w:val="61"/>
    </w:pPr>
    <w:r>
      <w:fldChar w:fldCharType="begin"/>
    </w:r>
    <w:r>
      <w:instrText xml:space="preserve"> STYLEREF  标准文件_文件编号  \* MERGEFORMAT </w:instrText>
    </w:r>
    <w:r>
      <w:fldChar w:fldCharType="separate"/>
    </w:r>
    <w:r>
      <w:t>T/XJBX 0193—2026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C6E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0193—2026</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DDA6">
    <w:pPr>
      <w:pStyle w:val="61"/>
    </w:pPr>
    <w:r>
      <w:fldChar w:fldCharType="begin"/>
    </w:r>
    <w:r>
      <w:instrText xml:space="preserve"> STYLEREF  标准文件_文件编号  \* MERGEFORMAT </w:instrText>
    </w:r>
    <w:r>
      <w:fldChar w:fldCharType="separate"/>
    </w:r>
    <w:r>
      <w:t>T/XJBX 0193—2026</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F60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0193—2026</w:t>
    </w:r>
    <w:r>
      <w:rPr>
        <w:rFonts w:hint="eastAsi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1E57">
    <w:pPr>
      <w:pStyle w:val="61"/>
    </w:pPr>
    <w:r>
      <w:pict>
        <v:shape id="_x0000_s1034" o:spid="_x0000_s1034"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0193—2026</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7F7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0193—2026</w:t>
    </w:r>
    <w:r>
      <w:rPr>
        <w:rFonts w:hint="eastAsi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D80F3">
    <w:pPr>
      <w:pStyle w:val="61"/>
    </w:pPr>
    <w:r>
      <w:fldChar w:fldCharType="begin"/>
    </w:r>
    <w:r>
      <w:instrText xml:space="preserve"> STYLEREF  标准文件_文件编号  \* MERGEFORMAT </w:instrText>
    </w:r>
    <w:r>
      <w:fldChar w:fldCharType="separate"/>
    </w:r>
    <w:r>
      <w:t>T/XJBX 0193—2026</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1869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0193—2026</w:t>
    </w:r>
    <w:r>
      <w:rPr>
        <w:rFonts w:hint="eastAsi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C4C8">
    <w:pPr>
      <w:pStyle w:val="61"/>
    </w:pPr>
    <w:r>
      <w:pict>
        <v:shape id="_x0000_s1036" o:spid="_x0000_s1036" o:spt="136" type="#_x0000_t136" style="position:absolute;left:0pt;height:59.9pt;width:599.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0193—2026</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3AF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0193—2026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0193—2026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0193—2026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D105">
    <w:pPr>
      <w:pStyle w:val="61"/>
    </w:pPr>
    <w:r>
      <w:fldChar w:fldCharType="begin"/>
    </w:r>
    <w:r>
      <w:instrText xml:space="preserve"> STYLEREF  标准文件_文件编号  \* MERGEFORMAT </w:instrText>
    </w:r>
    <w:r>
      <w:fldChar w:fldCharType="separate"/>
    </w:r>
    <w:r>
      <w:t>T/XJBX 0193—2026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9B53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0193—2026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F8E1">
    <w:pPr>
      <w:pStyle w:val="61"/>
    </w:pPr>
    <w:r>
      <w:fldChar w:fldCharType="begin"/>
    </w:r>
    <w:r>
      <w:instrText xml:space="preserve"> STYLEREF  标准文件_文件编号  \* MERGEFORMAT </w:instrText>
    </w:r>
    <w:r>
      <w:fldChar w:fldCharType="separate"/>
    </w:r>
    <w:r>
      <w:t>T/XJBX 0193—2026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80E6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0193—2026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wUAzoi86S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BDE"/>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1735D"/>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0BE"/>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6CDC"/>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1EF"/>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0824"/>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E0A"/>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A60"/>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C01"/>
    <w:rsid w:val="00870DA1"/>
    <w:rsid w:val="008776D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220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9B2"/>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4A60"/>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106"/>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C6A5F"/>
    <w:rsid w:val="00ED067A"/>
    <w:rsid w:val="00ED2B50"/>
    <w:rsid w:val="00ED5613"/>
    <w:rsid w:val="00EE0350"/>
    <w:rsid w:val="00EE0719"/>
    <w:rsid w:val="00EE0E80"/>
    <w:rsid w:val="00EE613F"/>
    <w:rsid w:val="00EE7295"/>
    <w:rsid w:val="00EE7869"/>
    <w:rsid w:val="00EF054A"/>
    <w:rsid w:val="00EF3235"/>
    <w:rsid w:val="00EF725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9A7A75"/>
    <w:rsid w:val="572D27FF"/>
    <w:rsid w:val="6DF50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1" Type="http://schemas.openxmlformats.org/officeDocument/2006/relationships/glossaryDocument" Target="glossary/document.xml"/><Relationship Id="rId50" Type="http://schemas.openxmlformats.org/officeDocument/2006/relationships/fontTable" Target="fontTable.xml"/><Relationship Id="rId5" Type="http://schemas.openxmlformats.org/officeDocument/2006/relationships/header" Target="header1.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4.jpeg"/><Relationship Id="rId45" Type="http://schemas.openxmlformats.org/officeDocument/2006/relationships/image" Target="media/image3.png"/><Relationship Id="rId44" Type="http://schemas.openxmlformats.org/officeDocument/2006/relationships/image" Target="media/image2.png"/><Relationship Id="rId43" Type="http://schemas.openxmlformats.org/officeDocument/2006/relationships/image" Target="media/image1.png"/><Relationship Id="rId42" Type="http://schemas.openxmlformats.org/officeDocument/2006/relationships/theme" Target="theme/theme1.xml"/><Relationship Id="rId41" Type="http://schemas.openxmlformats.org/officeDocument/2006/relationships/footer" Target="footer18.xml"/><Relationship Id="rId40" Type="http://schemas.openxmlformats.org/officeDocument/2006/relationships/footer" Target="footer17.xml"/><Relationship Id="rId4" Type="http://schemas.openxmlformats.org/officeDocument/2006/relationships/endnotes" Target="endnotes.xml"/><Relationship Id="rId39" Type="http://schemas.openxmlformats.org/officeDocument/2006/relationships/header" Target="header19.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3335419B">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10A698F1">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53C7E66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37AB3"/>
    <w:rsid w:val="00232C79"/>
    <w:rsid w:val="003C11EF"/>
    <w:rsid w:val="00417414"/>
    <w:rsid w:val="005E6634"/>
    <w:rsid w:val="00620756"/>
    <w:rsid w:val="007146E1"/>
    <w:rsid w:val="008D5807"/>
    <w:rsid w:val="00982CCD"/>
    <w:rsid w:val="00AE1DC6"/>
    <w:rsid w:val="00B0644F"/>
    <w:rsid w:val="00D24274"/>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8"/>
    <customShpInfo spid="_x0000_s1034"/>
    <customShpInfo spid="_x0000_s103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22</Pages>
  <Words>9159</Words>
  <Characters>9829</Characters>
  <Lines>83</Lines>
  <Paragraphs>23</Paragraphs>
  <TotalTime>42</TotalTime>
  <ScaleCrop>false</ScaleCrop>
  <LinksUpToDate>false</LinksUpToDate>
  <CharactersWithSpaces>10076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2026-01-15T02:14:52Z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0BC19DBC5B334AC89416874E4302F0A3_12</vt:lpwstr>
  </property>
</Properties>
</file>