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93.160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92"/>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0192</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平陆运河水资源联合调度与管理规程"/>
            </w:textInput>
          </w:ffData>
        </w:fldChar>
      </w:r>
      <w:bookmarkStart w:id="9" w:name="CSTD_NAME"/>
      <w:r>
        <w:instrText xml:space="preserve"> FORMTEXT </w:instrText>
      </w:r>
      <w:r>
        <w:fldChar w:fldCharType="separate"/>
      </w:r>
      <w:r>
        <w:t>平陆运河水资源联合调度与管理规程</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joint dispatching and management of water resources in the Pinglu Canal"/>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joint dispatching and management of water resources in the Pinglu Canal</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DEC19F1">
      <w:pPr>
        <w:pStyle w:val="91"/>
        <w:spacing w:after="360"/>
      </w:pPr>
      <w:bookmarkStart w:id="21" w:name="BookMark1"/>
      <w:r>
        <w:rPr>
          <w:rFonts w:hint="eastAsia"/>
          <w:spacing w:val="320"/>
        </w:rPr>
        <w:t>目</w:t>
      </w:r>
      <w:r>
        <w:rPr>
          <w:rFonts w:hint="eastAsia"/>
        </w:rPr>
        <w:t>次</w:t>
      </w:r>
    </w:p>
    <w:p w14:paraId="52191BF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"_Toc219117753"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_Toc219117753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2853F3D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"_Toc219117754"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_Toc219117754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7BEF9D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"_Toc219117755"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_Toc219117755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48297E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"_Toc219117756"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_Toc219117756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0B202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"_Toc219117757"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_Toc219117757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2DCABA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"_Toc219117758"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_Toc219117758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6B2878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"_Toc219117759" </w:instrText>
      </w:r>
      <w:r>
        <w:fldChar w:fldCharType="separate"/>
      </w:r>
      <w:r>
        <w:rPr>
          <w:rStyle w:val="32"/>
          <w:rFonts w:hint="eastAsia"/>
        </w:rPr>
        <w:t>5</w:t>
      </w:r>
      <w:r>
        <w:rPr>
          <w:rStyle w:val="32"/>
        </w:rPr>
        <w:t xml:space="preserve"> </w:t>
      </w:r>
      <w:r>
        <w:rPr>
          <w:rStyle w:val="32"/>
          <w:rFonts w:hint="eastAsia"/>
        </w:rPr>
        <w:t xml:space="preserve"> 调度对象与边界条件</w:t>
      </w:r>
      <w:r>
        <w:rPr>
          <w:rFonts w:hint="eastAsia"/>
        </w:rPr>
        <w:tab/>
      </w:r>
      <w:r>
        <w:rPr>
          <w:rFonts w:hint="eastAsia"/>
        </w:rPr>
        <w:fldChar w:fldCharType="begin"/>
      </w:r>
      <w:r>
        <w:rPr>
          <w:rFonts w:hint="eastAsia"/>
        </w:rPr>
        <w:instrText xml:space="preserve"> </w:instrText>
      </w:r>
      <w:r>
        <w:instrText xml:space="preserve">PAGEREF _Toc219117759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A05255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"_Toc219117760" </w:instrText>
      </w:r>
      <w:r>
        <w:fldChar w:fldCharType="separate"/>
      </w:r>
      <w:r>
        <w:rPr>
          <w:rStyle w:val="32"/>
          <w:rFonts w:hint="eastAsia"/>
        </w:rPr>
        <w:t>6</w:t>
      </w:r>
      <w:r>
        <w:rPr>
          <w:rStyle w:val="32"/>
        </w:rPr>
        <w:t xml:space="preserve"> </w:t>
      </w:r>
      <w:r>
        <w:rPr>
          <w:rStyle w:val="32"/>
          <w:rFonts w:hint="eastAsia"/>
        </w:rPr>
        <w:t xml:space="preserve"> 联合调度组织体系与职责分工</w:t>
      </w:r>
      <w:r>
        <w:rPr>
          <w:rFonts w:hint="eastAsia"/>
        </w:rPr>
        <w:tab/>
      </w:r>
      <w:r>
        <w:rPr>
          <w:rFonts w:hint="eastAsia"/>
        </w:rPr>
        <w:fldChar w:fldCharType="begin"/>
      </w:r>
      <w:r>
        <w:rPr>
          <w:rFonts w:hint="eastAsia"/>
        </w:rPr>
        <w:instrText xml:space="preserve"> </w:instrText>
      </w:r>
      <w:r>
        <w:instrText xml:space="preserve">PAGEREF _Toc219117760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275A33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"_Toc219117761" </w:instrText>
      </w:r>
      <w:r>
        <w:fldChar w:fldCharType="separate"/>
      </w:r>
      <w:r>
        <w:rPr>
          <w:rStyle w:val="32"/>
          <w:rFonts w:hint="eastAsia"/>
        </w:rPr>
        <w:t>7</w:t>
      </w:r>
      <w:r>
        <w:rPr>
          <w:rStyle w:val="32"/>
        </w:rPr>
        <w:t xml:space="preserve"> </w:t>
      </w:r>
      <w:r>
        <w:rPr>
          <w:rStyle w:val="32"/>
          <w:rFonts w:hint="eastAsia"/>
        </w:rPr>
        <w:t xml:space="preserve"> 联合调度流程与调度令管理</w:t>
      </w:r>
      <w:r>
        <w:rPr>
          <w:rFonts w:hint="eastAsia"/>
        </w:rPr>
        <w:tab/>
      </w:r>
      <w:r>
        <w:rPr>
          <w:rFonts w:hint="eastAsia"/>
        </w:rPr>
        <w:fldChar w:fldCharType="begin"/>
      </w:r>
      <w:r>
        <w:rPr>
          <w:rFonts w:hint="eastAsia"/>
        </w:rPr>
        <w:instrText xml:space="preserve"> </w:instrText>
      </w:r>
      <w:r>
        <w:instrText xml:space="preserve">PAGEREF _Toc219117761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6043CF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"_Toc219117762" </w:instrText>
      </w:r>
      <w:r>
        <w:fldChar w:fldCharType="separate"/>
      </w:r>
      <w:r>
        <w:rPr>
          <w:rStyle w:val="32"/>
          <w:rFonts w:hint="eastAsia"/>
        </w:rPr>
        <w:t>8</w:t>
      </w:r>
      <w:r>
        <w:rPr>
          <w:rStyle w:val="32"/>
        </w:rPr>
        <w:t xml:space="preserve"> </w:t>
      </w:r>
      <w:r>
        <w:rPr>
          <w:rStyle w:val="32"/>
          <w:rFonts w:hint="eastAsia"/>
        </w:rPr>
        <w:t xml:space="preserve"> 监测预报与信息共享</w:t>
      </w:r>
      <w:r>
        <w:rPr>
          <w:rFonts w:hint="eastAsia"/>
        </w:rPr>
        <w:tab/>
      </w:r>
      <w:r>
        <w:rPr>
          <w:rFonts w:hint="eastAsia"/>
        </w:rPr>
        <w:fldChar w:fldCharType="begin"/>
      </w:r>
      <w:r>
        <w:rPr>
          <w:rFonts w:hint="eastAsia"/>
        </w:rPr>
        <w:instrText xml:space="preserve"> </w:instrText>
      </w:r>
      <w:r>
        <w:instrText xml:space="preserve">PAGEREF _Toc219117762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2BA2C4F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"_Toc219117763" </w:instrText>
      </w:r>
      <w:r>
        <w:fldChar w:fldCharType="separate"/>
      </w:r>
      <w:r>
        <w:rPr>
          <w:rStyle w:val="32"/>
          <w:rFonts w:hint="eastAsia"/>
        </w:rPr>
        <w:t>9</w:t>
      </w:r>
      <w:r>
        <w:rPr>
          <w:rStyle w:val="32"/>
        </w:rPr>
        <w:t xml:space="preserve"> </w:t>
      </w:r>
      <w:r>
        <w:rPr>
          <w:rStyle w:val="32"/>
          <w:rFonts w:hint="eastAsia"/>
        </w:rPr>
        <w:t xml:space="preserve"> 调度执行监督与效果评价</w:t>
      </w:r>
      <w:r>
        <w:rPr>
          <w:rFonts w:hint="eastAsia"/>
        </w:rPr>
        <w:tab/>
      </w:r>
      <w:r>
        <w:rPr>
          <w:rFonts w:hint="eastAsia"/>
        </w:rPr>
        <w:fldChar w:fldCharType="begin"/>
      </w:r>
      <w:r>
        <w:rPr>
          <w:rFonts w:hint="eastAsia"/>
        </w:rPr>
        <w:instrText xml:space="preserve"> </w:instrText>
      </w:r>
      <w:r>
        <w:instrText xml:space="preserve">PAGEREF _Toc219117763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1E6B024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"_Toc219117764" </w:instrText>
      </w:r>
      <w:r>
        <w:fldChar w:fldCharType="separate"/>
      </w:r>
      <w:r>
        <w:rPr>
          <w:rStyle w:val="32"/>
          <w:rFonts w:hint="eastAsia"/>
        </w:rPr>
        <w:t>10</w:t>
      </w:r>
      <w:r>
        <w:rPr>
          <w:rStyle w:val="32"/>
        </w:rPr>
        <w:t xml:space="preserve"> </w:t>
      </w:r>
      <w:r>
        <w:rPr>
          <w:rStyle w:val="32"/>
          <w:rFonts w:hint="eastAsia"/>
        </w:rPr>
        <w:t xml:space="preserve"> 应急调度与典型事件处置</w:t>
      </w:r>
      <w:r>
        <w:rPr>
          <w:rFonts w:hint="eastAsia"/>
        </w:rPr>
        <w:tab/>
      </w:r>
      <w:r>
        <w:rPr>
          <w:rFonts w:hint="eastAsia"/>
        </w:rPr>
        <w:fldChar w:fldCharType="begin"/>
      </w:r>
      <w:r>
        <w:rPr>
          <w:rFonts w:hint="eastAsia"/>
        </w:rPr>
        <w:instrText xml:space="preserve"> </w:instrText>
      </w:r>
      <w:r>
        <w:instrText xml:space="preserve">PAGEREF _Toc219117764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0A437A1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"_Toc219117765" </w:instrText>
      </w:r>
      <w:r>
        <w:fldChar w:fldCharType="separate"/>
      </w:r>
      <w:r>
        <w:rPr>
          <w:rStyle w:val="32"/>
          <w:rFonts w:hint="eastAsia"/>
        </w:rPr>
        <w:t>11</w:t>
      </w:r>
      <w:r>
        <w:rPr>
          <w:rStyle w:val="32"/>
        </w:rPr>
        <w:t xml:space="preserve"> </w:t>
      </w:r>
      <w:r>
        <w:rPr>
          <w:rStyle w:val="32"/>
          <w:rFonts w:hint="eastAsia"/>
        </w:rPr>
        <w:t xml:space="preserve"> 培训演练与持续改进</w:t>
      </w:r>
      <w:r>
        <w:rPr>
          <w:rFonts w:hint="eastAsia"/>
        </w:rPr>
        <w:tab/>
      </w:r>
      <w:r>
        <w:rPr>
          <w:rFonts w:hint="eastAsia"/>
        </w:rPr>
        <w:fldChar w:fldCharType="begin"/>
      </w:r>
      <w:r>
        <w:rPr>
          <w:rFonts w:hint="eastAsia"/>
        </w:rPr>
        <w:instrText xml:space="preserve"> </w:instrText>
      </w:r>
      <w:r>
        <w:instrText xml:space="preserve">PAGEREF _Toc219117765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59AFC0C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"_Toc219117766" </w:instrText>
      </w:r>
      <w:r>
        <w:fldChar w:fldCharType="separate"/>
      </w:r>
      <w:r>
        <w:rPr>
          <w:rStyle w:val="32"/>
          <w:rFonts w:hint="eastAsia"/>
        </w:rPr>
        <w:t>12</w:t>
      </w:r>
      <w:r>
        <w:rPr>
          <w:rStyle w:val="32"/>
        </w:rPr>
        <w:t xml:space="preserve"> </w:t>
      </w:r>
      <w:r>
        <w:rPr>
          <w:rStyle w:val="32"/>
          <w:rFonts w:hint="eastAsia"/>
        </w:rPr>
        <w:t xml:space="preserve"> 附则</w:t>
      </w:r>
      <w:r>
        <w:rPr>
          <w:rFonts w:hint="eastAsia"/>
        </w:rPr>
        <w:tab/>
      </w:r>
      <w:r>
        <w:rPr>
          <w:rFonts w:hint="eastAsia"/>
        </w:rPr>
        <w:fldChar w:fldCharType="begin"/>
      </w:r>
      <w:r>
        <w:rPr>
          <w:rFonts w:hint="eastAsia"/>
        </w:rPr>
        <w:instrText xml:space="preserve"> </w:instrText>
      </w:r>
      <w:r>
        <w:instrText xml:space="preserve">PAGEREF _Toc219117766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4684BA1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"_Toc219117767" </w:instrText>
      </w:r>
      <w:r>
        <w:fldChar w:fldCharType="separate"/>
      </w:r>
      <w:r>
        <w:rPr>
          <w:rStyle w:val="32"/>
          <w:rFonts w:hint="eastAsia"/>
        </w:rPr>
        <w:t>附录A（资料性）</w:t>
      </w:r>
      <w:r>
        <w:rPr>
          <w:rStyle w:val="32"/>
        </w:rPr>
        <w:t xml:space="preserve"> </w:t>
      </w:r>
      <w:r>
        <w:rPr>
          <w:rStyle w:val="32"/>
          <w:rFonts w:hint="eastAsia"/>
        </w:rPr>
        <w:t xml:space="preserve"> 会商纪要模板要素</w:t>
      </w:r>
      <w:r>
        <w:rPr>
          <w:rFonts w:hint="eastAsia"/>
        </w:rPr>
        <w:tab/>
      </w:r>
      <w:r>
        <w:rPr>
          <w:rFonts w:hint="eastAsia"/>
        </w:rPr>
        <w:fldChar w:fldCharType="begin"/>
      </w:r>
      <w:r>
        <w:rPr>
          <w:rFonts w:hint="eastAsia"/>
        </w:rPr>
        <w:instrText xml:space="preserve"> </w:instrText>
      </w:r>
      <w:r>
        <w:instrText xml:space="preserve">PAGEREF _Toc219117767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6CE3C59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"_Toc219117768" </w:instrText>
      </w:r>
      <w:r>
        <w:fldChar w:fldCharType="separate"/>
      </w:r>
      <w:r>
        <w:rPr>
          <w:rStyle w:val="32"/>
          <w:rFonts w:hint="eastAsia"/>
        </w:rPr>
        <w:t>附录B（资料性）</w:t>
      </w:r>
      <w:r>
        <w:rPr>
          <w:rStyle w:val="32"/>
        </w:rPr>
        <w:t xml:space="preserve"> </w:t>
      </w:r>
      <w:r>
        <w:rPr>
          <w:rStyle w:val="32"/>
          <w:rFonts w:hint="eastAsia"/>
        </w:rPr>
        <w:t xml:space="preserve"> 调度令模板要素</w:t>
      </w:r>
      <w:r>
        <w:rPr>
          <w:rFonts w:hint="eastAsia"/>
        </w:rPr>
        <w:tab/>
      </w:r>
      <w:r>
        <w:rPr>
          <w:rFonts w:hint="eastAsia"/>
        </w:rPr>
        <w:fldChar w:fldCharType="begin"/>
      </w:r>
      <w:r>
        <w:rPr>
          <w:rFonts w:hint="eastAsia"/>
        </w:rPr>
        <w:instrText xml:space="preserve"> </w:instrText>
      </w:r>
      <w:r>
        <w:instrText xml:space="preserve">PAGEREF _Toc219117768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4B092892">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117753"/>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本文件起草单位：广西珠委南宁勘测设计院有限公司</w:t>
      </w:r>
      <w:bookmarkStart w:id="64" w:name="_GoBack"/>
      <w:bookmarkEnd w:id="64"/>
      <w:r>
        <w:rPr>
          <w:rFonts w:hint="eastAsia"/>
        </w:rPr>
        <w:t>。</w:t>
      </w:r>
    </w:p>
    <w:p w14:paraId="55F4A5D1">
      <w:pPr>
        <w:pStyle w:val="56"/>
        <w:spacing w:line="360" w:lineRule="auto"/>
        <w:ind w:firstLine="420"/>
      </w:pPr>
      <w:r>
        <w:rPr>
          <w:rFonts w:hint="eastAsia"/>
        </w:rPr>
        <w:t>本文件主要起草人：许冰清。</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117754"/>
      <w:bookmarkStart w:id="25" w:name="BookMark3"/>
      <w:r>
        <w:rPr>
          <w:spacing w:val="320"/>
        </w:rPr>
        <w:t>引</w:t>
      </w:r>
      <w:r>
        <w:t>言</w:t>
      </w:r>
      <w:bookmarkEnd w:id="24"/>
    </w:p>
    <w:p w14:paraId="1ABC9087">
      <w:pPr>
        <w:pStyle w:val="56"/>
        <w:spacing w:line="360" w:lineRule="auto"/>
        <w:ind w:firstLine="420"/>
      </w:pPr>
      <w:r>
        <w:rPr>
          <w:rFonts w:hint="eastAsia"/>
        </w:rPr>
        <w:t>平陆运河是西部陆海新通道的骨干工程，按内河一级航道标准规划建设，线路自南宁市横州市西津库区平塘江口起，经钦州市灵山县陆屋镇沿钦江进入北部湾，止于钦州港东航道起点；以发展航运为主，兼顾供水、灌溉、防洪、改善水生态环境等综合功能。</w:t>
      </w:r>
    </w:p>
    <w:p w14:paraId="7CDF7076">
      <w:pPr>
        <w:pStyle w:val="56"/>
        <w:spacing w:line="360" w:lineRule="auto"/>
        <w:ind w:firstLine="420"/>
      </w:pPr>
      <w:r>
        <w:rPr>
          <w:rFonts w:hint="eastAsia"/>
        </w:rPr>
        <w:t>在通江达海运河工程的运行期，水资源问题呈现显著的“多目标耦合”特征：一方面，航运通航与船闸运行对水位、水量与时序提出刚性约束，尤其在枯水期、咸潮上溯或突发污染条件下，维持通航保证率与工程安全运行对调度精细化要求更高；另一方面，运河沿线及相关河段承担着城镇生活、工业用水、农业灌溉、防洪排涝与生态基流保障等多元需求，且需求主体跨越多行政区、多行业管理边界。运河工程一旦进入常态化运营，水资源调度不仅是单一水利工程“库闸联调”，更是跨流域—跨区域—跨部门的联合调度与协同管理问题，需要建立统一的目标体系、调度边界条件、信息共享机制与应急响应流程，以降低多目标冲突与系统性风险。</w:t>
      </w:r>
    </w:p>
    <w:p w14:paraId="1284FBC7">
      <w:pPr>
        <w:pStyle w:val="56"/>
        <w:spacing w:line="360" w:lineRule="auto"/>
        <w:ind w:firstLine="420"/>
      </w:pPr>
      <w:r>
        <w:rPr>
          <w:rFonts w:hint="eastAsia"/>
        </w:rPr>
        <w:t>同时，国家层面持续强调提升水网运行调度能力，推动重要水工程联合统一调度与精细化管理，通过完善调度方案、加强供水与生态调度、强化防洪应急调度等措施，提升区域水安全保障能力。在此背景下，平陆运河的水资源联合调度与管理需要形成可执行、可量化、可追溯的技术与管理规则，明确调度对象、调度目标、调度分工、调度程序、监测预警、数据治理、风险管控与持续改进要求，支撑运河“安全、畅通、绿色、高效”运行，并兼顾沿线经济社会发展与生态环境保护。</w:t>
      </w:r>
    </w:p>
    <w:p w14:paraId="7F4A69FE">
      <w:pPr>
        <w:pStyle w:val="56"/>
        <w:spacing w:line="360" w:lineRule="auto"/>
        <w:ind w:firstLine="420"/>
      </w:pPr>
      <w:r>
        <w:rPr>
          <w:rFonts w:hint="eastAsia"/>
        </w:rPr>
        <w:t>为规范平陆运河运行期水资源联合调度与管理工作，提升调度决策的科学性、协同性与应急处置能力，本文件在总结运河工程建设与运行管理经验、吸收国内外类似大型通航水工程与区域水网联合调度通行做法的基础上，提出适用于平陆运河及相关影响区的联合调度与管理总体框架、关键流程与控制要点，为编制年度（汛期、枯期）调度方案、开展日常运行调度、组织跨部门会商、实施监测预警与应急响应、开展调度评估与绩效改进提供技术依据与操作指引。</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平陆运河水资源联合调度与管理规程</w:t>
          </w:r>
        </w:p>
      </w:sdtContent>
    </w:sdt>
    <w:bookmarkEnd w:id="27"/>
    <w:p w14:paraId="3DB22445">
      <w:pPr>
        <w:pStyle w:val="104"/>
        <w:spacing w:before="240" w:after="240" w:line="360" w:lineRule="auto"/>
      </w:pPr>
      <w:bookmarkStart w:id="28" w:name="_Toc17233325"/>
      <w:bookmarkStart w:id="29" w:name="_Toc17233333"/>
      <w:bookmarkStart w:id="30" w:name="_Toc24884218"/>
      <w:bookmarkStart w:id="31" w:name="_Toc26718930"/>
      <w:bookmarkStart w:id="32" w:name="_Toc26986530"/>
      <w:bookmarkStart w:id="33" w:name="_Toc26648465"/>
      <w:bookmarkStart w:id="34" w:name="_Toc24884211"/>
      <w:bookmarkStart w:id="35" w:name="_Toc26986771"/>
      <w:bookmarkStart w:id="36" w:name="_Toc97192964"/>
      <w:bookmarkStart w:id="37" w:name="_Toc219117755"/>
      <w:r>
        <w:rPr>
          <w:rFonts w:hint="eastAsia"/>
        </w:rPr>
        <w:t>范围</w:t>
      </w:r>
      <w:bookmarkEnd w:id="28"/>
      <w:bookmarkEnd w:id="29"/>
      <w:bookmarkEnd w:id="30"/>
      <w:bookmarkEnd w:id="31"/>
      <w:bookmarkEnd w:id="32"/>
      <w:bookmarkEnd w:id="33"/>
      <w:bookmarkEnd w:id="34"/>
      <w:bookmarkEnd w:id="35"/>
      <w:bookmarkEnd w:id="36"/>
      <w:bookmarkEnd w:id="37"/>
    </w:p>
    <w:p w14:paraId="655C6EF7">
      <w:pPr>
        <w:pStyle w:val="56"/>
        <w:spacing w:line="360" w:lineRule="auto"/>
        <w:ind w:firstLine="420"/>
      </w:pPr>
      <w:bookmarkStart w:id="38" w:name="_Toc24884219"/>
      <w:bookmarkStart w:id="39" w:name="_Toc17233334"/>
      <w:bookmarkStart w:id="40" w:name="_Toc17233326"/>
      <w:bookmarkStart w:id="41" w:name="_Toc24884212"/>
      <w:bookmarkStart w:id="42" w:name="_Toc26648466"/>
      <w:r>
        <w:rPr>
          <w:rFonts w:hint="eastAsia"/>
        </w:rPr>
        <w:t>本文件规定了平陆运河运行期水资源联合调度与管理的总体要求、调度对象与边界条件、联合调度组织体系与职责分工、联合调度流程与调度令管理、监测预报与信息共享、调度执行监督与效果评价、应急调度与典型事件处置、培训演练与持续改进等内容。</w:t>
      </w:r>
    </w:p>
    <w:p w14:paraId="76265264">
      <w:pPr>
        <w:pStyle w:val="56"/>
        <w:spacing w:line="360" w:lineRule="auto"/>
        <w:ind w:firstLine="420"/>
      </w:pPr>
      <w:r>
        <w:rPr>
          <w:rFonts w:hint="eastAsia"/>
        </w:rPr>
        <w:t>本文件适用于平陆运河干线航道、枢纽、相关控制断面以及与运河运行直接相关的取用水、补水、排水、生态补水与应急处置等活动的联合调度与协同管理。对涉及跨区域、跨部门、跨工程的联合调度工作，可参照本文件执行并结合实际细化。</w:t>
      </w:r>
    </w:p>
    <w:p w14:paraId="3733B2AD">
      <w:pPr>
        <w:pStyle w:val="104"/>
        <w:spacing w:before="240" w:after="240" w:line="360" w:lineRule="auto"/>
      </w:pPr>
      <w:bookmarkStart w:id="43" w:name="_Toc26986531"/>
      <w:bookmarkStart w:id="44" w:name="_Toc219117756"/>
      <w:bookmarkStart w:id="45" w:name="_Toc26718931"/>
      <w:bookmarkStart w:id="46" w:name="_Toc26986772"/>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6046062">
      <w:pPr>
        <w:pStyle w:val="56"/>
        <w:spacing w:line="360" w:lineRule="auto"/>
        <w:ind w:firstLine="420"/>
      </w:pPr>
      <w:r>
        <w:rPr>
          <w:rFonts w:hint="eastAsia"/>
        </w:rPr>
        <w:t>GB/T 1.1—2020 标准化工作导则  第1部分：标准化文件的结构和起草规则</w:t>
      </w:r>
    </w:p>
    <w:p w14:paraId="7B5447E6">
      <w:pPr>
        <w:pStyle w:val="56"/>
        <w:spacing w:line="360" w:lineRule="auto"/>
        <w:ind w:firstLine="420"/>
      </w:pPr>
      <w:r>
        <w:t>GB/T 7408</w:t>
      </w:r>
      <w:r>
        <w:rPr>
          <w:rFonts w:hint="eastAsia"/>
        </w:rPr>
        <w:t>—</w:t>
      </w:r>
      <w:r>
        <w:t>2023</w:t>
      </w:r>
      <w:r>
        <w:rPr>
          <w:rFonts w:hint="eastAsia"/>
        </w:rPr>
        <w:t xml:space="preserve"> 日期和时间  信息交换表示法</w:t>
      </w:r>
    </w:p>
    <w:p w14:paraId="07A7F860">
      <w:pPr>
        <w:pStyle w:val="56"/>
        <w:spacing w:line="360" w:lineRule="auto"/>
        <w:ind w:firstLine="420"/>
      </w:pPr>
      <w:r>
        <w:rPr>
          <w:rFonts w:hint="eastAsia"/>
        </w:rPr>
        <w:t>GB/T 22239—2019 信息安全技术  网络安全等级保护基本要求</w:t>
      </w:r>
    </w:p>
    <w:p w14:paraId="51F02A4E">
      <w:pPr>
        <w:pStyle w:val="104"/>
        <w:spacing w:before="240" w:after="240" w:line="360" w:lineRule="auto"/>
      </w:pPr>
      <w:bookmarkStart w:id="48" w:name="_Toc97192966"/>
      <w:bookmarkStart w:id="49" w:name="_Toc219117757"/>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1068A83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联合调度 joint dispatching</w:t>
      </w:r>
    </w:p>
    <w:p w14:paraId="5B357620">
      <w:pPr>
        <w:pStyle w:val="56"/>
        <w:spacing w:line="360" w:lineRule="auto"/>
        <w:ind w:firstLine="420"/>
      </w:pPr>
      <w:r>
        <w:rPr>
          <w:rFonts w:hint="eastAsia"/>
        </w:rPr>
        <w:t>在统一目标、统一规则与统一信息基础上，对平陆运河及相关水工程、水资源要素实施跨部门、跨区域的协同会商、决策与执行调度的活动。</w:t>
      </w:r>
    </w:p>
    <w:p w14:paraId="3948B7D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调度对象 dispatching object</w:t>
      </w:r>
    </w:p>
    <w:p w14:paraId="2D796546">
      <w:pPr>
        <w:pStyle w:val="56"/>
        <w:spacing w:line="360" w:lineRule="auto"/>
        <w:ind w:firstLine="420"/>
      </w:pPr>
      <w:r>
        <w:rPr>
          <w:rFonts w:hint="eastAsia"/>
        </w:rPr>
        <w:t>纳入联合调度管理的工程、河段、断面及水资源要素的统称，包括但不限于航道水位控制、船闸用水、补水水源、取水口、排水口、生态补水口、关键控制断面与重要敏感区。</w:t>
      </w:r>
    </w:p>
    <w:p w14:paraId="6F4D952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调度边界 dispatch boundary</w:t>
      </w:r>
    </w:p>
    <w:p w14:paraId="1900E95F">
      <w:pPr>
        <w:pStyle w:val="56"/>
        <w:spacing w:line="360" w:lineRule="auto"/>
        <w:ind w:firstLine="420"/>
      </w:pPr>
      <w:r>
        <w:rPr>
          <w:rFonts w:hint="eastAsia"/>
        </w:rPr>
        <w:t>联合调度所覆盖的空间范围、时间尺度与管理权限范围的集合，包含上游来水边界、下游潮汐（咸潮）影响边界、工程控制边界与行政管理边界。</w:t>
      </w:r>
    </w:p>
    <w:p w14:paraId="155C33A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调度单元 dispatch unit</w:t>
      </w:r>
    </w:p>
    <w:p w14:paraId="176B2882">
      <w:pPr>
        <w:pStyle w:val="56"/>
        <w:spacing w:line="360" w:lineRule="auto"/>
        <w:ind w:firstLine="420"/>
      </w:pPr>
      <w:r>
        <w:rPr>
          <w:rFonts w:hint="eastAsia"/>
        </w:rPr>
        <w:t>为便于调度组织与指标分解，将调度对象按水系关联、工程控制关系或行政管理边界划分形成的最小可执行管理单元。</w:t>
      </w:r>
    </w:p>
    <w:p w14:paraId="35A5203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调度目标 dispatch objective</w:t>
      </w:r>
    </w:p>
    <w:p w14:paraId="16A42E8E">
      <w:pPr>
        <w:pStyle w:val="56"/>
        <w:spacing w:line="360" w:lineRule="auto"/>
        <w:ind w:firstLine="420"/>
      </w:pPr>
      <w:r>
        <w:rPr>
          <w:rFonts w:hint="eastAsia"/>
        </w:rPr>
        <w:t>联合调度活动拟实现的结果性要求，包括通航保障、供水保障、防洪排涝、生态水量、水环境与工程运行安全等。</w:t>
      </w:r>
    </w:p>
    <w:p w14:paraId="67078BB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调度约束 dispatch constraint</w:t>
      </w:r>
    </w:p>
    <w:p w14:paraId="5056A6AF">
      <w:pPr>
        <w:pStyle w:val="56"/>
        <w:spacing w:line="360" w:lineRule="auto"/>
        <w:ind w:firstLine="420"/>
      </w:pPr>
      <w:r>
        <w:rPr>
          <w:rFonts w:hint="eastAsia"/>
        </w:rPr>
        <w:t>对调度决策具有刚性限制作用的条件集合，包括工程安全运行约束、通航水位与流量约束、取用水许可（指标）约束、生态底线约束、下游咸潮或潮汐边界约束及应急响应约束等。</w:t>
      </w:r>
    </w:p>
    <w:p w14:paraId="2917435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通航保证水位 navigation guaranteed water level</w:t>
      </w:r>
    </w:p>
    <w:p w14:paraId="2AA5DD78">
      <w:pPr>
        <w:pStyle w:val="56"/>
        <w:spacing w:line="360" w:lineRule="auto"/>
        <w:ind w:firstLine="420"/>
      </w:pPr>
      <w:r>
        <w:rPr>
          <w:rFonts w:hint="eastAsia"/>
        </w:rPr>
        <w:t>为满足规定等级船舶安全通航及船闸正常运行所需维持的最低（或控制）运行水位要求。</w:t>
      </w:r>
    </w:p>
    <w:p w14:paraId="60C910C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船闸用水 lockage water</w:t>
      </w:r>
    </w:p>
    <w:p w14:paraId="57AF2F68">
      <w:pPr>
        <w:pStyle w:val="56"/>
        <w:spacing w:line="360" w:lineRule="auto"/>
        <w:ind w:firstLine="420"/>
      </w:pPr>
      <w:r>
        <w:rPr>
          <w:rFonts w:hint="eastAsia"/>
        </w:rPr>
        <w:t>船舶过闸过程中用于闸室水位升降及相关水力操作所消耗或占用的水量。</w:t>
      </w:r>
    </w:p>
    <w:p w14:paraId="2AF4185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生态基流 ecological baseflow</w:t>
      </w:r>
    </w:p>
    <w:p w14:paraId="6E3A2806">
      <w:pPr>
        <w:pStyle w:val="56"/>
        <w:spacing w:line="360" w:lineRule="auto"/>
        <w:ind w:firstLine="420"/>
      </w:pPr>
      <w:r>
        <w:rPr>
          <w:rFonts w:hint="eastAsia"/>
        </w:rPr>
        <w:t>为维持河流（河段）基本生态功能、栖息地稳定性与水环境自净能力所需的最小连续流量或等效生态水量。</w:t>
      </w:r>
    </w:p>
    <w:p w14:paraId="7F5EC4E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咸潮 intrusion</w:t>
      </w:r>
    </w:p>
    <w:p w14:paraId="4FE2955A">
      <w:pPr>
        <w:pStyle w:val="56"/>
        <w:spacing w:line="360" w:lineRule="auto"/>
        <w:ind w:firstLine="420"/>
      </w:pPr>
      <w:r>
        <w:rPr>
          <w:rFonts w:hint="eastAsia"/>
        </w:rPr>
        <w:t>海水在潮汐与径流共同作用下沿河道向上游推进，导致水体含盐度升高并影响取用水安全的现象。</w:t>
      </w:r>
    </w:p>
    <w:p w14:paraId="5D3EA40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预报调度 forecast-based dispatch</w:t>
      </w:r>
    </w:p>
    <w:p w14:paraId="08E5AE5E">
      <w:pPr>
        <w:pStyle w:val="56"/>
        <w:spacing w:line="360" w:lineRule="auto"/>
        <w:ind w:firstLine="420"/>
      </w:pPr>
      <w:r>
        <w:rPr>
          <w:rFonts w:hint="eastAsia"/>
        </w:rPr>
        <w:t>以水文气象预报、来水预报、潮汐（咸潮）预报、用水需求预测等为输入，提前进行情景推演并形成调度决策的调度方式。</w:t>
      </w:r>
    </w:p>
    <w:p w14:paraId="3A50E29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会商 consultation</w:t>
      </w:r>
    </w:p>
    <w:p w14:paraId="11ED0D72">
      <w:pPr>
        <w:pStyle w:val="56"/>
        <w:spacing w:line="360" w:lineRule="auto"/>
        <w:ind w:firstLine="420"/>
      </w:pPr>
      <w:r>
        <w:rPr>
          <w:rFonts w:hint="eastAsia"/>
        </w:rPr>
        <w:t>联合调度相关责任主体基于共享信息，围绕调度目标与约束开展协商研判并形成一致意见或建议的组织活动。</w:t>
      </w:r>
    </w:p>
    <w:p w14:paraId="4D2852CE">
      <w:pPr>
        <w:pStyle w:val="104"/>
        <w:spacing w:before="240" w:after="240" w:line="360" w:lineRule="auto"/>
      </w:pPr>
      <w:bookmarkStart w:id="51" w:name="_Toc219117758"/>
      <w:r>
        <w:rPr>
          <w:rFonts w:hint="eastAsia"/>
        </w:rPr>
        <w:t>总体要求</w:t>
      </w:r>
      <w:bookmarkEnd w:id="51"/>
    </w:p>
    <w:p w14:paraId="4B5C0113">
      <w:pPr>
        <w:pStyle w:val="105"/>
        <w:spacing w:before="120" w:after="120" w:line="360" w:lineRule="auto"/>
      </w:pPr>
      <w:r>
        <w:rPr>
          <w:rFonts w:hint="eastAsia"/>
        </w:rPr>
        <w:t>基本原则</w:t>
      </w:r>
    </w:p>
    <w:p w14:paraId="23A20122">
      <w:pPr>
        <w:pStyle w:val="56"/>
        <w:spacing w:line="360" w:lineRule="auto"/>
        <w:ind w:firstLine="420"/>
      </w:pPr>
      <w:r>
        <w:rPr>
          <w:rFonts w:hint="eastAsia"/>
        </w:rPr>
        <w:t>平陆运河水资源联合调度与管理应遵循以下原则：</w:t>
      </w:r>
    </w:p>
    <w:p w14:paraId="191236EB">
      <w:pPr>
        <w:pStyle w:val="56"/>
        <w:spacing w:line="360" w:lineRule="auto"/>
        <w:ind w:firstLine="420"/>
      </w:pPr>
      <w:r>
        <w:rPr>
          <w:rFonts w:hint="eastAsia"/>
        </w:rPr>
        <w:t>a) 安全优先、系统协同：以工程安全、通航安全与供水安全为底线，统筹流域水工程与河网系统协同运行；</w:t>
      </w:r>
    </w:p>
    <w:p w14:paraId="6AD1865F">
      <w:pPr>
        <w:pStyle w:val="56"/>
        <w:spacing w:line="360" w:lineRule="auto"/>
        <w:ind w:firstLine="420"/>
      </w:pPr>
      <w:r>
        <w:rPr>
          <w:rFonts w:hint="eastAsia"/>
        </w:rPr>
        <w:t>b) 节水优先、生态优先：强化水量精细化配置与全过程节水管理，保障生态基流与水环境底线；</w:t>
      </w:r>
    </w:p>
    <w:p w14:paraId="031CE2C7">
      <w:pPr>
        <w:pStyle w:val="56"/>
        <w:spacing w:line="360" w:lineRule="auto"/>
        <w:ind w:firstLine="420"/>
      </w:pPr>
      <w:r>
        <w:rPr>
          <w:rFonts w:hint="eastAsia"/>
        </w:rPr>
        <w:t>c) 依法合规、权责清晰：符合国家法律法规及地方性法规要求，明确各责任主体权责边界与执行责任；</w:t>
      </w:r>
    </w:p>
    <w:p w14:paraId="06348DF1">
      <w:pPr>
        <w:pStyle w:val="56"/>
        <w:spacing w:line="360" w:lineRule="auto"/>
        <w:ind w:firstLine="420"/>
      </w:pPr>
      <w:r>
        <w:rPr>
          <w:rFonts w:hint="eastAsia"/>
        </w:rPr>
        <w:t>d) 预报引领、精准调控：以预报调度为主线，实施分级分区、分时分段的精准调控；</w:t>
      </w:r>
    </w:p>
    <w:p w14:paraId="00626350">
      <w:pPr>
        <w:pStyle w:val="56"/>
        <w:spacing w:line="360" w:lineRule="auto"/>
        <w:ind w:firstLine="420"/>
      </w:pPr>
      <w:r>
        <w:rPr>
          <w:rFonts w:hint="eastAsia"/>
        </w:rPr>
        <w:t>e) 信息共享、全程可追溯：建立统一数据口径与共享机制，实现调度决策、指令、执行与反馈的全过程留痕。</w:t>
      </w:r>
    </w:p>
    <w:p w14:paraId="6FE4CE82">
      <w:pPr>
        <w:pStyle w:val="105"/>
        <w:spacing w:before="120" w:after="120" w:line="360" w:lineRule="auto"/>
      </w:pPr>
      <w:r>
        <w:rPr>
          <w:rFonts w:hint="eastAsia"/>
        </w:rPr>
        <w:t>目标体系与优先序</w:t>
      </w:r>
    </w:p>
    <w:p w14:paraId="37D352E4">
      <w:pPr>
        <w:pStyle w:val="56"/>
        <w:spacing w:line="360" w:lineRule="auto"/>
        <w:ind w:firstLine="420"/>
      </w:pPr>
      <w:r>
        <w:rPr>
          <w:rFonts w:hint="eastAsia"/>
        </w:rPr>
        <w:t>联合调度目标应按“底线约束—刚性需求—综合优化”分层设置：</w:t>
      </w:r>
    </w:p>
    <w:p w14:paraId="411FC839">
      <w:pPr>
        <w:pStyle w:val="56"/>
        <w:spacing w:line="360" w:lineRule="auto"/>
        <w:ind w:firstLine="420"/>
      </w:pPr>
      <w:r>
        <w:rPr>
          <w:rFonts w:hint="eastAsia"/>
        </w:rPr>
        <w:t>a) 底线约束层：工程安全运行、水质安全底线、生态基流底线、防洪安全底线；</w:t>
      </w:r>
    </w:p>
    <w:p w14:paraId="7B5112E9">
      <w:pPr>
        <w:pStyle w:val="56"/>
        <w:spacing w:line="360" w:lineRule="auto"/>
        <w:ind w:firstLine="420"/>
      </w:pPr>
      <w:r>
        <w:rPr>
          <w:rFonts w:hint="eastAsia"/>
        </w:rPr>
        <w:t>b) 刚性需求层：通航保证水位与船闸运行需求、城乡供水与重大工业用水保障；</w:t>
      </w:r>
    </w:p>
    <w:p w14:paraId="6CB2523B">
      <w:pPr>
        <w:pStyle w:val="56"/>
        <w:spacing w:line="360" w:lineRule="auto"/>
        <w:ind w:firstLine="420"/>
      </w:pPr>
      <w:r>
        <w:rPr>
          <w:rFonts w:hint="eastAsia"/>
        </w:rPr>
        <w:t>c) 综合优化层：农业灌溉适配、生态补水增效、水环境改善、综合效益提升等。</w:t>
      </w:r>
    </w:p>
    <w:p w14:paraId="5C45BF10">
      <w:pPr>
        <w:pStyle w:val="56"/>
        <w:spacing w:line="360" w:lineRule="auto"/>
        <w:ind w:firstLine="420"/>
      </w:pPr>
      <w:r>
        <w:rPr>
          <w:rFonts w:hint="eastAsia"/>
        </w:rPr>
        <w:t>联合调度应建立目标量化指标体系，并明确指标口径、数据来源、统计频次及考核方式。表1给出了目标领域与常用量化指标的示例，实际应用时可结合运行阶段与管理要求进行增删与细化。</w:t>
      </w:r>
    </w:p>
    <w:p w14:paraId="4E298868">
      <w:pPr>
        <w:pStyle w:val="112"/>
        <w:spacing w:before="120" w:after="120" w:line="360" w:lineRule="auto"/>
      </w:pPr>
      <w:r>
        <w:rPr>
          <w:rFonts w:hint="eastAsia"/>
        </w:rPr>
        <w:t>联合调度目标分解与关键量化指标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134"/>
        <w:gridCol w:w="2126"/>
        <w:gridCol w:w="2410"/>
        <w:gridCol w:w="1701"/>
        <w:gridCol w:w="1122"/>
      </w:tblGrid>
      <w:tr w14:paraId="6B63E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4C269124">
            <w:pPr>
              <w:pStyle w:val="178"/>
            </w:pPr>
            <w:r>
              <w:rPr>
                <w:rFonts w:hint="eastAsia"/>
              </w:rPr>
              <w:t>目标领域</w:t>
            </w:r>
          </w:p>
        </w:tc>
        <w:tc>
          <w:tcPr>
            <w:tcW w:w="1134" w:type="dxa"/>
            <w:tcBorders>
              <w:top w:val="single" w:color="auto" w:sz="8" w:space="0"/>
              <w:bottom w:val="single" w:color="auto" w:sz="8" w:space="0"/>
            </w:tcBorders>
            <w:vAlign w:val="center"/>
          </w:tcPr>
          <w:p w14:paraId="7E9AE76B">
            <w:pPr>
              <w:pStyle w:val="178"/>
            </w:pPr>
            <w:r>
              <w:rPr>
                <w:rFonts w:hint="eastAsia"/>
              </w:rPr>
              <w:t>核心目标</w:t>
            </w:r>
          </w:p>
        </w:tc>
        <w:tc>
          <w:tcPr>
            <w:tcW w:w="2126" w:type="dxa"/>
            <w:tcBorders>
              <w:top w:val="single" w:color="auto" w:sz="8" w:space="0"/>
              <w:bottom w:val="single" w:color="auto" w:sz="8" w:space="0"/>
            </w:tcBorders>
            <w:vAlign w:val="center"/>
          </w:tcPr>
          <w:p w14:paraId="17ACEFCE">
            <w:pPr>
              <w:pStyle w:val="178"/>
            </w:pPr>
            <w:r>
              <w:rPr>
                <w:rFonts w:hint="eastAsia"/>
              </w:rPr>
              <w:t>关键指标</w:t>
            </w:r>
          </w:p>
        </w:tc>
        <w:tc>
          <w:tcPr>
            <w:tcW w:w="2410" w:type="dxa"/>
            <w:tcBorders>
              <w:top w:val="single" w:color="auto" w:sz="8" w:space="0"/>
              <w:bottom w:val="single" w:color="auto" w:sz="8" w:space="0"/>
            </w:tcBorders>
            <w:vAlign w:val="center"/>
          </w:tcPr>
          <w:p w14:paraId="60787618">
            <w:pPr>
              <w:pStyle w:val="178"/>
            </w:pPr>
            <w:r>
              <w:rPr>
                <w:rFonts w:hint="eastAsia"/>
              </w:rPr>
              <w:t>统计与评价口径</w:t>
            </w:r>
          </w:p>
        </w:tc>
        <w:tc>
          <w:tcPr>
            <w:tcW w:w="1701" w:type="dxa"/>
            <w:tcBorders>
              <w:top w:val="single" w:color="auto" w:sz="8" w:space="0"/>
              <w:bottom w:val="single" w:color="auto" w:sz="8" w:space="0"/>
            </w:tcBorders>
            <w:vAlign w:val="center"/>
          </w:tcPr>
          <w:p w14:paraId="085762C5">
            <w:pPr>
              <w:pStyle w:val="178"/>
            </w:pPr>
            <w:r>
              <w:rPr>
                <w:rFonts w:hint="eastAsia"/>
              </w:rPr>
              <w:t>数据来源</w:t>
            </w:r>
          </w:p>
        </w:tc>
        <w:tc>
          <w:tcPr>
            <w:tcW w:w="1122" w:type="dxa"/>
            <w:tcBorders>
              <w:top w:val="single" w:color="auto" w:sz="8" w:space="0"/>
              <w:bottom w:val="single" w:color="auto" w:sz="8" w:space="0"/>
            </w:tcBorders>
            <w:vAlign w:val="center"/>
          </w:tcPr>
          <w:p w14:paraId="1B74D033">
            <w:pPr>
              <w:pStyle w:val="178"/>
            </w:pPr>
            <w:r>
              <w:rPr>
                <w:rFonts w:hint="eastAsia"/>
              </w:rPr>
              <w:t>频次</w:t>
            </w:r>
          </w:p>
        </w:tc>
      </w:tr>
      <w:tr w14:paraId="06347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721EA7AA">
            <w:pPr>
              <w:pStyle w:val="178"/>
            </w:pPr>
            <w:r>
              <w:rPr>
                <w:rFonts w:hint="eastAsia"/>
              </w:rPr>
              <w:t>通航保障</w:t>
            </w:r>
          </w:p>
        </w:tc>
        <w:tc>
          <w:tcPr>
            <w:tcW w:w="1134" w:type="dxa"/>
            <w:tcBorders>
              <w:top w:val="single" w:color="auto" w:sz="8" w:space="0"/>
            </w:tcBorders>
            <w:vAlign w:val="center"/>
          </w:tcPr>
          <w:p w14:paraId="1D130B30">
            <w:pPr>
              <w:pStyle w:val="178"/>
            </w:pPr>
            <w:r>
              <w:rPr>
                <w:rFonts w:hint="eastAsia"/>
              </w:rPr>
              <w:t>保证通航水位与过闸效率</w:t>
            </w:r>
          </w:p>
        </w:tc>
        <w:tc>
          <w:tcPr>
            <w:tcW w:w="2126" w:type="dxa"/>
            <w:tcBorders>
              <w:top w:val="single" w:color="auto" w:sz="8" w:space="0"/>
            </w:tcBorders>
            <w:vAlign w:val="center"/>
          </w:tcPr>
          <w:p w14:paraId="1C59CAD3">
            <w:pPr>
              <w:pStyle w:val="178"/>
            </w:pPr>
            <w:r>
              <w:rPr>
                <w:rFonts w:hint="eastAsia"/>
              </w:rPr>
              <w:t>保证水位达标率、</w:t>
            </w:r>
          </w:p>
          <w:p w14:paraId="7EA0EF99">
            <w:pPr>
              <w:pStyle w:val="178"/>
            </w:pPr>
            <w:r>
              <w:rPr>
                <w:rFonts w:hint="eastAsia"/>
              </w:rPr>
              <w:t>停航时长、过闸船舶量</w:t>
            </w:r>
          </w:p>
        </w:tc>
        <w:tc>
          <w:tcPr>
            <w:tcW w:w="2410" w:type="dxa"/>
            <w:tcBorders>
              <w:top w:val="single" w:color="auto" w:sz="8" w:space="0"/>
            </w:tcBorders>
            <w:vAlign w:val="center"/>
          </w:tcPr>
          <w:p w14:paraId="7F14C580">
            <w:pPr>
              <w:pStyle w:val="178"/>
            </w:pPr>
            <w:r>
              <w:rPr>
                <w:rFonts w:hint="eastAsia"/>
              </w:rPr>
              <w:t>按控制断面/航段统计，达标率以日（或小时）序列计算</w:t>
            </w:r>
          </w:p>
        </w:tc>
        <w:tc>
          <w:tcPr>
            <w:tcW w:w="1701" w:type="dxa"/>
            <w:tcBorders>
              <w:top w:val="single" w:color="auto" w:sz="8" w:space="0"/>
            </w:tcBorders>
            <w:vAlign w:val="center"/>
          </w:tcPr>
          <w:p w14:paraId="604E8EB8">
            <w:pPr>
              <w:pStyle w:val="178"/>
            </w:pPr>
            <w:r>
              <w:rPr>
                <w:rFonts w:hint="eastAsia"/>
              </w:rPr>
              <w:t>水位站、</w:t>
            </w:r>
          </w:p>
          <w:p w14:paraId="5AE9C8B1">
            <w:pPr>
              <w:pStyle w:val="178"/>
            </w:pPr>
            <w:r>
              <w:rPr>
                <w:rFonts w:hint="eastAsia"/>
              </w:rPr>
              <w:t>船闸调度系统</w:t>
            </w:r>
          </w:p>
        </w:tc>
        <w:tc>
          <w:tcPr>
            <w:tcW w:w="1122" w:type="dxa"/>
            <w:tcBorders>
              <w:top w:val="single" w:color="auto" w:sz="8" w:space="0"/>
            </w:tcBorders>
            <w:vAlign w:val="center"/>
          </w:tcPr>
          <w:p w14:paraId="55C51E9E">
            <w:pPr>
              <w:pStyle w:val="178"/>
            </w:pPr>
            <w:r>
              <w:rPr>
                <w:rFonts w:hint="eastAsia"/>
              </w:rPr>
              <w:t>日/旬/月</w:t>
            </w:r>
          </w:p>
        </w:tc>
      </w:tr>
      <w:tr w14:paraId="5B376E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25EA9C57">
            <w:pPr>
              <w:pStyle w:val="178"/>
            </w:pPr>
            <w:r>
              <w:rPr>
                <w:rFonts w:hint="eastAsia"/>
              </w:rPr>
              <w:t>供水保障</w:t>
            </w:r>
          </w:p>
        </w:tc>
        <w:tc>
          <w:tcPr>
            <w:tcW w:w="1134" w:type="dxa"/>
            <w:vAlign w:val="center"/>
          </w:tcPr>
          <w:p w14:paraId="347C8122">
            <w:pPr>
              <w:pStyle w:val="178"/>
            </w:pPr>
            <w:r>
              <w:rPr>
                <w:rFonts w:hint="eastAsia"/>
              </w:rPr>
              <w:t>城镇与重点产业供水安全</w:t>
            </w:r>
          </w:p>
        </w:tc>
        <w:tc>
          <w:tcPr>
            <w:tcW w:w="2126" w:type="dxa"/>
            <w:vAlign w:val="center"/>
          </w:tcPr>
          <w:p w14:paraId="2772D2CA">
            <w:pPr>
              <w:pStyle w:val="178"/>
            </w:pPr>
            <w:r>
              <w:rPr>
                <w:rFonts w:hint="eastAsia"/>
              </w:rPr>
              <w:t>供水保证率、限供次数、应急水源启用次数</w:t>
            </w:r>
          </w:p>
        </w:tc>
        <w:tc>
          <w:tcPr>
            <w:tcW w:w="2410" w:type="dxa"/>
            <w:vAlign w:val="center"/>
          </w:tcPr>
          <w:p w14:paraId="7B0D5643">
            <w:pPr>
              <w:pStyle w:val="178"/>
            </w:pPr>
            <w:r>
              <w:rPr>
                <w:rFonts w:hint="eastAsia"/>
              </w:rPr>
              <w:t>以取水口供水计划与实际对比</w:t>
            </w:r>
          </w:p>
        </w:tc>
        <w:tc>
          <w:tcPr>
            <w:tcW w:w="1701" w:type="dxa"/>
            <w:vAlign w:val="center"/>
          </w:tcPr>
          <w:p w14:paraId="741390A2">
            <w:pPr>
              <w:pStyle w:val="178"/>
            </w:pPr>
            <w:r>
              <w:rPr>
                <w:rFonts w:hint="eastAsia"/>
              </w:rPr>
              <w:t>取水计量、</w:t>
            </w:r>
          </w:p>
          <w:p w14:paraId="49B34219">
            <w:pPr>
              <w:pStyle w:val="178"/>
            </w:pPr>
            <w:r>
              <w:rPr>
                <w:rFonts w:hint="eastAsia"/>
              </w:rPr>
              <w:t>供水企业数据</w:t>
            </w:r>
          </w:p>
        </w:tc>
        <w:tc>
          <w:tcPr>
            <w:tcW w:w="1122" w:type="dxa"/>
            <w:vAlign w:val="center"/>
          </w:tcPr>
          <w:p w14:paraId="7CFB995D">
            <w:pPr>
              <w:pStyle w:val="178"/>
            </w:pPr>
            <w:r>
              <w:rPr>
                <w:rFonts w:hint="eastAsia"/>
              </w:rPr>
              <w:t>日/月</w:t>
            </w:r>
          </w:p>
        </w:tc>
      </w:tr>
      <w:tr w14:paraId="30BF0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788EB6C4">
            <w:pPr>
              <w:pStyle w:val="178"/>
            </w:pPr>
            <w:r>
              <w:rPr>
                <w:rFonts w:hint="eastAsia"/>
              </w:rPr>
              <w:t>防洪排涝</w:t>
            </w:r>
          </w:p>
        </w:tc>
        <w:tc>
          <w:tcPr>
            <w:tcW w:w="1134" w:type="dxa"/>
            <w:vAlign w:val="center"/>
          </w:tcPr>
          <w:p w14:paraId="16066BA6">
            <w:pPr>
              <w:pStyle w:val="178"/>
            </w:pPr>
            <w:r>
              <w:rPr>
                <w:rFonts w:hint="eastAsia"/>
              </w:rPr>
              <w:t>汛期风险可控</w:t>
            </w:r>
          </w:p>
        </w:tc>
        <w:tc>
          <w:tcPr>
            <w:tcW w:w="2126" w:type="dxa"/>
            <w:vAlign w:val="center"/>
          </w:tcPr>
          <w:p w14:paraId="380E3F90">
            <w:pPr>
              <w:pStyle w:val="178"/>
            </w:pPr>
            <w:r>
              <w:rPr>
                <w:rFonts w:hint="eastAsia"/>
              </w:rPr>
              <w:t>控制水位超限次数、</w:t>
            </w:r>
          </w:p>
          <w:p w14:paraId="0F5C8F42">
            <w:pPr>
              <w:pStyle w:val="178"/>
            </w:pPr>
            <w:r>
              <w:rPr>
                <w:rFonts w:hint="eastAsia"/>
              </w:rPr>
              <w:t>预泄/拦洪执行率</w:t>
            </w:r>
          </w:p>
        </w:tc>
        <w:tc>
          <w:tcPr>
            <w:tcW w:w="2410" w:type="dxa"/>
            <w:vAlign w:val="center"/>
          </w:tcPr>
          <w:p w14:paraId="6CF0832F">
            <w:pPr>
              <w:pStyle w:val="178"/>
            </w:pPr>
            <w:r>
              <w:rPr>
                <w:rFonts w:hint="eastAsia"/>
              </w:rPr>
              <w:t>以汛限水位或控制线为判据</w:t>
            </w:r>
          </w:p>
        </w:tc>
        <w:tc>
          <w:tcPr>
            <w:tcW w:w="1701" w:type="dxa"/>
            <w:vAlign w:val="center"/>
          </w:tcPr>
          <w:p w14:paraId="61E5825B">
            <w:pPr>
              <w:pStyle w:val="178"/>
            </w:pPr>
            <w:r>
              <w:rPr>
                <w:rFonts w:hint="eastAsia"/>
              </w:rPr>
              <w:t>水雨情、闸门工况</w:t>
            </w:r>
          </w:p>
        </w:tc>
        <w:tc>
          <w:tcPr>
            <w:tcW w:w="1122" w:type="dxa"/>
            <w:vAlign w:val="center"/>
          </w:tcPr>
          <w:p w14:paraId="3CC6C6A2">
            <w:pPr>
              <w:pStyle w:val="178"/>
            </w:pPr>
            <w:r>
              <w:rPr>
                <w:rFonts w:hint="eastAsia"/>
              </w:rPr>
              <w:t>实时/事件</w:t>
            </w:r>
          </w:p>
        </w:tc>
      </w:tr>
      <w:tr w14:paraId="59466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2C3ED280">
            <w:pPr>
              <w:pStyle w:val="178"/>
            </w:pPr>
            <w:r>
              <w:rPr>
                <w:rFonts w:hint="eastAsia"/>
              </w:rPr>
              <w:t>生态水量</w:t>
            </w:r>
          </w:p>
        </w:tc>
        <w:tc>
          <w:tcPr>
            <w:tcW w:w="1134" w:type="dxa"/>
            <w:vAlign w:val="center"/>
          </w:tcPr>
          <w:p w14:paraId="011E48AD">
            <w:pPr>
              <w:pStyle w:val="178"/>
            </w:pPr>
            <w:r>
              <w:rPr>
                <w:rFonts w:hint="eastAsia"/>
              </w:rPr>
              <w:t>生态基流达标</w:t>
            </w:r>
          </w:p>
        </w:tc>
        <w:tc>
          <w:tcPr>
            <w:tcW w:w="2126" w:type="dxa"/>
            <w:vAlign w:val="center"/>
          </w:tcPr>
          <w:p w14:paraId="50A2E577">
            <w:pPr>
              <w:pStyle w:val="178"/>
            </w:pPr>
            <w:r>
              <w:rPr>
                <w:rFonts w:hint="eastAsia"/>
              </w:rPr>
              <w:t>生态基流达标率、</w:t>
            </w:r>
          </w:p>
          <w:p w14:paraId="01D6D5F7">
            <w:pPr>
              <w:pStyle w:val="178"/>
            </w:pPr>
            <w:r>
              <w:rPr>
                <w:rFonts w:hint="eastAsia"/>
              </w:rPr>
              <w:t>生态补水量</w:t>
            </w:r>
          </w:p>
        </w:tc>
        <w:tc>
          <w:tcPr>
            <w:tcW w:w="2410" w:type="dxa"/>
            <w:vAlign w:val="center"/>
          </w:tcPr>
          <w:p w14:paraId="29DB124A">
            <w:pPr>
              <w:pStyle w:val="178"/>
            </w:pPr>
            <w:r>
              <w:rPr>
                <w:rFonts w:hint="eastAsia"/>
              </w:rPr>
              <w:t>按生态控制断面统计</w:t>
            </w:r>
          </w:p>
        </w:tc>
        <w:tc>
          <w:tcPr>
            <w:tcW w:w="1701" w:type="dxa"/>
            <w:vAlign w:val="center"/>
          </w:tcPr>
          <w:p w14:paraId="545970A4">
            <w:pPr>
              <w:pStyle w:val="178"/>
            </w:pPr>
            <w:r>
              <w:rPr>
                <w:rFonts w:hint="eastAsia"/>
              </w:rPr>
              <w:t>断面流量/水位换算</w:t>
            </w:r>
          </w:p>
        </w:tc>
        <w:tc>
          <w:tcPr>
            <w:tcW w:w="1122" w:type="dxa"/>
            <w:vAlign w:val="center"/>
          </w:tcPr>
          <w:p w14:paraId="06432746">
            <w:pPr>
              <w:pStyle w:val="178"/>
            </w:pPr>
            <w:r>
              <w:rPr>
                <w:rFonts w:hint="eastAsia"/>
              </w:rPr>
              <w:t>日/月</w:t>
            </w:r>
          </w:p>
        </w:tc>
      </w:tr>
      <w:tr w14:paraId="24C71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7C407971">
            <w:pPr>
              <w:pStyle w:val="178"/>
            </w:pPr>
            <w:r>
              <w:rPr>
                <w:rFonts w:hint="eastAsia"/>
              </w:rPr>
              <w:t>水环境与咸潮</w:t>
            </w:r>
          </w:p>
        </w:tc>
        <w:tc>
          <w:tcPr>
            <w:tcW w:w="1134" w:type="dxa"/>
            <w:vAlign w:val="center"/>
          </w:tcPr>
          <w:p w14:paraId="507FCE4C">
            <w:pPr>
              <w:pStyle w:val="178"/>
            </w:pPr>
            <w:r>
              <w:rPr>
                <w:rFonts w:hint="eastAsia"/>
              </w:rPr>
              <w:t>水质与盐度风险受控</w:t>
            </w:r>
          </w:p>
        </w:tc>
        <w:tc>
          <w:tcPr>
            <w:tcW w:w="2126" w:type="dxa"/>
            <w:vAlign w:val="center"/>
          </w:tcPr>
          <w:p w14:paraId="5FF7702C">
            <w:pPr>
              <w:pStyle w:val="178"/>
            </w:pPr>
            <w:r>
              <w:rPr>
                <w:rFonts w:hint="eastAsia"/>
              </w:rPr>
              <w:t>超标天数、</w:t>
            </w:r>
          </w:p>
          <w:p w14:paraId="521A2954">
            <w:pPr>
              <w:pStyle w:val="178"/>
            </w:pPr>
            <w:r>
              <w:rPr>
                <w:rFonts w:hint="eastAsia"/>
              </w:rPr>
              <w:t>咸潮上溯预警次数</w:t>
            </w:r>
          </w:p>
        </w:tc>
        <w:tc>
          <w:tcPr>
            <w:tcW w:w="2410" w:type="dxa"/>
            <w:vAlign w:val="center"/>
          </w:tcPr>
          <w:p w14:paraId="21DAFA8F">
            <w:pPr>
              <w:pStyle w:val="178"/>
            </w:pPr>
            <w:r>
              <w:rPr>
                <w:rFonts w:hint="eastAsia"/>
              </w:rPr>
              <w:t>以监测阈值判定，</w:t>
            </w:r>
          </w:p>
          <w:p w14:paraId="50B04EAF">
            <w:pPr>
              <w:pStyle w:val="178"/>
            </w:pPr>
            <w:r>
              <w:rPr>
                <w:rFonts w:hint="eastAsia"/>
              </w:rPr>
              <w:t>事件闭环复盘</w:t>
            </w:r>
          </w:p>
        </w:tc>
        <w:tc>
          <w:tcPr>
            <w:tcW w:w="1701" w:type="dxa"/>
            <w:vAlign w:val="center"/>
          </w:tcPr>
          <w:p w14:paraId="31F5603F">
            <w:pPr>
              <w:pStyle w:val="178"/>
            </w:pPr>
            <w:r>
              <w:rPr>
                <w:rFonts w:hint="eastAsia"/>
              </w:rPr>
              <w:t>水质/盐度监测、</w:t>
            </w:r>
          </w:p>
          <w:p w14:paraId="16C7813E">
            <w:pPr>
              <w:pStyle w:val="178"/>
            </w:pPr>
            <w:r>
              <w:rPr>
                <w:rFonts w:hint="eastAsia"/>
              </w:rPr>
              <w:t>预报模型</w:t>
            </w:r>
          </w:p>
        </w:tc>
        <w:tc>
          <w:tcPr>
            <w:tcW w:w="1122" w:type="dxa"/>
            <w:vAlign w:val="center"/>
          </w:tcPr>
          <w:p w14:paraId="7EB5F00D">
            <w:pPr>
              <w:pStyle w:val="178"/>
            </w:pPr>
            <w:r>
              <w:rPr>
                <w:rFonts w:hint="eastAsia"/>
              </w:rPr>
              <w:t>实时/事件</w:t>
            </w:r>
          </w:p>
        </w:tc>
      </w:tr>
      <w:tr w14:paraId="29AF79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0596BB3B">
            <w:pPr>
              <w:pStyle w:val="178"/>
            </w:pPr>
            <w:r>
              <w:rPr>
                <w:rFonts w:hint="eastAsia"/>
              </w:rPr>
              <w:t>运行安全</w:t>
            </w:r>
          </w:p>
        </w:tc>
        <w:tc>
          <w:tcPr>
            <w:tcW w:w="1134" w:type="dxa"/>
            <w:vAlign w:val="center"/>
          </w:tcPr>
          <w:p w14:paraId="02996B74">
            <w:pPr>
              <w:pStyle w:val="178"/>
            </w:pPr>
            <w:r>
              <w:rPr>
                <w:rFonts w:hint="eastAsia"/>
              </w:rPr>
              <w:t>工程与调度安全</w:t>
            </w:r>
          </w:p>
        </w:tc>
        <w:tc>
          <w:tcPr>
            <w:tcW w:w="2126" w:type="dxa"/>
            <w:vAlign w:val="center"/>
          </w:tcPr>
          <w:p w14:paraId="5CBCC074">
            <w:pPr>
              <w:pStyle w:val="178"/>
            </w:pPr>
            <w:r>
              <w:rPr>
                <w:rFonts w:hint="eastAsia"/>
              </w:rPr>
              <w:t>关键设备完好率、</w:t>
            </w:r>
          </w:p>
          <w:p w14:paraId="52BBEA47">
            <w:pPr>
              <w:pStyle w:val="178"/>
            </w:pPr>
            <w:r>
              <w:rPr>
                <w:rFonts w:hint="eastAsia"/>
              </w:rPr>
              <w:t>调度令执行偏差率</w:t>
            </w:r>
          </w:p>
        </w:tc>
        <w:tc>
          <w:tcPr>
            <w:tcW w:w="2410" w:type="dxa"/>
            <w:vAlign w:val="center"/>
          </w:tcPr>
          <w:p w14:paraId="0E1774EC">
            <w:pPr>
              <w:pStyle w:val="178"/>
            </w:pPr>
            <w:r>
              <w:rPr>
                <w:rFonts w:hint="eastAsia"/>
              </w:rPr>
              <w:t>以设备台账与执行回执核验</w:t>
            </w:r>
          </w:p>
        </w:tc>
        <w:tc>
          <w:tcPr>
            <w:tcW w:w="1701" w:type="dxa"/>
            <w:vAlign w:val="center"/>
          </w:tcPr>
          <w:p w14:paraId="34ED4505">
            <w:pPr>
              <w:pStyle w:val="178"/>
            </w:pPr>
            <w:r>
              <w:rPr>
                <w:rFonts w:hint="eastAsia"/>
              </w:rPr>
              <w:t>运维系统、调度留痕</w:t>
            </w:r>
          </w:p>
        </w:tc>
        <w:tc>
          <w:tcPr>
            <w:tcW w:w="1122" w:type="dxa"/>
            <w:vAlign w:val="center"/>
          </w:tcPr>
          <w:p w14:paraId="0D7DAF01">
            <w:pPr>
              <w:pStyle w:val="178"/>
            </w:pPr>
            <w:r>
              <w:rPr>
                <w:rFonts w:hint="eastAsia"/>
              </w:rPr>
              <w:t>月/季</w:t>
            </w:r>
          </w:p>
        </w:tc>
      </w:tr>
    </w:tbl>
    <w:p w14:paraId="6D6FE659">
      <w:pPr>
        <w:pStyle w:val="56"/>
        <w:ind w:firstLine="420"/>
      </w:pPr>
    </w:p>
    <w:p w14:paraId="11CDD7AB">
      <w:pPr>
        <w:pStyle w:val="56"/>
        <w:ind w:firstLine="420"/>
        <w:rPr>
          <w:rFonts w:hint="eastAsia"/>
        </w:rPr>
      </w:pPr>
    </w:p>
    <w:p w14:paraId="08059BCE">
      <w:pPr>
        <w:pStyle w:val="105"/>
        <w:spacing w:before="120" w:after="120" w:line="360" w:lineRule="auto"/>
      </w:pPr>
      <w:r>
        <w:rPr>
          <w:rFonts w:hint="eastAsia"/>
        </w:rPr>
        <w:t>组织管理与制度化运行要求</w:t>
      </w:r>
    </w:p>
    <w:p w14:paraId="5A36DD44">
      <w:pPr>
        <w:pStyle w:val="56"/>
        <w:spacing w:line="360" w:lineRule="auto"/>
        <w:ind w:firstLine="420"/>
      </w:pPr>
      <w:r>
        <w:rPr>
          <w:rFonts w:hint="eastAsia"/>
        </w:rPr>
        <w:t>联合调度应建立“统一会商、统一指令、分级执行、闭环管理”的运行机制，至少应包括：</w:t>
      </w:r>
    </w:p>
    <w:p w14:paraId="05D352B9">
      <w:pPr>
        <w:pStyle w:val="56"/>
        <w:spacing w:line="360" w:lineRule="auto"/>
        <w:ind w:firstLine="420"/>
      </w:pPr>
      <w:r>
        <w:rPr>
          <w:rFonts w:hint="eastAsia"/>
        </w:rPr>
        <w:t>a) 会商机制：明确常态会商与专项会商触发条件、参与单位、议题模板与纪要要求；</w:t>
      </w:r>
    </w:p>
    <w:p w14:paraId="17192E98">
      <w:pPr>
        <w:pStyle w:val="56"/>
        <w:spacing w:line="360" w:lineRule="auto"/>
        <w:ind w:firstLine="420"/>
      </w:pPr>
      <w:r>
        <w:rPr>
          <w:rFonts w:hint="eastAsia"/>
        </w:rPr>
        <w:t>b) 指令机制：明确调度令发布权限、指令格式、传递渠道、签收确认与回执要求；</w:t>
      </w:r>
    </w:p>
    <w:p w14:paraId="3C1D3737">
      <w:pPr>
        <w:pStyle w:val="56"/>
        <w:spacing w:line="360" w:lineRule="auto"/>
        <w:ind w:firstLine="420"/>
      </w:pPr>
      <w:r>
        <w:rPr>
          <w:rFonts w:hint="eastAsia"/>
        </w:rPr>
        <w:t>c) 执行机制：明确执行单位、执行时限、过程控制与异常上报路径；</w:t>
      </w:r>
    </w:p>
    <w:p w14:paraId="47DC0316">
      <w:pPr>
        <w:pStyle w:val="56"/>
        <w:spacing w:line="360" w:lineRule="auto"/>
        <w:ind w:firstLine="420"/>
      </w:pPr>
      <w:r>
        <w:rPr>
          <w:rFonts w:hint="eastAsia"/>
        </w:rPr>
        <w:t>d) 监督机制：对关键指标、关键断面与关键设备实施在线监控与抽查核验；</w:t>
      </w:r>
    </w:p>
    <w:p w14:paraId="291CA0CF">
      <w:pPr>
        <w:pStyle w:val="56"/>
        <w:spacing w:line="360" w:lineRule="auto"/>
        <w:ind w:firstLine="420"/>
      </w:pPr>
      <w:r>
        <w:rPr>
          <w:rFonts w:hint="eastAsia"/>
        </w:rPr>
        <w:t>e) 评估机制：开展调度效果评估、事件复盘与持续改进。</w:t>
      </w:r>
    </w:p>
    <w:p w14:paraId="52A9DF1F">
      <w:pPr>
        <w:pStyle w:val="105"/>
        <w:spacing w:before="120" w:after="120" w:line="360" w:lineRule="auto"/>
      </w:pPr>
      <w:r>
        <w:rPr>
          <w:rFonts w:hint="eastAsia"/>
        </w:rPr>
        <w:t>信息与数据要求</w:t>
      </w:r>
    </w:p>
    <w:p w14:paraId="45D1BE64">
      <w:pPr>
        <w:pStyle w:val="56"/>
        <w:spacing w:line="360" w:lineRule="auto"/>
        <w:ind w:firstLine="420"/>
      </w:pPr>
      <w:r>
        <w:rPr>
          <w:rFonts w:hint="eastAsia"/>
        </w:rPr>
        <w:t>联合调度应建立统一数据目录与共享清单，明确数据分级分类、采集频率、质量控制与校核规则；对涉及重要信息系统的，应按网络安全等级保护等要求落实安全管理、权限控制、日志审计与备份容灾，确保调度信息的完整性、可用性与可追溯性。</w:t>
      </w:r>
    </w:p>
    <w:p w14:paraId="27AFDE52">
      <w:pPr>
        <w:pStyle w:val="105"/>
        <w:spacing w:before="120" w:after="120" w:line="360" w:lineRule="auto"/>
      </w:pPr>
      <w:r>
        <w:rPr>
          <w:rFonts w:hint="eastAsia"/>
        </w:rPr>
        <w:t>风险识别与应急衔接要求</w:t>
      </w:r>
    </w:p>
    <w:p w14:paraId="2A62EE40">
      <w:pPr>
        <w:pStyle w:val="56"/>
        <w:spacing w:line="360" w:lineRule="auto"/>
        <w:ind w:firstLine="420"/>
      </w:pPr>
      <w:r>
        <w:rPr>
          <w:rFonts w:hint="eastAsia"/>
        </w:rPr>
        <w:t>联合调度应面向枯水、洪水、咸潮、突发污染、关键设备故障与通讯中断等典型风险，建立“监测预警—会商研判—指令发布—执行反馈—效果评估”的应急衔接机制，并与地方政府应急预案、水污染事件应急预案、防洪调度预案等实现一致性与可联动。</w:t>
      </w:r>
    </w:p>
    <w:p w14:paraId="24B1B3EF">
      <w:pPr>
        <w:pStyle w:val="104"/>
        <w:spacing w:before="240" w:after="240" w:line="360" w:lineRule="auto"/>
      </w:pPr>
      <w:bookmarkStart w:id="52" w:name="_Toc219117759"/>
      <w:r>
        <w:rPr>
          <w:rFonts w:hint="eastAsia"/>
        </w:rPr>
        <w:t>调度对象与边界条件</w:t>
      </w:r>
      <w:bookmarkEnd w:id="52"/>
    </w:p>
    <w:p w14:paraId="050496FC">
      <w:pPr>
        <w:pStyle w:val="105"/>
        <w:spacing w:before="120" w:after="120" w:line="360" w:lineRule="auto"/>
      </w:pPr>
      <w:r>
        <w:rPr>
          <w:rFonts w:hint="eastAsia"/>
        </w:rPr>
        <w:t>调度对象识别与清单化管理</w:t>
      </w:r>
    </w:p>
    <w:p w14:paraId="36340690">
      <w:pPr>
        <w:pStyle w:val="56"/>
        <w:spacing w:line="360" w:lineRule="auto"/>
        <w:ind w:firstLine="420"/>
      </w:pPr>
      <w:r>
        <w:rPr>
          <w:rFonts w:hint="eastAsia"/>
        </w:rPr>
        <w:t>平陆运河水资源联合调度的调度对象应覆盖“工程—河段—断面—用水/排水行为—生态环境敏感要素”的全链条要素，至少包括以下类别：</w:t>
      </w:r>
    </w:p>
    <w:p w14:paraId="7299421C">
      <w:pPr>
        <w:pStyle w:val="56"/>
        <w:spacing w:line="360" w:lineRule="auto"/>
        <w:ind w:firstLine="420"/>
      </w:pPr>
      <w:r>
        <w:rPr>
          <w:rFonts w:hint="eastAsia"/>
        </w:rPr>
        <w:t>a) 航道与通航控制要素：运河干线航道关键控制河段、通航控制水位约束点、航道整治建筑物影响区、通航限制水位线及其对应的调度控制指标；</w:t>
      </w:r>
    </w:p>
    <w:p w14:paraId="7C8A191E">
      <w:pPr>
        <w:pStyle w:val="56"/>
        <w:spacing w:line="360" w:lineRule="auto"/>
        <w:ind w:firstLine="420"/>
      </w:pPr>
      <w:r>
        <w:rPr>
          <w:rFonts w:hint="eastAsia"/>
        </w:rPr>
        <w:t>b) 枢纽与控制建筑物：船闸（含闸室、引航道）、补水/泄水闸、泵站、调蓄设施及其配套量测设施、自动控制与安全保护装置；</w:t>
      </w:r>
    </w:p>
    <w:p w14:paraId="58F288DC">
      <w:pPr>
        <w:pStyle w:val="56"/>
        <w:spacing w:line="360" w:lineRule="auto"/>
        <w:ind w:firstLine="420"/>
      </w:pPr>
      <w:r>
        <w:rPr>
          <w:rFonts w:hint="eastAsia"/>
        </w:rPr>
        <w:t>c) 来水与分汇流要素：上游来水边界控制断面、沿线支流入汇口、分水（分流）节点、河网连通节点及其控制关系；</w:t>
      </w:r>
    </w:p>
    <w:p w14:paraId="6B794E97">
      <w:pPr>
        <w:pStyle w:val="56"/>
        <w:spacing w:line="360" w:lineRule="auto"/>
        <w:ind w:firstLine="420"/>
      </w:pPr>
      <w:r>
        <w:rPr>
          <w:rFonts w:hint="eastAsia"/>
        </w:rPr>
        <w:t>d) 取用水与供水保障要素：沿线城镇生活、工业、农业等取水口（含应急水源启用点）、用水计划与许可约束、关键用户保障清单；</w:t>
      </w:r>
    </w:p>
    <w:p w14:paraId="27C8DB90">
      <w:pPr>
        <w:pStyle w:val="56"/>
        <w:spacing w:line="360" w:lineRule="auto"/>
        <w:ind w:firstLine="420"/>
      </w:pPr>
      <w:r>
        <w:rPr>
          <w:rFonts w:hint="eastAsia"/>
        </w:rPr>
        <w:t>e) 排水与水环境要素：排水口、回排口、沿线污水处理厂尾水口、重点污染源风险点，以及对水环境质量具有显著影响的控制断面；</w:t>
      </w:r>
    </w:p>
    <w:p w14:paraId="5F9BDB95">
      <w:pPr>
        <w:pStyle w:val="56"/>
        <w:spacing w:line="360" w:lineRule="auto"/>
        <w:ind w:firstLine="420"/>
      </w:pPr>
      <w:r>
        <w:rPr>
          <w:rFonts w:hint="eastAsia"/>
        </w:rPr>
        <w:t>f) 生态与敏感区要素：生态基流控制断面、重要生态敏感区、生态补水口及其运行条件；</w:t>
      </w:r>
    </w:p>
    <w:p w14:paraId="7943CCC6">
      <w:pPr>
        <w:pStyle w:val="56"/>
        <w:spacing w:line="360" w:lineRule="auto"/>
        <w:ind w:firstLine="420"/>
      </w:pPr>
      <w:r>
        <w:rPr>
          <w:rFonts w:hint="eastAsia"/>
        </w:rPr>
        <w:t>g) 潮汐/咸潮影响要素：下游潮汐影响边界断面、盐度监测断面、咸潮预警控制点以及与取水安全关联的阈值控制指标；</w:t>
      </w:r>
    </w:p>
    <w:p w14:paraId="00977F3A">
      <w:pPr>
        <w:pStyle w:val="56"/>
        <w:spacing w:line="360" w:lineRule="auto"/>
        <w:ind w:firstLine="420"/>
      </w:pPr>
      <w:r>
        <w:rPr>
          <w:rFonts w:hint="eastAsia"/>
        </w:rPr>
        <w:t>h) 应急保障要素：应急调水通道、备用水源、应急闸门/泵站工况、应急水质监测点与应急通信保障点。</w:t>
      </w:r>
    </w:p>
    <w:p w14:paraId="318B7F7B">
      <w:pPr>
        <w:pStyle w:val="56"/>
        <w:spacing w:line="360" w:lineRule="auto"/>
        <w:ind w:firstLine="420"/>
      </w:pPr>
      <w:r>
        <w:rPr>
          <w:rFonts w:hint="eastAsia"/>
        </w:rPr>
        <w:t>联合调度牵头单位应建立调度对象清单，并对清单实施动态维护与版本管理。调度对象清单至少应包含对象名称、空间位置（桩号/经纬度/河段范围）、所属调度单元、控制指标、计量与监测手段、运行责任单位、联络人及应急处置要点等信息。</w:t>
      </w:r>
    </w:p>
    <w:p w14:paraId="3A7B5343">
      <w:pPr>
        <w:pStyle w:val="105"/>
        <w:spacing w:before="120" w:after="120" w:line="360" w:lineRule="auto"/>
      </w:pPr>
      <w:r>
        <w:rPr>
          <w:rFonts w:hint="eastAsia"/>
        </w:rPr>
        <w:t>调度边界确定</w:t>
      </w:r>
    </w:p>
    <w:p w14:paraId="3D0CCD3C">
      <w:pPr>
        <w:pStyle w:val="56"/>
        <w:spacing w:line="360" w:lineRule="auto"/>
        <w:ind w:firstLine="420"/>
      </w:pPr>
      <w:r>
        <w:rPr>
          <w:rFonts w:hint="eastAsia"/>
        </w:rPr>
        <w:t>联合调度边界应包含空间边界、时间边界与管理边界，并满足“可测、可控、可执行、可追溯”的要求：</w:t>
      </w:r>
    </w:p>
    <w:p w14:paraId="748C78E4">
      <w:pPr>
        <w:pStyle w:val="56"/>
        <w:spacing w:line="360" w:lineRule="auto"/>
        <w:ind w:firstLine="420"/>
      </w:pPr>
      <w:r>
        <w:rPr>
          <w:rFonts w:hint="eastAsia"/>
        </w:rPr>
        <w:t>a) 空间边界应明确：联合调度覆盖的运河干线范围、相关影响河段、上游来水控制断面、下游潮汐影响边界断面、沿线主要分汇流节点以及与运河运行直接耦合的取排水影响区；</w:t>
      </w:r>
    </w:p>
    <w:p w14:paraId="4C06C6DA">
      <w:pPr>
        <w:pStyle w:val="56"/>
        <w:spacing w:line="360" w:lineRule="auto"/>
        <w:ind w:firstLine="420"/>
      </w:pPr>
      <w:r>
        <w:rPr>
          <w:rFonts w:hint="eastAsia"/>
        </w:rPr>
        <w:t>b) 时间边界应明确：年度调度周期、汛期/枯期调度周期、常态调度周期、小时级实时调度周期，以及重大活动保障、极端气象水文、突发事件等情景下的专项调度时段；</w:t>
      </w:r>
    </w:p>
    <w:p w14:paraId="06A92047">
      <w:pPr>
        <w:pStyle w:val="56"/>
        <w:spacing w:line="360" w:lineRule="auto"/>
        <w:ind w:firstLine="420"/>
      </w:pPr>
      <w:r>
        <w:rPr>
          <w:rFonts w:hint="eastAsia"/>
        </w:rPr>
        <w:t>c) 管理边界应明确：各级水行政主管部门、运河运行管理单位、交通运输、生态环境、应急管理、供水企业及其他相关单位的权限边界、指令链路与信息报送范围。</w:t>
      </w:r>
    </w:p>
    <w:p w14:paraId="60088DB2">
      <w:pPr>
        <w:pStyle w:val="56"/>
        <w:spacing w:line="360" w:lineRule="auto"/>
        <w:ind w:firstLine="420"/>
      </w:pPr>
      <w:r>
        <w:rPr>
          <w:rFonts w:hint="eastAsia"/>
        </w:rPr>
        <w:t>当发生工程运行方式调整、河道水文情势显著变化、重大新增取用水或排水项目投运、下游咸潮规律变化或法规政策调整等情况时，应对调度边界进行复核并按程序更新。</w:t>
      </w:r>
    </w:p>
    <w:p w14:paraId="41ADD856">
      <w:pPr>
        <w:pStyle w:val="105"/>
        <w:spacing w:before="120" w:after="120" w:line="360" w:lineRule="auto"/>
      </w:pPr>
      <w:r>
        <w:rPr>
          <w:rFonts w:hint="eastAsia"/>
        </w:rPr>
        <w:t>调度单元划分</w:t>
      </w:r>
    </w:p>
    <w:p w14:paraId="55B66C16">
      <w:pPr>
        <w:pStyle w:val="56"/>
        <w:spacing w:line="360" w:lineRule="auto"/>
        <w:ind w:firstLine="420"/>
      </w:pPr>
      <w:r>
        <w:rPr>
          <w:rFonts w:hint="eastAsia"/>
        </w:rPr>
        <w:t>为支撑分级分区精细化调度，联合调度应对调度对象进行调度单元划分。调度单元划分应遵循以下要求：</w:t>
      </w:r>
    </w:p>
    <w:p w14:paraId="1613D76D">
      <w:pPr>
        <w:pStyle w:val="56"/>
        <w:spacing w:line="360" w:lineRule="auto"/>
        <w:ind w:firstLine="420"/>
      </w:pPr>
      <w:r>
        <w:rPr>
          <w:rFonts w:hint="eastAsia"/>
        </w:rPr>
        <w:t>a) 控制关联性原则：同一调度单元内对象应受同一关键控制建筑物或同一关键控制断面约束，或具备显著水力联系；</w:t>
      </w:r>
    </w:p>
    <w:p w14:paraId="123C3563">
      <w:pPr>
        <w:pStyle w:val="56"/>
        <w:spacing w:line="360" w:lineRule="auto"/>
        <w:ind w:firstLine="420"/>
      </w:pPr>
      <w:r>
        <w:rPr>
          <w:rFonts w:hint="eastAsia"/>
        </w:rPr>
        <w:t>b) 管理可执行性原则：调度单元应便于明确责任单位与执行边界，避免“一单元多头管理”导致指令链路不清；</w:t>
      </w:r>
    </w:p>
    <w:p w14:paraId="2AD8C0B4">
      <w:pPr>
        <w:pStyle w:val="56"/>
        <w:spacing w:line="360" w:lineRule="auto"/>
        <w:ind w:firstLine="420"/>
      </w:pPr>
      <w:r>
        <w:rPr>
          <w:rFonts w:hint="eastAsia"/>
        </w:rPr>
        <w:t>c) 风险同质性原则：同一调度单元内主要风险类型宜相对一致，便于分级响应；</w:t>
      </w:r>
    </w:p>
    <w:p w14:paraId="65EEBDFC">
      <w:pPr>
        <w:pStyle w:val="56"/>
        <w:spacing w:line="360" w:lineRule="auto"/>
        <w:ind w:firstLine="420"/>
      </w:pPr>
      <w:r>
        <w:rPr>
          <w:rFonts w:hint="eastAsia"/>
        </w:rPr>
        <w:t>d) 数据可获得性原则：调度单元应具备必要的水位、流量、水质监测能力或可通过模型可靠推算。</w:t>
      </w:r>
    </w:p>
    <w:p w14:paraId="50AD88C3">
      <w:pPr>
        <w:pStyle w:val="56"/>
        <w:spacing w:line="360" w:lineRule="auto"/>
        <w:ind w:firstLine="420"/>
      </w:pPr>
      <w:r>
        <w:rPr>
          <w:rFonts w:hint="eastAsia"/>
        </w:rPr>
        <w:t>调度单元划分成果应形成图件与文本说明，并与调度对象清单、控制断面清单、指令执行清单相互关联。</w:t>
      </w:r>
    </w:p>
    <w:p w14:paraId="241CA9E5">
      <w:pPr>
        <w:pStyle w:val="105"/>
        <w:spacing w:before="120" w:after="120" w:line="360" w:lineRule="auto"/>
      </w:pPr>
      <w:r>
        <w:rPr>
          <w:rFonts w:hint="eastAsia"/>
        </w:rPr>
        <w:t>关键控制断面与控制指标</w:t>
      </w:r>
    </w:p>
    <w:p w14:paraId="14938332">
      <w:pPr>
        <w:pStyle w:val="165"/>
        <w:spacing w:line="360" w:lineRule="auto"/>
      </w:pPr>
      <w:r>
        <w:rPr>
          <w:rFonts w:hint="eastAsia"/>
        </w:rPr>
        <w:t>联合调度应设置关键控制断面，并对断面控制指标实施统一口径管理。关键控制断面宜包括：上游来水控制断面、航道关键控制断面、船闸上下游控制断面、生态基流控制断面、下游潮汐控制断面、取水安全控制断面以及水环境质量考核断面。</w:t>
      </w:r>
    </w:p>
    <w:p w14:paraId="3E07C4B7">
      <w:pPr>
        <w:pStyle w:val="165"/>
        <w:spacing w:line="360" w:lineRule="auto"/>
      </w:pPr>
      <w:r>
        <w:rPr>
          <w:rFonts w:hint="eastAsia"/>
        </w:rPr>
        <w:t>关键控制指标应至少包括水位、流量（或等效过水能力）、水质指标（必要时包含盐度/氯度等）、以及与通航直接相关的通航保证水位（或保证水深）。指标的确定应满足工程安全、通航安全与水安全底线要求，并明确：</w:t>
      </w:r>
    </w:p>
    <w:p w14:paraId="4986E733">
      <w:pPr>
        <w:pStyle w:val="56"/>
        <w:spacing w:line="360" w:lineRule="auto"/>
        <w:ind w:firstLine="420"/>
      </w:pPr>
      <w:r>
        <w:rPr>
          <w:rFonts w:hint="eastAsia"/>
        </w:rPr>
        <w:t>a) 指标类型（底线型、目标型、预警型）；</w:t>
      </w:r>
    </w:p>
    <w:p w14:paraId="576068C4">
      <w:pPr>
        <w:pStyle w:val="56"/>
        <w:spacing w:line="360" w:lineRule="auto"/>
        <w:ind w:firstLine="420"/>
      </w:pPr>
      <w:r>
        <w:rPr>
          <w:rFonts w:hint="eastAsia"/>
        </w:rPr>
        <w:t>b) 指标阈值与适用时段（汛期、枯期、昼夜分时等）；</w:t>
      </w:r>
    </w:p>
    <w:p w14:paraId="28A00DDB">
      <w:pPr>
        <w:pStyle w:val="56"/>
        <w:spacing w:line="360" w:lineRule="auto"/>
        <w:ind w:firstLine="420"/>
      </w:pPr>
      <w:r>
        <w:rPr>
          <w:rFonts w:hint="eastAsia"/>
        </w:rPr>
        <w:t>c) 监测与计算方法（实测、换算、模型推算）；</w:t>
      </w:r>
    </w:p>
    <w:p w14:paraId="1E55F430">
      <w:pPr>
        <w:pStyle w:val="56"/>
        <w:spacing w:line="360" w:lineRule="auto"/>
        <w:ind w:firstLine="420"/>
      </w:pPr>
      <w:r>
        <w:rPr>
          <w:rFonts w:hint="eastAsia"/>
        </w:rPr>
        <w:t>d) 触发机制（达到/超过阈值的响应等级与处置流程）。</w:t>
      </w:r>
    </w:p>
    <w:p w14:paraId="3B2F64A9">
      <w:pPr>
        <w:pStyle w:val="105"/>
        <w:spacing w:before="120" w:after="120" w:line="360" w:lineRule="auto"/>
      </w:pPr>
      <w:r>
        <w:rPr>
          <w:rFonts w:hint="eastAsia"/>
        </w:rPr>
        <w:t>典型调度场景与边界条件管理</w:t>
      </w:r>
    </w:p>
    <w:p w14:paraId="5709B130">
      <w:pPr>
        <w:pStyle w:val="56"/>
        <w:spacing w:line="360" w:lineRule="auto"/>
        <w:ind w:firstLine="420"/>
      </w:pPr>
      <w:r>
        <w:rPr>
          <w:rFonts w:hint="eastAsia"/>
        </w:rPr>
        <w:t>联合调度应针对以下典型场景建立边界条件库与调度策略库，并进行定期校核与演练：</w:t>
      </w:r>
    </w:p>
    <w:p w14:paraId="29DF6CBC">
      <w:pPr>
        <w:pStyle w:val="56"/>
        <w:spacing w:line="360" w:lineRule="auto"/>
        <w:ind w:firstLine="420"/>
      </w:pPr>
      <w:r>
        <w:rPr>
          <w:rFonts w:hint="eastAsia"/>
        </w:rPr>
        <w:t>a) 常态通航与常态供水场景；</w:t>
      </w:r>
    </w:p>
    <w:p w14:paraId="7B5B2A28">
      <w:pPr>
        <w:pStyle w:val="56"/>
        <w:spacing w:line="360" w:lineRule="auto"/>
        <w:ind w:firstLine="420"/>
      </w:pPr>
      <w:r>
        <w:rPr>
          <w:rFonts w:hint="eastAsia"/>
        </w:rPr>
        <w:t>b) 枯水期保通航—保供水—保生态协同场景；</w:t>
      </w:r>
    </w:p>
    <w:p w14:paraId="736D33C5">
      <w:pPr>
        <w:pStyle w:val="56"/>
        <w:spacing w:line="360" w:lineRule="auto"/>
        <w:ind w:firstLine="420"/>
      </w:pPr>
      <w:r>
        <w:rPr>
          <w:rFonts w:hint="eastAsia"/>
        </w:rPr>
        <w:t>c) 汛期防洪排涝与通航保障协同场景；</w:t>
      </w:r>
    </w:p>
    <w:p w14:paraId="3F67F47E">
      <w:pPr>
        <w:pStyle w:val="56"/>
        <w:spacing w:line="360" w:lineRule="auto"/>
        <w:ind w:firstLine="420"/>
      </w:pPr>
      <w:r>
        <w:rPr>
          <w:rFonts w:hint="eastAsia"/>
        </w:rPr>
        <w:t>d) 下游咸潮上溯、取水安全受限场景；</w:t>
      </w:r>
    </w:p>
    <w:p w14:paraId="121B5D38">
      <w:pPr>
        <w:pStyle w:val="56"/>
        <w:spacing w:line="360" w:lineRule="auto"/>
        <w:ind w:firstLine="420"/>
      </w:pPr>
      <w:r>
        <w:rPr>
          <w:rFonts w:hint="eastAsia"/>
        </w:rPr>
        <w:t>e) 突发水污染事件、水质异常场景；</w:t>
      </w:r>
    </w:p>
    <w:p w14:paraId="3ED3DFD9">
      <w:pPr>
        <w:pStyle w:val="56"/>
        <w:spacing w:line="360" w:lineRule="auto"/>
        <w:ind w:firstLine="420"/>
      </w:pPr>
      <w:r>
        <w:rPr>
          <w:rFonts w:hint="eastAsia"/>
        </w:rPr>
        <w:t>f) 关键设备故障、通信中断或监测失真场景；</w:t>
      </w:r>
    </w:p>
    <w:p w14:paraId="3041D3C9">
      <w:pPr>
        <w:pStyle w:val="56"/>
        <w:spacing w:line="360" w:lineRule="auto"/>
        <w:ind w:firstLine="420"/>
      </w:pPr>
      <w:r>
        <w:rPr>
          <w:rFonts w:hint="eastAsia"/>
        </w:rPr>
        <w:t>g) 重大活动、重要窗口期通航与供水保障场景。</w:t>
      </w:r>
    </w:p>
    <w:p w14:paraId="71D1E5A0">
      <w:pPr>
        <w:pStyle w:val="56"/>
        <w:spacing w:line="360" w:lineRule="auto"/>
        <w:ind w:firstLine="420"/>
      </w:pPr>
      <w:r>
        <w:rPr>
          <w:rFonts w:hint="eastAsia"/>
        </w:rPr>
        <w:t>边界条件库应包含：来水过程、用水需求预测、潮汐预报、水质背景值、工程可用工况、关键设备能力与检修计划等基础信息，并明确数据来源、更新频次与责任单位。</w:t>
      </w:r>
    </w:p>
    <w:p w14:paraId="60985685">
      <w:pPr>
        <w:pStyle w:val="104"/>
        <w:spacing w:before="240" w:after="240" w:line="360" w:lineRule="auto"/>
      </w:pPr>
      <w:bookmarkStart w:id="53" w:name="_Toc219117760"/>
      <w:r>
        <w:rPr>
          <w:rFonts w:hint="eastAsia"/>
        </w:rPr>
        <w:t>联合调度组织体系与职责分工</w:t>
      </w:r>
      <w:bookmarkEnd w:id="53"/>
    </w:p>
    <w:p w14:paraId="42046422">
      <w:pPr>
        <w:pStyle w:val="105"/>
        <w:spacing w:before="120" w:after="120" w:line="360" w:lineRule="auto"/>
      </w:pPr>
      <w:r>
        <w:rPr>
          <w:rFonts w:hint="eastAsia"/>
        </w:rPr>
        <w:t>组织体系构成</w:t>
      </w:r>
    </w:p>
    <w:p w14:paraId="472535FE">
      <w:pPr>
        <w:pStyle w:val="165"/>
        <w:spacing w:line="360" w:lineRule="auto"/>
      </w:pPr>
      <w:r>
        <w:rPr>
          <w:rFonts w:hint="eastAsia"/>
        </w:rPr>
        <w:t>平陆运河水资源联合调度与管理应建立分层分级的组织体系，形成“统一会商决策、统一指令发布、分级分工执行、全过程监督评价”的管理闭环。组织体系宜包括：</w:t>
      </w:r>
    </w:p>
    <w:p w14:paraId="5427DB08">
      <w:pPr>
        <w:pStyle w:val="56"/>
        <w:spacing w:line="360" w:lineRule="auto"/>
        <w:ind w:firstLine="420"/>
      </w:pPr>
      <w:r>
        <w:rPr>
          <w:rFonts w:hint="eastAsia"/>
        </w:rPr>
        <w:t>a) 联合调度领导机构：负责联合调度重大事项决策、跨部门协调、重要调度方案审定与应急状态下的统筹指挥；</w:t>
      </w:r>
    </w:p>
    <w:p w14:paraId="180AADE1">
      <w:pPr>
        <w:pStyle w:val="56"/>
        <w:spacing w:line="360" w:lineRule="auto"/>
        <w:ind w:firstLine="420"/>
      </w:pPr>
      <w:r>
        <w:rPr>
          <w:rFonts w:hint="eastAsia"/>
        </w:rPr>
        <w:t>b) 联合调度工作机构：承担日常会商组织、调度计算与方案拟定、调度令编制发布、信息汇总与共享、执行跟踪与复盘评估；</w:t>
      </w:r>
    </w:p>
    <w:p w14:paraId="6CBD60C2">
      <w:pPr>
        <w:pStyle w:val="56"/>
        <w:spacing w:line="360" w:lineRule="auto"/>
        <w:ind w:firstLine="420"/>
      </w:pPr>
      <w:r>
        <w:rPr>
          <w:rFonts w:hint="eastAsia"/>
        </w:rPr>
        <w:t>c) 执行单位：包括运河运行管理单位相关调度执行部门、船闸运行单位、相关闸泵站运行单位、供水企业、取排水主体以及其他承担具体控制动作的单位；</w:t>
      </w:r>
    </w:p>
    <w:p w14:paraId="6C97F2B4">
      <w:pPr>
        <w:pStyle w:val="56"/>
        <w:spacing w:line="360" w:lineRule="auto"/>
        <w:ind w:firstLine="420"/>
      </w:pPr>
      <w:r>
        <w:rPr>
          <w:rFonts w:hint="eastAsia"/>
        </w:rPr>
        <w:t>d) 支撑单位：包括水文、气象、自然资源、生态环境、交通运输、应急管理等部门及科研院所、技术服务机构，提供监测预报、风险研判、模型计算、技术评估与应急支撑。</w:t>
      </w:r>
    </w:p>
    <w:p w14:paraId="628B3E85">
      <w:pPr>
        <w:pStyle w:val="165"/>
        <w:spacing w:line="360" w:lineRule="auto"/>
      </w:pPr>
      <w:r>
        <w:rPr>
          <w:rFonts w:hint="eastAsia"/>
        </w:rPr>
        <w:t>组织体系应明确牵头单位、成员单位与联络机制，建立跨部门常态化沟通渠道与应急状态下的快速响应机制。</w:t>
      </w:r>
    </w:p>
    <w:p w14:paraId="469C0E77">
      <w:pPr>
        <w:pStyle w:val="105"/>
        <w:spacing w:before="120" w:after="120" w:line="360" w:lineRule="auto"/>
      </w:pPr>
      <w:r>
        <w:rPr>
          <w:rFonts w:hint="eastAsia"/>
        </w:rPr>
        <w:t>职责分工原则</w:t>
      </w:r>
    </w:p>
    <w:p w14:paraId="1A4309C7">
      <w:pPr>
        <w:pStyle w:val="56"/>
        <w:spacing w:line="360" w:lineRule="auto"/>
        <w:ind w:firstLine="420"/>
      </w:pPr>
      <w:r>
        <w:rPr>
          <w:rFonts w:hint="eastAsia"/>
        </w:rPr>
        <w:t>联合调度职责分工应遵循依法合规、权责一致、分级负责、协同联动的原则，并满足以下要求：</w:t>
      </w:r>
    </w:p>
    <w:p w14:paraId="26D54996">
      <w:pPr>
        <w:pStyle w:val="56"/>
        <w:spacing w:line="360" w:lineRule="auto"/>
        <w:ind w:firstLine="420"/>
      </w:pPr>
      <w:r>
        <w:rPr>
          <w:rFonts w:hint="eastAsia"/>
        </w:rPr>
        <w:t>a) 决策权、指令权与执行权边界清晰，避免指令冲突与多头调度；</w:t>
      </w:r>
    </w:p>
    <w:p w14:paraId="5F74D788">
      <w:pPr>
        <w:pStyle w:val="56"/>
        <w:spacing w:line="360" w:lineRule="auto"/>
        <w:ind w:firstLine="420"/>
      </w:pPr>
      <w:r>
        <w:rPr>
          <w:rFonts w:hint="eastAsia"/>
        </w:rPr>
        <w:t>b) 调度责任落实到岗到人，关键岗位实行值班值守与授权替代机制；</w:t>
      </w:r>
    </w:p>
    <w:p w14:paraId="207D66A8">
      <w:pPr>
        <w:pStyle w:val="56"/>
        <w:spacing w:line="360" w:lineRule="auto"/>
        <w:ind w:firstLine="420"/>
      </w:pPr>
      <w:r>
        <w:rPr>
          <w:rFonts w:hint="eastAsia"/>
        </w:rPr>
        <w:t>c) 数据报送责任与数据质量责任对应，形成“谁采集、谁负责；谁使用、谁校核”的闭环；</w:t>
      </w:r>
    </w:p>
    <w:p w14:paraId="1D093496">
      <w:pPr>
        <w:pStyle w:val="56"/>
        <w:spacing w:line="360" w:lineRule="auto"/>
        <w:ind w:firstLine="420"/>
      </w:pPr>
      <w:r>
        <w:rPr>
          <w:rFonts w:hint="eastAsia"/>
        </w:rPr>
        <w:t>d) 重大风险处置责任明确，形成跨部门联合处置工作链条。</w:t>
      </w:r>
    </w:p>
    <w:p w14:paraId="13F760C0">
      <w:pPr>
        <w:pStyle w:val="105"/>
        <w:spacing w:before="120" w:after="120" w:line="360" w:lineRule="auto"/>
      </w:pPr>
      <w:r>
        <w:rPr>
          <w:rFonts w:hint="eastAsia"/>
        </w:rPr>
        <w:t>牵头单位职责</w:t>
      </w:r>
    </w:p>
    <w:p w14:paraId="1219C205">
      <w:pPr>
        <w:pStyle w:val="56"/>
        <w:spacing w:line="360" w:lineRule="auto"/>
        <w:ind w:firstLine="420"/>
      </w:pPr>
      <w:r>
        <w:rPr>
          <w:rFonts w:hint="eastAsia"/>
        </w:rPr>
        <w:t>牵头单位应至少承担以下职责：</w:t>
      </w:r>
    </w:p>
    <w:p w14:paraId="1EBE9FBC">
      <w:pPr>
        <w:pStyle w:val="56"/>
        <w:spacing w:line="360" w:lineRule="auto"/>
        <w:ind w:firstLine="420"/>
      </w:pPr>
      <w:r>
        <w:rPr>
          <w:rFonts w:hint="eastAsia"/>
        </w:rPr>
        <w:t>a) 组织制定年度、汛期、枯期联合调度方案及专项调度预案，并组织评审与报批；</w:t>
      </w:r>
    </w:p>
    <w:p w14:paraId="1202BFD9">
      <w:pPr>
        <w:pStyle w:val="56"/>
        <w:spacing w:line="360" w:lineRule="auto"/>
        <w:ind w:firstLine="420"/>
      </w:pPr>
      <w:r>
        <w:rPr>
          <w:rFonts w:hint="eastAsia"/>
        </w:rPr>
        <w:t>b) 组织开展日常调度会商，综合研判来水、用水、通航、潮汐及水质态势，提出调度建议或形成调度决定；</w:t>
      </w:r>
    </w:p>
    <w:p w14:paraId="0E86A56D">
      <w:pPr>
        <w:pStyle w:val="56"/>
        <w:spacing w:line="360" w:lineRule="auto"/>
        <w:ind w:firstLine="420"/>
      </w:pPr>
      <w:r>
        <w:rPr>
          <w:rFonts w:hint="eastAsia"/>
        </w:rPr>
        <w:t>c) 统一组织调度信息共享与调度指令链路管理，确保调度令下达及时、执行反馈闭环；</w:t>
      </w:r>
    </w:p>
    <w:p w14:paraId="5E8505E9">
      <w:pPr>
        <w:pStyle w:val="56"/>
        <w:spacing w:line="360" w:lineRule="auto"/>
        <w:ind w:firstLine="420"/>
      </w:pPr>
      <w:r>
        <w:rPr>
          <w:rFonts w:hint="eastAsia"/>
        </w:rPr>
        <w:t>d) 组织调度效果评估、事件复盘与持续改进，推动指标体系优化与制度完善；</w:t>
      </w:r>
    </w:p>
    <w:p w14:paraId="6629EBCC">
      <w:pPr>
        <w:pStyle w:val="56"/>
        <w:spacing w:line="360" w:lineRule="auto"/>
        <w:ind w:firstLine="420"/>
      </w:pPr>
      <w:r>
        <w:rPr>
          <w:rFonts w:hint="eastAsia"/>
        </w:rPr>
        <w:t>e) 组织联合调度演练与培训，提升协同处置与应急响应能力。</w:t>
      </w:r>
    </w:p>
    <w:p w14:paraId="6B781B72">
      <w:pPr>
        <w:pStyle w:val="105"/>
        <w:spacing w:before="120" w:after="120" w:line="360" w:lineRule="auto"/>
      </w:pPr>
      <w:r>
        <w:rPr>
          <w:rFonts w:hint="eastAsia"/>
        </w:rPr>
        <w:t>运河运行管理单位职责</w:t>
      </w:r>
    </w:p>
    <w:p w14:paraId="19B50977">
      <w:pPr>
        <w:pStyle w:val="56"/>
        <w:spacing w:line="360" w:lineRule="auto"/>
        <w:ind w:firstLine="420"/>
      </w:pPr>
      <w:r>
        <w:rPr>
          <w:rFonts w:hint="eastAsia"/>
        </w:rPr>
        <w:t>运河运行管理单位应至少承担以下职责：</w:t>
      </w:r>
    </w:p>
    <w:p w14:paraId="0C3147D2">
      <w:pPr>
        <w:pStyle w:val="56"/>
        <w:spacing w:line="360" w:lineRule="auto"/>
        <w:ind w:firstLine="420"/>
      </w:pPr>
      <w:r>
        <w:rPr>
          <w:rFonts w:hint="eastAsia"/>
        </w:rPr>
        <w:t>a) 负责运河工程运行期水位、水量、水质监测与设施运行工况管理，保障监测数据真实、完整、连续；</w:t>
      </w:r>
    </w:p>
    <w:p w14:paraId="599CF1F8">
      <w:pPr>
        <w:pStyle w:val="56"/>
        <w:spacing w:line="360" w:lineRule="auto"/>
        <w:ind w:firstLine="420"/>
      </w:pPr>
      <w:r>
        <w:rPr>
          <w:rFonts w:hint="eastAsia"/>
        </w:rPr>
        <w:t>b) 按调度令实施船闸、闸门、泵站及相关控制设施的运行操作，确保操作安全并留痕可追溯；</w:t>
      </w:r>
    </w:p>
    <w:p w14:paraId="74FB9726">
      <w:pPr>
        <w:pStyle w:val="56"/>
        <w:spacing w:line="360" w:lineRule="auto"/>
        <w:ind w:firstLine="420"/>
      </w:pPr>
      <w:r>
        <w:rPr>
          <w:rFonts w:hint="eastAsia"/>
        </w:rPr>
        <w:t>c) 建立工程安全运行约束清单（含设备能力、检修计划、限制工况），并向联合调度工作机构及时报送；</w:t>
      </w:r>
    </w:p>
    <w:p w14:paraId="72E287C2">
      <w:pPr>
        <w:pStyle w:val="56"/>
        <w:spacing w:line="360" w:lineRule="auto"/>
        <w:ind w:firstLine="420"/>
      </w:pPr>
      <w:r>
        <w:rPr>
          <w:rFonts w:hint="eastAsia"/>
        </w:rPr>
        <w:t>d) 组织工程运行异常处置与抢修，必要时提出限制运行或应急运行建议；</w:t>
      </w:r>
    </w:p>
    <w:p w14:paraId="0CE1D74A">
      <w:pPr>
        <w:pStyle w:val="56"/>
        <w:spacing w:line="360" w:lineRule="auto"/>
        <w:ind w:firstLine="420"/>
      </w:pPr>
      <w:r>
        <w:rPr>
          <w:rFonts w:hint="eastAsia"/>
        </w:rPr>
        <w:t>e) 对执行偏差、异常工况、突发事件等及时上报并配合调查复盘。</w:t>
      </w:r>
    </w:p>
    <w:p w14:paraId="3D4C0625">
      <w:pPr>
        <w:pStyle w:val="105"/>
        <w:spacing w:before="120" w:after="120" w:line="360" w:lineRule="auto"/>
      </w:pPr>
      <w:r>
        <w:rPr>
          <w:rFonts w:hint="eastAsia"/>
        </w:rPr>
        <w:t>相关行业主管部门职责</w:t>
      </w:r>
    </w:p>
    <w:p w14:paraId="1E3F3DDF">
      <w:pPr>
        <w:pStyle w:val="56"/>
        <w:spacing w:line="360" w:lineRule="auto"/>
        <w:ind w:firstLine="420"/>
      </w:pPr>
      <w:r>
        <w:rPr>
          <w:rFonts w:hint="eastAsia"/>
        </w:rPr>
        <w:t>a) 水行政主管部门：负责水资源管理相关制度衔接、取用水许可与水量配置约束管理、调度合规监督与行政协调；</w:t>
      </w:r>
    </w:p>
    <w:p w14:paraId="7B354D1B">
      <w:pPr>
        <w:pStyle w:val="56"/>
        <w:spacing w:line="360" w:lineRule="auto"/>
        <w:ind w:firstLine="420"/>
      </w:pPr>
      <w:r>
        <w:rPr>
          <w:rFonts w:hint="eastAsia"/>
        </w:rPr>
        <w:t>b) 交通运输主管部门：负责通航管理、航道与船闸运行组织协调、通航限制条件发布与航运安全监管，并与水资源调度协同保障通航效率与安全；</w:t>
      </w:r>
    </w:p>
    <w:p w14:paraId="46DBEE62">
      <w:pPr>
        <w:pStyle w:val="56"/>
        <w:spacing w:line="360" w:lineRule="auto"/>
        <w:ind w:firstLine="420"/>
      </w:pPr>
      <w:r>
        <w:rPr>
          <w:rFonts w:hint="eastAsia"/>
        </w:rPr>
        <w:t>c) 生态环境主管部门：负责水环境质量监管、污染源风险管理、突发水污染事件应急联动，提出生态保护与水质底线约束要求；</w:t>
      </w:r>
    </w:p>
    <w:p w14:paraId="7E54FCE4">
      <w:pPr>
        <w:pStyle w:val="56"/>
        <w:spacing w:line="360" w:lineRule="auto"/>
        <w:ind w:firstLine="420"/>
      </w:pPr>
      <w:r>
        <w:rPr>
          <w:rFonts w:hint="eastAsia"/>
        </w:rPr>
        <w:t>d) 应急管理部门：负责重大突发事件综合协调与应急资源统筹，指导应急预案衔接与演练；</w:t>
      </w:r>
    </w:p>
    <w:p w14:paraId="6727FFB9">
      <w:pPr>
        <w:pStyle w:val="56"/>
        <w:spacing w:line="360" w:lineRule="auto"/>
        <w:ind w:firstLine="420"/>
      </w:pPr>
      <w:r>
        <w:rPr>
          <w:rFonts w:hint="eastAsia"/>
        </w:rPr>
        <w:t>e) 气象、水文等部门：负责气象水文监测预报、预警信息发布与技术支撑，必要时提供滚动预报与风险提示。</w:t>
      </w:r>
    </w:p>
    <w:p w14:paraId="47A3E0DF">
      <w:pPr>
        <w:pStyle w:val="105"/>
        <w:spacing w:before="120" w:after="120" w:line="360" w:lineRule="auto"/>
      </w:pPr>
      <w:r>
        <w:rPr>
          <w:rFonts w:hint="eastAsia"/>
        </w:rPr>
        <w:t>取用水与排水主体职责</w:t>
      </w:r>
    </w:p>
    <w:p w14:paraId="3797746B">
      <w:pPr>
        <w:pStyle w:val="56"/>
        <w:spacing w:line="360" w:lineRule="auto"/>
        <w:ind w:firstLine="420"/>
      </w:pPr>
      <w:r>
        <w:rPr>
          <w:rFonts w:hint="eastAsia"/>
        </w:rPr>
        <w:t>取用水与排水主体应至少承担以下职责：</w:t>
      </w:r>
    </w:p>
    <w:p w14:paraId="51C0A9C5">
      <w:pPr>
        <w:pStyle w:val="56"/>
        <w:spacing w:line="360" w:lineRule="auto"/>
        <w:ind w:firstLine="420"/>
      </w:pPr>
      <w:r>
        <w:rPr>
          <w:rFonts w:hint="eastAsia"/>
        </w:rPr>
        <w:t>a) 按许可与联合调度要求执行取用水/排水控制措施，落实计量设施运行与数据报送；</w:t>
      </w:r>
    </w:p>
    <w:p w14:paraId="673DCBF9">
      <w:pPr>
        <w:pStyle w:val="56"/>
        <w:spacing w:line="360" w:lineRule="auto"/>
        <w:ind w:firstLine="420"/>
      </w:pPr>
      <w:r>
        <w:rPr>
          <w:rFonts w:hint="eastAsia"/>
        </w:rPr>
        <w:t>b) 在限供、错峰或应急调度情形下，执行联合调度确定的减（限）取、备用水源切换、回用提升等措施；</w:t>
      </w:r>
    </w:p>
    <w:p w14:paraId="48C6EE64">
      <w:pPr>
        <w:pStyle w:val="56"/>
        <w:spacing w:line="360" w:lineRule="auto"/>
        <w:ind w:firstLine="420"/>
      </w:pPr>
      <w:r>
        <w:rPr>
          <w:rFonts w:hint="eastAsia"/>
        </w:rPr>
        <w:t>c) 对可能影响水质安全的异常排放、事故风险及时报告并启动企业内部应急响应；</w:t>
      </w:r>
    </w:p>
    <w:p w14:paraId="3D117035">
      <w:pPr>
        <w:pStyle w:val="56"/>
        <w:spacing w:line="360" w:lineRule="auto"/>
        <w:ind w:firstLine="420"/>
      </w:pPr>
      <w:r>
        <w:rPr>
          <w:rFonts w:hint="eastAsia"/>
        </w:rPr>
        <w:t>d) 配合开展水量核算、水质监测、执行核验与事后评估。</w:t>
      </w:r>
    </w:p>
    <w:p w14:paraId="6B68CAA5">
      <w:pPr>
        <w:pStyle w:val="105"/>
        <w:spacing w:before="120" w:after="120" w:line="360" w:lineRule="auto"/>
      </w:pPr>
      <w:r>
        <w:rPr>
          <w:rFonts w:hint="eastAsia"/>
        </w:rPr>
        <w:t>会商与联络机制要求</w:t>
      </w:r>
    </w:p>
    <w:p w14:paraId="78501A42">
      <w:pPr>
        <w:pStyle w:val="56"/>
        <w:spacing w:line="360" w:lineRule="auto"/>
        <w:ind w:firstLine="420"/>
      </w:pPr>
      <w:r>
        <w:rPr>
          <w:rFonts w:hint="eastAsia"/>
        </w:rPr>
        <w:t>联合调度应建立常态会商与专项会商制度，并至少规定：</w:t>
      </w:r>
    </w:p>
    <w:p w14:paraId="7669B369">
      <w:pPr>
        <w:pStyle w:val="56"/>
        <w:spacing w:line="360" w:lineRule="auto"/>
        <w:ind w:firstLine="420"/>
      </w:pPr>
      <w:r>
        <w:rPr>
          <w:rFonts w:hint="eastAsia"/>
        </w:rPr>
        <w:t>a) 常态会商频次（宜与汛期、枯期、通航高峰期管理需求相适配）；</w:t>
      </w:r>
    </w:p>
    <w:p w14:paraId="5014A779">
      <w:pPr>
        <w:pStyle w:val="56"/>
        <w:spacing w:line="360" w:lineRule="auto"/>
        <w:ind w:firstLine="420"/>
      </w:pPr>
      <w:r>
        <w:rPr>
          <w:rFonts w:hint="eastAsia"/>
        </w:rPr>
        <w:t>b) 专项会商触发条件（如来水突变、咸潮预警、水质异常、重大设备故障、突发污染、重大活动保障等）；</w:t>
      </w:r>
    </w:p>
    <w:p w14:paraId="4369AF30">
      <w:pPr>
        <w:pStyle w:val="56"/>
        <w:spacing w:line="360" w:lineRule="auto"/>
        <w:ind w:firstLine="420"/>
      </w:pPr>
      <w:r>
        <w:rPr>
          <w:rFonts w:hint="eastAsia"/>
        </w:rPr>
        <w:t>c) 会商参与范围、议题组织、资料清单、纪要格式与落实跟踪要求；</w:t>
      </w:r>
    </w:p>
    <w:p w14:paraId="305AD961">
      <w:pPr>
        <w:pStyle w:val="56"/>
        <w:spacing w:line="360" w:lineRule="auto"/>
        <w:ind w:firstLine="420"/>
      </w:pPr>
      <w:r>
        <w:rPr>
          <w:rFonts w:hint="eastAsia"/>
        </w:rPr>
        <w:t>d) 联络人制度与应急通讯录的更新频次、授权替代机制与信息报送时限。</w:t>
      </w:r>
    </w:p>
    <w:p w14:paraId="3B9F3945">
      <w:pPr>
        <w:pStyle w:val="104"/>
        <w:spacing w:before="240" w:after="240" w:line="360" w:lineRule="auto"/>
      </w:pPr>
      <w:bookmarkStart w:id="54" w:name="_Toc219117761"/>
      <w:r>
        <w:rPr>
          <w:rFonts w:hint="eastAsia"/>
        </w:rPr>
        <w:t>联合调度流程与调度令管理</w:t>
      </w:r>
      <w:bookmarkEnd w:id="54"/>
    </w:p>
    <w:p w14:paraId="5495BF99">
      <w:pPr>
        <w:pStyle w:val="105"/>
        <w:spacing w:before="120" w:after="120" w:line="360" w:lineRule="auto"/>
      </w:pPr>
      <w:r>
        <w:rPr>
          <w:rFonts w:hint="eastAsia"/>
        </w:rPr>
        <w:t>总则</w:t>
      </w:r>
    </w:p>
    <w:p w14:paraId="48E15808">
      <w:pPr>
        <w:pStyle w:val="56"/>
        <w:spacing w:line="360" w:lineRule="auto"/>
        <w:ind w:firstLine="420"/>
      </w:pPr>
      <w:r>
        <w:rPr>
          <w:rFonts w:hint="eastAsia"/>
        </w:rPr>
        <w:t>联合调度流程应以“预报预警—会商研判—方案形成—指令下达—执行反馈—监督评价—持续改进”为主线，形成可标准化执行的闭环管理链条。联合调度流程的设置应满足以下要求：</w:t>
      </w:r>
    </w:p>
    <w:p w14:paraId="07FAF923">
      <w:pPr>
        <w:pStyle w:val="56"/>
        <w:spacing w:line="360" w:lineRule="auto"/>
        <w:ind w:firstLine="420"/>
      </w:pPr>
      <w:r>
        <w:rPr>
          <w:rFonts w:hint="eastAsia"/>
        </w:rPr>
        <w:t>a) 目标与约束显性化：在流程关键节点明确通航保证、供水保障、生态基流、水质与工程安全等约束条件，防止调度决策偏离底线；</w:t>
      </w:r>
    </w:p>
    <w:p w14:paraId="4234591B">
      <w:pPr>
        <w:pStyle w:val="56"/>
        <w:spacing w:line="360" w:lineRule="auto"/>
        <w:ind w:firstLine="420"/>
      </w:pPr>
      <w:r>
        <w:rPr>
          <w:rFonts w:hint="eastAsia"/>
        </w:rPr>
        <w:t>b) 决策与执行分离、责任可追溯：会商研判、指令发布与现场操作应分工明确，形成统一指令链路与留痕机制；</w:t>
      </w:r>
    </w:p>
    <w:p w14:paraId="6D4B2CC9">
      <w:pPr>
        <w:pStyle w:val="56"/>
        <w:spacing w:line="360" w:lineRule="auto"/>
        <w:ind w:firstLine="420"/>
      </w:pPr>
      <w:r>
        <w:rPr>
          <w:rFonts w:hint="eastAsia"/>
        </w:rPr>
        <w:t>c) 常态与应急衔接：常态调度流程应与枯水、洪水、咸潮、突发污染、设备故障等应急处置流程无缝切换；</w:t>
      </w:r>
    </w:p>
    <w:p w14:paraId="7801FBE6">
      <w:pPr>
        <w:pStyle w:val="56"/>
        <w:spacing w:line="360" w:lineRule="auto"/>
        <w:ind w:firstLine="420"/>
      </w:pPr>
      <w:r>
        <w:rPr>
          <w:rFonts w:hint="eastAsia"/>
        </w:rPr>
        <w:t>d) 分级分区控制：根据调度单元、风险等级与控制指标，实现“统一规则、分级执行、分区精控”；</w:t>
      </w:r>
    </w:p>
    <w:p w14:paraId="3FF15AC2">
      <w:pPr>
        <w:pStyle w:val="56"/>
        <w:spacing w:line="360" w:lineRule="auto"/>
        <w:ind w:firstLine="420"/>
      </w:pPr>
      <w:r>
        <w:rPr>
          <w:rFonts w:hint="eastAsia"/>
        </w:rPr>
        <w:t>e) 数字化支撑：调度流程应依托统一的调度信息平台实现数据汇聚、计算推演、指令流转、执行回执与归档管理。</w:t>
      </w:r>
    </w:p>
    <w:p w14:paraId="3D922C7C">
      <w:pPr>
        <w:pStyle w:val="105"/>
        <w:spacing w:before="120" w:after="120" w:line="360" w:lineRule="auto"/>
      </w:pPr>
      <w:r>
        <w:rPr>
          <w:rFonts w:hint="eastAsia"/>
        </w:rPr>
        <w:t>调度方案体系与编制要求</w:t>
      </w:r>
    </w:p>
    <w:p w14:paraId="421C1A9E">
      <w:pPr>
        <w:pStyle w:val="65"/>
        <w:spacing w:before="120" w:after="120" w:line="360" w:lineRule="auto"/>
      </w:pPr>
      <w:r>
        <w:rPr>
          <w:rFonts w:hint="eastAsia"/>
        </w:rPr>
        <w:t>年度联合调度方案</w:t>
      </w:r>
    </w:p>
    <w:p w14:paraId="4B36053A">
      <w:pPr>
        <w:pStyle w:val="56"/>
        <w:spacing w:line="360" w:lineRule="auto"/>
        <w:ind w:firstLine="420"/>
      </w:pPr>
      <w:r>
        <w:rPr>
          <w:rFonts w:hint="eastAsia"/>
        </w:rPr>
        <w:t>年度联合调度方案应统筹年度通航运行计划、供用水年度配置计划、汛期防洪与枯期保供保通航需求、生态水量保障要求及工程检修计划等，形成年度运行边界与关键控制指标。年度联合调度方案至少应包括：</w:t>
      </w:r>
    </w:p>
    <w:p w14:paraId="72735623">
      <w:pPr>
        <w:pStyle w:val="56"/>
        <w:spacing w:line="360" w:lineRule="auto"/>
        <w:ind w:firstLine="420"/>
      </w:pPr>
      <w:r>
        <w:rPr>
          <w:rFonts w:hint="eastAsia"/>
        </w:rPr>
        <w:t>a) 调度范围与边界条件：调度对象清单、调度单元划分、关键控制断面与指标体系；</w:t>
      </w:r>
    </w:p>
    <w:p w14:paraId="4DBC7546">
      <w:pPr>
        <w:pStyle w:val="56"/>
        <w:spacing w:line="360" w:lineRule="auto"/>
        <w:ind w:firstLine="420"/>
      </w:pPr>
      <w:r>
        <w:rPr>
          <w:rFonts w:hint="eastAsia"/>
        </w:rPr>
        <w:t>b) 年度水量配置框架：按用水类型（生活、工业、农业、生态、船闸用水等）分解年度水量安排与约束；</w:t>
      </w:r>
    </w:p>
    <w:p w14:paraId="51EBE24F">
      <w:pPr>
        <w:pStyle w:val="56"/>
        <w:spacing w:line="360" w:lineRule="auto"/>
        <w:ind w:firstLine="420"/>
      </w:pPr>
      <w:r>
        <w:rPr>
          <w:rFonts w:hint="eastAsia"/>
        </w:rPr>
        <w:t>c) 分期运行策略：汛期、枯期、过渡期分阶段控制目标与策略；</w:t>
      </w:r>
    </w:p>
    <w:p w14:paraId="6155CF68">
      <w:pPr>
        <w:pStyle w:val="56"/>
        <w:spacing w:line="360" w:lineRule="auto"/>
        <w:ind w:firstLine="420"/>
      </w:pPr>
      <w:r>
        <w:rPr>
          <w:rFonts w:hint="eastAsia"/>
        </w:rPr>
        <w:t>d) 船闸运行与补水安排：船闸通行能力假设、过闸高峰期组织、用水估算与节水措施；</w:t>
      </w:r>
    </w:p>
    <w:p w14:paraId="3402B966">
      <w:pPr>
        <w:pStyle w:val="56"/>
        <w:spacing w:line="360" w:lineRule="auto"/>
        <w:ind w:firstLine="420"/>
      </w:pPr>
      <w:r>
        <w:rPr>
          <w:rFonts w:hint="eastAsia"/>
        </w:rPr>
        <w:t>e) 风险清单与管控措施：枯水、洪水、咸潮、突发污染、设备检修等风险情景下的触发条件与处置原则；</w:t>
      </w:r>
    </w:p>
    <w:p w14:paraId="0B9A8A6D">
      <w:pPr>
        <w:pStyle w:val="56"/>
        <w:spacing w:line="360" w:lineRule="auto"/>
        <w:ind w:firstLine="420"/>
      </w:pPr>
      <w:r>
        <w:rPr>
          <w:rFonts w:hint="eastAsia"/>
        </w:rPr>
        <w:t>f) 信息共享与会商机制：会商频次、数据共享口径、指令链路、应急通信与公众信息发布原则。</w:t>
      </w:r>
    </w:p>
    <w:p w14:paraId="50F2DE59">
      <w:pPr>
        <w:pStyle w:val="65"/>
        <w:spacing w:before="120" w:after="120" w:line="360" w:lineRule="auto"/>
      </w:pPr>
      <w:r>
        <w:rPr>
          <w:rFonts w:hint="eastAsia"/>
        </w:rPr>
        <w:t>汛期联合调度方案</w:t>
      </w:r>
    </w:p>
    <w:p w14:paraId="6C755D3B">
      <w:pPr>
        <w:pStyle w:val="56"/>
        <w:spacing w:line="360" w:lineRule="auto"/>
        <w:ind w:firstLine="420"/>
      </w:pPr>
      <w:r>
        <w:rPr>
          <w:rFonts w:hint="eastAsia"/>
        </w:rPr>
        <w:t>汛期联合调度方案应以防洪安全为底线，明确汛限控制要求、洪水预报预警应用、预泄预腾库（或预调预控）策略、通航限制与恢复条件、险情处置与部门联动机制。</w:t>
      </w:r>
    </w:p>
    <w:p w14:paraId="3F2D14F1">
      <w:pPr>
        <w:pStyle w:val="65"/>
        <w:spacing w:before="120" w:after="120" w:line="360" w:lineRule="auto"/>
      </w:pPr>
      <w:r>
        <w:rPr>
          <w:rFonts w:hint="eastAsia"/>
        </w:rPr>
        <w:t>枯期联合调度方案</w:t>
      </w:r>
    </w:p>
    <w:p w14:paraId="5CDF4C39">
      <w:pPr>
        <w:pStyle w:val="56"/>
        <w:spacing w:line="360" w:lineRule="auto"/>
        <w:ind w:firstLine="420"/>
      </w:pPr>
      <w:r>
        <w:rPr>
          <w:rFonts w:hint="eastAsia"/>
        </w:rPr>
        <w:t>枯期联合调度方案应以供水安全、通航保障与生态底线为核心，明确枯水分级判据、限供与错峰策略、船闸节水运行策略、生态基流保障与咸潮风险防控措施。</w:t>
      </w:r>
    </w:p>
    <w:p w14:paraId="0A2EAC4C">
      <w:pPr>
        <w:pStyle w:val="65"/>
        <w:spacing w:before="120" w:after="120" w:line="360" w:lineRule="auto"/>
      </w:pPr>
      <w:r>
        <w:rPr>
          <w:rFonts w:hint="eastAsia"/>
        </w:rPr>
        <w:t>专项调度预案</w:t>
      </w:r>
    </w:p>
    <w:p w14:paraId="1D9A5994">
      <w:pPr>
        <w:pStyle w:val="56"/>
        <w:spacing w:line="360" w:lineRule="auto"/>
        <w:ind w:firstLine="420"/>
      </w:pPr>
      <w:r>
        <w:rPr>
          <w:rFonts w:hint="eastAsia"/>
        </w:rPr>
        <w:t>专项调度预案宜包括但不限于：咸潮上溯取水安全专项调度、突发水污染事件应急调度、重大活动/重要窗口期通航与供水保障专题方案、关键设备检修期运行调度专题方案等。</w:t>
      </w:r>
    </w:p>
    <w:p w14:paraId="40DE0E3A">
      <w:pPr>
        <w:pStyle w:val="105"/>
        <w:spacing w:before="120" w:after="120" w:line="360" w:lineRule="auto"/>
      </w:pPr>
      <w:r>
        <w:rPr>
          <w:rFonts w:hint="eastAsia"/>
        </w:rPr>
        <w:t>会商研判与情景推演</w:t>
      </w:r>
    </w:p>
    <w:p w14:paraId="4A376ED6">
      <w:pPr>
        <w:pStyle w:val="56"/>
        <w:spacing w:line="360" w:lineRule="auto"/>
        <w:ind w:firstLine="420"/>
      </w:pPr>
      <w:r>
        <w:rPr>
          <w:rFonts w:hint="eastAsia"/>
        </w:rPr>
        <w:t>联合调度应实施“滚动会商+情景推演”的决策机制：</w:t>
      </w:r>
    </w:p>
    <w:p w14:paraId="4BA3E52D">
      <w:pPr>
        <w:pStyle w:val="56"/>
        <w:spacing w:line="360" w:lineRule="auto"/>
        <w:ind w:firstLine="420"/>
      </w:pPr>
      <w:r>
        <w:rPr>
          <w:rFonts w:hint="eastAsia"/>
        </w:rPr>
        <w:t>a) 滚动会商应基于来水预报、气象预报、潮汐预报、用水需求预测、通航需求与工程可用工况等信息，形成滚动研判结论与调度建议；</w:t>
      </w:r>
    </w:p>
    <w:p w14:paraId="699BDC97">
      <w:pPr>
        <w:pStyle w:val="56"/>
        <w:spacing w:line="360" w:lineRule="auto"/>
        <w:ind w:firstLine="420"/>
      </w:pPr>
      <w:r>
        <w:rPr>
          <w:rFonts w:hint="eastAsia"/>
        </w:rPr>
        <w:t>b) 情景推演宜采用水动力—水量平衡—水质耦合的模型或等效方法，对至少两类情景进行对比：基准情景（按既定计划运行）与风险情景（极端或不利边界条件）；必要时增加优化情景（采取节水、限供、调整过闸组织等措施）；</w:t>
      </w:r>
    </w:p>
    <w:p w14:paraId="1B6A869E">
      <w:pPr>
        <w:pStyle w:val="56"/>
        <w:spacing w:line="360" w:lineRule="auto"/>
        <w:ind w:firstLine="420"/>
      </w:pPr>
      <w:r>
        <w:rPr>
          <w:rFonts w:hint="eastAsia"/>
        </w:rPr>
        <w:t>c) 会商研判应形成纪要或记录，载明边界条件、目标权重、拟采取措施、关键指标控制值、风险提示与责任分工，并纳入归档管理。</w:t>
      </w:r>
    </w:p>
    <w:p w14:paraId="721A3FC0">
      <w:pPr>
        <w:pStyle w:val="56"/>
        <w:spacing w:line="360" w:lineRule="auto"/>
        <w:ind w:firstLine="420"/>
      </w:pPr>
      <w:r>
        <w:rPr>
          <w:rFonts w:hint="eastAsia"/>
        </w:rPr>
        <w:t>会商纪要模板要素见附录</w:t>
      </w:r>
      <w:r>
        <w:t>A</w:t>
      </w:r>
      <w:r>
        <w:rPr>
          <w:rFonts w:hint="eastAsia"/>
        </w:rPr>
        <w:t>。</w:t>
      </w:r>
    </w:p>
    <w:p w14:paraId="216790AC">
      <w:pPr>
        <w:pStyle w:val="105"/>
        <w:spacing w:before="120" w:after="120" w:line="360" w:lineRule="auto"/>
      </w:pPr>
      <w:r>
        <w:rPr>
          <w:rFonts w:hint="eastAsia"/>
        </w:rPr>
        <w:t>日常调度与实时控制</w:t>
      </w:r>
    </w:p>
    <w:p w14:paraId="386A2736">
      <w:pPr>
        <w:pStyle w:val="65"/>
        <w:spacing w:before="120" w:after="120" w:line="360" w:lineRule="auto"/>
      </w:pPr>
      <w:r>
        <w:rPr>
          <w:rFonts w:hint="eastAsia"/>
        </w:rPr>
        <w:t>日常调度</w:t>
      </w:r>
    </w:p>
    <w:p w14:paraId="5B6F1603">
      <w:pPr>
        <w:pStyle w:val="56"/>
        <w:spacing w:line="360" w:lineRule="auto"/>
        <w:ind w:firstLine="420"/>
      </w:pPr>
      <w:r>
        <w:rPr>
          <w:rFonts w:hint="eastAsia"/>
        </w:rPr>
        <w:t>日常调度宜按日组织实施，至少应包括：</w:t>
      </w:r>
    </w:p>
    <w:p w14:paraId="4FAC514C">
      <w:pPr>
        <w:pStyle w:val="56"/>
        <w:spacing w:line="360" w:lineRule="auto"/>
        <w:ind w:firstLine="420"/>
      </w:pPr>
      <w:r>
        <w:rPr>
          <w:rFonts w:hint="eastAsia"/>
        </w:rPr>
        <w:t>a) 数据核验：对水位、流量、水质、设备工况、过闸统计与取用水计量数据进行完整性与异常值核验；</w:t>
      </w:r>
    </w:p>
    <w:p w14:paraId="20B7B324">
      <w:pPr>
        <w:pStyle w:val="56"/>
        <w:spacing w:line="360" w:lineRule="auto"/>
        <w:ind w:firstLine="420"/>
      </w:pPr>
      <w:r>
        <w:rPr>
          <w:rFonts w:hint="eastAsia"/>
        </w:rPr>
        <w:t>b) 计划比对：对比年度/阶段性计划与实际执行，识别偏差及其原因；</w:t>
      </w:r>
    </w:p>
    <w:p w14:paraId="42604073">
      <w:pPr>
        <w:pStyle w:val="56"/>
        <w:spacing w:line="360" w:lineRule="auto"/>
        <w:ind w:firstLine="420"/>
      </w:pPr>
      <w:r>
        <w:rPr>
          <w:rFonts w:hint="eastAsia"/>
        </w:rPr>
        <w:t>c) 指标控制：按关键控制断面指标组织控制动作，确保底线指标不突破；</w:t>
      </w:r>
    </w:p>
    <w:p w14:paraId="4D93B61C">
      <w:pPr>
        <w:pStyle w:val="56"/>
        <w:spacing w:line="360" w:lineRule="auto"/>
        <w:ind w:firstLine="420"/>
      </w:pPr>
      <w:r>
        <w:rPr>
          <w:rFonts w:hint="eastAsia"/>
        </w:rPr>
        <w:t>d) 协同联动：与航运、供水、生态环境等单位进行信息同步，必要时开展日内临时会商。</w:t>
      </w:r>
    </w:p>
    <w:p w14:paraId="0C9C5265">
      <w:pPr>
        <w:pStyle w:val="65"/>
        <w:spacing w:before="120" w:after="120" w:line="360" w:lineRule="auto"/>
      </w:pPr>
      <w:r>
        <w:rPr>
          <w:rFonts w:hint="eastAsia"/>
        </w:rPr>
        <w:t>实时控制</w:t>
      </w:r>
    </w:p>
    <w:p w14:paraId="64119214">
      <w:pPr>
        <w:pStyle w:val="56"/>
        <w:spacing w:line="360" w:lineRule="auto"/>
        <w:ind w:firstLine="420"/>
      </w:pPr>
      <w:r>
        <w:rPr>
          <w:rFonts w:hint="eastAsia"/>
        </w:rPr>
        <w:t>当具备自动化控制条件时，可开展小时级（或更高频）实时控制。实时控制应满足：</w:t>
      </w:r>
    </w:p>
    <w:p w14:paraId="111DFB9C">
      <w:pPr>
        <w:pStyle w:val="56"/>
        <w:spacing w:line="360" w:lineRule="auto"/>
        <w:ind w:firstLine="420"/>
      </w:pPr>
      <w:r>
        <w:rPr>
          <w:rFonts w:hint="eastAsia"/>
        </w:rPr>
        <w:t>a) 控制策略与阈值固化：实时控制规则应由联合调度工作机构统一发布并版本化管理；</w:t>
      </w:r>
    </w:p>
    <w:p w14:paraId="464A4A31">
      <w:pPr>
        <w:pStyle w:val="56"/>
        <w:spacing w:line="360" w:lineRule="auto"/>
        <w:ind w:firstLine="420"/>
      </w:pPr>
      <w:r>
        <w:rPr>
          <w:rFonts w:hint="eastAsia"/>
        </w:rPr>
        <w:t>b) 人机协同与安全冗余：关键控制动作应具备人工确认、越权保护与异常回退机制；</w:t>
      </w:r>
    </w:p>
    <w:p w14:paraId="2B0D0E52">
      <w:pPr>
        <w:pStyle w:val="56"/>
        <w:spacing w:line="360" w:lineRule="auto"/>
        <w:ind w:firstLine="420"/>
      </w:pPr>
      <w:r>
        <w:rPr>
          <w:rFonts w:hint="eastAsia"/>
        </w:rPr>
        <w:t>c) 关键数据冗余：对关键水位、水质监测点宜设置冗余或校验点，避免单点失真导致误调度；</w:t>
      </w:r>
    </w:p>
    <w:p w14:paraId="36AF5A29">
      <w:pPr>
        <w:pStyle w:val="56"/>
        <w:spacing w:line="360" w:lineRule="auto"/>
        <w:ind w:firstLine="420"/>
      </w:pPr>
      <w:r>
        <w:rPr>
          <w:rFonts w:hint="eastAsia"/>
        </w:rPr>
        <w:t>d) 事后可追溯：实时控制策略调用、参数、执行结果与报警信息应自动留痕并可回溯。</w:t>
      </w:r>
    </w:p>
    <w:p w14:paraId="4E78673E">
      <w:pPr>
        <w:pStyle w:val="105"/>
        <w:spacing w:before="120" w:after="120" w:line="360" w:lineRule="auto"/>
      </w:pPr>
      <w:r>
        <w:rPr>
          <w:rFonts w:hint="eastAsia"/>
        </w:rPr>
        <w:t>调度令管理要求</w:t>
      </w:r>
    </w:p>
    <w:p w14:paraId="3BFF057A">
      <w:pPr>
        <w:pStyle w:val="65"/>
        <w:spacing w:before="120" w:after="120" w:line="360" w:lineRule="auto"/>
      </w:pPr>
      <w:r>
        <w:rPr>
          <w:rFonts w:hint="eastAsia"/>
        </w:rPr>
        <w:t>调度令分类</w:t>
      </w:r>
    </w:p>
    <w:p w14:paraId="1761E834">
      <w:pPr>
        <w:pStyle w:val="56"/>
        <w:spacing w:line="360" w:lineRule="auto"/>
        <w:ind w:firstLine="420"/>
      </w:pPr>
      <w:r>
        <w:rPr>
          <w:rFonts w:hint="eastAsia"/>
        </w:rPr>
        <w:t>调度令宜分为：常态调度令、滚动调度令、专项调度令与应急调度令。不同类别调度令应明确发布权限与执行优先级，原则上应急调度令优先于常态调度令执行。</w:t>
      </w:r>
    </w:p>
    <w:p w14:paraId="7816C2EA">
      <w:pPr>
        <w:pStyle w:val="65"/>
        <w:spacing w:before="120" w:after="120" w:line="360" w:lineRule="auto"/>
      </w:pPr>
      <w:r>
        <w:rPr>
          <w:rFonts w:hint="eastAsia"/>
        </w:rPr>
        <w:t>调度令内容要素</w:t>
      </w:r>
    </w:p>
    <w:p w14:paraId="1C409601">
      <w:pPr>
        <w:pStyle w:val="56"/>
        <w:spacing w:line="360" w:lineRule="auto"/>
        <w:ind w:firstLine="420"/>
      </w:pPr>
      <w:r>
        <w:rPr>
          <w:rFonts w:hint="eastAsia"/>
        </w:rPr>
        <w:t>调度令应至少包括：</w:t>
      </w:r>
    </w:p>
    <w:p w14:paraId="74C755BD">
      <w:pPr>
        <w:pStyle w:val="56"/>
        <w:spacing w:line="360" w:lineRule="auto"/>
        <w:ind w:firstLine="420"/>
      </w:pPr>
      <w:r>
        <w:rPr>
          <w:rFonts w:hint="eastAsia"/>
        </w:rPr>
        <w:t>a) 编号、类别、发布时间、有效时段；</w:t>
      </w:r>
    </w:p>
    <w:p w14:paraId="1E312867">
      <w:pPr>
        <w:pStyle w:val="56"/>
        <w:spacing w:line="360" w:lineRule="auto"/>
        <w:ind w:firstLine="420"/>
      </w:pPr>
      <w:r>
        <w:rPr>
          <w:rFonts w:hint="eastAsia"/>
        </w:rPr>
        <w:t>b) 触发背景与依据（关键边界条件、会商结论或预警信息）；</w:t>
      </w:r>
    </w:p>
    <w:p w14:paraId="5EE7AAE4">
      <w:pPr>
        <w:pStyle w:val="56"/>
        <w:spacing w:line="360" w:lineRule="auto"/>
        <w:ind w:firstLine="420"/>
      </w:pPr>
      <w:r>
        <w:rPr>
          <w:rFonts w:hint="eastAsia"/>
        </w:rPr>
        <w:t>c) 调度目标与约束条件（应明确底线指标与控制断面阈值）；</w:t>
      </w:r>
    </w:p>
    <w:p w14:paraId="7893E4DC">
      <w:pPr>
        <w:pStyle w:val="56"/>
        <w:spacing w:line="360" w:lineRule="auto"/>
        <w:ind w:firstLine="420"/>
      </w:pPr>
      <w:r>
        <w:rPr>
          <w:rFonts w:hint="eastAsia"/>
        </w:rPr>
        <w:t>d) 具体调度措施（控制对象、控制动作、控制量、执行次序）；</w:t>
      </w:r>
    </w:p>
    <w:p w14:paraId="5CBFCBAC">
      <w:pPr>
        <w:pStyle w:val="56"/>
        <w:spacing w:line="360" w:lineRule="auto"/>
        <w:ind w:firstLine="420"/>
      </w:pPr>
      <w:r>
        <w:rPr>
          <w:rFonts w:hint="eastAsia"/>
        </w:rPr>
        <w:t>e) 执行单位与责任人、执行时限、回执要求；</w:t>
      </w:r>
    </w:p>
    <w:p w14:paraId="44F57A26">
      <w:pPr>
        <w:pStyle w:val="56"/>
        <w:spacing w:line="360" w:lineRule="auto"/>
        <w:ind w:firstLine="420"/>
      </w:pPr>
      <w:r>
        <w:rPr>
          <w:rFonts w:hint="eastAsia"/>
        </w:rPr>
        <w:t>f) 监测与核验要求（需重点关注的断面与指标）；</w:t>
      </w:r>
    </w:p>
    <w:p w14:paraId="185BD687">
      <w:pPr>
        <w:pStyle w:val="56"/>
        <w:spacing w:line="360" w:lineRule="auto"/>
        <w:ind w:firstLine="420"/>
      </w:pPr>
      <w:r>
        <w:rPr>
          <w:rFonts w:hint="eastAsia"/>
        </w:rPr>
        <w:t>g) 异常处置与升级路径（偏差、故障、风险加剧时的上报与处置）；</w:t>
      </w:r>
    </w:p>
    <w:p w14:paraId="1641C0E7">
      <w:pPr>
        <w:pStyle w:val="56"/>
        <w:spacing w:line="360" w:lineRule="auto"/>
        <w:ind w:firstLine="420"/>
      </w:pPr>
      <w:r>
        <w:rPr>
          <w:rFonts w:hint="eastAsia"/>
        </w:rPr>
        <w:t>h) 附件（如模型推演结果、控制断面曲线、设备工况限制说明等）。</w:t>
      </w:r>
    </w:p>
    <w:p w14:paraId="739218CF">
      <w:pPr>
        <w:pStyle w:val="56"/>
        <w:spacing w:line="360" w:lineRule="auto"/>
        <w:ind w:firstLine="420"/>
      </w:pPr>
      <w:r>
        <w:rPr>
          <w:rFonts w:hint="eastAsia"/>
        </w:rPr>
        <w:t>调度令模板要素见附录</w:t>
      </w:r>
      <w:r>
        <w:t>B</w:t>
      </w:r>
      <w:r>
        <w:rPr>
          <w:rFonts w:hint="eastAsia"/>
        </w:rPr>
        <w:t>。</w:t>
      </w:r>
    </w:p>
    <w:p w14:paraId="46CEB48F">
      <w:pPr>
        <w:pStyle w:val="105"/>
        <w:spacing w:before="120" w:after="120" w:line="360" w:lineRule="auto"/>
      </w:pPr>
      <w:r>
        <w:rPr>
          <w:rFonts w:hint="eastAsia"/>
        </w:rPr>
        <w:t>发布、签收与回执</w:t>
      </w:r>
    </w:p>
    <w:p w14:paraId="02F1B96E">
      <w:pPr>
        <w:pStyle w:val="56"/>
        <w:spacing w:line="360" w:lineRule="auto"/>
        <w:ind w:firstLine="420"/>
      </w:pPr>
      <w:r>
        <w:rPr>
          <w:rFonts w:hint="eastAsia"/>
        </w:rPr>
        <w:t>调度令应通过统一渠道发布（调度信息平台、加密通信系统或经授权的书面渠道）。</w:t>
      </w:r>
    </w:p>
    <w:p w14:paraId="0E635E85">
      <w:pPr>
        <w:pStyle w:val="56"/>
        <w:spacing w:line="360" w:lineRule="auto"/>
        <w:ind w:firstLine="420"/>
      </w:pPr>
      <w:r>
        <w:rPr>
          <w:rFonts w:hint="eastAsia"/>
        </w:rPr>
        <w:t>执行单位应进行签收确认，并在规定时限内反馈可执行性。</w:t>
      </w:r>
    </w:p>
    <w:p w14:paraId="3CA0A532">
      <w:pPr>
        <w:pStyle w:val="56"/>
        <w:spacing w:line="360" w:lineRule="auto"/>
        <w:ind w:firstLine="420"/>
      </w:pPr>
      <w:r>
        <w:rPr>
          <w:rFonts w:hint="eastAsia"/>
        </w:rPr>
        <w:t>执行完成后应提交执行回执，回执应包含执行起止时间、实际控制量、关键断面响应、异常情况及处置结果等。</w:t>
      </w:r>
    </w:p>
    <w:p w14:paraId="432357AD">
      <w:pPr>
        <w:pStyle w:val="105"/>
        <w:spacing w:before="120" w:after="120" w:line="360" w:lineRule="auto"/>
      </w:pPr>
      <w:r>
        <w:rPr>
          <w:rFonts w:hint="eastAsia"/>
        </w:rPr>
        <w:t>执行偏差控制与纠偏机制</w:t>
      </w:r>
    </w:p>
    <w:p w14:paraId="7E37B954">
      <w:pPr>
        <w:pStyle w:val="56"/>
        <w:spacing w:line="360" w:lineRule="auto"/>
        <w:ind w:firstLine="420"/>
      </w:pPr>
      <w:r>
        <w:rPr>
          <w:rFonts w:hint="eastAsia"/>
        </w:rPr>
        <w:t>联合调度应建立执行偏差控制与纠偏机制：</w:t>
      </w:r>
    </w:p>
    <w:p w14:paraId="3ACDD143">
      <w:pPr>
        <w:pStyle w:val="56"/>
        <w:spacing w:line="360" w:lineRule="auto"/>
        <w:ind w:firstLine="420"/>
      </w:pPr>
      <w:r>
        <w:rPr>
          <w:rFonts w:hint="eastAsia"/>
        </w:rPr>
        <w:t>a) 偏差判定：以调度令控制量、关键断面控制值、执行时限为判据，设定允许偏差范围；</w:t>
      </w:r>
    </w:p>
    <w:p w14:paraId="04E1DA06">
      <w:pPr>
        <w:pStyle w:val="56"/>
        <w:spacing w:line="360" w:lineRule="auto"/>
        <w:ind w:firstLine="420"/>
      </w:pPr>
      <w:r>
        <w:rPr>
          <w:rFonts w:hint="eastAsia"/>
        </w:rPr>
        <w:t>b) 偏差处置：当偏差超限时，应立即启动原因分析（来水偏差、设备故障、测值异常、执行延误等）并采取纠偏措施；</w:t>
      </w:r>
    </w:p>
    <w:p w14:paraId="6775D41F">
      <w:pPr>
        <w:pStyle w:val="56"/>
        <w:spacing w:line="360" w:lineRule="auto"/>
        <w:ind w:firstLine="420"/>
      </w:pPr>
      <w:r>
        <w:rPr>
          <w:rFonts w:hint="eastAsia"/>
        </w:rPr>
        <w:t>c) 升级处置：当纠偏后仍无法满足底线约束时，应启动临时会商并升级为专项或应急调度令；</w:t>
      </w:r>
    </w:p>
    <w:p w14:paraId="7147E6D9">
      <w:pPr>
        <w:pStyle w:val="56"/>
        <w:spacing w:line="360" w:lineRule="auto"/>
        <w:ind w:firstLine="420"/>
      </w:pPr>
      <w:r>
        <w:rPr>
          <w:rFonts w:hint="eastAsia"/>
        </w:rPr>
        <w:t>d) 复盘改进：对典型偏差事件应开展复盘，修订控制策略、阈值或流程节点要求。</w:t>
      </w:r>
    </w:p>
    <w:p w14:paraId="59F67047">
      <w:pPr>
        <w:pStyle w:val="105"/>
        <w:spacing w:before="120" w:after="120" w:line="360" w:lineRule="auto"/>
      </w:pPr>
      <w:r>
        <w:rPr>
          <w:rFonts w:hint="eastAsia"/>
        </w:rPr>
        <w:t>调度留痕与档案管理</w:t>
      </w:r>
    </w:p>
    <w:p w14:paraId="142F9D18">
      <w:pPr>
        <w:pStyle w:val="56"/>
        <w:spacing w:line="360" w:lineRule="auto"/>
        <w:ind w:firstLine="420"/>
      </w:pPr>
      <w:r>
        <w:rPr>
          <w:rFonts w:hint="eastAsia"/>
        </w:rPr>
        <w:t>联合调度全过程资料应纳入档案管理，包括但不限于：监测数据（原始与校核后）、预报与模型推演结果、会商纪要、调度令及回执、异常处置记录、评估报告与改进措施等。档案应满足完整性、可追溯性与安全性要求，并明确保存期限与调阅权限。</w:t>
      </w:r>
    </w:p>
    <w:p w14:paraId="7EAA2FCC">
      <w:pPr>
        <w:pStyle w:val="105"/>
        <w:spacing w:before="120" w:after="120" w:line="360" w:lineRule="auto"/>
      </w:pPr>
      <w:r>
        <w:rPr>
          <w:rFonts w:hint="eastAsia"/>
        </w:rPr>
        <w:t>关键流程节点与时限要求</w:t>
      </w:r>
    </w:p>
    <w:p w14:paraId="1BA882D1">
      <w:pPr>
        <w:pStyle w:val="56"/>
        <w:spacing w:line="360" w:lineRule="auto"/>
        <w:ind w:firstLine="420"/>
      </w:pPr>
      <w:r>
        <w:rPr>
          <w:rFonts w:hint="eastAsia"/>
        </w:rPr>
        <w:t>联合调度关键节点与时限应固化管理，形成可执行的“节点—责任—输出—时限”控制表。示例如表2。</w:t>
      </w:r>
    </w:p>
    <w:p w14:paraId="3A128F2F">
      <w:pPr>
        <w:pStyle w:val="112"/>
        <w:spacing w:before="120" w:after="120" w:line="360" w:lineRule="auto"/>
      </w:pPr>
      <w:r>
        <w:rPr>
          <w:rFonts w:hint="eastAsia"/>
        </w:rPr>
        <w:t>联合调度关键流程节点、责任分工与时限要求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1701"/>
        <w:gridCol w:w="1701"/>
        <w:gridCol w:w="1701"/>
        <w:gridCol w:w="2114"/>
      </w:tblGrid>
      <w:tr w14:paraId="42C3C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vAlign w:val="center"/>
          </w:tcPr>
          <w:p w14:paraId="0E8AF90D">
            <w:pPr>
              <w:pStyle w:val="178"/>
            </w:pPr>
            <w:r>
              <w:rPr>
                <w:rFonts w:hint="eastAsia"/>
              </w:rPr>
              <w:t>流程节点</w:t>
            </w:r>
          </w:p>
        </w:tc>
        <w:tc>
          <w:tcPr>
            <w:tcW w:w="1701" w:type="dxa"/>
            <w:tcBorders>
              <w:top w:val="single" w:color="auto" w:sz="8" w:space="0"/>
              <w:bottom w:val="single" w:color="auto" w:sz="8" w:space="0"/>
            </w:tcBorders>
            <w:vAlign w:val="center"/>
          </w:tcPr>
          <w:p w14:paraId="04811788">
            <w:pPr>
              <w:pStyle w:val="178"/>
            </w:pPr>
            <w:r>
              <w:rPr>
                <w:rFonts w:hint="eastAsia"/>
              </w:rPr>
              <w:t>责任主体</w:t>
            </w:r>
          </w:p>
        </w:tc>
        <w:tc>
          <w:tcPr>
            <w:tcW w:w="1701" w:type="dxa"/>
            <w:tcBorders>
              <w:top w:val="single" w:color="auto" w:sz="8" w:space="0"/>
              <w:bottom w:val="single" w:color="auto" w:sz="8" w:space="0"/>
            </w:tcBorders>
            <w:vAlign w:val="center"/>
          </w:tcPr>
          <w:p w14:paraId="67706B89">
            <w:pPr>
              <w:pStyle w:val="178"/>
            </w:pPr>
            <w:r>
              <w:rPr>
                <w:rFonts w:hint="eastAsia"/>
              </w:rPr>
              <w:t>主要输出物</w:t>
            </w:r>
          </w:p>
        </w:tc>
        <w:tc>
          <w:tcPr>
            <w:tcW w:w="1701" w:type="dxa"/>
            <w:tcBorders>
              <w:top w:val="single" w:color="auto" w:sz="8" w:space="0"/>
              <w:bottom w:val="single" w:color="auto" w:sz="8" w:space="0"/>
            </w:tcBorders>
            <w:vAlign w:val="center"/>
          </w:tcPr>
          <w:p w14:paraId="5EDA4A46">
            <w:pPr>
              <w:pStyle w:val="178"/>
            </w:pPr>
            <w:r>
              <w:rPr>
                <w:rFonts w:hint="eastAsia"/>
              </w:rPr>
              <w:t>时限要求</w:t>
            </w:r>
          </w:p>
        </w:tc>
        <w:tc>
          <w:tcPr>
            <w:tcW w:w="2114" w:type="dxa"/>
            <w:tcBorders>
              <w:top w:val="single" w:color="auto" w:sz="8" w:space="0"/>
              <w:bottom w:val="single" w:color="auto" w:sz="8" w:space="0"/>
            </w:tcBorders>
            <w:vAlign w:val="center"/>
          </w:tcPr>
          <w:p w14:paraId="776041A8">
            <w:pPr>
              <w:pStyle w:val="178"/>
            </w:pPr>
            <w:r>
              <w:rPr>
                <w:rFonts w:hint="eastAsia"/>
              </w:rPr>
              <w:t>备注/说明</w:t>
            </w:r>
          </w:p>
        </w:tc>
      </w:tr>
      <w:tr w14:paraId="7441F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vAlign w:val="center"/>
          </w:tcPr>
          <w:p w14:paraId="6CF2C8F4">
            <w:pPr>
              <w:pStyle w:val="178"/>
            </w:pPr>
            <w:r>
              <w:rPr>
                <w:rFonts w:hint="eastAsia"/>
              </w:rPr>
              <w:t>阶段/专项方案编制与发布（年度/汛期/枯期/专题）</w:t>
            </w:r>
          </w:p>
        </w:tc>
        <w:tc>
          <w:tcPr>
            <w:tcW w:w="1701" w:type="dxa"/>
            <w:tcBorders>
              <w:top w:val="single" w:color="auto" w:sz="8" w:space="0"/>
            </w:tcBorders>
            <w:vAlign w:val="center"/>
          </w:tcPr>
          <w:p w14:paraId="39141866">
            <w:pPr>
              <w:pStyle w:val="178"/>
            </w:pPr>
            <w:r>
              <w:rPr>
                <w:rFonts w:hint="eastAsia"/>
              </w:rPr>
              <w:t>联合调度工作机构；相关成员单位配合</w:t>
            </w:r>
          </w:p>
        </w:tc>
        <w:tc>
          <w:tcPr>
            <w:tcW w:w="1701" w:type="dxa"/>
            <w:tcBorders>
              <w:top w:val="single" w:color="auto" w:sz="8" w:space="0"/>
            </w:tcBorders>
            <w:vAlign w:val="center"/>
          </w:tcPr>
          <w:p w14:paraId="52F8E04A">
            <w:pPr>
              <w:pStyle w:val="178"/>
            </w:pPr>
            <w:r>
              <w:rPr>
                <w:rFonts w:hint="eastAsia"/>
              </w:rPr>
              <w:t>调度方案（正式稿）</w:t>
            </w:r>
          </w:p>
        </w:tc>
        <w:tc>
          <w:tcPr>
            <w:tcW w:w="1701" w:type="dxa"/>
            <w:tcBorders>
              <w:top w:val="single" w:color="auto" w:sz="8" w:space="0"/>
            </w:tcBorders>
            <w:vAlign w:val="center"/>
          </w:tcPr>
          <w:p w14:paraId="30C14B8E">
            <w:pPr>
              <w:pStyle w:val="178"/>
            </w:pPr>
            <w:r>
              <w:rPr>
                <w:rFonts w:hint="eastAsia"/>
              </w:rPr>
              <w:t>季节/阶段开始前≤15个工作日；年度方案按计划周期完成</w:t>
            </w:r>
          </w:p>
        </w:tc>
        <w:tc>
          <w:tcPr>
            <w:tcW w:w="2114" w:type="dxa"/>
            <w:tcBorders>
              <w:top w:val="single" w:color="auto" w:sz="8" w:space="0"/>
            </w:tcBorders>
            <w:vAlign w:val="center"/>
          </w:tcPr>
          <w:p w14:paraId="027C43CE">
            <w:pPr>
              <w:pStyle w:val="178"/>
            </w:pPr>
            <w:r>
              <w:rPr>
                <w:rFonts w:hint="eastAsia"/>
              </w:rPr>
              <w:t>边界条件重大变化时可启动补充修订</w:t>
            </w:r>
          </w:p>
        </w:tc>
      </w:tr>
    </w:tbl>
    <w:p w14:paraId="02EF951C">
      <w:pPr>
        <w:pStyle w:val="56"/>
        <w:spacing w:before="120" w:beforeLines="50" w:after="120" w:afterLines="50"/>
        <w:ind w:firstLine="0" w:firstLineChars="0"/>
        <w:jc w:val="center"/>
        <w:rPr>
          <w:rFonts w:ascii="黑体" w:hAnsi="黑体" w:eastAsia="黑体"/>
        </w:rPr>
      </w:pPr>
      <w:bookmarkStart w:id="55" w:name="_Toc219117762"/>
      <w:r>
        <w:rPr>
          <w:rFonts w:hint="eastAsia" w:ascii="黑体" w:hAnsi="黑体" w:eastAsia="黑体"/>
        </w:rPr>
        <w:t>表2  联合调度关键流程节点、责任分工与时限要求</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1701"/>
        <w:gridCol w:w="1701"/>
        <w:gridCol w:w="1701"/>
        <w:gridCol w:w="2114"/>
      </w:tblGrid>
      <w:tr w14:paraId="564FF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vAlign w:val="center"/>
          </w:tcPr>
          <w:p w14:paraId="3C37FE8E">
            <w:pPr>
              <w:pStyle w:val="178"/>
            </w:pPr>
            <w:r>
              <w:rPr>
                <w:rFonts w:hint="eastAsia"/>
              </w:rPr>
              <w:t>流程节点</w:t>
            </w:r>
          </w:p>
        </w:tc>
        <w:tc>
          <w:tcPr>
            <w:tcW w:w="1701" w:type="dxa"/>
            <w:tcBorders>
              <w:top w:val="single" w:color="auto" w:sz="8" w:space="0"/>
              <w:bottom w:val="single" w:color="auto" w:sz="8" w:space="0"/>
            </w:tcBorders>
            <w:vAlign w:val="center"/>
          </w:tcPr>
          <w:p w14:paraId="4B2D6DF2">
            <w:pPr>
              <w:pStyle w:val="178"/>
            </w:pPr>
            <w:r>
              <w:rPr>
                <w:rFonts w:hint="eastAsia"/>
              </w:rPr>
              <w:t>责任主体</w:t>
            </w:r>
          </w:p>
        </w:tc>
        <w:tc>
          <w:tcPr>
            <w:tcW w:w="1701" w:type="dxa"/>
            <w:tcBorders>
              <w:top w:val="single" w:color="auto" w:sz="8" w:space="0"/>
              <w:bottom w:val="single" w:color="auto" w:sz="8" w:space="0"/>
            </w:tcBorders>
            <w:vAlign w:val="center"/>
          </w:tcPr>
          <w:p w14:paraId="28DFBE06">
            <w:pPr>
              <w:pStyle w:val="178"/>
            </w:pPr>
            <w:r>
              <w:rPr>
                <w:rFonts w:hint="eastAsia"/>
              </w:rPr>
              <w:t>主要输出物</w:t>
            </w:r>
          </w:p>
        </w:tc>
        <w:tc>
          <w:tcPr>
            <w:tcW w:w="1701" w:type="dxa"/>
            <w:tcBorders>
              <w:top w:val="single" w:color="auto" w:sz="8" w:space="0"/>
              <w:bottom w:val="single" w:color="auto" w:sz="8" w:space="0"/>
            </w:tcBorders>
            <w:vAlign w:val="center"/>
          </w:tcPr>
          <w:p w14:paraId="2A89AF3E">
            <w:pPr>
              <w:pStyle w:val="178"/>
            </w:pPr>
            <w:r>
              <w:rPr>
                <w:rFonts w:hint="eastAsia"/>
              </w:rPr>
              <w:t>时限要求</w:t>
            </w:r>
          </w:p>
        </w:tc>
        <w:tc>
          <w:tcPr>
            <w:tcW w:w="2114" w:type="dxa"/>
            <w:tcBorders>
              <w:top w:val="single" w:color="auto" w:sz="8" w:space="0"/>
              <w:bottom w:val="single" w:color="auto" w:sz="8" w:space="0"/>
            </w:tcBorders>
            <w:vAlign w:val="center"/>
          </w:tcPr>
          <w:p w14:paraId="7F14A6CD">
            <w:pPr>
              <w:pStyle w:val="178"/>
            </w:pPr>
            <w:r>
              <w:rPr>
                <w:rFonts w:hint="eastAsia"/>
              </w:rPr>
              <w:t>备注/说明</w:t>
            </w:r>
          </w:p>
        </w:tc>
      </w:tr>
      <w:tr w14:paraId="323F8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4A02CC9E">
            <w:pPr>
              <w:pStyle w:val="178"/>
            </w:pPr>
            <w:r>
              <w:rPr>
                <w:rFonts w:hint="eastAsia"/>
              </w:rPr>
              <w:t>常态滚动会商</w:t>
            </w:r>
          </w:p>
        </w:tc>
        <w:tc>
          <w:tcPr>
            <w:tcW w:w="1701" w:type="dxa"/>
            <w:vAlign w:val="center"/>
          </w:tcPr>
          <w:p w14:paraId="6870A6D5">
            <w:pPr>
              <w:pStyle w:val="178"/>
            </w:pPr>
            <w:r>
              <w:rPr>
                <w:rFonts w:hint="eastAsia"/>
              </w:rPr>
              <w:t>联合调度工作机构</w:t>
            </w:r>
          </w:p>
        </w:tc>
        <w:tc>
          <w:tcPr>
            <w:tcW w:w="1701" w:type="dxa"/>
            <w:vAlign w:val="center"/>
          </w:tcPr>
          <w:p w14:paraId="44BD26A0">
            <w:pPr>
              <w:pStyle w:val="178"/>
            </w:pPr>
            <w:r>
              <w:rPr>
                <w:rFonts w:hint="eastAsia"/>
              </w:rPr>
              <w:t>会商纪要、滚动调度建议</w:t>
            </w:r>
          </w:p>
        </w:tc>
        <w:tc>
          <w:tcPr>
            <w:tcW w:w="1701" w:type="dxa"/>
            <w:vAlign w:val="center"/>
          </w:tcPr>
          <w:p w14:paraId="277F9B86">
            <w:pPr>
              <w:pStyle w:val="178"/>
            </w:pPr>
            <w:r>
              <w:rPr>
                <w:rFonts w:hint="eastAsia"/>
              </w:rPr>
              <w:t>会商结束后≤4 h</w:t>
            </w:r>
          </w:p>
        </w:tc>
        <w:tc>
          <w:tcPr>
            <w:tcW w:w="2114" w:type="dxa"/>
            <w:vAlign w:val="center"/>
          </w:tcPr>
          <w:p w14:paraId="657E1D86">
            <w:pPr>
              <w:pStyle w:val="178"/>
            </w:pPr>
            <w:r>
              <w:rPr>
                <w:rFonts w:hint="eastAsia"/>
              </w:rPr>
              <w:t>频次按汛期/枯期与运行需要确定</w:t>
            </w:r>
          </w:p>
        </w:tc>
      </w:tr>
      <w:tr w14:paraId="7EA1D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49266BFC">
            <w:pPr>
              <w:pStyle w:val="178"/>
            </w:pPr>
            <w:r>
              <w:rPr>
                <w:rFonts w:hint="eastAsia"/>
              </w:rPr>
              <w:t>临时会商（专项/应急研判）</w:t>
            </w:r>
          </w:p>
        </w:tc>
        <w:tc>
          <w:tcPr>
            <w:tcW w:w="1701" w:type="dxa"/>
            <w:vAlign w:val="center"/>
          </w:tcPr>
          <w:p w14:paraId="6209909D">
            <w:pPr>
              <w:pStyle w:val="178"/>
            </w:pPr>
            <w:r>
              <w:rPr>
                <w:rFonts w:hint="eastAsia"/>
              </w:rPr>
              <w:t>联合调度工作机构</w:t>
            </w:r>
          </w:p>
        </w:tc>
        <w:tc>
          <w:tcPr>
            <w:tcW w:w="1701" w:type="dxa"/>
            <w:vAlign w:val="center"/>
          </w:tcPr>
          <w:p w14:paraId="23FDD0B9">
            <w:pPr>
              <w:pStyle w:val="178"/>
            </w:pPr>
            <w:r>
              <w:rPr>
                <w:rFonts w:hint="eastAsia"/>
              </w:rPr>
              <w:t>专项调度决定/建议</w:t>
            </w:r>
          </w:p>
        </w:tc>
        <w:tc>
          <w:tcPr>
            <w:tcW w:w="1701" w:type="dxa"/>
            <w:vAlign w:val="center"/>
          </w:tcPr>
          <w:p w14:paraId="5B3CFC15">
            <w:pPr>
              <w:pStyle w:val="178"/>
            </w:pPr>
            <w:r>
              <w:rPr>
                <w:rFonts w:hint="eastAsia"/>
              </w:rPr>
              <w:t>触发后≤2 h组织会商</w:t>
            </w:r>
          </w:p>
        </w:tc>
        <w:tc>
          <w:tcPr>
            <w:tcW w:w="2114" w:type="dxa"/>
            <w:vAlign w:val="center"/>
          </w:tcPr>
          <w:p w14:paraId="4D9F9848">
            <w:pPr>
              <w:pStyle w:val="178"/>
            </w:pPr>
            <w:r>
              <w:rPr>
                <w:rFonts w:hint="eastAsia"/>
              </w:rPr>
              <w:t>触发情形：来水突变、咸潮预警、水质异常、设备故障等</w:t>
            </w:r>
          </w:p>
        </w:tc>
      </w:tr>
      <w:tr w14:paraId="0B892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1A16166">
            <w:pPr>
              <w:pStyle w:val="178"/>
            </w:pPr>
            <w:r>
              <w:rPr>
                <w:rFonts w:hint="eastAsia"/>
              </w:rPr>
              <w:t>调度令发布</w:t>
            </w:r>
          </w:p>
        </w:tc>
        <w:tc>
          <w:tcPr>
            <w:tcW w:w="1701" w:type="dxa"/>
            <w:vAlign w:val="center"/>
          </w:tcPr>
          <w:p w14:paraId="4722479E">
            <w:pPr>
              <w:pStyle w:val="178"/>
            </w:pPr>
            <w:r>
              <w:rPr>
                <w:rFonts w:hint="eastAsia"/>
              </w:rPr>
              <w:t>联合调度工作机构（或授权单位）</w:t>
            </w:r>
          </w:p>
        </w:tc>
        <w:tc>
          <w:tcPr>
            <w:tcW w:w="1701" w:type="dxa"/>
            <w:vAlign w:val="center"/>
          </w:tcPr>
          <w:p w14:paraId="09224FC5">
            <w:pPr>
              <w:pStyle w:val="178"/>
            </w:pPr>
            <w:r>
              <w:rPr>
                <w:rFonts w:hint="eastAsia"/>
              </w:rPr>
              <w:t>调度令</w:t>
            </w:r>
          </w:p>
        </w:tc>
        <w:tc>
          <w:tcPr>
            <w:tcW w:w="1701" w:type="dxa"/>
            <w:vAlign w:val="center"/>
          </w:tcPr>
          <w:p w14:paraId="045AE41B">
            <w:pPr>
              <w:pStyle w:val="178"/>
            </w:pPr>
            <w:r>
              <w:rPr>
                <w:rFonts w:hint="eastAsia"/>
              </w:rPr>
              <w:t>决策形成后≤1 h</w:t>
            </w:r>
          </w:p>
        </w:tc>
        <w:tc>
          <w:tcPr>
            <w:tcW w:w="2114" w:type="dxa"/>
            <w:vAlign w:val="center"/>
          </w:tcPr>
          <w:p w14:paraId="2DED8161">
            <w:pPr>
              <w:pStyle w:val="178"/>
            </w:pPr>
            <w:r>
              <w:rPr>
                <w:rFonts w:hint="eastAsia"/>
              </w:rPr>
              <w:t>明确控制对象、控制量、执行时限与回执要求</w:t>
            </w:r>
          </w:p>
        </w:tc>
      </w:tr>
      <w:tr w14:paraId="30C13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7D43A53">
            <w:pPr>
              <w:pStyle w:val="178"/>
            </w:pPr>
            <w:r>
              <w:rPr>
                <w:rFonts w:hint="eastAsia"/>
              </w:rPr>
              <w:t>指令签收与可执行性反馈</w:t>
            </w:r>
          </w:p>
        </w:tc>
        <w:tc>
          <w:tcPr>
            <w:tcW w:w="1701" w:type="dxa"/>
            <w:vAlign w:val="center"/>
          </w:tcPr>
          <w:p w14:paraId="13CE4391">
            <w:pPr>
              <w:pStyle w:val="178"/>
            </w:pPr>
            <w:r>
              <w:rPr>
                <w:rFonts w:hint="eastAsia"/>
              </w:rPr>
              <w:t>执行单位</w:t>
            </w:r>
          </w:p>
        </w:tc>
        <w:tc>
          <w:tcPr>
            <w:tcW w:w="1701" w:type="dxa"/>
            <w:vAlign w:val="center"/>
          </w:tcPr>
          <w:p w14:paraId="6B02DB1A">
            <w:pPr>
              <w:pStyle w:val="178"/>
            </w:pPr>
            <w:r>
              <w:rPr>
                <w:rFonts w:hint="eastAsia"/>
              </w:rPr>
              <w:t>签收确认、可执行性反馈</w:t>
            </w:r>
          </w:p>
        </w:tc>
        <w:tc>
          <w:tcPr>
            <w:tcW w:w="1701" w:type="dxa"/>
            <w:vAlign w:val="center"/>
          </w:tcPr>
          <w:p w14:paraId="679C74F2">
            <w:pPr>
              <w:pStyle w:val="178"/>
            </w:pPr>
            <w:r>
              <w:rPr>
                <w:rFonts w:hint="eastAsia"/>
              </w:rPr>
              <w:t>签收≤30 min；反馈≤1 h</w:t>
            </w:r>
          </w:p>
        </w:tc>
        <w:tc>
          <w:tcPr>
            <w:tcW w:w="2114" w:type="dxa"/>
            <w:vAlign w:val="center"/>
          </w:tcPr>
          <w:p w14:paraId="783F5588">
            <w:pPr>
              <w:pStyle w:val="178"/>
            </w:pPr>
            <w:r>
              <w:rPr>
                <w:rFonts w:hint="eastAsia"/>
              </w:rPr>
              <w:t>存在工况限制应同步提出替代建议</w:t>
            </w:r>
          </w:p>
        </w:tc>
      </w:tr>
      <w:tr w14:paraId="057A9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7FA6DDB1">
            <w:pPr>
              <w:pStyle w:val="178"/>
            </w:pPr>
            <w:r>
              <w:rPr>
                <w:rFonts w:hint="eastAsia"/>
              </w:rPr>
              <w:t>现场执行与过程反馈</w:t>
            </w:r>
          </w:p>
        </w:tc>
        <w:tc>
          <w:tcPr>
            <w:tcW w:w="1701" w:type="dxa"/>
            <w:vAlign w:val="center"/>
          </w:tcPr>
          <w:p w14:paraId="3F93C1A4">
            <w:pPr>
              <w:pStyle w:val="178"/>
            </w:pPr>
            <w:r>
              <w:rPr>
                <w:rFonts w:hint="eastAsia"/>
              </w:rPr>
              <w:t>执行单位</w:t>
            </w:r>
          </w:p>
        </w:tc>
        <w:tc>
          <w:tcPr>
            <w:tcW w:w="1701" w:type="dxa"/>
            <w:vAlign w:val="center"/>
          </w:tcPr>
          <w:p w14:paraId="2278919D">
            <w:pPr>
              <w:pStyle w:val="178"/>
            </w:pPr>
            <w:r>
              <w:rPr>
                <w:rFonts w:hint="eastAsia"/>
              </w:rPr>
              <w:t>过程反馈（关键动作完成情况）</w:t>
            </w:r>
          </w:p>
        </w:tc>
        <w:tc>
          <w:tcPr>
            <w:tcW w:w="1701" w:type="dxa"/>
            <w:vAlign w:val="center"/>
          </w:tcPr>
          <w:p w14:paraId="0676F022">
            <w:pPr>
              <w:pStyle w:val="178"/>
            </w:pPr>
            <w:r>
              <w:rPr>
                <w:rFonts w:hint="eastAsia"/>
              </w:rPr>
              <w:t>关键动作完成后≤30 min</w:t>
            </w:r>
          </w:p>
        </w:tc>
        <w:tc>
          <w:tcPr>
            <w:tcW w:w="2114" w:type="dxa"/>
            <w:vAlign w:val="center"/>
          </w:tcPr>
          <w:p w14:paraId="1BE6EF64">
            <w:pPr>
              <w:pStyle w:val="178"/>
            </w:pPr>
            <w:r>
              <w:rPr>
                <w:rFonts w:hint="eastAsia"/>
              </w:rPr>
              <w:t>重点反馈控制量、关键断面响应与异常情况</w:t>
            </w:r>
          </w:p>
        </w:tc>
      </w:tr>
      <w:tr w14:paraId="1D6F20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4B9F207A">
            <w:pPr>
              <w:pStyle w:val="178"/>
            </w:pPr>
            <w:r>
              <w:rPr>
                <w:rFonts w:hint="eastAsia"/>
              </w:rPr>
              <w:t>执行回执与效果核验</w:t>
            </w:r>
          </w:p>
        </w:tc>
        <w:tc>
          <w:tcPr>
            <w:tcW w:w="1701" w:type="dxa"/>
            <w:vAlign w:val="center"/>
          </w:tcPr>
          <w:p w14:paraId="32ADC515">
            <w:pPr>
              <w:pStyle w:val="178"/>
            </w:pPr>
            <w:r>
              <w:rPr>
                <w:rFonts w:hint="eastAsia"/>
              </w:rPr>
              <w:t>执行单位提交；联合调度工作机构核验</w:t>
            </w:r>
          </w:p>
        </w:tc>
        <w:tc>
          <w:tcPr>
            <w:tcW w:w="1701" w:type="dxa"/>
            <w:vAlign w:val="center"/>
          </w:tcPr>
          <w:p w14:paraId="4F6E8B86">
            <w:pPr>
              <w:pStyle w:val="178"/>
            </w:pPr>
            <w:r>
              <w:rPr>
                <w:rFonts w:hint="eastAsia"/>
              </w:rPr>
              <w:t>执行回执、核验结论</w:t>
            </w:r>
          </w:p>
        </w:tc>
        <w:tc>
          <w:tcPr>
            <w:tcW w:w="1701" w:type="dxa"/>
            <w:vAlign w:val="center"/>
          </w:tcPr>
          <w:p w14:paraId="5EEB65CD">
            <w:pPr>
              <w:pStyle w:val="178"/>
            </w:pPr>
            <w:r>
              <w:rPr>
                <w:rFonts w:hint="eastAsia"/>
              </w:rPr>
              <w:t>回执≤2 h；核验≤6 h</w:t>
            </w:r>
          </w:p>
        </w:tc>
        <w:tc>
          <w:tcPr>
            <w:tcW w:w="2114" w:type="dxa"/>
            <w:vAlign w:val="center"/>
          </w:tcPr>
          <w:p w14:paraId="07AD4650">
            <w:pPr>
              <w:pStyle w:val="178"/>
            </w:pPr>
            <w:r>
              <w:rPr>
                <w:rFonts w:hint="eastAsia"/>
              </w:rPr>
              <w:t>必要时水文/生态环境等单位参与核验</w:t>
            </w:r>
          </w:p>
        </w:tc>
      </w:tr>
      <w:tr w14:paraId="255F6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4B410250">
            <w:pPr>
              <w:pStyle w:val="178"/>
            </w:pPr>
            <w:r>
              <w:rPr>
                <w:rFonts w:hint="eastAsia"/>
              </w:rPr>
              <w:t>偏差纠偏与升级</w:t>
            </w:r>
          </w:p>
        </w:tc>
        <w:tc>
          <w:tcPr>
            <w:tcW w:w="1701" w:type="dxa"/>
            <w:vAlign w:val="center"/>
          </w:tcPr>
          <w:p w14:paraId="18029447">
            <w:pPr>
              <w:pStyle w:val="178"/>
            </w:pPr>
            <w:r>
              <w:rPr>
                <w:rFonts w:hint="eastAsia"/>
              </w:rPr>
              <w:t>联合调度工作机构；执行单位配合</w:t>
            </w:r>
          </w:p>
        </w:tc>
        <w:tc>
          <w:tcPr>
            <w:tcW w:w="1701" w:type="dxa"/>
            <w:vAlign w:val="center"/>
          </w:tcPr>
          <w:p w14:paraId="35FF19C5">
            <w:pPr>
              <w:pStyle w:val="178"/>
            </w:pPr>
            <w:r>
              <w:rPr>
                <w:rFonts w:hint="eastAsia"/>
              </w:rPr>
              <w:t>纠偏措施/升级调度令</w:t>
            </w:r>
          </w:p>
        </w:tc>
        <w:tc>
          <w:tcPr>
            <w:tcW w:w="1701" w:type="dxa"/>
            <w:vAlign w:val="center"/>
          </w:tcPr>
          <w:p w14:paraId="168C7A54">
            <w:pPr>
              <w:pStyle w:val="178"/>
            </w:pPr>
            <w:r>
              <w:rPr>
                <w:rFonts w:hint="eastAsia"/>
              </w:rPr>
              <w:t>发现偏差后≤1 h提出纠偏；必要时≤2 h升级</w:t>
            </w:r>
          </w:p>
        </w:tc>
        <w:tc>
          <w:tcPr>
            <w:tcW w:w="2114" w:type="dxa"/>
            <w:vAlign w:val="center"/>
          </w:tcPr>
          <w:p w14:paraId="263DA13D">
            <w:pPr>
              <w:pStyle w:val="178"/>
            </w:pPr>
            <w:r>
              <w:rPr>
                <w:rFonts w:hint="eastAsia"/>
              </w:rPr>
              <w:t>偏差判据：控制量、断面指标、时限等超允许偏差</w:t>
            </w:r>
          </w:p>
        </w:tc>
      </w:tr>
    </w:tbl>
    <w:p w14:paraId="4CBED01D">
      <w:pPr>
        <w:pStyle w:val="104"/>
        <w:spacing w:before="240" w:after="240" w:line="360" w:lineRule="auto"/>
      </w:pPr>
      <w:r>
        <w:rPr>
          <w:rFonts w:hint="eastAsia"/>
        </w:rPr>
        <w:t>监测预报与信息共享</w:t>
      </w:r>
      <w:bookmarkEnd w:id="55"/>
    </w:p>
    <w:p w14:paraId="206DC09A">
      <w:pPr>
        <w:pStyle w:val="105"/>
        <w:spacing w:before="120" w:after="120" w:line="360" w:lineRule="auto"/>
      </w:pPr>
      <w:r>
        <w:rPr>
          <w:rFonts w:hint="eastAsia"/>
        </w:rPr>
        <w:t>监测体系总体要求</w:t>
      </w:r>
    </w:p>
    <w:p w14:paraId="1E574DAB">
      <w:pPr>
        <w:pStyle w:val="56"/>
        <w:spacing w:line="360" w:lineRule="auto"/>
        <w:ind w:firstLine="420"/>
      </w:pPr>
      <w:r>
        <w:rPr>
          <w:rFonts w:hint="eastAsia"/>
        </w:rPr>
        <w:t>联合调度应建立覆盖“水雨情—水位流量—水质—工程工况—取用水计量—通航运行”的综合监测体系，满足调度决策对数据及时性、准确性与连续性的要求。监测体系应符合以下要求：</w:t>
      </w:r>
    </w:p>
    <w:p w14:paraId="164B63E7">
      <w:pPr>
        <w:pStyle w:val="56"/>
        <w:spacing w:line="360" w:lineRule="auto"/>
        <w:ind w:firstLine="420"/>
      </w:pPr>
      <w:r>
        <w:rPr>
          <w:rFonts w:hint="eastAsia"/>
        </w:rPr>
        <w:t>a) 关键控制断面与关键设施优先：对关键控制断面、船闸上下游、下游潮汐影响断面、主要取水口与生态敏感区控制点应优先布设监测；</w:t>
      </w:r>
    </w:p>
    <w:p w14:paraId="65445308">
      <w:pPr>
        <w:pStyle w:val="56"/>
        <w:spacing w:line="360" w:lineRule="auto"/>
        <w:ind w:firstLine="420"/>
      </w:pPr>
      <w:r>
        <w:rPr>
          <w:rFonts w:hint="eastAsia"/>
        </w:rPr>
        <w:t>b) 监测要素完整：至少应覆盖水位、流量（或可换算量）、降雨、风暴潮/潮位、盐度/氯度、关键水质指标（如溶解氧、氨氮、总磷、COD等按管理要求选取）、工程开度/启停状态与关键设备状态、取用水计量与过闸统计等；</w:t>
      </w:r>
    </w:p>
    <w:p w14:paraId="09324A01">
      <w:pPr>
        <w:pStyle w:val="56"/>
        <w:spacing w:line="360" w:lineRule="auto"/>
        <w:ind w:firstLine="420"/>
      </w:pPr>
      <w:r>
        <w:rPr>
          <w:rFonts w:hint="eastAsia"/>
        </w:rPr>
        <w:t>c) 数据连续与冗余校核：关键点位宜具备冗余或相互校核能力（如双传感器、邻近断面校核、模型反演校核等）；</w:t>
      </w:r>
    </w:p>
    <w:p w14:paraId="04136617">
      <w:pPr>
        <w:pStyle w:val="56"/>
        <w:spacing w:line="360" w:lineRule="auto"/>
        <w:ind w:firstLine="420"/>
      </w:pPr>
      <w:r>
        <w:rPr>
          <w:rFonts w:hint="eastAsia"/>
        </w:rPr>
        <w:t>d) 维护与校准制度化：监测设备应建立巡检、校准、比对与故障处置制度，确保长期稳定运行。</w:t>
      </w:r>
    </w:p>
    <w:p w14:paraId="75F459D5">
      <w:pPr>
        <w:pStyle w:val="105"/>
        <w:spacing w:before="120" w:after="120" w:line="360" w:lineRule="auto"/>
      </w:pPr>
      <w:r>
        <w:rPr>
          <w:rFonts w:hint="eastAsia"/>
        </w:rPr>
        <w:t>数据采集、传输与汇聚</w:t>
      </w:r>
    </w:p>
    <w:p w14:paraId="684BC00A">
      <w:pPr>
        <w:pStyle w:val="56"/>
        <w:spacing w:line="360" w:lineRule="auto"/>
        <w:ind w:firstLine="420"/>
      </w:pPr>
      <w:r>
        <w:rPr>
          <w:rFonts w:hint="eastAsia"/>
        </w:rPr>
        <w:t>联合调度数据采集与传输应满足：</w:t>
      </w:r>
    </w:p>
    <w:p w14:paraId="3D1333C6">
      <w:pPr>
        <w:pStyle w:val="56"/>
        <w:spacing w:line="360" w:lineRule="auto"/>
        <w:ind w:firstLine="420"/>
      </w:pPr>
      <w:r>
        <w:rPr>
          <w:rFonts w:hint="eastAsia"/>
        </w:rPr>
        <w:t>a) 统一数据口径：对数据名称、单位、采样频率、统计口径（瞬时/平均/累计）应统一定义；</w:t>
      </w:r>
    </w:p>
    <w:p w14:paraId="24B5FB3D">
      <w:pPr>
        <w:pStyle w:val="56"/>
        <w:spacing w:line="360" w:lineRule="auto"/>
        <w:ind w:firstLine="420"/>
      </w:pPr>
      <w:r>
        <w:rPr>
          <w:rFonts w:hint="eastAsia"/>
        </w:rPr>
        <w:t>b) 分级采集频率：常态运行可采用分钟级至小时级采样；重要时段或应急状态下应支持加密采样与快速回传；</w:t>
      </w:r>
    </w:p>
    <w:p w14:paraId="7474117F">
      <w:pPr>
        <w:pStyle w:val="56"/>
        <w:spacing w:line="360" w:lineRule="auto"/>
        <w:ind w:firstLine="420"/>
      </w:pPr>
      <w:r>
        <w:rPr>
          <w:rFonts w:hint="eastAsia"/>
        </w:rPr>
        <w:t>c) 可靠传输链路：应采用专线、加密公网、卫星或多链路冗余方式保障关键数据回传；</w:t>
      </w:r>
    </w:p>
    <w:p w14:paraId="23D03A23">
      <w:pPr>
        <w:pStyle w:val="56"/>
        <w:spacing w:line="360" w:lineRule="auto"/>
        <w:ind w:firstLine="420"/>
      </w:pPr>
      <w:r>
        <w:rPr>
          <w:rFonts w:hint="eastAsia"/>
        </w:rPr>
        <w:t>d) 统一汇聚平台：应建立联合调度数据汇聚平台，实现多源数据接入、时间对齐、空间关联与权限控制；</w:t>
      </w:r>
    </w:p>
    <w:p w14:paraId="0C0B46BA">
      <w:pPr>
        <w:pStyle w:val="56"/>
        <w:spacing w:line="360" w:lineRule="auto"/>
        <w:ind w:firstLine="420"/>
      </w:pPr>
      <w:r>
        <w:rPr>
          <w:rFonts w:hint="eastAsia"/>
        </w:rPr>
        <w:t>e) 断链容错：当通信中断时，前端设备应具备本地缓存与断点续传能力。</w:t>
      </w:r>
    </w:p>
    <w:p w14:paraId="02C3BCE7">
      <w:pPr>
        <w:pStyle w:val="105"/>
        <w:spacing w:before="120" w:after="120" w:line="360" w:lineRule="auto"/>
      </w:pPr>
      <w:r>
        <w:rPr>
          <w:rFonts w:hint="eastAsia"/>
        </w:rPr>
        <w:t>数据质量控制与异常管理</w:t>
      </w:r>
    </w:p>
    <w:p w14:paraId="649CCBED">
      <w:pPr>
        <w:pStyle w:val="56"/>
        <w:spacing w:line="360" w:lineRule="auto"/>
        <w:ind w:firstLine="420"/>
      </w:pPr>
      <w:r>
        <w:rPr>
          <w:rFonts w:hint="eastAsia"/>
        </w:rPr>
        <w:t>联合调度应建立数据质量控制（QC）与异常管理制度，至少包括：</w:t>
      </w:r>
    </w:p>
    <w:p w14:paraId="6E483A88">
      <w:pPr>
        <w:pStyle w:val="56"/>
        <w:spacing w:line="360" w:lineRule="auto"/>
        <w:ind w:firstLine="420"/>
      </w:pPr>
      <w:r>
        <w:rPr>
          <w:rFonts w:hint="eastAsia"/>
        </w:rPr>
        <w:t>a) 完整性检查：缺测、重复、时间戳异常识别；</w:t>
      </w:r>
    </w:p>
    <w:p w14:paraId="63FA61C6">
      <w:pPr>
        <w:pStyle w:val="56"/>
        <w:spacing w:line="360" w:lineRule="auto"/>
        <w:ind w:firstLine="420"/>
      </w:pPr>
      <w:r>
        <w:rPr>
          <w:rFonts w:hint="eastAsia"/>
        </w:rPr>
        <w:t>b) 合理性检查：阈值检查、突变检查、物理一致性检查（如水位—流量关系、上下游联动关系）；</w:t>
      </w:r>
    </w:p>
    <w:p w14:paraId="1785D833">
      <w:pPr>
        <w:pStyle w:val="56"/>
        <w:spacing w:line="360" w:lineRule="auto"/>
        <w:ind w:firstLine="420"/>
      </w:pPr>
      <w:r>
        <w:rPr>
          <w:rFonts w:hint="eastAsia"/>
        </w:rPr>
        <w:t>c) 对比校核：多点位对比、人工抽检与第三方比对；</w:t>
      </w:r>
    </w:p>
    <w:p w14:paraId="04C3EC41">
      <w:pPr>
        <w:pStyle w:val="56"/>
        <w:spacing w:line="360" w:lineRule="auto"/>
        <w:ind w:firstLine="420"/>
      </w:pPr>
      <w:r>
        <w:rPr>
          <w:rFonts w:hint="eastAsia"/>
        </w:rPr>
        <w:t>d) 异常处置：对测值异常应标识状态（疑似/确认）、追溯原因并在必要时启用替代数据源（邻近站、模型推算、人工测量）；</w:t>
      </w:r>
    </w:p>
    <w:p w14:paraId="7290A014">
      <w:pPr>
        <w:pStyle w:val="56"/>
        <w:spacing w:line="360" w:lineRule="auto"/>
        <w:ind w:firstLine="420"/>
      </w:pPr>
      <w:r>
        <w:rPr>
          <w:rFonts w:hint="eastAsia"/>
        </w:rPr>
        <w:t>e) 版本与留痕：数据修正、替代与回填应保留原始记录与修正记录，形成可追溯链条。</w:t>
      </w:r>
    </w:p>
    <w:p w14:paraId="68901AAF">
      <w:pPr>
        <w:pStyle w:val="105"/>
        <w:spacing w:before="120" w:after="120" w:line="360" w:lineRule="auto"/>
      </w:pPr>
      <w:r>
        <w:rPr>
          <w:rFonts w:hint="eastAsia"/>
        </w:rPr>
        <w:t>预报体系与模型支撑</w:t>
      </w:r>
    </w:p>
    <w:p w14:paraId="30379D71">
      <w:pPr>
        <w:pStyle w:val="165"/>
        <w:spacing w:line="360" w:lineRule="auto"/>
      </w:pPr>
      <w:r>
        <w:rPr>
          <w:rFonts w:hint="eastAsia"/>
        </w:rPr>
        <w:t>联合调度宜建立多源预报体系，形成滚动更新的预测输入：</w:t>
      </w:r>
    </w:p>
    <w:p w14:paraId="609FC2FA">
      <w:pPr>
        <w:pStyle w:val="56"/>
        <w:spacing w:line="360" w:lineRule="auto"/>
        <w:ind w:firstLine="420"/>
      </w:pPr>
      <w:r>
        <w:rPr>
          <w:rFonts w:hint="eastAsia"/>
        </w:rPr>
        <w:t>a) 水文气象预报：降雨、来水过程、洪水预报与不确定性区间；</w:t>
      </w:r>
    </w:p>
    <w:p w14:paraId="6C07E33C">
      <w:pPr>
        <w:pStyle w:val="56"/>
        <w:spacing w:line="360" w:lineRule="auto"/>
        <w:ind w:firstLine="420"/>
      </w:pPr>
      <w:r>
        <w:rPr>
          <w:rFonts w:hint="eastAsia"/>
        </w:rPr>
        <w:t>b) 潮汐与咸潮预报：潮位过程、咸潮上溯范围与关键断面盐度风险预警；</w:t>
      </w:r>
    </w:p>
    <w:p w14:paraId="05A55CA7">
      <w:pPr>
        <w:pStyle w:val="56"/>
        <w:spacing w:line="360" w:lineRule="auto"/>
        <w:ind w:firstLine="420"/>
      </w:pPr>
      <w:r>
        <w:rPr>
          <w:rFonts w:hint="eastAsia"/>
        </w:rPr>
        <w:t>c) 用水需求预测：生活与工业用水计划、农业灌溉时段与强度、船闸过闸量预测与用水估算；</w:t>
      </w:r>
    </w:p>
    <w:p w14:paraId="2BDAF29D">
      <w:pPr>
        <w:pStyle w:val="56"/>
        <w:spacing w:line="360" w:lineRule="auto"/>
        <w:ind w:firstLine="420"/>
      </w:pPr>
      <w:r>
        <w:rPr>
          <w:rFonts w:hint="eastAsia"/>
        </w:rPr>
        <w:t>d) 水质趋势预报：在污染风险较高或敏感期，宜结合监测与模型对关键水质指标进行短期趋势研判。</w:t>
      </w:r>
    </w:p>
    <w:p w14:paraId="517B867B">
      <w:pPr>
        <w:pStyle w:val="165"/>
        <w:spacing w:line="360" w:lineRule="auto"/>
      </w:pPr>
      <w:r>
        <w:rPr>
          <w:rFonts w:hint="eastAsia"/>
        </w:rPr>
        <w:t>预报与模型应用应满足：</w:t>
      </w:r>
    </w:p>
    <w:p w14:paraId="0AE3092F">
      <w:pPr>
        <w:pStyle w:val="56"/>
        <w:spacing w:line="360" w:lineRule="auto"/>
        <w:ind w:firstLine="420"/>
      </w:pPr>
      <w:r>
        <w:rPr>
          <w:rFonts w:hint="eastAsia"/>
        </w:rPr>
        <w:t>a) 模型校准与验证：模型参数应定期校准，并使用实测数据开展验证；</w:t>
      </w:r>
    </w:p>
    <w:p w14:paraId="42E40426">
      <w:pPr>
        <w:pStyle w:val="56"/>
        <w:spacing w:line="360" w:lineRule="auto"/>
        <w:ind w:firstLine="420"/>
      </w:pPr>
      <w:r>
        <w:rPr>
          <w:rFonts w:hint="eastAsia"/>
        </w:rPr>
        <w:t>b) 情景库管理：应建立典型情景库与边界条件库，便于快速推演与对比分析；</w:t>
      </w:r>
    </w:p>
    <w:p w14:paraId="408008DC">
      <w:pPr>
        <w:pStyle w:val="56"/>
        <w:spacing w:line="360" w:lineRule="auto"/>
        <w:ind w:firstLine="420"/>
      </w:pPr>
      <w:r>
        <w:rPr>
          <w:rFonts w:hint="eastAsia"/>
        </w:rPr>
        <w:t>c) 不确定性表达：对关键预报结果宜提供置信区间或风险等级提示，支撑稳健决策；</w:t>
      </w:r>
    </w:p>
    <w:p w14:paraId="7F2605D2">
      <w:pPr>
        <w:pStyle w:val="56"/>
        <w:spacing w:line="360" w:lineRule="auto"/>
        <w:ind w:firstLine="420"/>
      </w:pPr>
      <w:r>
        <w:rPr>
          <w:rFonts w:hint="eastAsia"/>
        </w:rPr>
        <w:t>d) 计算结果可解释：输出应可追溯至输入数据、关键假设与参数版本，便于复核。</w:t>
      </w:r>
    </w:p>
    <w:p w14:paraId="3385D0D6">
      <w:pPr>
        <w:pStyle w:val="105"/>
        <w:spacing w:before="120" w:after="120" w:line="360" w:lineRule="auto"/>
      </w:pPr>
      <w:r>
        <w:rPr>
          <w:rFonts w:hint="eastAsia"/>
        </w:rPr>
        <w:t>预警发布与联动响应</w:t>
      </w:r>
    </w:p>
    <w:p w14:paraId="03E3D220">
      <w:pPr>
        <w:pStyle w:val="56"/>
        <w:spacing w:line="360" w:lineRule="auto"/>
        <w:ind w:firstLine="420"/>
      </w:pPr>
      <w:r>
        <w:rPr>
          <w:rFonts w:hint="eastAsia"/>
        </w:rPr>
        <w:t>联合调度应基于监测与预报建立预警机制，至少包括枯水、洪水、咸潮、水质异常、设备故障与通信中断等预警类型。预警机制应明确：</w:t>
      </w:r>
    </w:p>
    <w:p w14:paraId="5600CC3F">
      <w:pPr>
        <w:pStyle w:val="56"/>
        <w:spacing w:line="360" w:lineRule="auto"/>
        <w:ind w:firstLine="420"/>
      </w:pPr>
      <w:r>
        <w:rPr>
          <w:rFonts w:hint="eastAsia"/>
        </w:rPr>
        <w:t>a) 预警指标与阈值：对应关键控制断面与关键设备的预警阈值体系；</w:t>
      </w:r>
    </w:p>
    <w:p w14:paraId="77A876AF">
      <w:pPr>
        <w:pStyle w:val="56"/>
        <w:spacing w:line="360" w:lineRule="auto"/>
        <w:ind w:firstLine="420"/>
      </w:pPr>
      <w:r>
        <w:rPr>
          <w:rFonts w:hint="eastAsia"/>
        </w:rPr>
        <w:t>b) 预警分级与响应：分级触发会商、限供、节水过闸、临时通航管制、应急补水或应急处置等措施；</w:t>
      </w:r>
    </w:p>
    <w:p w14:paraId="14DE03B3">
      <w:pPr>
        <w:pStyle w:val="56"/>
        <w:spacing w:line="360" w:lineRule="auto"/>
        <w:ind w:firstLine="420"/>
      </w:pPr>
      <w:r>
        <w:rPr>
          <w:rFonts w:hint="eastAsia"/>
        </w:rPr>
        <w:t>c) 信息发布范围：明确内部预警、跨部门预警与社会公众信息发布的边界与审批流程；</w:t>
      </w:r>
    </w:p>
    <w:p w14:paraId="10537EB5">
      <w:pPr>
        <w:pStyle w:val="56"/>
        <w:spacing w:line="360" w:lineRule="auto"/>
        <w:ind w:firstLine="420"/>
      </w:pPr>
      <w:r>
        <w:rPr>
          <w:rFonts w:hint="eastAsia"/>
        </w:rPr>
        <w:t>d) 闭环管理：预警触发、处置过程与解除条件应留痕可追溯。</w:t>
      </w:r>
    </w:p>
    <w:p w14:paraId="5517CAAB">
      <w:pPr>
        <w:pStyle w:val="56"/>
        <w:spacing w:line="360" w:lineRule="auto"/>
        <w:ind w:firstLine="199" w:firstLineChars="95"/>
      </w:pPr>
    </w:p>
    <w:p w14:paraId="7CDE7385">
      <w:pPr>
        <w:pStyle w:val="56"/>
        <w:spacing w:line="360" w:lineRule="auto"/>
        <w:ind w:firstLine="199" w:firstLineChars="95"/>
        <w:rPr>
          <w:rFonts w:hint="eastAsia"/>
        </w:rPr>
      </w:pPr>
    </w:p>
    <w:p w14:paraId="58428BD0">
      <w:pPr>
        <w:pStyle w:val="105"/>
        <w:spacing w:before="120" w:after="120" w:line="360" w:lineRule="auto"/>
      </w:pPr>
      <w:r>
        <w:rPr>
          <w:rFonts w:hint="eastAsia"/>
        </w:rPr>
        <w:t>信息共享与网络安全要求</w:t>
      </w:r>
    </w:p>
    <w:p w14:paraId="3442E8AE">
      <w:pPr>
        <w:pStyle w:val="56"/>
        <w:spacing w:line="360" w:lineRule="auto"/>
        <w:ind w:firstLine="420"/>
      </w:pPr>
      <w:r>
        <w:rPr>
          <w:rFonts w:hint="eastAsia"/>
        </w:rPr>
        <w:t>联合调度应建立跨部门信息共享机制，形成“目录清单—接口标准—权限控制—日志审计—备份容灾”的体系化管理要求：</w:t>
      </w:r>
    </w:p>
    <w:p w14:paraId="05E52432">
      <w:pPr>
        <w:pStyle w:val="56"/>
        <w:spacing w:line="360" w:lineRule="auto"/>
        <w:ind w:firstLine="420"/>
      </w:pPr>
      <w:r>
        <w:rPr>
          <w:rFonts w:hint="eastAsia"/>
        </w:rPr>
        <w:t>a) 数据共享目录：明确共享数据项、更新频率、数据责任单位与共享方式；</w:t>
      </w:r>
    </w:p>
    <w:p w14:paraId="42AA427E">
      <w:pPr>
        <w:pStyle w:val="56"/>
        <w:spacing w:line="360" w:lineRule="auto"/>
        <w:ind w:firstLine="420"/>
      </w:pPr>
      <w:r>
        <w:rPr>
          <w:rFonts w:hint="eastAsia"/>
        </w:rPr>
        <w:t>b) 权限分级：按数据敏感性与业务需要设定访问权限与脱敏规则；</w:t>
      </w:r>
    </w:p>
    <w:p w14:paraId="18C5BBAF">
      <w:pPr>
        <w:pStyle w:val="56"/>
        <w:spacing w:line="360" w:lineRule="auto"/>
        <w:ind w:firstLine="420"/>
      </w:pPr>
      <w:r>
        <w:rPr>
          <w:rFonts w:hint="eastAsia"/>
        </w:rPr>
        <w:t>c) 接口标准化：共享接口应统一数据格式、编码规则、时间标准与校验规则；</w:t>
      </w:r>
    </w:p>
    <w:p w14:paraId="74BDEF3B">
      <w:pPr>
        <w:pStyle w:val="56"/>
        <w:spacing w:line="360" w:lineRule="auto"/>
        <w:ind w:firstLine="420"/>
      </w:pPr>
      <w:r>
        <w:rPr>
          <w:rFonts w:hint="eastAsia"/>
        </w:rPr>
        <w:t>d) 日志审计：对数据访问、指令流转、关键参数修改等操作应自动记录并可追溯；</w:t>
      </w:r>
    </w:p>
    <w:p w14:paraId="358F8F4A">
      <w:pPr>
        <w:pStyle w:val="56"/>
        <w:spacing w:line="360" w:lineRule="auto"/>
        <w:ind w:firstLine="420"/>
      </w:pPr>
      <w:r>
        <w:rPr>
          <w:rFonts w:hint="eastAsia"/>
        </w:rPr>
        <w:t>e) 备份与容灾：关键业务系统与数据应具备定期备份、异地容灾与故障切换能力；</w:t>
      </w:r>
    </w:p>
    <w:p w14:paraId="30F794E5">
      <w:pPr>
        <w:pStyle w:val="56"/>
        <w:spacing w:line="360" w:lineRule="auto"/>
        <w:ind w:firstLine="420"/>
      </w:pPr>
      <w:r>
        <w:rPr>
          <w:rFonts w:hint="eastAsia"/>
        </w:rPr>
        <w:t>f) 安全管理：对涉及重要信息系统的，应落实身份鉴别、访问控制、传输加密、漏洞管理与应急响应等安全措施。</w:t>
      </w:r>
    </w:p>
    <w:p w14:paraId="349714A9">
      <w:pPr>
        <w:pStyle w:val="104"/>
        <w:spacing w:before="240" w:after="240" w:line="360" w:lineRule="auto"/>
      </w:pPr>
      <w:bookmarkStart w:id="56" w:name="_Toc219117763"/>
      <w:r>
        <w:rPr>
          <w:rFonts w:hint="eastAsia"/>
        </w:rPr>
        <w:t>调度执行监督与效果评价</w:t>
      </w:r>
      <w:bookmarkEnd w:id="56"/>
    </w:p>
    <w:p w14:paraId="26DE1C43">
      <w:pPr>
        <w:pStyle w:val="105"/>
        <w:spacing w:before="120" w:after="120" w:line="360" w:lineRule="auto"/>
      </w:pPr>
      <w:r>
        <w:rPr>
          <w:rFonts w:hint="eastAsia"/>
        </w:rPr>
        <w:t>监督体系</w:t>
      </w:r>
    </w:p>
    <w:p w14:paraId="37A3708B">
      <w:pPr>
        <w:pStyle w:val="56"/>
        <w:spacing w:line="360" w:lineRule="auto"/>
        <w:ind w:firstLine="420"/>
      </w:pPr>
      <w:r>
        <w:rPr>
          <w:rFonts w:hint="eastAsia"/>
        </w:rPr>
        <w:t>平陆运河水资源联合调度执行监督应建立“平台在线监督为主、现场核验为辅、专项审计与第三方评估补充”的监督体系，覆盖调度令发布、签收、执行、反馈、核验、归档全过程。监督体系应以关键控制断面达标情况、调度令执行偏差、底线指标守护能力与风险处置有效性为核心监督对象，并与水资源管理、通航管理、水环境监管、工程运行安全管理等业务监督要求协同一致。</w:t>
      </w:r>
    </w:p>
    <w:p w14:paraId="5F385A65">
      <w:pPr>
        <w:pStyle w:val="105"/>
        <w:spacing w:before="120" w:after="120" w:line="360" w:lineRule="auto"/>
      </w:pPr>
      <w:r>
        <w:rPr>
          <w:rFonts w:hint="eastAsia"/>
        </w:rPr>
        <w:t>监督要点与监督方式</w:t>
      </w:r>
    </w:p>
    <w:p w14:paraId="7EE4C8ED">
      <w:pPr>
        <w:pStyle w:val="165"/>
        <w:spacing w:line="360" w:lineRule="auto"/>
      </w:pPr>
      <w:r>
        <w:rPr>
          <w:rFonts w:hint="eastAsia"/>
        </w:rPr>
        <w:t>监督要点应至少包括：</w:t>
      </w:r>
    </w:p>
    <w:p w14:paraId="29FD1872">
      <w:pPr>
        <w:pStyle w:val="56"/>
        <w:spacing w:line="360" w:lineRule="auto"/>
        <w:ind w:firstLine="420"/>
      </w:pPr>
      <w:r>
        <w:rPr>
          <w:rFonts w:hint="eastAsia"/>
        </w:rPr>
        <w:t>a) 指令合规性：调度令依据是否充分、目标与约束是否明确、控制动作是否满足工程安全与法规制度要求；</w:t>
      </w:r>
    </w:p>
    <w:p w14:paraId="6D9F9A10">
      <w:pPr>
        <w:pStyle w:val="56"/>
        <w:spacing w:line="360" w:lineRule="auto"/>
        <w:ind w:firstLine="420"/>
      </w:pPr>
      <w:r>
        <w:rPr>
          <w:rFonts w:hint="eastAsia"/>
        </w:rPr>
        <w:t>b) 指令一致性：跨部门、跨层级指令是否存在冲突，是否按统一渠道与统一格式发布；</w:t>
      </w:r>
    </w:p>
    <w:p w14:paraId="1EE6510D">
      <w:pPr>
        <w:pStyle w:val="56"/>
        <w:spacing w:line="360" w:lineRule="auto"/>
        <w:ind w:firstLine="420"/>
      </w:pPr>
      <w:r>
        <w:rPr>
          <w:rFonts w:hint="eastAsia"/>
        </w:rPr>
        <w:t>c) 执行及时性：签收确认、可执行性反馈、关键动作完成与回执提交是否满足时限；</w:t>
      </w:r>
    </w:p>
    <w:p w14:paraId="04C00F4E">
      <w:pPr>
        <w:pStyle w:val="56"/>
        <w:spacing w:line="360" w:lineRule="auto"/>
        <w:ind w:firstLine="420"/>
      </w:pPr>
      <w:r>
        <w:rPr>
          <w:rFonts w:hint="eastAsia"/>
        </w:rPr>
        <w:t>d) 执行准确性：实际控制量、开度/启停状态、取用水控制、过闸组织等是否与调度令一致；</w:t>
      </w:r>
    </w:p>
    <w:p w14:paraId="5717E3EC">
      <w:pPr>
        <w:pStyle w:val="56"/>
        <w:spacing w:line="360" w:lineRule="auto"/>
        <w:ind w:firstLine="420"/>
      </w:pPr>
      <w:r>
        <w:rPr>
          <w:rFonts w:hint="eastAsia"/>
        </w:rPr>
        <w:t>e) 指标达标性：关键控制断面水位、流量、生态基流、水质等是否满足控制要求；</w:t>
      </w:r>
    </w:p>
    <w:p w14:paraId="4A8FC49A">
      <w:pPr>
        <w:pStyle w:val="56"/>
        <w:spacing w:line="360" w:lineRule="auto"/>
        <w:ind w:firstLine="420"/>
      </w:pPr>
      <w:r>
        <w:rPr>
          <w:rFonts w:hint="eastAsia"/>
        </w:rPr>
        <w:t>f) 数据真实性与完整性：监测计量数据是否连续、是否存在异常修正且留痕完整；</w:t>
      </w:r>
    </w:p>
    <w:p w14:paraId="229A8418">
      <w:pPr>
        <w:pStyle w:val="56"/>
        <w:spacing w:line="360" w:lineRule="auto"/>
        <w:ind w:firstLine="420"/>
      </w:pPr>
      <w:r>
        <w:rPr>
          <w:rFonts w:hint="eastAsia"/>
        </w:rPr>
        <w:t>g) 风险管控有效性：预警触发、纠偏升级、应急响应是否形成闭环，处置结果是否有效。</w:t>
      </w:r>
    </w:p>
    <w:p w14:paraId="17947E40">
      <w:pPr>
        <w:pStyle w:val="165"/>
        <w:spacing w:line="360" w:lineRule="auto"/>
      </w:pPr>
      <w:r>
        <w:rPr>
          <w:rFonts w:hint="eastAsia"/>
        </w:rPr>
        <w:t>监督方式宜包括在线监测比对、自动阈值报警核查、调度令与执行回执一致性核对、现场抽查核验（含人工测流/采样比对）、专项检查与联合督查等。对关键时段（汛期、枯期、咸潮高发期、重大活动保障期）应提高监督频次，并形成专报或专题通报。</w:t>
      </w:r>
    </w:p>
    <w:p w14:paraId="39F6D2BD">
      <w:pPr>
        <w:pStyle w:val="165"/>
        <w:numPr>
          <w:ilvl w:val="0"/>
          <w:numId w:val="0"/>
        </w:numPr>
        <w:spacing w:line="360" w:lineRule="auto"/>
        <w:rPr>
          <w:rFonts w:hint="eastAsia"/>
        </w:rPr>
      </w:pPr>
    </w:p>
    <w:p w14:paraId="6A082827">
      <w:pPr>
        <w:pStyle w:val="105"/>
        <w:spacing w:before="120" w:after="120" w:line="360" w:lineRule="auto"/>
      </w:pPr>
      <w:r>
        <w:rPr>
          <w:rFonts w:hint="eastAsia"/>
        </w:rPr>
        <w:t>调度效果评价指标与方法</w:t>
      </w:r>
    </w:p>
    <w:p w14:paraId="571973DB">
      <w:pPr>
        <w:pStyle w:val="165"/>
        <w:spacing w:line="360" w:lineRule="auto"/>
      </w:pPr>
      <w:r>
        <w:rPr>
          <w:rFonts w:hint="eastAsia"/>
        </w:rPr>
        <w:t>联合调度效果评价应以表1所列目标领域为基础建立指标体系，并进一步明确指标计算口径、评价周期与分级判据。评价方法宜采用“底线约束达标评价 + 关键目标完成度评价 + 风险事件影响评价 + 协同效率评价”的综合方法，其中：</w:t>
      </w:r>
    </w:p>
    <w:p w14:paraId="067E7F70">
      <w:pPr>
        <w:pStyle w:val="56"/>
        <w:spacing w:line="360" w:lineRule="auto"/>
        <w:ind w:firstLine="420"/>
      </w:pPr>
      <w:r>
        <w:rPr>
          <w:rFonts w:hint="eastAsia"/>
        </w:rPr>
        <w:t>a) 底线约束达标评价以“是否突破底线阈值”为首要判据，发生突破应直接触发复盘与改进要求；</w:t>
      </w:r>
    </w:p>
    <w:p w14:paraId="3DEBAE39">
      <w:pPr>
        <w:pStyle w:val="56"/>
        <w:spacing w:line="360" w:lineRule="auto"/>
        <w:ind w:firstLine="420"/>
      </w:pPr>
      <w:r>
        <w:rPr>
          <w:rFonts w:hint="eastAsia"/>
        </w:rPr>
        <w:t>b) 关键目标完成度评价以通航保证水位达标率、供水保证率、生态基流达标率等为核心，结合停航时长、限供次数、生态补水效果等进行综合评价；</w:t>
      </w:r>
    </w:p>
    <w:p w14:paraId="1587A5F0">
      <w:pPr>
        <w:pStyle w:val="56"/>
        <w:spacing w:line="360" w:lineRule="auto"/>
        <w:ind w:firstLine="420"/>
      </w:pPr>
      <w:r>
        <w:rPr>
          <w:rFonts w:hint="eastAsia"/>
        </w:rPr>
        <w:t>c) 风险事件影响评价以洪水、咸潮、水质异常、设备故障等事件的发生次数、持续时间、影响范围与恢复时间为核心；</w:t>
      </w:r>
    </w:p>
    <w:p w14:paraId="560DA692">
      <w:pPr>
        <w:pStyle w:val="56"/>
        <w:spacing w:line="360" w:lineRule="auto"/>
        <w:ind w:firstLine="420"/>
      </w:pPr>
      <w:r>
        <w:rPr>
          <w:rFonts w:hint="eastAsia"/>
        </w:rPr>
        <w:t>d) 协同效率评价以会商响应时效、指令流转时效、执行回执闭环率、跨部门信息共享及时率等为核心。</w:t>
      </w:r>
    </w:p>
    <w:p w14:paraId="1BAABD0D">
      <w:pPr>
        <w:pStyle w:val="165"/>
        <w:spacing w:line="360" w:lineRule="auto"/>
      </w:pPr>
      <w:r>
        <w:rPr>
          <w:rFonts w:hint="eastAsia"/>
        </w:rPr>
        <w:t>评价周期宜分为日常滚动评价（周/旬）、阶段性评价（月/季）与年度综合评价。年度综合评价结果宜作为下一年度调度方案优化、设施能力补短板与制度完善的重要输入。</w:t>
      </w:r>
    </w:p>
    <w:p w14:paraId="6967FDBE">
      <w:pPr>
        <w:pStyle w:val="105"/>
        <w:spacing w:before="120" w:after="120" w:line="360" w:lineRule="auto"/>
      </w:pPr>
      <w:r>
        <w:rPr>
          <w:rFonts w:hint="eastAsia"/>
        </w:rPr>
        <w:t>调度后评估与复盘</w:t>
      </w:r>
    </w:p>
    <w:p w14:paraId="3A0FBB47">
      <w:pPr>
        <w:pStyle w:val="165"/>
        <w:spacing w:line="360" w:lineRule="auto"/>
      </w:pPr>
      <w:r>
        <w:rPr>
          <w:rFonts w:hint="eastAsia"/>
        </w:rPr>
        <w:t>对以下情形应组织调度后评估与复盘：</w:t>
      </w:r>
    </w:p>
    <w:p w14:paraId="0890679E">
      <w:pPr>
        <w:pStyle w:val="56"/>
        <w:spacing w:line="360" w:lineRule="auto"/>
        <w:ind w:firstLine="420"/>
      </w:pPr>
      <w:r>
        <w:rPr>
          <w:rFonts w:hint="eastAsia"/>
        </w:rPr>
        <w:t>a) 发生底线指标逼近或突破；</w:t>
      </w:r>
    </w:p>
    <w:p w14:paraId="26E3BD31">
      <w:pPr>
        <w:pStyle w:val="56"/>
        <w:spacing w:line="360" w:lineRule="auto"/>
        <w:ind w:firstLine="420"/>
      </w:pPr>
      <w:r>
        <w:rPr>
          <w:rFonts w:hint="eastAsia"/>
        </w:rPr>
        <w:t>b) 发生停航、限航、重大限供、生态基流长期不达标等显著影响事件；</w:t>
      </w:r>
    </w:p>
    <w:p w14:paraId="09DDBB66">
      <w:pPr>
        <w:pStyle w:val="56"/>
        <w:spacing w:line="360" w:lineRule="auto"/>
        <w:ind w:firstLine="420"/>
      </w:pPr>
      <w:r>
        <w:rPr>
          <w:rFonts w:hint="eastAsia"/>
        </w:rPr>
        <w:t>c) 发生突发水污染、咸潮导致取水安全风险、重大设备故障等应急事件；</w:t>
      </w:r>
    </w:p>
    <w:p w14:paraId="1A6AED2E">
      <w:pPr>
        <w:pStyle w:val="56"/>
        <w:spacing w:line="360" w:lineRule="auto"/>
        <w:ind w:firstLine="420"/>
      </w:pPr>
      <w:r>
        <w:rPr>
          <w:rFonts w:hint="eastAsia"/>
        </w:rPr>
        <w:t>d) 出现重大执行偏差或多次偏差重复发生；</w:t>
      </w:r>
    </w:p>
    <w:p w14:paraId="6BEFF21C">
      <w:pPr>
        <w:pStyle w:val="56"/>
        <w:spacing w:line="360" w:lineRule="auto"/>
        <w:ind w:firstLine="420"/>
      </w:pPr>
      <w:r>
        <w:rPr>
          <w:rFonts w:hint="eastAsia"/>
        </w:rPr>
        <w:t>e) 主管部门或联合调度领导机构要求复盘的其他情形。</w:t>
      </w:r>
    </w:p>
    <w:p w14:paraId="6EE6F6DD">
      <w:pPr>
        <w:pStyle w:val="165"/>
        <w:spacing w:line="360" w:lineRule="auto"/>
      </w:pPr>
      <w:r>
        <w:rPr>
          <w:rFonts w:hint="eastAsia"/>
        </w:rPr>
        <w:t>复盘应至少包括边界条件回溯、决策依据审查、模型推演与实际差异分析、执行链路核验、处置措施有效性评价、责任分析与改进清单形成。改进清单应落实到责任单位、完成时限与验证方式，并纳入后续监督检查。</w:t>
      </w:r>
    </w:p>
    <w:p w14:paraId="7244306F">
      <w:pPr>
        <w:pStyle w:val="105"/>
        <w:spacing w:before="120" w:after="120" w:line="360" w:lineRule="auto"/>
      </w:pPr>
      <w:r>
        <w:rPr>
          <w:rFonts w:hint="eastAsia"/>
        </w:rPr>
        <w:t>绩效考核与责任追究</w:t>
      </w:r>
    </w:p>
    <w:p w14:paraId="37135796">
      <w:pPr>
        <w:pStyle w:val="56"/>
        <w:spacing w:line="360" w:lineRule="auto"/>
        <w:ind w:firstLine="420"/>
      </w:pPr>
      <w:r>
        <w:rPr>
          <w:rFonts w:hint="eastAsia"/>
        </w:rPr>
        <w:t>联合调度应建立与职责分工相匹配的绩效考核机制，将关键指标达标情况、指令执行闭环率、数据报送及时率与质量、应急响应时效等纳入考核。对因拒不执行调度令、擅自改变控制动作、虚报瞒报数据、延误处置导致不利后果的，应按有关规定进行责任追究；对在保障通航安全、供水安全、生态底线与应急处置中表现突出的单位和个人，可按规定予以通报表扬或激励。</w:t>
      </w:r>
    </w:p>
    <w:p w14:paraId="211CA0B8">
      <w:pPr>
        <w:pStyle w:val="105"/>
        <w:spacing w:before="120" w:after="120" w:line="360" w:lineRule="auto"/>
      </w:pPr>
      <w:r>
        <w:rPr>
          <w:rFonts w:hint="eastAsia"/>
        </w:rPr>
        <w:t>信息公开与社会监督</w:t>
      </w:r>
    </w:p>
    <w:p w14:paraId="79C5AF43">
      <w:pPr>
        <w:pStyle w:val="56"/>
        <w:spacing w:line="360" w:lineRule="auto"/>
        <w:ind w:firstLine="420"/>
      </w:pPr>
      <w:r>
        <w:rPr>
          <w:rFonts w:hint="eastAsia"/>
        </w:rPr>
        <w:t>在不涉及国家秘密、商业秘密及敏感信息的前提下，联合调度工作机构可按规定适度公开阶段性运行信息与重要风险提示，提升公众知情与社会监督水平。对涉及通航组织、停航限航、取水限制等与公众利益密切相关的信息，应明确发布口径、审批流程、发布渠道与纠错机制，确保信息权威、及时、准确。</w:t>
      </w:r>
    </w:p>
    <w:p w14:paraId="2D08DCEE">
      <w:pPr>
        <w:pStyle w:val="104"/>
        <w:spacing w:before="240" w:after="240" w:line="360" w:lineRule="auto"/>
      </w:pPr>
      <w:bookmarkStart w:id="57" w:name="_Toc219117764"/>
      <w:r>
        <w:rPr>
          <w:rFonts w:hint="eastAsia"/>
        </w:rPr>
        <w:t>应急调度与典型事件处置</w:t>
      </w:r>
      <w:bookmarkEnd w:id="57"/>
    </w:p>
    <w:p w14:paraId="7B604685">
      <w:pPr>
        <w:pStyle w:val="105"/>
        <w:spacing w:before="120" w:after="120" w:line="360" w:lineRule="auto"/>
      </w:pPr>
      <w:r>
        <w:rPr>
          <w:rFonts w:hint="eastAsia"/>
        </w:rPr>
        <w:t>总则</w:t>
      </w:r>
    </w:p>
    <w:p w14:paraId="02D8ECDD">
      <w:pPr>
        <w:pStyle w:val="56"/>
        <w:spacing w:line="360" w:lineRule="auto"/>
        <w:ind w:firstLine="420"/>
      </w:pPr>
      <w:r>
        <w:rPr>
          <w:rFonts w:hint="eastAsia"/>
        </w:rPr>
        <w:t>应急调度应坚持“底线守护、快速响应、统一指挥、分级处置、协同联动、先控后治”的原则，与地方政府应急预案、防洪预案、水污染事件应急预案、通航应急预案等保持衔接。应急调度应以关键控制断面阈值、预警信息与事件影响评估为触发依据，实施快速会商、快速下达应急调度令、快速执行与反馈核验。</w:t>
      </w:r>
    </w:p>
    <w:p w14:paraId="3BAD82AF">
      <w:pPr>
        <w:pStyle w:val="105"/>
        <w:spacing w:before="120" w:after="120" w:line="360" w:lineRule="auto"/>
      </w:pPr>
      <w:r>
        <w:rPr>
          <w:rFonts w:hint="eastAsia"/>
        </w:rPr>
        <w:t>应急分级与启动条件</w:t>
      </w:r>
    </w:p>
    <w:p w14:paraId="6E51A4FC">
      <w:pPr>
        <w:pStyle w:val="165"/>
        <w:spacing w:line="360" w:lineRule="auto"/>
      </w:pPr>
      <w:r>
        <w:rPr>
          <w:rFonts w:hint="eastAsia"/>
        </w:rPr>
        <w:t>应急调度分级宜结合风险类型与影响程度设置分级响应。启动条件应至少覆盖：</w:t>
      </w:r>
    </w:p>
    <w:p w14:paraId="4D334817">
      <w:pPr>
        <w:pStyle w:val="56"/>
        <w:spacing w:line="360" w:lineRule="auto"/>
        <w:ind w:firstLine="420"/>
      </w:pPr>
      <w:r>
        <w:rPr>
          <w:rFonts w:hint="eastAsia"/>
        </w:rPr>
        <w:t>a) 枯水风险：上游来水显著偏枯、关键控制断面水位持续下行并逼近通航或供水底线；</w:t>
      </w:r>
    </w:p>
    <w:p w14:paraId="43616D9A">
      <w:pPr>
        <w:pStyle w:val="56"/>
        <w:spacing w:line="360" w:lineRule="auto"/>
        <w:ind w:firstLine="420"/>
      </w:pPr>
      <w:r>
        <w:rPr>
          <w:rFonts w:hint="eastAsia"/>
        </w:rPr>
        <w:t>b) 洪水风险：暴雨洪水预报显示关键断面水位将接近或超过控制线，或工程运行安全存在风险；</w:t>
      </w:r>
    </w:p>
    <w:p w14:paraId="0BB67F38">
      <w:pPr>
        <w:pStyle w:val="56"/>
        <w:spacing w:line="360" w:lineRule="auto"/>
        <w:ind w:firstLine="420"/>
      </w:pPr>
      <w:r>
        <w:rPr>
          <w:rFonts w:hint="eastAsia"/>
        </w:rPr>
        <w:t>c) 咸潮风险：下游潮汐预报显示盐度将对取水安全构成威胁；</w:t>
      </w:r>
    </w:p>
    <w:p w14:paraId="733B4BC0">
      <w:pPr>
        <w:pStyle w:val="56"/>
        <w:spacing w:line="360" w:lineRule="auto"/>
        <w:ind w:firstLine="420"/>
      </w:pPr>
      <w:r>
        <w:rPr>
          <w:rFonts w:hint="eastAsia"/>
        </w:rPr>
        <w:t>d) 水质风险：关键水质指标异常上升或发生突发污染事件；</w:t>
      </w:r>
    </w:p>
    <w:p w14:paraId="44D5FEBC">
      <w:pPr>
        <w:pStyle w:val="56"/>
        <w:spacing w:line="360" w:lineRule="auto"/>
        <w:ind w:firstLine="420"/>
      </w:pPr>
      <w:r>
        <w:rPr>
          <w:rFonts w:hint="eastAsia"/>
        </w:rPr>
        <w:t>e) 工程与系统风险：船闸、闸门、泵站等关键设备故障或通信中断影响调度执行；</w:t>
      </w:r>
    </w:p>
    <w:p w14:paraId="34534FD7">
      <w:pPr>
        <w:pStyle w:val="56"/>
        <w:spacing w:line="360" w:lineRule="auto"/>
        <w:ind w:firstLine="420"/>
      </w:pPr>
      <w:r>
        <w:rPr>
          <w:rFonts w:hint="eastAsia"/>
        </w:rPr>
        <w:t>f) 其他需要启动应急调度的情形。</w:t>
      </w:r>
    </w:p>
    <w:p w14:paraId="318A9855">
      <w:pPr>
        <w:pStyle w:val="165"/>
        <w:spacing w:line="360" w:lineRule="auto"/>
      </w:pPr>
      <w:r>
        <w:rPr>
          <w:rFonts w:hint="eastAsia"/>
        </w:rPr>
        <w:t>启动后应明确应急指挥链路、会商机制、信息报送频次与现场处置要求，并对通航组织、取水限制、生态补水与应急水源启用等措施进行统筹安排。</w:t>
      </w:r>
    </w:p>
    <w:p w14:paraId="5B5A6D36">
      <w:pPr>
        <w:pStyle w:val="105"/>
        <w:spacing w:before="120" w:after="120" w:line="360" w:lineRule="auto"/>
      </w:pPr>
      <w:r>
        <w:rPr>
          <w:rFonts w:hint="eastAsia"/>
        </w:rPr>
        <w:t>枯水应急调度</w:t>
      </w:r>
    </w:p>
    <w:p w14:paraId="42F0D0CE">
      <w:pPr>
        <w:pStyle w:val="56"/>
        <w:spacing w:line="360" w:lineRule="auto"/>
        <w:ind w:firstLine="420"/>
      </w:pPr>
      <w:r>
        <w:rPr>
          <w:rFonts w:hint="eastAsia"/>
        </w:rPr>
        <w:t>枯水应急调度应以“保供水—保通航底线—保生态基流底线”为基本序列，实施以下措施的组合优化：</w:t>
      </w:r>
    </w:p>
    <w:p w14:paraId="2B8740A9">
      <w:pPr>
        <w:pStyle w:val="56"/>
        <w:spacing w:line="360" w:lineRule="auto"/>
        <w:ind w:firstLine="420"/>
      </w:pPr>
      <w:r>
        <w:rPr>
          <w:rFonts w:hint="eastAsia"/>
        </w:rPr>
        <w:t>a) 用水需求压减与错峰：按重要程度对用水进行分级保障，必要时实施计划限供与错峰取水；</w:t>
      </w:r>
    </w:p>
    <w:p w14:paraId="7EC8545B">
      <w:pPr>
        <w:pStyle w:val="56"/>
        <w:spacing w:line="360" w:lineRule="auto"/>
        <w:ind w:firstLine="420"/>
      </w:pPr>
      <w:r>
        <w:rPr>
          <w:rFonts w:hint="eastAsia"/>
        </w:rPr>
        <w:t>b) 船闸节水运行：根据船舶流量与过闸组织实施集中过闸、优化闸次、节水工况等措施，降低船闸用水强度；</w:t>
      </w:r>
    </w:p>
    <w:p w14:paraId="66591367">
      <w:pPr>
        <w:pStyle w:val="56"/>
        <w:spacing w:line="360" w:lineRule="auto"/>
        <w:ind w:firstLine="420"/>
      </w:pPr>
      <w:r>
        <w:rPr>
          <w:rFonts w:hint="eastAsia"/>
        </w:rPr>
        <w:t>c) 补水与调水：优先启用既定补水水源与调水通道，明确补水流量、补水时段与目标断面控制值；</w:t>
      </w:r>
    </w:p>
    <w:p w14:paraId="024A4970">
      <w:pPr>
        <w:pStyle w:val="56"/>
        <w:spacing w:line="360" w:lineRule="auto"/>
        <w:ind w:firstLine="420"/>
      </w:pPr>
      <w:r>
        <w:rPr>
          <w:rFonts w:hint="eastAsia"/>
        </w:rPr>
        <w:t>d) 生态底线守护：生态基流出现长期不达标风险时，应通过优化取水、压减非刚性用水、实施生态补水等措施守护底线；</w:t>
      </w:r>
    </w:p>
    <w:p w14:paraId="5D8835B5">
      <w:pPr>
        <w:pStyle w:val="56"/>
        <w:spacing w:line="360" w:lineRule="auto"/>
        <w:ind w:firstLine="420"/>
      </w:pPr>
      <w:r>
        <w:rPr>
          <w:rFonts w:hint="eastAsia"/>
        </w:rPr>
        <w:t>e) 升级会商与动态调整：枯水过程具有不确定性，应实施滚动预测与滚动会商，必要时升级为更高等级响应。</w:t>
      </w:r>
    </w:p>
    <w:p w14:paraId="5DC97E82">
      <w:pPr>
        <w:pStyle w:val="56"/>
        <w:spacing w:line="360" w:lineRule="auto"/>
        <w:ind w:firstLine="199" w:firstLineChars="95"/>
        <w:rPr>
          <w:rFonts w:hint="eastAsia"/>
        </w:rPr>
      </w:pPr>
    </w:p>
    <w:p w14:paraId="753E0205">
      <w:pPr>
        <w:pStyle w:val="105"/>
        <w:spacing w:before="120" w:after="120" w:line="360" w:lineRule="auto"/>
      </w:pPr>
      <w:r>
        <w:rPr>
          <w:rFonts w:hint="eastAsia"/>
        </w:rPr>
        <w:t>洪水应急调度</w:t>
      </w:r>
    </w:p>
    <w:p w14:paraId="4B02C6F9">
      <w:pPr>
        <w:pStyle w:val="56"/>
        <w:spacing w:line="360" w:lineRule="auto"/>
        <w:ind w:firstLine="420"/>
      </w:pPr>
      <w:r>
        <w:rPr>
          <w:rFonts w:hint="eastAsia"/>
        </w:rPr>
        <w:t>洪水应急调度应以防洪安全为底线，兼顾通航安全与工程安全，重点措施包括：</w:t>
      </w:r>
    </w:p>
    <w:p w14:paraId="44982ABA">
      <w:pPr>
        <w:pStyle w:val="56"/>
        <w:spacing w:line="360" w:lineRule="auto"/>
        <w:ind w:firstLine="420"/>
      </w:pPr>
      <w:r>
        <w:rPr>
          <w:rFonts w:hint="eastAsia"/>
        </w:rPr>
        <w:t>a) 预泄预腾：在满足下游防洪约束与工程安全前提下，提前采取预调预控措施降低洪峰期间风险；</w:t>
      </w:r>
    </w:p>
    <w:p w14:paraId="1CAC0D78">
      <w:pPr>
        <w:pStyle w:val="56"/>
        <w:spacing w:line="360" w:lineRule="auto"/>
        <w:ind w:firstLine="420"/>
      </w:pPr>
      <w:r>
        <w:rPr>
          <w:rFonts w:hint="eastAsia"/>
        </w:rPr>
        <w:t>b) 运行工况约束：明确船闸、闸门、泵站等设施的安全工况边界，必要时实施停航限航与封航管理；</w:t>
      </w:r>
    </w:p>
    <w:p w14:paraId="0F8D7DA7">
      <w:pPr>
        <w:pStyle w:val="56"/>
        <w:spacing w:line="360" w:lineRule="auto"/>
        <w:ind w:firstLine="420"/>
      </w:pPr>
      <w:r>
        <w:rPr>
          <w:rFonts w:hint="eastAsia"/>
        </w:rPr>
        <w:t>c) 风险监测加密：加密水雨情监测与巡查，重点关注堤防、护岸、关键建筑物及易险段；</w:t>
      </w:r>
    </w:p>
    <w:p w14:paraId="421A26F7">
      <w:pPr>
        <w:pStyle w:val="56"/>
        <w:spacing w:line="360" w:lineRule="auto"/>
        <w:ind w:firstLine="420"/>
      </w:pPr>
      <w:r>
        <w:rPr>
          <w:rFonts w:hint="eastAsia"/>
        </w:rPr>
        <w:t>d) 应急联动：与地方防汛指挥体系联动，统一信息发布与指挥口径；</w:t>
      </w:r>
    </w:p>
    <w:p w14:paraId="4CF520B8">
      <w:pPr>
        <w:pStyle w:val="56"/>
        <w:spacing w:line="360" w:lineRule="auto"/>
        <w:ind w:firstLine="420"/>
      </w:pPr>
      <w:r>
        <w:rPr>
          <w:rFonts w:hint="eastAsia"/>
        </w:rPr>
        <w:t>e) 恢复策略：洪水过后应评估航道水深与流态、设施受损情况与水质状况，满足安全条件后分阶段恢复通航与常态取水。</w:t>
      </w:r>
    </w:p>
    <w:p w14:paraId="3CD7D40D">
      <w:pPr>
        <w:pStyle w:val="105"/>
        <w:spacing w:before="120" w:after="120" w:line="360" w:lineRule="auto"/>
      </w:pPr>
      <w:r>
        <w:rPr>
          <w:rFonts w:hint="eastAsia"/>
        </w:rPr>
        <w:t>咸潮应急调度</w:t>
      </w:r>
    </w:p>
    <w:p w14:paraId="780DC586">
      <w:pPr>
        <w:pStyle w:val="56"/>
        <w:spacing w:line="360" w:lineRule="auto"/>
        <w:ind w:firstLine="420"/>
      </w:pPr>
      <w:r>
        <w:rPr>
          <w:rFonts w:hint="eastAsia"/>
        </w:rPr>
        <w:t>咸潮应急调度应围绕“取水安全优先、通航底线兼顾、系统联动控制”组织实施：</w:t>
      </w:r>
    </w:p>
    <w:p w14:paraId="435FA3A2">
      <w:pPr>
        <w:pStyle w:val="56"/>
        <w:spacing w:line="360" w:lineRule="auto"/>
        <w:ind w:firstLine="420"/>
      </w:pPr>
      <w:r>
        <w:rPr>
          <w:rFonts w:hint="eastAsia"/>
        </w:rPr>
        <w:t>a) 预警前置：依据咸潮预报与实测盐度变化趋势，提前启动临时会商与滚动推演；</w:t>
      </w:r>
    </w:p>
    <w:p w14:paraId="471564BA">
      <w:pPr>
        <w:pStyle w:val="56"/>
        <w:spacing w:line="360" w:lineRule="auto"/>
        <w:ind w:firstLine="420"/>
      </w:pPr>
      <w:r>
        <w:rPr>
          <w:rFonts w:hint="eastAsia"/>
        </w:rPr>
        <w:t>b) 控制断面守护：对取水安全控制断面设置更严格的预警阈值与行动阈值，必要时实施临时增流压咸或调整工程控制动作；</w:t>
      </w:r>
    </w:p>
    <w:p w14:paraId="1AC61C79">
      <w:pPr>
        <w:pStyle w:val="56"/>
        <w:spacing w:line="360" w:lineRule="auto"/>
        <w:ind w:firstLine="420"/>
      </w:pPr>
      <w:r>
        <w:rPr>
          <w:rFonts w:hint="eastAsia"/>
        </w:rPr>
        <w:t>c) 取水策略调整：在盐度上升阶段采取错峰取水、降低取水强度、启用备用水源或应急水源；</w:t>
      </w:r>
    </w:p>
    <w:p w14:paraId="3D3F0CD3">
      <w:pPr>
        <w:pStyle w:val="56"/>
        <w:spacing w:line="360" w:lineRule="auto"/>
        <w:ind w:firstLine="420"/>
      </w:pPr>
      <w:r>
        <w:rPr>
          <w:rFonts w:hint="eastAsia"/>
        </w:rPr>
        <w:t>d) 信息协同：与供水企业、生态环境部门及下游相关管理单位同步风险信息，统一发布提示与措施；</w:t>
      </w:r>
    </w:p>
    <w:p w14:paraId="689C0ED0">
      <w:pPr>
        <w:pStyle w:val="56"/>
        <w:spacing w:line="360" w:lineRule="auto"/>
        <w:ind w:firstLine="420"/>
      </w:pPr>
      <w:r>
        <w:rPr>
          <w:rFonts w:hint="eastAsia"/>
        </w:rPr>
        <w:t>e) 解除条件：当盐度恢复至安全阈值以下并稳定一定时段后，按程序解除应急响应并复盘评估。</w:t>
      </w:r>
    </w:p>
    <w:p w14:paraId="513BA77B">
      <w:pPr>
        <w:pStyle w:val="105"/>
        <w:spacing w:before="120" w:after="120" w:line="360" w:lineRule="auto"/>
      </w:pPr>
      <w:r>
        <w:rPr>
          <w:rFonts w:hint="eastAsia"/>
        </w:rPr>
        <w:t>突发水污染事件应急调度</w:t>
      </w:r>
    </w:p>
    <w:p w14:paraId="7AE7868B">
      <w:pPr>
        <w:pStyle w:val="56"/>
        <w:spacing w:line="360" w:lineRule="auto"/>
        <w:ind w:firstLine="420"/>
      </w:pPr>
      <w:r>
        <w:rPr>
          <w:rFonts w:hint="eastAsia"/>
        </w:rPr>
        <w:t>突发水污染事件应急调度应坚持“先控源、再控水、保安全、促恢复”的处置逻辑：</w:t>
      </w:r>
    </w:p>
    <w:p w14:paraId="1F217391">
      <w:pPr>
        <w:pStyle w:val="56"/>
        <w:spacing w:line="360" w:lineRule="auto"/>
        <w:ind w:firstLine="420"/>
      </w:pPr>
      <w:r>
        <w:rPr>
          <w:rFonts w:hint="eastAsia"/>
        </w:rPr>
        <w:t>a) 快速识别与分级：基于监测报警、企业报送或现场发现，快速识别污染物类型、影响河段与扩散趋势；</w:t>
      </w:r>
    </w:p>
    <w:p w14:paraId="615B38E5">
      <w:pPr>
        <w:pStyle w:val="56"/>
        <w:spacing w:line="360" w:lineRule="auto"/>
        <w:ind w:firstLine="420"/>
      </w:pPr>
      <w:r>
        <w:rPr>
          <w:rFonts w:hint="eastAsia"/>
        </w:rPr>
        <w:t>b) 取水安全保障：对受影响取水口实施临时停取、错峰取或切换备用水源，必要时发布用水安全提示；</w:t>
      </w:r>
    </w:p>
    <w:p w14:paraId="03A2A461">
      <w:pPr>
        <w:pStyle w:val="56"/>
        <w:spacing w:line="360" w:lineRule="auto"/>
        <w:ind w:firstLine="420"/>
      </w:pPr>
      <w:r>
        <w:rPr>
          <w:rFonts w:hint="eastAsia"/>
        </w:rPr>
        <w:t>c) 工程联动控制：通过闸门/泵站调控改变水力条件以控制污染扩散（在不违反防洪与工程安全约束前提下），必要时实施应急补水稀释或隔离；</w:t>
      </w:r>
    </w:p>
    <w:p w14:paraId="1188C208">
      <w:pPr>
        <w:pStyle w:val="56"/>
        <w:spacing w:line="360" w:lineRule="auto"/>
        <w:ind w:firstLine="420"/>
      </w:pPr>
      <w:r>
        <w:rPr>
          <w:rFonts w:hint="eastAsia"/>
        </w:rPr>
        <w:t>d) 监测加密与溯源协同：加密水质监测频次与断面布设，配合生态环境部门开展溯源与处置；</w:t>
      </w:r>
    </w:p>
    <w:p w14:paraId="06CA9C49">
      <w:pPr>
        <w:pStyle w:val="56"/>
        <w:spacing w:line="360" w:lineRule="auto"/>
        <w:ind w:firstLine="420"/>
      </w:pPr>
      <w:r>
        <w:rPr>
          <w:rFonts w:hint="eastAsia"/>
        </w:rPr>
        <w:t>e) 恢复与评估：污染事件结束后应开展水质恢复评估、生态影响初步评估与调度策略复盘，形成改进清单。</w:t>
      </w:r>
    </w:p>
    <w:p w14:paraId="4227C7B9">
      <w:pPr>
        <w:pStyle w:val="105"/>
        <w:spacing w:before="120" w:after="120" w:line="360" w:lineRule="auto"/>
      </w:pPr>
      <w:r>
        <w:rPr>
          <w:rFonts w:hint="eastAsia"/>
        </w:rPr>
        <w:t>关键设备故障与通信中断应急处置</w:t>
      </w:r>
    </w:p>
    <w:p w14:paraId="776258C2">
      <w:pPr>
        <w:pStyle w:val="56"/>
        <w:spacing w:line="360" w:lineRule="auto"/>
        <w:ind w:firstLine="420"/>
      </w:pPr>
      <w:r>
        <w:rPr>
          <w:rFonts w:hint="eastAsia"/>
        </w:rPr>
        <w:t>当发生船闸、闸门、泵站等关键设备故障，或调度通信中断影响执行时，应：</w:t>
      </w:r>
    </w:p>
    <w:p w14:paraId="12F3FBD9">
      <w:pPr>
        <w:pStyle w:val="56"/>
        <w:spacing w:line="360" w:lineRule="auto"/>
        <w:ind w:firstLine="420"/>
      </w:pPr>
      <w:r>
        <w:rPr>
          <w:rFonts w:hint="eastAsia"/>
        </w:rPr>
        <w:t>a) 启动应急运行工况：按预设应急运行规程实施安全停机、切换备用设备或采用替代控制动作；</w:t>
      </w:r>
    </w:p>
    <w:p w14:paraId="35116091">
      <w:pPr>
        <w:pStyle w:val="56"/>
        <w:spacing w:line="360" w:lineRule="auto"/>
        <w:ind w:firstLine="420"/>
      </w:pPr>
      <w:r>
        <w:rPr>
          <w:rFonts w:hint="eastAsia"/>
        </w:rPr>
        <w:t>b) 启用替代指令链路：使用备用通信渠道（专线、卫星、应急无线电等）确保调度令可达；</w:t>
      </w:r>
    </w:p>
    <w:p w14:paraId="76B25F02">
      <w:pPr>
        <w:pStyle w:val="56"/>
        <w:spacing w:line="360" w:lineRule="auto"/>
        <w:ind w:firstLine="420"/>
      </w:pPr>
      <w:r>
        <w:rPr>
          <w:rFonts w:hint="eastAsia"/>
        </w:rPr>
        <w:t>c) 现场核验与人工接管：对关键点位实施人工监测与人工操作接管，确保底线指标可控；</w:t>
      </w:r>
    </w:p>
    <w:p w14:paraId="33F3C2BE">
      <w:pPr>
        <w:pStyle w:val="56"/>
        <w:spacing w:line="360" w:lineRule="auto"/>
        <w:ind w:firstLine="420"/>
      </w:pPr>
      <w:r>
        <w:rPr>
          <w:rFonts w:hint="eastAsia"/>
        </w:rPr>
        <w:t>d) 快速抢修与恢复：明确抢修责任单位、备品备件与到场时限，形成抢修过程留痕与恢复验收记录；</w:t>
      </w:r>
    </w:p>
    <w:p w14:paraId="487EF01D">
      <w:pPr>
        <w:pStyle w:val="56"/>
        <w:spacing w:line="360" w:lineRule="auto"/>
        <w:ind w:firstLine="420"/>
      </w:pPr>
      <w:r>
        <w:rPr>
          <w:rFonts w:hint="eastAsia"/>
        </w:rPr>
        <w:t>e) 复盘改进：对故障原因、响应时效与影响进行复盘，优化冗余配置与维护计划。</w:t>
      </w:r>
    </w:p>
    <w:p w14:paraId="33303110">
      <w:pPr>
        <w:pStyle w:val="105"/>
        <w:spacing w:before="120" w:after="120" w:line="360" w:lineRule="auto"/>
      </w:pPr>
      <w:r>
        <w:rPr>
          <w:rFonts w:hint="eastAsia"/>
        </w:rPr>
        <w:t>应急资源与保障</w:t>
      </w:r>
    </w:p>
    <w:p w14:paraId="042795B6">
      <w:pPr>
        <w:pStyle w:val="56"/>
        <w:spacing w:line="360" w:lineRule="auto"/>
        <w:ind w:firstLine="420"/>
      </w:pPr>
      <w:r>
        <w:rPr>
          <w:rFonts w:hint="eastAsia"/>
        </w:rPr>
        <w:t>应急调度应建立应急资源清单，至少包括备用水源、应急取水点、应急监测设备、移动泵站、应急发电与通信装备、应急物资与抢修队伍等，并明确调配流程与联络机制。应急资源应定期盘点与演练。</w:t>
      </w:r>
    </w:p>
    <w:p w14:paraId="0CFF1E8D">
      <w:pPr>
        <w:pStyle w:val="105"/>
        <w:spacing w:before="120" w:after="120" w:line="360" w:lineRule="auto"/>
      </w:pPr>
      <w:r>
        <w:rPr>
          <w:rFonts w:hint="eastAsia"/>
        </w:rPr>
        <w:t>应急结束与恢复运行</w:t>
      </w:r>
    </w:p>
    <w:p w14:paraId="6D35A17D">
      <w:pPr>
        <w:pStyle w:val="56"/>
        <w:spacing w:line="360" w:lineRule="auto"/>
        <w:ind w:firstLine="420"/>
      </w:pPr>
      <w:r>
        <w:rPr>
          <w:rFonts w:hint="eastAsia"/>
        </w:rPr>
        <w:t>应急结束应满足事件风险解除、关键指标恢复至控制范围并稳定、工程设施安全可用等条件。结束后应按程序恢复常态调度，并在规定时限内形成应急处置总结与复盘报告，完善预案与流程节点。</w:t>
      </w:r>
    </w:p>
    <w:p w14:paraId="1385FBCA">
      <w:pPr>
        <w:pStyle w:val="104"/>
        <w:spacing w:before="240" w:after="240" w:line="360" w:lineRule="auto"/>
      </w:pPr>
      <w:bookmarkStart w:id="58" w:name="_Toc219117765"/>
      <w:r>
        <w:rPr>
          <w:rFonts w:hint="eastAsia"/>
        </w:rPr>
        <w:t>培训演练与持续改进</w:t>
      </w:r>
      <w:bookmarkEnd w:id="58"/>
    </w:p>
    <w:p w14:paraId="1DC81A6D">
      <w:pPr>
        <w:pStyle w:val="105"/>
        <w:spacing w:before="120" w:after="120" w:line="360" w:lineRule="auto"/>
      </w:pPr>
      <w:r>
        <w:rPr>
          <w:rFonts w:hint="eastAsia"/>
        </w:rPr>
        <w:t>能力建设与岗位培训</w:t>
      </w:r>
    </w:p>
    <w:p w14:paraId="4B9E8744">
      <w:pPr>
        <w:pStyle w:val="56"/>
        <w:spacing w:line="360" w:lineRule="auto"/>
        <w:ind w:firstLine="420"/>
      </w:pPr>
      <w:r>
        <w:rPr>
          <w:rFonts w:hint="eastAsia"/>
        </w:rPr>
        <w:t>联合调度相关单位应建立岗位能力模型与培训计划，重点培训内容包括：调度规则与流程、关键控制指标与阈值体系、调度信息平台操作、模型推演与结果解读、应急响应与协同联动、数据质量控制与网络安全要求等。关键岗位人员应实行持证上岗或经考核上岗，并建立岗位轮训与交叉培训机制，降低人员变动对调度能力的影响。</w:t>
      </w:r>
    </w:p>
    <w:p w14:paraId="014759DA">
      <w:pPr>
        <w:pStyle w:val="105"/>
        <w:spacing w:before="120" w:after="120" w:line="360" w:lineRule="auto"/>
      </w:pPr>
      <w:r>
        <w:rPr>
          <w:rFonts w:hint="eastAsia"/>
        </w:rPr>
        <w:t>演练制度</w:t>
      </w:r>
    </w:p>
    <w:p w14:paraId="4ADF8433">
      <w:pPr>
        <w:pStyle w:val="56"/>
        <w:spacing w:line="360" w:lineRule="auto"/>
        <w:ind w:firstLine="420"/>
      </w:pPr>
      <w:r>
        <w:rPr>
          <w:rFonts w:hint="eastAsia"/>
        </w:rPr>
        <w:t>联合调度应建立常态化演练制度，演练类型宜包括桌面推演、半实战演练与实战演练。演练场景宜覆盖枯水保供保通航、洪水防洪与停航恢复、咸潮压咸与取水保障、突发水污染事件、关键设备故障与通信中断等。演练应形成评估报告，明确问题清单与整改闭环。</w:t>
      </w:r>
    </w:p>
    <w:p w14:paraId="48F2222A">
      <w:pPr>
        <w:pStyle w:val="105"/>
        <w:spacing w:before="120" w:after="120" w:line="360" w:lineRule="auto"/>
      </w:pPr>
      <w:r>
        <w:rPr>
          <w:rFonts w:hint="eastAsia"/>
        </w:rPr>
        <w:t>持续改进与文件更新</w:t>
      </w:r>
    </w:p>
    <w:p w14:paraId="2D9D4C12">
      <w:pPr>
        <w:pStyle w:val="56"/>
        <w:spacing w:line="360" w:lineRule="auto"/>
        <w:ind w:firstLine="420"/>
      </w:pPr>
      <w:r>
        <w:rPr>
          <w:rFonts w:hint="eastAsia"/>
        </w:rPr>
        <w:t>联合调度应基于年度综合评价、事件复盘、演练评估与监督检查结果，形成制度化持续改进机制。对调度目标体系、阈值设置、流程节点、数据共享清单、模型参数与应急资源配置等应定期审查并更新。文件更新应进行版本管理，明确生效日期、替代关系与宣贯要求。</w:t>
      </w:r>
    </w:p>
    <w:p w14:paraId="25DA9A9D">
      <w:pPr>
        <w:pStyle w:val="56"/>
        <w:spacing w:line="360" w:lineRule="auto"/>
        <w:ind w:firstLine="420"/>
      </w:pPr>
    </w:p>
    <w:p w14:paraId="7B895CBD">
      <w:pPr>
        <w:pStyle w:val="56"/>
        <w:spacing w:line="360" w:lineRule="auto"/>
        <w:ind w:firstLine="420"/>
      </w:pPr>
    </w:p>
    <w:p w14:paraId="20FF08B1">
      <w:pPr>
        <w:pStyle w:val="56"/>
        <w:spacing w:line="360" w:lineRule="auto"/>
        <w:ind w:firstLine="420"/>
        <w:rPr>
          <w:rFonts w:hint="eastAsia"/>
        </w:rPr>
      </w:pPr>
    </w:p>
    <w:p w14:paraId="1E17E946">
      <w:pPr>
        <w:pStyle w:val="104"/>
        <w:spacing w:before="240" w:after="240" w:line="360" w:lineRule="auto"/>
      </w:pPr>
      <w:bookmarkStart w:id="59" w:name="_Toc219117766"/>
      <w:r>
        <w:rPr>
          <w:rFonts w:hint="eastAsia"/>
        </w:rPr>
        <w:t>附则</w:t>
      </w:r>
      <w:bookmarkEnd w:id="59"/>
    </w:p>
    <w:p w14:paraId="5F7458F7">
      <w:pPr>
        <w:pStyle w:val="105"/>
        <w:spacing w:before="120" w:after="120" w:line="360" w:lineRule="auto"/>
      </w:pPr>
      <w:r>
        <w:rPr>
          <w:rFonts w:hint="eastAsia"/>
        </w:rPr>
        <w:t>实施与解释</w:t>
      </w:r>
    </w:p>
    <w:p w14:paraId="677DD8BC">
      <w:pPr>
        <w:pStyle w:val="56"/>
        <w:spacing w:line="360" w:lineRule="auto"/>
        <w:ind w:firstLine="420"/>
      </w:pPr>
      <w:r>
        <w:rPr>
          <w:rFonts w:hint="eastAsia"/>
        </w:rPr>
        <w:t>本文件由平陆运河水资源联合调度牵头单位组织实施并负责解释。各相关单位应依据本文件建立本单位内部配套制度与操作规程，并与本文件保持一致。</w:t>
      </w:r>
    </w:p>
    <w:p w14:paraId="67E953E9">
      <w:pPr>
        <w:pStyle w:val="105"/>
        <w:spacing w:before="120" w:after="120" w:line="360" w:lineRule="auto"/>
      </w:pPr>
      <w:r>
        <w:rPr>
          <w:rFonts w:hint="eastAsia"/>
        </w:rPr>
        <w:t>与其他文件的衔接</w:t>
      </w:r>
    </w:p>
    <w:p w14:paraId="56C8580D">
      <w:pPr>
        <w:pStyle w:val="56"/>
        <w:spacing w:line="360" w:lineRule="auto"/>
        <w:ind w:firstLine="420"/>
      </w:pPr>
      <w:r>
        <w:rPr>
          <w:rFonts w:hint="eastAsia"/>
        </w:rPr>
        <w:t>当国家法律法规、地方性法规及行政主管部门政策文件对相关事项有新规定时，应按最新规定执行；本文件相关条款应适时修订以保持一致性。与既有调度方案、应急预案存在差异时，应以依法依规、底线优先、统一指令为原则，按程序协调一致后执行。</w:t>
      </w:r>
    </w:p>
    <w:p w14:paraId="285226B2">
      <w:pPr>
        <w:pStyle w:val="56"/>
        <w:ind w:firstLine="420"/>
      </w:pPr>
    </w:p>
    <w:p w14:paraId="684DC6B9">
      <w:pPr>
        <w:pStyle w:val="56"/>
        <w:ind w:firstLine="420"/>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p>
    <w:bookmarkEnd w:id="26"/>
    <w:p w14:paraId="43A6333A">
      <w:pPr>
        <w:pStyle w:val="198"/>
      </w:pPr>
      <w:bookmarkStart w:id="60" w:name="BookMark5"/>
    </w:p>
    <w:p w14:paraId="719559C1">
      <w:pPr>
        <w:pStyle w:val="199"/>
      </w:pPr>
    </w:p>
    <w:p w14:paraId="1DFC7D4D">
      <w:pPr>
        <w:pStyle w:val="76"/>
        <w:spacing w:after="120" w:line="360" w:lineRule="auto"/>
      </w:pPr>
      <w:r>
        <w:br w:type="textWrapping"/>
      </w:r>
      <w:bookmarkStart w:id="61" w:name="_Toc219117767"/>
      <w:r>
        <w:rPr>
          <w:rFonts w:hint="eastAsia"/>
        </w:rPr>
        <w:t>（资料性）</w:t>
      </w:r>
      <w:r>
        <w:br w:type="textWrapping"/>
      </w:r>
      <w:r>
        <w:rPr>
          <w:rFonts w:hint="eastAsia"/>
        </w:rPr>
        <w:t>会商纪要模板要素</w:t>
      </w:r>
      <w:bookmarkEnd w:id="61"/>
    </w:p>
    <w:p w14:paraId="2420E9B3">
      <w:pPr>
        <w:pStyle w:val="211"/>
        <w:spacing w:line="360" w:lineRule="auto"/>
      </w:pPr>
      <w:r>
        <w:rPr>
          <w:rFonts w:hint="eastAsia"/>
        </w:rPr>
        <w:t>会商基本信息：时间、地点/平台、主持单位、参会单位与人员。</w:t>
      </w:r>
    </w:p>
    <w:p w14:paraId="1DB23060">
      <w:pPr>
        <w:pStyle w:val="211"/>
        <w:spacing w:line="360" w:lineRule="auto"/>
      </w:pPr>
      <w:r>
        <w:rPr>
          <w:rFonts w:hint="eastAsia"/>
        </w:rPr>
        <w:t>边界条件通报：水雨情与预报、潮汐/咸潮预报、水质状况、用水需求与通航需求、工程工况与限制。</w:t>
      </w:r>
    </w:p>
    <w:p w14:paraId="57F69D21">
      <w:pPr>
        <w:pStyle w:val="211"/>
        <w:spacing w:line="360" w:lineRule="auto"/>
      </w:pPr>
      <w:r>
        <w:rPr>
          <w:rFonts w:hint="eastAsia"/>
        </w:rPr>
        <w:t>风险研判：主要风险点、可能影响、阈值逼近情况、不确定性说明。</w:t>
      </w:r>
    </w:p>
    <w:p w14:paraId="2AF6D50E">
      <w:pPr>
        <w:pStyle w:val="211"/>
        <w:spacing w:line="360" w:lineRule="auto"/>
      </w:pPr>
      <w:r>
        <w:rPr>
          <w:rFonts w:hint="eastAsia"/>
        </w:rPr>
        <w:t>调度建议/决定：目标优先序、拟采取措施、关键控制值、责任分工与时限。</w:t>
      </w:r>
    </w:p>
    <w:p w14:paraId="5A583A4C">
      <w:pPr>
        <w:pStyle w:val="211"/>
        <w:spacing w:line="360" w:lineRule="auto"/>
      </w:pPr>
      <w:r>
        <w:rPr>
          <w:rFonts w:hint="eastAsia"/>
        </w:rPr>
        <w:t>需要协调事项：跨部门协调事项与办理路径。</w:t>
      </w:r>
    </w:p>
    <w:p w14:paraId="46C462BF">
      <w:pPr>
        <w:pStyle w:val="211"/>
        <w:spacing w:line="360" w:lineRule="auto"/>
      </w:pPr>
      <w:r>
        <w:rPr>
          <w:rFonts w:hint="eastAsia"/>
        </w:rPr>
        <w:t>纪要确认与归档：确认方式、纪要编号、归档责任人。</w:t>
      </w:r>
    </w:p>
    <w:p w14:paraId="3D626BE8">
      <w:pPr>
        <w:pStyle w:val="56"/>
        <w:ind w:firstLine="420"/>
      </w:pPr>
    </w:p>
    <w:p w14:paraId="6EE7DBBB">
      <w:pPr>
        <w:pStyle w:val="56"/>
        <w:ind w:firstLine="420"/>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pPr>
    </w:p>
    <w:p w14:paraId="62535BD2">
      <w:pPr>
        <w:pStyle w:val="198"/>
      </w:pPr>
    </w:p>
    <w:p w14:paraId="4E102C07">
      <w:pPr>
        <w:pStyle w:val="199"/>
      </w:pPr>
    </w:p>
    <w:p w14:paraId="663EDFAF">
      <w:pPr>
        <w:pStyle w:val="76"/>
        <w:spacing w:after="120" w:line="360" w:lineRule="auto"/>
      </w:pPr>
      <w:r>
        <w:br w:type="textWrapping"/>
      </w:r>
      <w:bookmarkStart w:id="62" w:name="_Toc219117768"/>
      <w:r>
        <w:rPr>
          <w:rFonts w:hint="eastAsia"/>
        </w:rPr>
        <w:t>（资料性）</w:t>
      </w:r>
      <w:r>
        <w:br w:type="textWrapping"/>
      </w:r>
      <w:r>
        <w:rPr>
          <w:rFonts w:hint="eastAsia"/>
        </w:rPr>
        <w:t>调度令模板要素</w:t>
      </w:r>
      <w:bookmarkEnd w:id="62"/>
    </w:p>
    <w:p w14:paraId="11A6CFC7">
      <w:pPr>
        <w:pStyle w:val="211"/>
        <w:spacing w:line="360" w:lineRule="auto"/>
      </w:pPr>
      <w:r>
        <w:rPr>
          <w:rFonts w:hint="eastAsia"/>
        </w:rPr>
        <w:t>基本信息：调度令编号、类别、发布日期与时间、有效期、密级/公开属性。</w:t>
      </w:r>
    </w:p>
    <w:p w14:paraId="477DB938">
      <w:pPr>
        <w:pStyle w:val="211"/>
        <w:spacing w:line="360" w:lineRule="auto"/>
      </w:pPr>
      <w:r>
        <w:rPr>
          <w:rFonts w:hint="eastAsia"/>
        </w:rPr>
        <w:t>背景与依据：边界条件摘要（来水、潮汐/咸潮、水质、用水需求、工程工况）、会商结论或预案条款引用。</w:t>
      </w:r>
    </w:p>
    <w:p w14:paraId="3D376E76">
      <w:pPr>
        <w:pStyle w:val="211"/>
        <w:spacing w:line="360" w:lineRule="auto"/>
      </w:pPr>
      <w:r>
        <w:rPr>
          <w:rFonts w:hint="eastAsia"/>
        </w:rPr>
        <w:t>目标与约束：需保障的底线指标、关键控制断面控制值、通航与供水控制要求、工程安全约束。</w:t>
      </w:r>
    </w:p>
    <w:p w14:paraId="12958BE6">
      <w:pPr>
        <w:pStyle w:val="211"/>
        <w:spacing w:line="360" w:lineRule="auto"/>
      </w:pPr>
      <w:r>
        <w:rPr>
          <w:rFonts w:hint="eastAsia"/>
        </w:rPr>
        <w:t>调度措施：控制对象、控制动作、控制量、执行次序、关键注意事项。</w:t>
      </w:r>
    </w:p>
    <w:p w14:paraId="0E24A0AB">
      <w:pPr>
        <w:pStyle w:val="211"/>
        <w:spacing w:line="360" w:lineRule="auto"/>
      </w:pPr>
      <w:r>
        <w:rPr>
          <w:rFonts w:hint="eastAsia"/>
        </w:rPr>
        <w:t>执行与回执：执行单位、责任人、签收方式、反馈时限、回执内容要求。</w:t>
      </w:r>
    </w:p>
    <w:p w14:paraId="2E3476BF">
      <w:pPr>
        <w:pStyle w:val="211"/>
        <w:spacing w:line="360" w:lineRule="auto"/>
      </w:pPr>
      <w:r>
        <w:rPr>
          <w:rFonts w:hint="eastAsia"/>
        </w:rPr>
        <w:t>监测核验：重点监测断面与频次、核验方法、异常上报路径。</w:t>
      </w:r>
    </w:p>
    <w:p w14:paraId="21CF3251">
      <w:pPr>
        <w:pStyle w:val="211"/>
        <w:spacing w:line="360" w:lineRule="auto"/>
      </w:pPr>
      <w:r>
        <w:rPr>
          <w:rFonts w:hint="eastAsia"/>
        </w:rPr>
        <w:t>附件：推演结果摘要、关键断面曲线、工况限制说明、应急通信录。</w:t>
      </w:r>
    </w:p>
    <w:bookmarkEnd w:id="60"/>
    <w:p w14:paraId="7F693E4A">
      <w:pPr>
        <w:pStyle w:val="56"/>
        <w:ind w:firstLine="0" w:firstLineChars="0"/>
        <w:jc w:val="center"/>
      </w:pPr>
      <w:bookmarkStart w:id="63" w:name="BookMark8"/>
      <w:r>
        <w:drawing>
          <wp:inline distT="0" distB="0" distL="0" distR="0">
            <wp:extent cx="1485900" cy="317500"/>
            <wp:effectExtent l="0" t="0" r="0" b="6350"/>
            <wp:docPr id="1792879794" name="图片 3"/>
            <wp:cNvGraphicFramePr/>
            <a:graphic xmlns:a="http://schemas.openxmlformats.org/drawingml/2006/main">
              <a:graphicData uri="http://schemas.openxmlformats.org/drawingml/2006/picture">
                <pic:pic xmlns:pic="http://schemas.openxmlformats.org/drawingml/2006/picture">
                  <pic:nvPicPr>
                    <pic:cNvPr id="1792879794" name="图片 3"/>
                    <pic:cNvPicPr/>
                  </pic:nvPicPr>
                  <pic:blipFill>
                    <a:blip r:embed="rId3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3"/>
    </w:p>
    <w:sectPr>
      <w:headerReference r:id="rId30" w:type="default"/>
      <w:footerReference r:id="rId32" w:type="default"/>
      <w:headerReference r:id="rId31" w:type="even"/>
      <w:footerReference r:id="rId33"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9D82">
    <w:pPr>
      <w:pStyle w:val="51"/>
    </w:pPr>
    <w:r>
      <w:fldChar w:fldCharType="begin"/>
    </w:r>
    <w:r>
      <w:instrText xml:space="preserve"> PAGE   \* MERGEFORMAT \* MERGEFORMAT </w:instrText>
    </w:r>
    <w:r>
      <w:fldChar w:fldCharType="separate"/>
    </w:r>
    <w:r>
      <w:t>18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B7F70">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ECAE">
    <w:pPr>
      <w:pStyle w:val="51"/>
    </w:pPr>
    <w:r>
      <w:fldChar w:fldCharType="begin"/>
    </w:r>
    <w:r>
      <w:instrText xml:space="preserve"> PAGE   \* MERGEFORMAT \* MERGEFORMAT </w:instrText>
    </w:r>
    <w:r>
      <w:fldChar w:fldCharType="separate"/>
    </w:r>
    <w:r>
      <w:t>20</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AB430">
    <w:pPr>
      <w:pStyle w:val="52"/>
    </w:pPr>
    <w:r>
      <w:fldChar w:fldCharType="begin"/>
    </w:r>
    <w:r>
      <w:instrText xml:space="preserve">PAGE   \* MERGEFORMAT</w:instrText>
    </w:r>
    <w:r>
      <w:fldChar w:fldCharType="separate"/>
    </w:r>
    <w:r>
      <w:rPr>
        <w:lang w:val="zh-CN"/>
      </w:rPr>
      <w:t>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1742C">
    <w:pPr>
      <w:pStyle w:val="51"/>
    </w:pPr>
    <w:r>
      <w:fldChar w:fldCharType="begin"/>
    </w:r>
    <w:r>
      <w:instrText xml:space="preserve"> PAGE   \* MERGEFORMAT \* MERGEFORMAT </w:instrText>
    </w:r>
    <w:r>
      <w:fldChar w:fldCharType="separate"/>
    </w:r>
    <w: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B6455">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C9F9">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32F5">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9503C">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243BF">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809B7">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D4AAE">
    <w:pPr>
      <w:pStyle w:val="61"/>
    </w:pPr>
    <w:r>
      <w:fldChar w:fldCharType="begin"/>
    </w:r>
    <w:r>
      <w:instrText xml:space="preserve"> STYLEREF  标准文件_文件编号  \* MERGEFORMAT </w:instrText>
    </w:r>
    <w:r>
      <w:fldChar w:fldCharType="separate"/>
    </w:r>
    <w:r>
      <w:t>T/XJBX 0192—2026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B6973">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0192—2026</w:t>
    </w:r>
    <w:r>
      <w:rPr>
        <w:rFonts w:hint="eastAsi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8A88">
    <w:pPr>
      <w:pStyle w:val="61"/>
    </w:pPr>
    <w:r>
      <w:pict>
        <v:shape id="_x0000_s1033" o:spid="_x0000_s1033"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0192—2026</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BB4F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0192—2026</w:t>
    </w:r>
    <w:r>
      <w:rPr>
        <w:rFonts w:hint="eastAsi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BF1C">
    <w:pPr>
      <w:pStyle w:val="61"/>
    </w:pPr>
    <w:r>
      <w:fldChar w:fldCharType="begin"/>
    </w:r>
    <w:r>
      <w:instrText xml:space="preserve"> STYLEREF  标准文件_文件编号  \* MERGEFORMAT </w:instrText>
    </w:r>
    <w:r>
      <w:fldChar w:fldCharType="separate"/>
    </w:r>
    <w:r>
      <w:t>T/XJBX 0192—2026</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154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0192—2026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0192—2026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0192—2026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E9AF3">
    <w:pPr>
      <w:pStyle w:val="61"/>
    </w:pPr>
    <w:r>
      <w:fldChar w:fldCharType="begin"/>
    </w:r>
    <w:r>
      <w:instrText xml:space="preserve"> STYLEREF  标准文件_文件编号  \* MERGEFORMAT </w:instrText>
    </w:r>
    <w:r>
      <w:fldChar w:fldCharType="separate"/>
    </w:r>
    <w:r>
      <w:t>T/XJBX 0192—2026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D9E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0192—2026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3C1B">
    <w:pPr>
      <w:pStyle w:val="61"/>
    </w:pPr>
    <w:r>
      <w:fldChar w:fldCharType="begin"/>
    </w:r>
    <w:r>
      <w:instrText xml:space="preserve"> STYLEREF  标准文件_文件编号  \* MERGEFORMAT </w:instrText>
    </w:r>
    <w:r>
      <w:fldChar w:fldCharType="separate"/>
    </w:r>
    <w:r>
      <w:t>T/XJBX 0192—2026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17603">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0192—2026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185D"/>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5C00"/>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7A0F"/>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37D5"/>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357"/>
    <w:rsid w:val="006F03A8"/>
    <w:rsid w:val="006F2AC1"/>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270"/>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1D04"/>
    <w:rsid w:val="00880CFD"/>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982"/>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638C"/>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4E9"/>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A1F"/>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15BA"/>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012F"/>
    <w:rsid w:val="00EC5359"/>
    <w:rsid w:val="00EC562A"/>
    <w:rsid w:val="00ED067A"/>
    <w:rsid w:val="00ED2B50"/>
    <w:rsid w:val="00EE0350"/>
    <w:rsid w:val="00EE0719"/>
    <w:rsid w:val="00EE0E80"/>
    <w:rsid w:val="00EE2E1E"/>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8470786"/>
    <w:rsid w:val="2B9D1514"/>
    <w:rsid w:val="36010FB1"/>
    <w:rsid w:val="3CEA279F"/>
    <w:rsid w:val="4E6600F3"/>
    <w:rsid w:val="50830AE8"/>
    <w:rsid w:val="710E4D35"/>
    <w:rsid w:val="796C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glossaryDocument" Target="glossary/document.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3.jpeg"/><Relationship Id="rId36" Type="http://schemas.openxmlformats.org/officeDocument/2006/relationships/image" Target="media/image2.png"/><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14.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36684504">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C5CD280">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7670CC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134098"/>
    <w:rsid w:val="00232C79"/>
    <w:rsid w:val="00345C00"/>
    <w:rsid w:val="00483A91"/>
    <w:rsid w:val="005E6634"/>
    <w:rsid w:val="00666F5B"/>
    <w:rsid w:val="007146E1"/>
    <w:rsid w:val="00AE1DC6"/>
    <w:rsid w:val="00C661DA"/>
    <w:rsid w:val="00E51851"/>
    <w:rsid w:val="00F35A8C"/>
    <w:rsid w:val="00F92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8"/>
    <customShpInfo spid="_x0000_s103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29</Pages>
  <Words>16333</Words>
  <Characters>16854</Characters>
  <Lines>135</Lines>
  <Paragraphs>38</Paragraphs>
  <TotalTime>149</TotalTime>
  <ScaleCrop>false</ScaleCrop>
  <LinksUpToDate>false</LinksUpToDate>
  <CharactersWithSpaces>17175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2026-01-15T02:14:19Z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1E475DBB8AD44EFFBAE21CA5A2DD9B77_12</vt:lpwstr>
  </property>
</Properties>
</file>