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33.160.2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33.160.20</w:t>
            </w:r>
            <w:r>
              <w:rPr>
                <w:rFonts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M 70"/>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M 70</w:t>
            </w:r>
            <w:r>
              <w:rPr>
                <w:rFonts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191"/>
            </w:textInput>
          </w:ffData>
        </w:fldChar>
      </w:r>
      <w:bookmarkStart w:id="6" w:name="NSTD_CODE_F"/>
      <w:r>
        <w:instrText xml:space="preserve"> FORMTEXT </w:instrText>
      </w:r>
      <w:r>
        <w:fldChar w:fldCharType="separate"/>
      </w:r>
      <w:r>
        <w:t>0191</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45C74727">
      <w:pPr>
        <w:pStyle w:val="197"/>
        <w:framePr w:h="6974" w:hRule="exact" w:wrap="around" w:x="1419" w:anchorLock="1"/>
      </w:pPr>
      <w:r>
        <w:fldChar w:fldCharType="begin">
          <w:ffData>
            <w:name w:val="CSTD_NAME"/>
            <w:enabled/>
            <w:calcOnExit w:val="0"/>
            <w:textInput>
              <w:default w:val="广播电视传输发射突发故障应急处置与恢复规范"/>
            </w:textInput>
          </w:ffData>
        </w:fldChar>
      </w:r>
      <w:bookmarkStart w:id="9" w:name="CSTD_NAME"/>
      <w:r>
        <w:instrText xml:space="preserve"> FORMTEXT </w:instrText>
      </w:r>
      <w:r>
        <w:fldChar w:fldCharType="separate"/>
      </w:r>
      <w:r>
        <w:t>广播电视传输发射突发故障应急处置</w:t>
      </w:r>
    </w:p>
    <w:p w14:paraId="73594FE6">
      <w:pPr>
        <w:pStyle w:val="197"/>
        <w:framePr w:h="6974" w:hRule="exact" w:wrap="around" w:x="1419" w:anchorLock="1"/>
      </w:pPr>
      <w:r>
        <w:t>与恢复规范</w:t>
      </w:r>
      <w: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Specification for emergency handling and recovery of sudden failures in radio and television transmission and broadcasting"/>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emergency handling and recovery of sudden failures in radio and television transmission and broadcasting</w:t>
      </w:r>
      <w:r>
        <w:rPr>
          <w:rFonts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7DD5EB11">
      <w:pPr>
        <w:pStyle w:val="91"/>
        <w:spacing w:after="360"/>
      </w:pPr>
      <w:bookmarkStart w:id="21" w:name="BookMark1"/>
      <w:r>
        <w:rPr>
          <w:rFonts w:hint="eastAsia"/>
          <w:spacing w:val="320"/>
        </w:rPr>
        <w:t>目</w:t>
      </w:r>
      <w:r>
        <w:rPr>
          <w:rFonts w:hint="eastAsia"/>
        </w:rPr>
        <w:t>次</w:t>
      </w:r>
    </w:p>
    <w:p w14:paraId="0B8D18A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"_Toc219116509"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_Toc219116509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3EF7C56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"_Toc219116510"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_Toc219116510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425C576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"_Toc219116511"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_Toc219116511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B93097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"_Toc219116512"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_Toc219116512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2DE6F9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"_Toc219116513"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_Toc219116513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A6C0CF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"_Toc219116514"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_Toc219116514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E390A3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"_Toc219116515" </w:instrText>
      </w:r>
      <w:r>
        <w:fldChar w:fldCharType="separate"/>
      </w:r>
      <w:r>
        <w:rPr>
          <w:rStyle w:val="32"/>
          <w:rFonts w:hint="eastAsia"/>
        </w:rPr>
        <w:t>5</w:t>
      </w:r>
      <w:r>
        <w:rPr>
          <w:rStyle w:val="32"/>
        </w:rPr>
        <w:t xml:space="preserve"> </w:t>
      </w:r>
      <w:r>
        <w:rPr>
          <w:rStyle w:val="32"/>
          <w:rFonts w:hint="eastAsia"/>
        </w:rPr>
        <w:t xml:space="preserve"> 监测告警与研判流程</w:t>
      </w:r>
      <w:r>
        <w:rPr>
          <w:rFonts w:hint="eastAsia"/>
        </w:rPr>
        <w:tab/>
      </w:r>
      <w:r>
        <w:rPr>
          <w:rFonts w:hint="eastAsia"/>
        </w:rPr>
        <w:fldChar w:fldCharType="begin"/>
      </w:r>
      <w:r>
        <w:rPr>
          <w:rFonts w:hint="eastAsia"/>
        </w:rPr>
        <w:instrText xml:space="preserve"> </w:instrText>
      </w:r>
      <w:r>
        <w:instrText xml:space="preserve">PAGEREF _Toc219116515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D48AA5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"_Toc219116516" </w:instrText>
      </w:r>
      <w:r>
        <w:fldChar w:fldCharType="separate"/>
      </w:r>
      <w:r>
        <w:rPr>
          <w:rStyle w:val="32"/>
          <w:rFonts w:hint="eastAsia"/>
        </w:rPr>
        <w:t>6</w:t>
      </w:r>
      <w:r>
        <w:rPr>
          <w:rStyle w:val="32"/>
        </w:rPr>
        <w:t xml:space="preserve"> </w:t>
      </w:r>
      <w:r>
        <w:rPr>
          <w:rStyle w:val="32"/>
          <w:rFonts w:hint="eastAsia"/>
        </w:rPr>
        <w:t xml:space="preserve"> 应急指挥与协同联动</w:t>
      </w:r>
      <w:r>
        <w:rPr>
          <w:rFonts w:hint="eastAsia"/>
        </w:rPr>
        <w:tab/>
      </w:r>
      <w:r>
        <w:rPr>
          <w:rFonts w:hint="eastAsia"/>
        </w:rPr>
        <w:fldChar w:fldCharType="begin"/>
      </w:r>
      <w:r>
        <w:rPr>
          <w:rFonts w:hint="eastAsia"/>
        </w:rPr>
        <w:instrText xml:space="preserve"> </w:instrText>
      </w:r>
      <w:r>
        <w:instrText xml:space="preserve">PAGEREF _Toc219116516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27BC338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"_Toc219116517" </w:instrText>
      </w:r>
      <w:r>
        <w:fldChar w:fldCharType="separate"/>
      </w:r>
      <w:r>
        <w:rPr>
          <w:rStyle w:val="32"/>
          <w:rFonts w:hint="eastAsia"/>
        </w:rPr>
        <w:t>7</w:t>
      </w:r>
      <w:r>
        <w:rPr>
          <w:rStyle w:val="32"/>
        </w:rPr>
        <w:t xml:space="preserve"> </w:t>
      </w:r>
      <w:r>
        <w:rPr>
          <w:rStyle w:val="32"/>
          <w:rFonts w:hint="eastAsia"/>
        </w:rPr>
        <w:t xml:space="preserve"> 现场处置与切换控制</w:t>
      </w:r>
      <w:r>
        <w:rPr>
          <w:rFonts w:hint="eastAsia"/>
        </w:rPr>
        <w:tab/>
      </w:r>
      <w:r>
        <w:rPr>
          <w:rFonts w:hint="eastAsia"/>
        </w:rPr>
        <w:fldChar w:fldCharType="begin"/>
      </w:r>
      <w:r>
        <w:rPr>
          <w:rFonts w:hint="eastAsia"/>
        </w:rPr>
        <w:instrText xml:space="preserve"> </w:instrText>
      </w:r>
      <w:r>
        <w:instrText xml:space="preserve">PAGEREF _Toc219116517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7A10E2E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"_Toc219116518" </w:instrText>
      </w:r>
      <w:r>
        <w:fldChar w:fldCharType="separate"/>
      </w:r>
      <w:r>
        <w:rPr>
          <w:rStyle w:val="32"/>
          <w:rFonts w:hint="eastAsia"/>
        </w:rPr>
        <w:t>8</w:t>
      </w:r>
      <w:r>
        <w:rPr>
          <w:rStyle w:val="32"/>
        </w:rPr>
        <w:t xml:space="preserve"> </w:t>
      </w:r>
      <w:r>
        <w:rPr>
          <w:rStyle w:val="32"/>
          <w:rFonts w:hint="eastAsia"/>
        </w:rPr>
        <w:t xml:space="preserve"> 恢复验证与业务切回</w:t>
      </w:r>
      <w:r>
        <w:rPr>
          <w:rFonts w:hint="eastAsia"/>
        </w:rPr>
        <w:tab/>
      </w:r>
      <w:r>
        <w:rPr>
          <w:rFonts w:hint="eastAsia"/>
        </w:rPr>
        <w:fldChar w:fldCharType="begin"/>
      </w:r>
      <w:r>
        <w:rPr>
          <w:rFonts w:hint="eastAsia"/>
        </w:rPr>
        <w:instrText xml:space="preserve"> </w:instrText>
      </w:r>
      <w:r>
        <w:instrText xml:space="preserve">PAGEREF _Toc219116518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74DCDE1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"_Toc219116519" </w:instrText>
      </w:r>
      <w:r>
        <w:fldChar w:fldCharType="separate"/>
      </w:r>
      <w:r>
        <w:rPr>
          <w:rStyle w:val="32"/>
          <w:rFonts w:hint="eastAsia"/>
        </w:rPr>
        <w:t>9</w:t>
      </w:r>
      <w:r>
        <w:rPr>
          <w:rStyle w:val="32"/>
        </w:rPr>
        <w:t xml:space="preserve"> </w:t>
      </w:r>
      <w:r>
        <w:rPr>
          <w:rStyle w:val="32"/>
          <w:rFonts w:hint="eastAsia"/>
        </w:rPr>
        <w:t xml:space="preserve"> 信息报告与记录归档</w:t>
      </w:r>
      <w:r>
        <w:rPr>
          <w:rFonts w:hint="eastAsia"/>
        </w:rPr>
        <w:tab/>
      </w:r>
      <w:r>
        <w:rPr>
          <w:rFonts w:hint="eastAsia"/>
        </w:rPr>
        <w:fldChar w:fldCharType="begin"/>
      </w:r>
      <w:r>
        <w:rPr>
          <w:rFonts w:hint="eastAsia"/>
        </w:rPr>
        <w:instrText xml:space="preserve"> </w:instrText>
      </w:r>
      <w:r>
        <w:instrText xml:space="preserve">PAGEREF _Toc219116519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5840875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"_Toc219116520" </w:instrText>
      </w:r>
      <w:r>
        <w:fldChar w:fldCharType="separate"/>
      </w:r>
      <w:r>
        <w:rPr>
          <w:rStyle w:val="32"/>
          <w:rFonts w:hint="eastAsia"/>
        </w:rPr>
        <w:t>10</w:t>
      </w:r>
      <w:r>
        <w:rPr>
          <w:rStyle w:val="32"/>
        </w:rPr>
        <w:t xml:space="preserve"> </w:t>
      </w:r>
      <w:r>
        <w:rPr>
          <w:rStyle w:val="32"/>
          <w:rFonts w:hint="eastAsia"/>
        </w:rPr>
        <w:t xml:space="preserve"> 保障措施与演练改进</w:t>
      </w:r>
      <w:r>
        <w:rPr>
          <w:rFonts w:hint="eastAsia"/>
        </w:rPr>
        <w:tab/>
      </w:r>
      <w:r>
        <w:rPr>
          <w:rFonts w:hint="eastAsia"/>
        </w:rPr>
        <w:fldChar w:fldCharType="begin"/>
      </w:r>
      <w:r>
        <w:rPr>
          <w:rFonts w:hint="eastAsia"/>
        </w:rPr>
        <w:instrText xml:space="preserve"> </w:instrText>
      </w:r>
      <w:r>
        <w:instrText xml:space="preserve">PAGEREF _Toc219116520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7AE003CC">
      <w:pPr>
        <w:pStyle w:val="91"/>
        <w:spacing w:after="360"/>
        <w:sectPr>
          <w:headerReference r:id="rId11" w:type="first"/>
          <w:headerReference r:id="rId9" w:type="default"/>
          <w:footerReference r:id="rId12" w:type="default"/>
          <w:headerReference r:id="rId10" w:type="even"/>
          <w:footerReference r:id="rId13"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19116509"/>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13021025">
      <w:pPr>
        <w:pStyle w:val="56"/>
        <w:spacing w:line="360" w:lineRule="auto"/>
        <w:ind w:firstLine="420"/>
      </w:pPr>
      <w:r>
        <w:rPr>
          <w:rFonts w:hint="eastAsia"/>
        </w:rPr>
        <w:t>本文件起草单位：青岛市即墨区融媒体中心</w:t>
      </w:r>
      <w:bookmarkStart w:id="59" w:name="_GoBack"/>
      <w:bookmarkEnd w:id="59"/>
      <w:r>
        <w:rPr>
          <w:rFonts w:hint="eastAsia"/>
        </w:rPr>
        <w:t>。</w:t>
      </w:r>
    </w:p>
    <w:p w14:paraId="55F4A5D1">
      <w:pPr>
        <w:pStyle w:val="56"/>
        <w:spacing w:line="360" w:lineRule="auto"/>
        <w:ind w:firstLine="420"/>
      </w:pPr>
      <w:r>
        <w:rPr>
          <w:rFonts w:hint="eastAsia"/>
        </w:rPr>
        <w:t>本文件主要起草人：张锡林。</w:t>
      </w:r>
    </w:p>
    <w:p w14:paraId="1B3EB912">
      <w:pPr>
        <w:pStyle w:val="56"/>
        <w:ind w:firstLine="420"/>
      </w:pPr>
    </w:p>
    <w:p w14:paraId="784B3C9B">
      <w:pPr>
        <w:pStyle w:val="56"/>
        <w:ind w:firstLine="420"/>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19116510"/>
      <w:bookmarkStart w:id="25" w:name="BookMark3"/>
      <w:r>
        <w:rPr>
          <w:spacing w:val="320"/>
        </w:rPr>
        <w:t>引</w:t>
      </w:r>
      <w:r>
        <w:t>言</w:t>
      </w:r>
      <w:bookmarkEnd w:id="24"/>
    </w:p>
    <w:p w14:paraId="2C927DD1">
      <w:pPr>
        <w:pStyle w:val="56"/>
        <w:spacing w:line="360" w:lineRule="auto"/>
        <w:ind w:firstLine="420"/>
      </w:pPr>
      <w:r>
        <w:rPr>
          <w:rFonts w:hint="eastAsia"/>
        </w:rPr>
        <w:t>广播电视传输发射系统承担党政信息传播、公共服务与应急广播等重要职责，具备覆盖范围广、连续运行要求高、故障影响外溢性强等特征。传输发射链路通常由信号获取与汇聚、节目编解码与复用、传输承载网络、发射机及天馈系统、供配电与环境保障、监测控制与告警平台等多个子系统构成，任一环节发生突发故障均可能引发节目中断、画音异常、覆盖下降、误播漏播以及安全合规风险，影响社会稳定与公众权益。</w:t>
      </w:r>
    </w:p>
    <w:p w14:paraId="715DAF71">
      <w:pPr>
        <w:pStyle w:val="56"/>
        <w:spacing w:line="360" w:lineRule="auto"/>
        <w:ind w:firstLine="420"/>
      </w:pPr>
      <w:r>
        <w:rPr>
          <w:rFonts w:hint="eastAsia"/>
        </w:rPr>
        <w:t>在雷电风雪等极端天气、电力波动、设备老化、软件故障、链路中断、网络攻击与人为误操作等因素作用下，突发故障呈现发生突然、定位复杂、处置窗口短、恢复压力大等特点。现阶段各单位在应急预案编制、故障分级响应、指挥协同、现场处置工艺、备件备机管理、恢复验证与复盘改进等方面存在处置口径不统一、流程衔接不顺畅、证据记录不完整等问题，制约了应急处置效率与恢复质量。</w:t>
      </w:r>
    </w:p>
    <w:p w14:paraId="7F4A69FE">
      <w:pPr>
        <w:pStyle w:val="56"/>
        <w:spacing w:line="360" w:lineRule="auto"/>
        <w:ind w:firstLine="420"/>
      </w:pPr>
      <w:r>
        <w:rPr>
          <w:rFonts w:hint="eastAsia"/>
        </w:rPr>
        <w:t>为规范广播电视传输发射突发故障的应急处置与恢复工作，本文件围绕故障分级与响应机制、监测告警与研判流程、应急指挥与协同联动、典型故障处置技术要求、恢复验证与业务切回、信息报告与记录归档、物资保障与演练改进等内容提出统一要求，旨在建立快速响应、准确处置、可控恢复、可复盘改进的闭环管理体系，提升传输发射系统的安全性、连续性与韧性，降低突发故障对播出安全与公共服务的影响。</w:t>
      </w:r>
    </w:p>
    <w:p w14:paraId="41C59179">
      <w:pPr>
        <w:pStyle w:val="56"/>
        <w:ind w:firstLine="420"/>
      </w:pPr>
    </w:p>
    <w:p w14:paraId="3AC90217">
      <w:pPr>
        <w:pStyle w:val="56"/>
        <w:ind w:firstLine="420"/>
        <w:sectPr>
          <w:headerReference r:id="rId18" w:type="default"/>
          <w:footerReference r:id="rId20" w:type="default"/>
          <w:headerReference r:id="rId19" w:type="even"/>
          <w:footerReference r:id="rId21"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3BE7B4D7">
          <w:pPr>
            <w:pStyle w:val="177"/>
            <w:spacing w:after="0"/>
          </w:pPr>
          <w:bookmarkStart w:id="27" w:name="NEW_STAND_NAME"/>
          <w:r>
            <w:rPr>
              <w:rFonts w:hint="eastAsia"/>
            </w:rPr>
            <w:t>广播电视传输发射突发故障应急处置</w:t>
          </w:r>
        </w:p>
        <w:p w14:paraId="7D4E3E1F">
          <w:pPr>
            <w:pStyle w:val="177"/>
            <w:spacing w:before="0"/>
          </w:pPr>
          <w:r>
            <w:rPr>
              <w:rFonts w:hint="eastAsia"/>
            </w:rPr>
            <w:t>与恢复规范</w:t>
          </w:r>
        </w:p>
      </w:sdtContent>
    </w:sdt>
    <w:bookmarkEnd w:id="27"/>
    <w:p w14:paraId="3DB22445">
      <w:pPr>
        <w:pStyle w:val="104"/>
        <w:spacing w:before="240" w:after="240" w:line="360" w:lineRule="auto"/>
      </w:pPr>
      <w:bookmarkStart w:id="28" w:name="_Toc17233325"/>
      <w:bookmarkStart w:id="29" w:name="_Toc17233333"/>
      <w:bookmarkStart w:id="30" w:name="_Toc24884211"/>
      <w:bookmarkStart w:id="31" w:name="_Toc26986771"/>
      <w:bookmarkStart w:id="32" w:name="_Toc97192964"/>
      <w:bookmarkStart w:id="33" w:name="_Toc26986530"/>
      <w:bookmarkStart w:id="34" w:name="_Toc219116511"/>
      <w:bookmarkStart w:id="35" w:name="_Toc26648465"/>
      <w:bookmarkStart w:id="36" w:name="_Toc24884218"/>
      <w:bookmarkStart w:id="37" w:name="_Toc26718930"/>
      <w:r>
        <w:rPr>
          <w:rFonts w:hint="eastAsia"/>
        </w:rPr>
        <w:t>范围</w:t>
      </w:r>
      <w:bookmarkEnd w:id="28"/>
      <w:bookmarkEnd w:id="29"/>
      <w:bookmarkEnd w:id="30"/>
      <w:bookmarkEnd w:id="31"/>
      <w:bookmarkEnd w:id="32"/>
      <w:bookmarkEnd w:id="33"/>
      <w:bookmarkEnd w:id="34"/>
      <w:bookmarkEnd w:id="35"/>
      <w:bookmarkEnd w:id="36"/>
      <w:bookmarkEnd w:id="37"/>
    </w:p>
    <w:p w14:paraId="21688283">
      <w:pPr>
        <w:pStyle w:val="56"/>
        <w:spacing w:line="360" w:lineRule="auto"/>
        <w:ind w:firstLine="420"/>
      </w:pPr>
      <w:bookmarkStart w:id="38" w:name="_Toc17233334"/>
      <w:bookmarkStart w:id="39" w:name="_Toc17233326"/>
      <w:bookmarkStart w:id="40" w:name="_Toc24884212"/>
      <w:bookmarkStart w:id="41" w:name="_Toc24884219"/>
      <w:bookmarkStart w:id="42" w:name="_Toc26648466"/>
      <w:r>
        <w:rPr>
          <w:rFonts w:hint="eastAsia"/>
        </w:rPr>
        <w:t>本文件规定了广播电视传输发射系统突发故障的应急处置与恢复的总体要求、监测告警与研判流程、应急指挥与协同联动、现场处置与切换控制、恢复验证与业务切回、信息报告与记录归档、保障措施与演练改进等内容。</w:t>
      </w:r>
    </w:p>
    <w:p w14:paraId="76265264">
      <w:pPr>
        <w:pStyle w:val="56"/>
        <w:spacing w:line="360" w:lineRule="auto"/>
        <w:ind w:firstLine="420"/>
      </w:pPr>
      <w:r>
        <w:rPr>
          <w:rFonts w:hint="eastAsia"/>
        </w:rPr>
        <w:t>本文件适用于广播电视有线无线卫星地面数字电视调频广播数字音频广播以及应急广播等传输发射相关系统的运行维护单位、传输网络单位、发射台站、播控与集成单位在突发故障场景下的应急处置与恢复工作，也适用于新建改扩建工程在试运行阶段的应急体系建立与验证。</w:t>
      </w:r>
    </w:p>
    <w:p w14:paraId="3733B2AD">
      <w:pPr>
        <w:pStyle w:val="104"/>
        <w:spacing w:before="240" w:after="240" w:line="360" w:lineRule="auto"/>
      </w:pPr>
      <w:bookmarkStart w:id="43" w:name="_Toc26986772"/>
      <w:bookmarkStart w:id="44" w:name="_Toc26718931"/>
      <w:bookmarkStart w:id="45" w:name="_Toc26986531"/>
      <w:bookmarkStart w:id="46" w:name="_Toc97192965"/>
      <w:bookmarkStart w:id="47" w:name="_Toc219116512"/>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672E424">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10CA598">
      <w:pPr>
        <w:pStyle w:val="56"/>
        <w:spacing w:line="360" w:lineRule="auto"/>
        <w:ind w:firstLine="420"/>
      </w:pPr>
      <w:bookmarkStart w:id="48" w:name="_Toc97192966"/>
      <w:r>
        <w:rPr>
          <w:rFonts w:hint="eastAsia"/>
        </w:rPr>
        <w:t>GB/T 1.1—2</w:t>
      </w:r>
      <w:r>
        <w:t>020</w:t>
      </w:r>
      <w:r>
        <w:rPr>
          <w:rFonts w:hint="eastAsia"/>
        </w:rPr>
        <w:t xml:space="preserve"> 标准化工作导则  第1部分:标准化文件的结构和起草规则</w:t>
      </w:r>
    </w:p>
    <w:p w14:paraId="0D39A159">
      <w:pPr>
        <w:pStyle w:val="56"/>
        <w:spacing w:line="360" w:lineRule="auto"/>
        <w:ind w:firstLine="420"/>
      </w:pPr>
      <w:r>
        <w:rPr>
          <w:rFonts w:hint="eastAsia"/>
        </w:rPr>
        <w:t>GB/T 22239 信息安全技术  网络安全等级保护基本要求</w:t>
      </w:r>
    </w:p>
    <w:p w14:paraId="76EF80CF">
      <w:pPr>
        <w:pStyle w:val="56"/>
        <w:spacing w:line="360" w:lineRule="auto"/>
        <w:ind w:firstLine="420"/>
      </w:pPr>
      <w:r>
        <w:rPr>
          <w:rFonts w:hint="eastAsia"/>
        </w:rPr>
        <w:t>GB/T 25069 信息安全技术  术语</w:t>
      </w:r>
    </w:p>
    <w:p w14:paraId="1EAD1E9C">
      <w:pPr>
        <w:pStyle w:val="56"/>
        <w:spacing w:line="360" w:lineRule="auto"/>
        <w:ind w:firstLine="420"/>
      </w:pPr>
      <w:r>
        <w:rPr>
          <w:rFonts w:hint="eastAsia"/>
        </w:rPr>
        <w:t>GY/T 384 应急广播平台接口规范</w:t>
      </w:r>
    </w:p>
    <w:p w14:paraId="51F02A4E">
      <w:pPr>
        <w:pStyle w:val="104"/>
        <w:spacing w:before="240" w:after="240" w:line="360" w:lineRule="auto"/>
      </w:pPr>
      <w:bookmarkStart w:id="49" w:name="_Toc219116513"/>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2C84BDB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突发故障 emergency failure</w:t>
      </w:r>
    </w:p>
    <w:p w14:paraId="2FB78D3A">
      <w:pPr>
        <w:pStyle w:val="56"/>
        <w:spacing w:line="360" w:lineRule="auto"/>
        <w:ind w:firstLine="420"/>
      </w:pPr>
      <w:r>
        <w:rPr>
          <w:rFonts w:hint="eastAsia"/>
        </w:rPr>
        <w:t>在正常运行状态下，广播电视传输发射相关设备、软件、链路、供配电或保障系统发生的非计划异常事件，导致或可能导致信号中断、质量严重劣化、覆盖显著下降或播出安全风险上升。</w:t>
      </w:r>
    </w:p>
    <w:p w14:paraId="3557BAC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传输发射系统 transmission and transmission system</w:t>
      </w:r>
    </w:p>
    <w:p w14:paraId="4EB8F5B7">
      <w:pPr>
        <w:pStyle w:val="56"/>
        <w:spacing w:line="360" w:lineRule="auto"/>
        <w:ind w:firstLine="420"/>
      </w:pPr>
      <w:r>
        <w:rPr>
          <w:rFonts w:hint="eastAsia"/>
        </w:rPr>
        <w:t>由节目源汇聚、编解码复用、承载传输网络、发射机及天馈系统、供配电与环境保障、监测控制与告警平台等组成的用于传输与发射广播电视业务信号的系统集合。</w:t>
      </w:r>
    </w:p>
    <w:p w14:paraId="0763593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业务中断 service interruption</w:t>
      </w:r>
    </w:p>
    <w:p w14:paraId="1D73C138">
      <w:pPr>
        <w:pStyle w:val="56"/>
        <w:spacing w:line="360" w:lineRule="auto"/>
        <w:ind w:firstLine="420"/>
      </w:pPr>
      <w:r>
        <w:rPr>
          <w:rFonts w:hint="eastAsia"/>
        </w:rPr>
        <w:t>业务信号在规定覆盖范围或规定服务对象中出现不可用状态，包括无信号、黑场、静音、码流中断、关键业务流丢失等。</w:t>
      </w:r>
    </w:p>
    <w:p w14:paraId="4605BC0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业务劣化 service degradation</w:t>
      </w:r>
    </w:p>
    <w:p w14:paraId="27E9EA9A">
      <w:pPr>
        <w:pStyle w:val="56"/>
        <w:spacing w:line="360" w:lineRule="auto"/>
        <w:ind w:firstLine="420"/>
      </w:pPr>
      <w:r>
        <w:rPr>
          <w:rFonts w:hint="eastAsia"/>
        </w:rPr>
        <w:t>业务信号仍可用但质量指标显著下降，可能表现为马赛克、卡顿、花屏、音画不同步、误码率上升、功率下降、覆盖边界收缩等。</w:t>
      </w:r>
    </w:p>
    <w:p w14:paraId="2FF1162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主用链路 primary path</w:t>
      </w:r>
    </w:p>
    <w:p w14:paraId="663078F9">
      <w:pPr>
        <w:pStyle w:val="56"/>
        <w:spacing w:line="360" w:lineRule="auto"/>
        <w:ind w:firstLine="420"/>
      </w:pPr>
      <w:r>
        <w:rPr>
          <w:rFonts w:hint="eastAsia"/>
        </w:rPr>
        <w:t>满足业务连续运行要求并在正常状态下承载业务的传输或发射链路与设备组合。</w:t>
      </w:r>
    </w:p>
    <w:p w14:paraId="78F614B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备用链路 backup path</w:t>
      </w:r>
    </w:p>
    <w:p w14:paraId="7C9DDEFC">
      <w:pPr>
        <w:pStyle w:val="56"/>
        <w:spacing w:line="360" w:lineRule="auto"/>
        <w:ind w:firstLine="420"/>
      </w:pPr>
      <w:r>
        <w:rPr>
          <w:rFonts w:hint="eastAsia"/>
        </w:rPr>
        <w:t>在主用链路故障或性能不满足要求时，用于承载或部分承载业务的冗余链路与设备组合，包括热备、冷备与共享备等形态。</w:t>
      </w:r>
    </w:p>
    <w:p w14:paraId="7E9ABA0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应急切换 emergency switching</w:t>
      </w:r>
    </w:p>
    <w:p w14:paraId="0940E0B6">
      <w:pPr>
        <w:pStyle w:val="56"/>
        <w:spacing w:line="360" w:lineRule="auto"/>
        <w:ind w:firstLine="420"/>
      </w:pPr>
      <w:r>
        <w:rPr>
          <w:rFonts w:hint="eastAsia"/>
        </w:rPr>
        <w:t>在突发故障条件下，为降低业务影响而实施的链路切换、设备切换、业务重路由或配置切换等操作。</w:t>
      </w:r>
    </w:p>
    <w:p w14:paraId="222A8A6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恢复 restoration</w:t>
      </w:r>
    </w:p>
    <w:p w14:paraId="325BFD78">
      <w:pPr>
        <w:pStyle w:val="56"/>
        <w:spacing w:line="360" w:lineRule="auto"/>
        <w:ind w:firstLine="420"/>
      </w:pPr>
      <w:r>
        <w:rPr>
          <w:rFonts w:hint="eastAsia"/>
        </w:rPr>
        <w:t>通过修复、替换、回退、重配置或切回等手段，使业务从中断或劣化状态恢复至满足规定指标的过程。</w:t>
      </w:r>
    </w:p>
    <w:p w14:paraId="69436A5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恢复验证 restoration verification</w:t>
      </w:r>
    </w:p>
    <w:p w14:paraId="3C2E8552">
      <w:pPr>
        <w:pStyle w:val="56"/>
        <w:spacing w:line="360" w:lineRule="auto"/>
        <w:ind w:firstLine="420"/>
      </w:pPr>
      <w:r>
        <w:rPr>
          <w:rFonts w:hint="eastAsia"/>
        </w:rPr>
        <w:t>对恢复后的信号质量、覆盖效果、设备状态、告警状态与业务连通性进行核验确认的活动，作为业务切回与事件关闭的依据。</w:t>
      </w:r>
    </w:p>
    <w:p w14:paraId="6FCBE12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首报 initial report</w:t>
      </w:r>
    </w:p>
    <w:p w14:paraId="020AB7D8">
      <w:pPr>
        <w:pStyle w:val="56"/>
        <w:spacing w:line="360" w:lineRule="auto"/>
        <w:ind w:firstLine="420"/>
      </w:pPr>
      <w:r>
        <w:rPr>
          <w:rFonts w:hint="eastAsia"/>
        </w:rPr>
        <w:t>突发故障发生后，责任单位在规定时限内向规定对象提交的第一份信息报告，内容以事实、影响范围、已采取措施与后续计划为核心。</w:t>
      </w:r>
    </w:p>
    <w:p w14:paraId="5A88469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根因 root cause</w:t>
      </w:r>
    </w:p>
    <w:p w14:paraId="39D1381D">
      <w:pPr>
        <w:pStyle w:val="56"/>
        <w:spacing w:line="360" w:lineRule="auto"/>
        <w:ind w:firstLine="420"/>
      </w:pPr>
      <w:r>
        <w:rPr>
          <w:rFonts w:hint="eastAsia"/>
        </w:rPr>
        <w:t>导致故障发生的最根本原因，可包括设备失效、配置错误、软件缺陷、链路故障、供电异常、环境因素、外部破坏、网络安全事件或人为误操作等。</w:t>
      </w:r>
    </w:p>
    <w:p w14:paraId="587BEB0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事件关闭 incident closure</w:t>
      </w:r>
    </w:p>
    <w:p w14:paraId="2A62EE40">
      <w:pPr>
        <w:pStyle w:val="56"/>
        <w:spacing w:line="360" w:lineRule="auto"/>
        <w:ind w:firstLine="420"/>
      </w:pPr>
      <w:r>
        <w:rPr>
          <w:rFonts w:hint="eastAsia"/>
        </w:rPr>
        <w:t>完成恢复验证、资料记录、复盘分析与整改计划形成后，对突发故障事件进行闭环结束的管理动作。</w:t>
      </w:r>
    </w:p>
    <w:p w14:paraId="06970583">
      <w:pPr>
        <w:pStyle w:val="104"/>
        <w:spacing w:before="240" w:after="240" w:line="360" w:lineRule="auto"/>
      </w:pPr>
      <w:bookmarkStart w:id="51" w:name="_Toc219116514"/>
      <w:r>
        <w:rPr>
          <w:rFonts w:hint="eastAsia"/>
        </w:rPr>
        <w:t>总体要求</w:t>
      </w:r>
      <w:bookmarkEnd w:id="51"/>
    </w:p>
    <w:p w14:paraId="6ABB1C8C">
      <w:pPr>
        <w:pStyle w:val="105"/>
        <w:spacing w:before="120" w:after="120" w:line="360" w:lineRule="auto"/>
      </w:pPr>
      <w:r>
        <w:rPr>
          <w:rFonts w:hint="eastAsia"/>
        </w:rPr>
        <w:t>应急处置基本原则</w:t>
      </w:r>
    </w:p>
    <w:p w14:paraId="27431C46">
      <w:pPr>
        <w:pStyle w:val="56"/>
        <w:spacing w:line="360" w:lineRule="auto"/>
        <w:ind w:firstLine="420"/>
      </w:pPr>
      <w:r>
        <w:rPr>
          <w:rFonts w:hint="eastAsia"/>
        </w:rPr>
        <w:t>应急处置基本原则如下：</w:t>
      </w:r>
    </w:p>
    <w:p w14:paraId="54A0751B">
      <w:pPr>
        <w:pStyle w:val="56"/>
        <w:spacing w:line="360" w:lineRule="auto"/>
        <w:ind w:firstLine="420"/>
      </w:pPr>
      <w:r>
        <w:rPr>
          <w:rFonts w:hint="eastAsia"/>
        </w:rPr>
        <w:t>a) 保障播出安全优先，坚持先恢复后优化，先控制影响后查明根因；</w:t>
      </w:r>
    </w:p>
    <w:p w14:paraId="2AB9782F">
      <w:pPr>
        <w:pStyle w:val="56"/>
        <w:spacing w:line="360" w:lineRule="auto"/>
        <w:ind w:firstLine="420"/>
      </w:pPr>
      <w:r>
        <w:rPr>
          <w:rFonts w:hint="eastAsia"/>
        </w:rPr>
        <w:t>b) 分级响应，按影响范围、影响时长、业务重要性与可替代性实施差异化处置；</w:t>
      </w:r>
    </w:p>
    <w:p w14:paraId="284461B7">
      <w:pPr>
        <w:pStyle w:val="56"/>
        <w:spacing w:line="360" w:lineRule="auto"/>
        <w:ind w:firstLine="420"/>
      </w:pPr>
      <w:r>
        <w:rPr>
          <w:rFonts w:hint="eastAsia"/>
        </w:rPr>
        <w:t>c) 快速研判，信息以事实为准，避免未经确认的推断性结论扩散；</w:t>
      </w:r>
    </w:p>
    <w:p w14:paraId="62657DA0">
      <w:pPr>
        <w:pStyle w:val="56"/>
        <w:spacing w:line="360" w:lineRule="auto"/>
        <w:ind w:firstLine="420"/>
      </w:pPr>
      <w:r>
        <w:rPr>
          <w:rFonts w:hint="eastAsia"/>
        </w:rPr>
        <w:t>d) 统一指挥，明确指挥链与操作权限，关键切换操作应双人复核；</w:t>
      </w:r>
    </w:p>
    <w:p w14:paraId="6A913C4A">
      <w:pPr>
        <w:pStyle w:val="56"/>
        <w:spacing w:line="360" w:lineRule="auto"/>
        <w:ind w:firstLine="420"/>
      </w:pPr>
      <w:r>
        <w:rPr>
          <w:rFonts w:hint="eastAsia"/>
        </w:rPr>
        <w:t>e) 安全作业，现场处置同时满足电气安全、登高作业、安全防护与网络安全要求；</w:t>
      </w:r>
    </w:p>
    <w:p w14:paraId="1E163C92">
      <w:pPr>
        <w:pStyle w:val="56"/>
        <w:spacing w:line="360" w:lineRule="auto"/>
        <w:ind w:firstLine="420"/>
      </w:pPr>
      <w:r>
        <w:rPr>
          <w:rFonts w:hint="eastAsia"/>
        </w:rPr>
        <w:t>f) 全程留痕，关键操作、关键参数、告警截图、录音录像或系统日志应按要求保存，用于审计核查与复盘改进。</w:t>
      </w:r>
    </w:p>
    <w:p w14:paraId="69B0D3DC">
      <w:pPr>
        <w:pStyle w:val="105"/>
        <w:spacing w:before="120" w:after="120" w:line="360" w:lineRule="auto"/>
      </w:pPr>
      <w:r>
        <w:rPr>
          <w:rFonts w:hint="eastAsia"/>
        </w:rPr>
        <w:t>分级判定与响应时限</w:t>
      </w:r>
    </w:p>
    <w:p w14:paraId="4003B963">
      <w:pPr>
        <w:pStyle w:val="56"/>
        <w:spacing w:line="360" w:lineRule="auto"/>
        <w:ind w:firstLine="420"/>
      </w:pPr>
      <w:r>
        <w:rPr>
          <w:rFonts w:hint="eastAsia"/>
        </w:rPr>
        <w:t>突发故障分级及响应时限要求见表1。</w:t>
      </w:r>
    </w:p>
    <w:p w14:paraId="305AD961">
      <w:pPr>
        <w:pStyle w:val="112"/>
        <w:spacing w:before="120" w:after="120" w:line="360" w:lineRule="auto"/>
      </w:pPr>
      <w:r>
        <w:rPr>
          <w:rFonts w:hint="eastAsia"/>
        </w:rPr>
        <w:t>突发故障分级与响应时限要求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1559"/>
        <w:gridCol w:w="3544"/>
        <w:gridCol w:w="1134"/>
        <w:gridCol w:w="1417"/>
        <w:gridCol w:w="839"/>
      </w:tblGrid>
      <w:tr w14:paraId="56F996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1" w:type="dxa"/>
            <w:tcBorders>
              <w:top w:val="single" w:color="auto" w:sz="8" w:space="0"/>
              <w:bottom w:val="single" w:color="auto" w:sz="8" w:space="0"/>
            </w:tcBorders>
            <w:vAlign w:val="center"/>
          </w:tcPr>
          <w:p w14:paraId="080D50E0">
            <w:pPr>
              <w:pStyle w:val="178"/>
            </w:pPr>
            <w:r>
              <w:rPr>
                <w:rFonts w:hint="eastAsia"/>
              </w:rPr>
              <w:t>故障等级</w:t>
            </w:r>
          </w:p>
        </w:tc>
        <w:tc>
          <w:tcPr>
            <w:tcW w:w="1559" w:type="dxa"/>
            <w:tcBorders>
              <w:top w:val="single" w:color="auto" w:sz="8" w:space="0"/>
              <w:bottom w:val="single" w:color="auto" w:sz="8" w:space="0"/>
            </w:tcBorders>
            <w:vAlign w:val="center"/>
          </w:tcPr>
          <w:p w14:paraId="01E4620B">
            <w:pPr>
              <w:pStyle w:val="178"/>
            </w:pPr>
            <w:r>
              <w:rPr>
                <w:rFonts w:hint="eastAsia"/>
              </w:rPr>
              <w:t>影响特征</w:t>
            </w:r>
          </w:p>
        </w:tc>
        <w:tc>
          <w:tcPr>
            <w:tcW w:w="3544" w:type="dxa"/>
            <w:tcBorders>
              <w:top w:val="single" w:color="auto" w:sz="8" w:space="0"/>
              <w:bottom w:val="single" w:color="auto" w:sz="8" w:space="0"/>
            </w:tcBorders>
            <w:vAlign w:val="center"/>
          </w:tcPr>
          <w:p w14:paraId="3191EA1B">
            <w:pPr>
              <w:pStyle w:val="178"/>
            </w:pPr>
            <w:r>
              <w:rPr>
                <w:rFonts w:hint="eastAsia"/>
              </w:rPr>
              <w:t>典型判定条件</w:t>
            </w:r>
          </w:p>
        </w:tc>
        <w:tc>
          <w:tcPr>
            <w:tcW w:w="1134" w:type="dxa"/>
            <w:tcBorders>
              <w:top w:val="single" w:color="auto" w:sz="8" w:space="0"/>
              <w:bottom w:val="single" w:color="auto" w:sz="8" w:space="0"/>
            </w:tcBorders>
            <w:vAlign w:val="center"/>
          </w:tcPr>
          <w:p w14:paraId="45CEEACC">
            <w:pPr>
              <w:pStyle w:val="178"/>
            </w:pPr>
            <w:r>
              <w:rPr>
                <w:rFonts w:hint="eastAsia"/>
              </w:rPr>
              <w:t>响应启动时限</w:t>
            </w:r>
          </w:p>
        </w:tc>
        <w:tc>
          <w:tcPr>
            <w:tcW w:w="1417" w:type="dxa"/>
            <w:tcBorders>
              <w:top w:val="single" w:color="auto" w:sz="8" w:space="0"/>
              <w:bottom w:val="single" w:color="auto" w:sz="8" w:space="0"/>
            </w:tcBorders>
            <w:vAlign w:val="center"/>
          </w:tcPr>
          <w:p w14:paraId="2E126E8D">
            <w:pPr>
              <w:pStyle w:val="178"/>
            </w:pPr>
            <w:r>
              <w:rPr>
                <w:rFonts w:hint="eastAsia"/>
              </w:rPr>
              <w:t>恢复目标时限</w:t>
            </w:r>
          </w:p>
        </w:tc>
        <w:tc>
          <w:tcPr>
            <w:tcW w:w="839" w:type="dxa"/>
            <w:tcBorders>
              <w:top w:val="single" w:color="auto" w:sz="8" w:space="0"/>
              <w:bottom w:val="single" w:color="auto" w:sz="8" w:space="0"/>
            </w:tcBorders>
            <w:vAlign w:val="center"/>
          </w:tcPr>
          <w:p w14:paraId="1427D3EB">
            <w:pPr>
              <w:pStyle w:val="178"/>
            </w:pPr>
            <w:r>
              <w:rPr>
                <w:rFonts w:hint="eastAsia"/>
              </w:rPr>
              <w:t>首报时限</w:t>
            </w:r>
          </w:p>
        </w:tc>
      </w:tr>
      <w:tr w14:paraId="07F5B0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8" w:space="0"/>
            </w:tcBorders>
            <w:vAlign w:val="center"/>
          </w:tcPr>
          <w:p w14:paraId="401ABAF8">
            <w:pPr>
              <w:pStyle w:val="178"/>
            </w:pPr>
            <w:r>
              <w:rPr>
                <w:rFonts w:hint="eastAsia"/>
              </w:rPr>
              <w:t>一级</w:t>
            </w:r>
          </w:p>
        </w:tc>
        <w:tc>
          <w:tcPr>
            <w:tcW w:w="1559" w:type="dxa"/>
            <w:tcBorders>
              <w:top w:val="single" w:color="auto" w:sz="8" w:space="0"/>
            </w:tcBorders>
            <w:vAlign w:val="center"/>
          </w:tcPr>
          <w:p w14:paraId="5C839209">
            <w:pPr>
              <w:pStyle w:val="178"/>
            </w:pPr>
            <w:r>
              <w:rPr>
                <w:rFonts w:hint="eastAsia"/>
              </w:rPr>
              <w:t>影响范围极大或涉及重大播出安全</w:t>
            </w:r>
          </w:p>
        </w:tc>
        <w:tc>
          <w:tcPr>
            <w:tcW w:w="3544" w:type="dxa"/>
            <w:tcBorders>
              <w:top w:val="single" w:color="auto" w:sz="8" w:space="0"/>
            </w:tcBorders>
            <w:vAlign w:val="center"/>
          </w:tcPr>
          <w:p w14:paraId="3E864A39">
            <w:pPr>
              <w:pStyle w:val="178"/>
            </w:pPr>
            <w:r>
              <w:rPr>
                <w:rFonts w:hint="eastAsia"/>
              </w:rPr>
              <w:t>省域或跨区域大面积中断、重要频道中断、应急广播关键链路不可用</w:t>
            </w:r>
          </w:p>
        </w:tc>
        <w:tc>
          <w:tcPr>
            <w:tcW w:w="1134" w:type="dxa"/>
            <w:tcBorders>
              <w:top w:val="single" w:color="auto" w:sz="8" w:space="0"/>
            </w:tcBorders>
            <w:vAlign w:val="center"/>
          </w:tcPr>
          <w:p w14:paraId="40DA3636">
            <w:pPr>
              <w:pStyle w:val="178"/>
            </w:pPr>
            <w:r>
              <w:rPr>
                <w:rFonts w:hint="eastAsia"/>
              </w:rPr>
              <w:t>立即启动</w:t>
            </w:r>
          </w:p>
        </w:tc>
        <w:tc>
          <w:tcPr>
            <w:tcW w:w="1417" w:type="dxa"/>
            <w:tcBorders>
              <w:top w:val="single" w:color="auto" w:sz="8" w:space="0"/>
            </w:tcBorders>
            <w:vAlign w:val="center"/>
          </w:tcPr>
          <w:p w14:paraId="0E5E96BA">
            <w:pPr>
              <w:pStyle w:val="178"/>
            </w:pPr>
            <w:r>
              <w:rPr>
                <w:rFonts w:hint="eastAsia"/>
              </w:rPr>
              <w:t>以最快方式恢复基本播出能力</w:t>
            </w:r>
          </w:p>
        </w:tc>
        <w:tc>
          <w:tcPr>
            <w:tcW w:w="839" w:type="dxa"/>
            <w:tcBorders>
              <w:top w:val="single" w:color="auto" w:sz="8" w:space="0"/>
            </w:tcBorders>
            <w:vAlign w:val="center"/>
          </w:tcPr>
          <w:p w14:paraId="5DC920A1">
            <w:pPr>
              <w:pStyle w:val="178"/>
            </w:pPr>
            <w:r>
              <w:rPr>
                <w:rFonts w:hint="eastAsia"/>
              </w:rPr>
              <w:t>10分钟内</w:t>
            </w:r>
          </w:p>
        </w:tc>
      </w:tr>
      <w:tr w14:paraId="3C8752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7772D48D">
            <w:pPr>
              <w:pStyle w:val="178"/>
            </w:pPr>
            <w:r>
              <w:rPr>
                <w:rFonts w:hint="eastAsia"/>
              </w:rPr>
              <w:t>二级</w:t>
            </w:r>
          </w:p>
        </w:tc>
        <w:tc>
          <w:tcPr>
            <w:tcW w:w="1559" w:type="dxa"/>
            <w:vAlign w:val="center"/>
          </w:tcPr>
          <w:p w14:paraId="0B511B03">
            <w:pPr>
              <w:pStyle w:val="178"/>
            </w:pPr>
            <w:r>
              <w:rPr>
                <w:rFonts w:hint="eastAsia"/>
              </w:rPr>
              <w:t>影响范围大或影响显著</w:t>
            </w:r>
          </w:p>
        </w:tc>
        <w:tc>
          <w:tcPr>
            <w:tcW w:w="3544" w:type="dxa"/>
            <w:vAlign w:val="center"/>
          </w:tcPr>
          <w:p w14:paraId="41860A3F">
            <w:pPr>
              <w:pStyle w:val="178"/>
            </w:pPr>
            <w:r>
              <w:rPr>
                <w:rFonts w:hint="eastAsia"/>
              </w:rPr>
              <w:t>地市级范围中断、主发射机停机且备用能力不足、主干传输中断</w:t>
            </w:r>
          </w:p>
        </w:tc>
        <w:tc>
          <w:tcPr>
            <w:tcW w:w="1134" w:type="dxa"/>
            <w:vAlign w:val="center"/>
          </w:tcPr>
          <w:p w14:paraId="4E43E9A7">
            <w:pPr>
              <w:pStyle w:val="178"/>
            </w:pPr>
            <w:r>
              <w:rPr>
                <w:rFonts w:hint="eastAsia"/>
              </w:rPr>
              <w:t>5分钟内</w:t>
            </w:r>
          </w:p>
        </w:tc>
        <w:tc>
          <w:tcPr>
            <w:tcW w:w="1417" w:type="dxa"/>
            <w:vAlign w:val="center"/>
          </w:tcPr>
          <w:p w14:paraId="1E67928C">
            <w:pPr>
              <w:pStyle w:val="178"/>
            </w:pPr>
            <w:r>
              <w:rPr>
                <w:rFonts w:hint="eastAsia"/>
              </w:rPr>
              <w:t>优先恢复主业务或启用备用业务</w:t>
            </w:r>
          </w:p>
        </w:tc>
        <w:tc>
          <w:tcPr>
            <w:tcW w:w="839" w:type="dxa"/>
            <w:vAlign w:val="center"/>
          </w:tcPr>
          <w:p w14:paraId="066DC766">
            <w:pPr>
              <w:pStyle w:val="178"/>
            </w:pPr>
            <w:r>
              <w:rPr>
                <w:rFonts w:hint="eastAsia"/>
              </w:rPr>
              <w:t>30分钟内</w:t>
            </w:r>
          </w:p>
        </w:tc>
      </w:tr>
      <w:tr w14:paraId="1BB119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2E84EA6C">
            <w:pPr>
              <w:pStyle w:val="178"/>
            </w:pPr>
            <w:r>
              <w:rPr>
                <w:rFonts w:hint="eastAsia"/>
              </w:rPr>
              <w:t>三级</w:t>
            </w:r>
          </w:p>
        </w:tc>
        <w:tc>
          <w:tcPr>
            <w:tcW w:w="1559" w:type="dxa"/>
            <w:vAlign w:val="center"/>
          </w:tcPr>
          <w:p w14:paraId="3C21FE09">
            <w:pPr>
              <w:pStyle w:val="178"/>
            </w:pPr>
            <w:r>
              <w:rPr>
                <w:rFonts w:hint="eastAsia"/>
              </w:rPr>
              <w:t>影响范围中等或可局部替代</w:t>
            </w:r>
          </w:p>
        </w:tc>
        <w:tc>
          <w:tcPr>
            <w:tcW w:w="3544" w:type="dxa"/>
            <w:vAlign w:val="center"/>
          </w:tcPr>
          <w:p w14:paraId="2129B289">
            <w:pPr>
              <w:pStyle w:val="178"/>
            </w:pPr>
            <w:r>
              <w:rPr>
                <w:rFonts w:hint="eastAsia"/>
              </w:rPr>
              <w:t>单台站中断、覆盖明显下降、</w:t>
            </w:r>
          </w:p>
          <w:p w14:paraId="7F1B8013">
            <w:pPr>
              <w:pStyle w:val="178"/>
            </w:pPr>
            <w:r>
              <w:rPr>
                <w:rFonts w:hint="eastAsia"/>
              </w:rPr>
              <w:t>单业务链路中断但可切换</w:t>
            </w:r>
          </w:p>
        </w:tc>
        <w:tc>
          <w:tcPr>
            <w:tcW w:w="1134" w:type="dxa"/>
            <w:vAlign w:val="center"/>
          </w:tcPr>
          <w:p w14:paraId="5D0D4CD1">
            <w:pPr>
              <w:pStyle w:val="178"/>
            </w:pPr>
            <w:r>
              <w:rPr>
                <w:rFonts w:hint="eastAsia"/>
              </w:rPr>
              <w:t>10分钟内</w:t>
            </w:r>
          </w:p>
        </w:tc>
        <w:tc>
          <w:tcPr>
            <w:tcW w:w="1417" w:type="dxa"/>
            <w:vAlign w:val="center"/>
          </w:tcPr>
          <w:p w14:paraId="6248C7C3">
            <w:pPr>
              <w:pStyle w:val="178"/>
            </w:pPr>
            <w:r>
              <w:rPr>
                <w:rFonts w:hint="eastAsia"/>
              </w:rPr>
              <w:t>通过切换或修复恢复到规定指标</w:t>
            </w:r>
          </w:p>
        </w:tc>
        <w:tc>
          <w:tcPr>
            <w:tcW w:w="839" w:type="dxa"/>
            <w:vAlign w:val="center"/>
          </w:tcPr>
          <w:p w14:paraId="1D247BE1">
            <w:pPr>
              <w:pStyle w:val="178"/>
            </w:pPr>
            <w:r>
              <w:rPr>
                <w:rFonts w:hint="eastAsia"/>
              </w:rPr>
              <w:t>60分钟内</w:t>
            </w:r>
          </w:p>
        </w:tc>
      </w:tr>
      <w:tr w14:paraId="755116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bottom w:val="single" w:color="auto" w:sz="8" w:space="0"/>
            </w:tcBorders>
            <w:vAlign w:val="center"/>
          </w:tcPr>
          <w:p w14:paraId="7436426D">
            <w:pPr>
              <w:pStyle w:val="178"/>
            </w:pPr>
            <w:r>
              <w:rPr>
                <w:rFonts w:hint="eastAsia"/>
              </w:rPr>
              <w:t>四级</w:t>
            </w:r>
          </w:p>
        </w:tc>
        <w:tc>
          <w:tcPr>
            <w:tcW w:w="1559" w:type="dxa"/>
            <w:tcBorders>
              <w:bottom w:val="single" w:color="auto" w:sz="8" w:space="0"/>
            </w:tcBorders>
            <w:vAlign w:val="center"/>
          </w:tcPr>
          <w:p w14:paraId="609F41B6">
            <w:pPr>
              <w:pStyle w:val="178"/>
            </w:pPr>
            <w:r>
              <w:rPr>
                <w:rFonts w:hint="eastAsia"/>
              </w:rPr>
              <w:t>影响范围小或短时可控</w:t>
            </w:r>
          </w:p>
        </w:tc>
        <w:tc>
          <w:tcPr>
            <w:tcW w:w="3544" w:type="dxa"/>
            <w:tcBorders>
              <w:bottom w:val="single" w:color="auto" w:sz="8" w:space="0"/>
            </w:tcBorders>
            <w:vAlign w:val="center"/>
          </w:tcPr>
          <w:p w14:paraId="7662F02B">
            <w:pPr>
              <w:pStyle w:val="178"/>
            </w:pPr>
            <w:r>
              <w:rPr>
                <w:rFonts w:hint="eastAsia"/>
              </w:rPr>
              <w:t>单设备告警、局部质量劣化、</w:t>
            </w:r>
          </w:p>
          <w:p w14:paraId="58A8D588">
            <w:pPr>
              <w:pStyle w:val="178"/>
            </w:pPr>
            <w:r>
              <w:rPr>
                <w:rFonts w:hint="eastAsia"/>
              </w:rPr>
              <w:t>可通过参数调整恢复</w:t>
            </w:r>
          </w:p>
        </w:tc>
        <w:tc>
          <w:tcPr>
            <w:tcW w:w="1134" w:type="dxa"/>
            <w:tcBorders>
              <w:bottom w:val="single" w:color="auto" w:sz="8" w:space="0"/>
            </w:tcBorders>
            <w:vAlign w:val="center"/>
          </w:tcPr>
          <w:p w14:paraId="6014AA41">
            <w:pPr>
              <w:pStyle w:val="178"/>
            </w:pPr>
            <w:r>
              <w:rPr>
                <w:rFonts w:hint="eastAsia"/>
              </w:rPr>
              <w:t>15分钟内</w:t>
            </w:r>
          </w:p>
        </w:tc>
        <w:tc>
          <w:tcPr>
            <w:tcW w:w="1417" w:type="dxa"/>
            <w:tcBorders>
              <w:bottom w:val="single" w:color="auto" w:sz="8" w:space="0"/>
            </w:tcBorders>
            <w:vAlign w:val="center"/>
          </w:tcPr>
          <w:p w14:paraId="13D47661">
            <w:pPr>
              <w:pStyle w:val="178"/>
            </w:pPr>
            <w:r>
              <w:rPr>
                <w:rFonts w:hint="eastAsia"/>
              </w:rPr>
              <w:t>完成修复与验证并消除告警</w:t>
            </w:r>
          </w:p>
        </w:tc>
        <w:tc>
          <w:tcPr>
            <w:tcW w:w="839" w:type="dxa"/>
            <w:tcBorders>
              <w:bottom w:val="single" w:color="auto" w:sz="8" w:space="0"/>
            </w:tcBorders>
            <w:vAlign w:val="center"/>
          </w:tcPr>
          <w:p w14:paraId="58CE16E4">
            <w:pPr>
              <w:pStyle w:val="178"/>
            </w:pPr>
            <w:r>
              <w:rPr>
                <w:rFonts w:hint="eastAsia"/>
              </w:rPr>
              <w:t>2小时内</w:t>
            </w:r>
          </w:p>
        </w:tc>
      </w:tr>
      <w:tr w14:paraId="5B730E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6"/>
            <w:tcBorders>
              <w:top w:val="single" w:color="auto" w:sz="8" w:space="0"/>
              <w:bottom w:val="single" w:color="auto" w:sz="8" w:space="0"/>
            </w:tcBorders>
          </w:tcPr>
          <w:p w14:paraId="379B4A02">
            <w:pPr>
              <w:pStyle w:val="179"/>
            </w:pPr>
            <w:r>
              <w:rPr>
                <w:rFonts w:hint="eastAsia"/>
              </w:rPr>
              <w:t>具体时限可结合系统冗余能力、业务重要性与主管部门要求在实施细则中细化，但不得弱化首报与留痕要求。</w:t>
            </w:r>
          </w:p>
        </w:tc>
      </w:tr>
    </w:tbl>
    <w:p w14:paraId="18B88FE4">
      <w:pPr>
        <w:pStyle w:val="105"/>
        <w:spacing w:before="120" w:after="120" w:line="360" w:lineRule="auto"/>
      </w:pPr>
      <w:r>
        <w:rPr>
          <w:rFonts w:hint="eastAsia"/>
        </w:rPr>
        <w:t>应急资源与能力要求</w:t>
      </w:r>
    </w:p>
    <w:p w14:paraId="29F77CF6">
      <w:pPr>
        <w:pStyle w:val="165"/>
        <w:spacing w:line="360" w:lineRule="auto"/>
      </w:pPr>
      <w:r>
        <w:rPr>
          <w:rFonts w:hint="eastAsia"/>
        </w:rPr>
        <w:t>应建立应急值守与联络机制，形成覆盖播控、传输、发射、供配电、网络安全、设备厂家与施工维护单位的联络清单，并定期校核有效性。</w:t>
      </w:r>
    </w:p>
    <w:p w14:paraId="1681AF21">
      <w:pPr>
        <w:pStyle w:val="165"/>
        <w:spacing w:line="360" w:lineRule="auto"/>
      </w:pPr>
      <w:r>
        <w:rPr>
          <w:rFonts w:hint="eastAsia"/>
        </w:rPr>
        <w:t>应建立备件备机与备用链路管理制度，明确关键备件清单、库存下限、调拨流程与到位时限。</w:t>
      </w:r>
    </w:p>
    <w:p w14:paraId="285226B2">
      <w:pPr>
        <w:pStyle w:val="165"/>
        <w:spacing w:line="360" w:lineRule="auto"/>
      </w:pPr>
      <w:r>
        <w:rPr>
          <w:rFonts w:hint="eastAsia"/>
        </w:rPr>
        <w:t>应建立关键配置与数据备份机制，至少包括编解码与复用配置、路由策略、发射机关键参数、监测告警阈值、账号权限与审计策略，并定期开展可恢复性验证。</w:t>
      </w:r>
    </w:p>
    <w:p w14:paraId="28C200BF">
      <w:pPr>
        <w:pStyle w:val="104"/>
        <w:spacing w:before="240" w:after="240" w:line="360" w:lineRule="auto"/>
      </w:pPr>
      <w:bookmarkStart w:id="52" w:name="_Toc219116515"/>
      <w:r>
        <w:rPr>
          <w:rFonts w:hint="eastAsia"/>
        </w:rPr>
        <w:t>监测告警与研判流程</w:t>
      </w:r>
      <w:bookmarkEnd w:id="52"/>
    </w:p>
    <w:p w14:paraId="4E1811C8">
      <w:pPr>
        <w:pStyle w:val="105"/>
        <w:spacing w:before="120" w:after="120" w:line="360" w:lineRule="auto"/>
      </w:pPr>
      <w:r>
        <w:rPr>
          <w:rFonts w:hint="eastAsia"/>
        </w:rPr>
        <w:t>监测覆盖要求</w:t>
      </w:r>
    </w:p>
    <w:p w14:paraId="17A30FF4">
      <w:pPr>
        <w:pStyle w:val="165"/>
        <w:spacing w:line="360" w:lineRule="auto"/>
      </w:pPr>
      <w:r>
        <w:rPr>
          <w:rFonts w:hint="eastAsia"/>
        </w:rPr>
        <w:t>传输发射系统应建立端到端监测体系，监测对象至少包括信号源与节目流、编解码与复用设备、承载传输网络、发射机与天馈系统、供配电与备用电源、机房环境与安全防护、监测控制平台与告警链路。</w:t>
      </w:r>
    </w:p>
    <w:p w14:paraId="6D821312">
      <w:pPr>
        <w:pStyle w:val="165"/>
        <w:spacing w:line="360" w:lineRule="auto"/>
      </w:pPr>
      <w:r>
        <w:rPr>
          <w:rFonts w:hint="eastAsia"/>
        </w:rPr>
        <w:t>监测指标应同时覆盖可用性指标与质量指标。质量指标宜包括码流连续性、误码率、丢包率、时延与抖动、音视频同步、图像质量异常、发射功率与反射功率、驻波比、覆盖关键点接收质量等。</w:t>
      </w:r>
    </w:p>
    <w:p w14:paraId="6FF3137F">
      <w:pPr>
        <w:pStyle w:val="165"/>
        <w:spacing w:line="360" w:lineRule="auto"/>
      </w:pPr>
      <w:r>
        <w:rPr>
          <w:rFonts w:hint="eastAsia"/>
        </w:rPr>
        <w:t>监测系统应具备告警分级、告警抑制、告警关联、告警确认、告警升级与告警留痕能力。关键告警应支持短信、电话、即时通信、值班大屏等多通道通知，并具备送达与确认记录。</w:t>
      </w:r>
    </w:p>
    <w:p w14:paraId="3F99C53F">
      <w:pPr>
        <w:pStyle w:val="105"/>
        <w:spacing w:before="120" w:after="120" w:line="360" w:lineRule="auto"/>
      </w:pPr>
      <w:r>
        <w:rPr>
          <w:rFonts w:hint="eastAsia"/>
        </w:rPr>
        <w:t>告警确认要求</w:t>
      </w:r>
    </w:p>
    <w:p w14:paraId="30D4F27A">
      <w:pPr>
        <w:pStyle w:val="165"/>
        <w:spacing w:line="360" w:lineRule="auto"/>
      </w:pPr>
      <w:r>
        <w:rPr>
          <w:rFonts w:hint="eastAsia"/>
        </w:rPr>
        <w:t>值守人员收到告警后应在规定时限内完成初步确认，确认内容至少包括告警来源、告警对象、告警等级、告警时间、告警持续状态与告警关联对象。</w:t>
      </w:r>
    </w:p>
    <w:p w14:paraId="3110A9A5">
      <w:pPr>
        <w:pStyle w:val="165"/>
        <w:spacing w:line="360" w:lineRule="auto"/>
      </w:pPr>
      <w:r>
        <w:rPr>
          <w:rFonts w:hint="eastAsia"/>
        </w:rPr>
        <w:t>告警确认应遵循先验证后处置原则。对可能存在误报的告警应进行交叉验证，交叉验证方式可包括监测点复核、备用监测平台复核、录波或日志复核、现场巡检复核。</w:t>
      </w:r>
    </w:p>
    <w:p w14:paraId="730FFE42">
      <w:pPr>
        <w:pStyle w:val="165"/>
        <w:spacing w:line="360" w:lineRule="auto"/>
      </w:pPr>
      <w:r>
        <w:rPr>
          <w:rFonts w:hint="eastAsia"/>
        </w:rPr>
        <w:t>对确认属于业务影响类告警的，应立即进入影响评估与研判流程。对确认属于设备预警类告警的，应纳入跟踪处置并设置观察窗口，观察窗口内告警升级或出现业务影响时应立即升级处理。</w:t>
      </w:r>
    </w:p>
    <w:p w14:paraId="016AABCA">
      <w:pPr>
        <w:pStyle w:val="105"/>
        <w:spacing w:before="120" w:after="120" w:line="360" w:lineRule="auto"/>
      </w:pPr>
      <w:r>
        <w:rPr>
          <w:rFonts w:hint="eastAsia"/>
        </w:rPr>
        <w:t>影响评估要求</w:t>
      </w:r>
    </w:p>
    <w:p w14:paraId="4A8B1C43">
      <w:pPr>
        <w:pStyle w:val="165"/>
        <w:spacing w:line="360" w:lineRule="auto"/>
      </w:pPr>
      <w:r>
        <w:rPr>
          <w:rFonts w:hint="eastAsia"/>
        </w:rPr>
        <w:t>影响评估应以事实为依据，快速判断业务状态属于业务中断或业务劣化，并明确影响范围、影响对象、可能受影响的频道或频点、预计影响扩散趋势与可替代能力。</w:t>
      </w:r>
    </w:p>
    <w:p w14:paraId="196E493E">
      <w:pPr>
        <w:pStyle w:val="165"/>
        <w:spacing w:line="360" w:lineRule="auto"/>
      </w:pPr>
      <w:r>
        <w:rPr>
          <w:rFonts w:hint="eastAsia"/>
        </w:rPr>
        <w:t>影响评估应至少完成以下判断：</w:t>
      </w:r>
    </w:p>
    <w:p w14:paraId="36FC7C42">
      <w:pPr>
        <w:pStyle w:val="56"/>
        <w:spacing w:line="360" w:lineRule="auto"/>
        <w:ind w:firstLine="420"/>
      </w:pPr>
      <w:r>
        <w:rPr>
          <w:rFonts w:hint="eastAsia"/>
        </w:rPr>
        <w:t>a) 影响层级判断，区分节目源侧异常、传输链路异常、发射侧异常、保障系统异常；</w:t>
      </w:r>
    </w:p>
    <w:p w14:paraId="0F37B451">
      <w:pPr>
        <w:pStyle w:val="56"/>
        <w:spacing w:line="360" w:lineRule="auto"/>
        <w:ind w:firstLine="420"/>
      </w:pPr>
      <w:r>
        <w:rPr>
          <w:rFonts w:hint="eastAsia"/>
        </w:rPr>
        <w:t>b) 影响范围判断，区分单点、单台站、区域、多区域；</w:t>
      </w:r>
    </w:p>
    <w:p w14:paraId="670D2DB6">
      <w:pPr>
        <w:pStyle w:val="56"/>
        <w:spacing w:line="360" w:lineRule="auto"/>
        <w:ind w:firstLine="420"/>
      </w:pPr>
      <w:r>
        <w:rPr>
          <w:rFonts w:hint="eastAsia"/>
        </w:rPr>
        <w:t>c) 重要性判断，区分重要频道重要时段应急广播相关业务与一般业务；</w:t>
      </w:r>
    </w:p>
    <w:p w14:paraId="76D6C9BE">
      <w:pPr>
        <w:pStyle w:val="56"/>
        <w:spacing w:line="360" w:lineRule="auto"/>
        <w:ind w:firstLine="420"/>
      </w:pPr>
      <w:r>
        <w:rPr>
          <w:rFonts w:hint="eastAsia"/>
        </w:rPr>
        <w:t>d) 可替代判断，明确是否具备备用链路、备用设备、降级播出方案与可切换路径。</w:t>
      </w:r>
    </w:p>
    <w:p w14:paraId="77E3574C">
      <w:pPr>
        <w:pStyle w:val="165"/>
        <w:spacing w:line="360" w:lineRule="auto"/>
      </w:pPr>
      <w:r>
        <w:rPr>
          <w:rFonts w:hint="eastAsia"/>
        </w:rPr>
        <w:t>影响评估结论应作为故障分级、响应升级与处置策略选择的依据，并应记录在研判记录中。</w:t>
      </w:r>
    </w:p>
    <w:p w14:paraId="749C5610">
      <w:pPr>
        <w:pStyle w:val="105"/>
        <w:spacing w:before="120" w:after="120" w:line="360" w:lineRule="auto"/>
      </w:pPr>
      <w:r>
        <w:rPr>
          <w:rFonts w:hint="eastAsia"/>
        </w:rPr>
        <w:t>研判定位流程要求</w:t>
      </w:r>
    </w:p>
    <w:p w14:paraId="41902021">
      <w:pPr>
        <w:pStyle w:val="165"/>
        <w:spacing w:line="360" w:lineRule="auto"/>
      </w:pPr>
      <w:r>
        <w:rPr>
          <w:rFonts w:hint="eastAsia"/>
        </w:rPr>
        <w:t>研判应采用自上而下与自下而上相结合的方法，优先通过链路分段隔离定位故障段。研判流程宜按以下顺序执行：</w:t>
      </w:r>
    </w:p>
    <w:p w14:paraId="512D6815">
      <w:pPr>
        <w:pStyle w:val="56"/>
        <w:spacing w:line="360" w:lineRule="auto"/>
        <w:ind w:firstLine="420"/>
      </w:pPr>
      <w:r>
        <w:rPr>
          <w:rFonts w:hint="eastAsia"/>
        </w:rPr>
        <w:t>a) 业务验证，确认节目流是否持续输出并核对关键业务流是否缺失；</w:t>
      </w:r>
    </w:p>
    <w:p w14:paraId="55FEBC27">
      <w:pPr>
        <w:pStyle w:val="56"/>
        <w:spacing w:line="360" w:lineRule="auto"/>
        <w:ind w:firstLine="420"/>
      </w:pPr>
      <w:r>
        <w:rPr>
          <w:rFonts w:hint="eastAsia"/>
        </w:rPr>
        <w:t>b) 设备状态核查，核查编解码复用调制路由交换等关键设备告警与关键参数；</w:t>
      </w:r>
    </w:p>
    <w:p w14:paraId="28850BCC">
      <w:pPr>
        <w:pStyle w:val="56"/>
        <w:spacing w:line="360" w:lineRule="auto"/>
        <w:ind w:firstLine="420"/>
      </w:pPr>
      <w:r>
        <w:rPr>
          <w:rFonts w:hint="eastAsia"/>
        </w:rPr>
        <w:t>c) 承载链路核查，核查主干链路可达性、链路质量、路由收敛状态与关键节点端口状态；</w:t>
      </w:r>
    </w:p>
    <w:p w14:paraId="13224C9B">
      <w:pPr>
        <w:pStyle w:val="56"/>
        <w:spacing w:line="360" w:lineRule="auto"/>
        <w:ind w:firstLine="420"/>
      </w:pPr>
      <w:r>
        <w:rPr>
          <w:rFonts w:hint="eastAsia"/>
        </w:rPr>
        <w:t>d) 发射侧核查，核查发射机输出功率、反射功率、驻波比、告警状态与保护动作记录；</w:t>
      </w:r>
    </w:p>
    <w:p w14:paraId="25E19254">
      <w:pPr>
        <w:pStyle w:val="56"/>
        <w:spacing w:line="360" w:lineRule="auto"/>
        <w:ind w:firstLine="420"/>
      </w:pPr>
      <w:r>
        <w:rPr>
          <w:rFonts w:hint="eastAsia"/>
        </w:rPr>
        <w:t>e) 保障系统核查，核查市电状态、UPS状态、发电机状态、空调温湿度、消防安防联动状态；</w:t>
      </w:r>
    </w:p>
    <w:p w14:paraId="58EDCE7A">
      <w:pPr>
        <w:pStyle w:val="56"/>
        <w:spacing w:line="360" w:lineRule="auto"/>
        <w:ind w:firstLine="420"/>
      </w:pPr>
      <w:r>
        <w:rPr>
          <w:rFonts w:hint="eastAsia"/>
        </w:rPr>
        <w:t>f) 网络安全核查，核查是否存在异常访问、配置篡改、账号异常登录、流量异常与安全设备告警。</w:t>
      </w:r>
    </w:p>
    <w:p w14:paraId="2D740974">
      <w:pPr>
        <w:pStyle w:val="165"/>
        <w:spacing w:line="360" w:lineRule="auto"/>
      </w:pPr>
      <w:r>
        <w:rPr>
          <w:rFonts w:hint="eastAsia"/>
        </w:rPr>
        <w:t>研判应明确最小可恢复路径。若短时间内无法确定根因，应优先选择可快速恢复业务的切换方案或降级方案，并同步开展根因排查。</w:t>
      </w:r>
    </w:p>
    <w:p w14:paraId="7ED90697">
      <w:pPr>
        <w:pStyle w:val="165"/>
        <w:spacing w:line="360" w:lineRule="auto"/>
      </w:pPr>
      <w:r>
        <w:rPr>
          <w:rFonts w:hint="eastAsia"/>
        </w:rPr>
        <w:t>对需要跨单位协同的研判，应明确牵头单位与协同单位，统一信息口径，避免多头指挥与重复操作。</w:t>
      </w:r>
    </w:p>
    <w:p w14:paraId="0E60D143">
      <w:pPr>
        <w:pStyle w:val="105"/>
        <w:spacing w:before="120" w:after="120" w:line="360" w:lineRule="auto"/>
      </w:pPr>
      <w:r>
        <w:rPr>
          <w:rFonts w:hint="eastAsia"/>
        </w:rPr>
        <w:t>升级触发与联动要求</w:t>
      </w:r>
    </w:p>
    <w:p w14:paraId="1164F1B9">
      <w:pPr>
        <w:pStyle w:val="165"/>
        <w:spacing w:line="360" w:lineRule="auto"/>
      </w:pPr>
      <w:r>
        <w:rPr>
          <w:rFonts w:hint="eastAsia"/>
        </w:rPr>
        <w:t>出现以下情形之一时应立即升级响应等级或启动更高级别应急处置：</w:t>
      </w:r>
    </w:p>
    <w:p w14:paraId="689A0C7D">
      <w:pPr>
        <w:pStyle w:val="56"/>
        <w:spacing w:line="360" w:lineRule="auto"/>
        <w:ind w:firstLine="420"/>
      </w:pPr>
      <w:r>
        <w:rPr>
          <w:rFonts w:hint="eastAsia"/>
        </w:rPr>
        <w:t>a) 影响范围扩大或影响对象由一般业务升级为重要业务；</w:t>
      </w:r>
    </w:p>
    <w:p w14:paraId="78DDFFC8">
      <w:pPr>
        <w:pStyle w:val="56"/>
        <w:spacing w:line="360" w:lineRule="auto"/>
        <w:ind w:firstLine="420"/>
      </w:pPr>
      <w:r>
        <w:rPr>
          <w:rFonts w:hint="eastAsia"/>
        </w:rPr>
        <w:t>b) 业务中断持续时间接近或超过恢复目标时限；</w:t>
      </w:r>
    </w:p>
    <w:p w14:paraId="77AA9CD4">
      <w:pPr>
        <w:pStyle w:val="56"/>
        <w:spacing w:line="360" w:lineRule="auto"/>
        <w:ind w:firstLine="420"/>
      </w:pPr>
      <w:r>
        <w:rPr>
          <w:rFonts w:hint="eastAsia"/>
        </w:rPr>
        <w:t>c) 主用与备用同时出现异常或备用不可用；</w:t>
      </w:r>
    </w:p>
    <w:p w14:paraId="674F76E9">
      <w:pPr>
        <w:pStyle w:val="56"/>
        <w:spacing w:line="360" w:lineRule="auto"/>
        <w:ind w:firstLine="420"/>
      </w:pPr>
      <w:r>
        <w:rPr>
          <w:rFonts w:hint="eastAsia"/>
        </w:rPr>
        <w:t>d) 出现疑似网络安全事件或疑似人为误操作造成的持续异常；</w:t>
      </w:r>
    </w:p>
    <w:p w14:paraId="0906E07C">
      <w:pPr>
        <w:pStyle w:val="56"/>
        <w:spacing w:line="360" w:lineRule="auto"/>
        <w:ind w:firstLine="420"/>
      </w:pPr>
      <w:r>
        <w:rPr>
          <w:rFonts w:hint="eastAsia"/>
        </w:rPr>
        <w:t>e) 供配电与环境保障异常可能导致设备保护停机或火灾风险。</w:t>
      </w:r>
    </w:p>
    <w:p w14:paraId="64DCC3E0">
      <w:pPr>
        <w:pStyle w:val="165"/>
        <w:spacing w:line="360" w:lineRule="auto"/>
      </w:pPr>
      <w:r>
        <w:rPr>
          <w:rFonts w:hint="eastAsia"/>
        </w:rPr>
        <w:t>升级联动应同步启动信息报告机制与资源调配机制，包含现场抢修人员到位、备机备件调拨、厂家远程支持或到场支持、上级单位与主管部门报告。</w:t>
      </w:r>
    </w:p>
    <w:p w14:paraId="0AC696A5">
      <w:pPr>
        <w:pStyle w:val="105"/>
        <w:spacing w:before="120" w:after="120" w:line="360" w:lineRule="auto"/>
      </w:pPr>
      <w:r>
        <w:rPr>
          <w:rFonts w:hint="eastAsia"/>
        </w:rPr>
        <w:t>研判记录与留痕要求</w:t>
      </w:r>
    </w:p>
    <w:p w14:paraId="03AF8C7C">
      <w:pPr>
        <w:pStyle w:val="165"/>
        <w:spacing w:line="360" w:lineRule="auto"/>
      </w:pPr>
      <w:r>
        <w:rPr>
          <w:rFonts w:hint="eastAsia"/>
        </w:rPr>
        <w:t>研判记录应贯穿告警确认、影响评估、处置决策、切换操作、恢复验证全过程，至少记录时间轴、关键告警、关键参数、关键操作、操作人复核人、切换前后对比结果与当前状态。</w:t>
      </w:r>
    </w:p>
    <w:p w14:paraId="0E2DF10B">
      <w:pPr>
        <w:pStyle w:val="165"/>
        <w:spacing w:line="360" w:lineRule="auto"/>
      </w:pPr>
      <w:r>
        <w:rPr>
          <w:rFonts w:hint="eastAsia"/>
        </w:rPr>
        <w:t>对关键系统应保存关键截图、日志片段、配置变更记录、工单记录与现场照片或视频，保证后续复盘、审计核查与争议处理可追溯。</w:t>
      </w:r>
    </w:p>
    <w:p w14:paraId="16FAF56E">
      <w:pPr>
        <w:pStyle w:val="165"/>
        <w:spacing w:line="360" w:lineRule="auto"/>
      </w:pPr>
      <w:r>
        <w:rPr>
          <w:rFonts w:hint="eastAsia"/>
        </w:rPr>
        <w:t>研判记录应与信息报告一致，严禁事后补录与关键时间点缺失。事件关闭前应完成记录归档与完整性核查。</w:t>
      </w:r>
    </w:p>
    <w:p w14:paraId="20FC6A45">
      <w:pPr>
        <w:pStyle w:val="104"/>
        <w:spacing w:before="240" w:after="240" w:line="360" w:lineRule="auto"/>
      </w:pPr>
      <w:bookmarkStart w:id="53" w:name="_Toc219116516"/>
      <w:r>
        <w:rPr>
          <w:rFonts w:hint="eastAsia"/>
        </w:rPr>
        <w:t>应急指挥与协同联动</w:t>
      </w:r>
      <w:bookmarkEnd w:id="53"/>
    </w:p>
    <w:p w14:paraId="6E003C51">
      <w:pPr>
        <w:pStyle w:val="105"/>
        <w:spacing w:before="120" w:after="120" w:line="360" w:lineRule="auto"/>
      </w:pPr>
      <w:r>
        <w:rPr>
          <w:rFonts w:hint="eastAsia"/>
        </w:rPr>
        <w:t>指挥体系要求</w:t>
      </w:r>
    </w:p>
    <w:p w14:paraId="28604867">
      <w:pPr>
        <w:pStyle w:val="165"/>
        <w:spacing w:line="360" w:lineRule="auto"/>
      </w:pPr>
      <w:r>
        <w:rPr>
          <w:rFonts w:hint="eastAsia"/>
        </w:rPr>
        <w:t>应建立统一指挥的应急处置组织体系，明确总指挥、现场指挥、技术研判、操作执行、信息报告、资源保障等岗位角色与替补机制。</w:t>
      </w:r>
    </w:p>
    <w:p w14:paraId="10C6650C">
      <w:pPr>
        <w:pStyle w:val="165"/>
        <w:spacing w:line="360" w:lineRule="auto"/>
      </w:pPr>
      <w:r>
        <w:rPr>
          <w:rFonts w:hint="eastAsia"/>
        </w:rPr>
        <w:t>一级与二级故障应启动应急指挥机制，形成指挥链闭环，确保研判决策、切换操作、资源调配与信息报送同步推进。</w:t>
      </w:r>
    </w:p>
    <w:p w14:paraId="79887CA6">
      <w:pPr>
        <w:pStyle w:val="165"/>
        <w:spacing w:line="360" w:lineRule="auto"/>
      </w:pPr>
      <w:r>
        <w:rPr>
          <w:rFonts w:hint="eastAsia"/>
        </w:rPr>
        <w:t>指挥体系应与日常运行值守体系衔接，值守人员为首响应岗位，负责告警确认、初步研判、启动流程与首报触发。</w:t>
      </w:r>
    </w:p>
    <w:p w14:paraId="4AACEAD7">
      <w:pPr>
        <w:pStyle w:val="105"/>
        <w:spacing w:before="120" w:after="120" w:line="360" w:lineRule="auto"/>
      </w:pPr>
      <w:r>
        <w:rPr>
          <w:rFonts w:hint="eastAsia"/>
        </w:rPr>
        <w:t>职责分工要求</w:t>
      </w:r>
    </w:p>
    <w:p w14:paraId="43FEAD5B">
      <w:pPr>
        <w:pStyle w:val="165"/>
        <w:spacing w:line="360" w:lineRule="auto"/>
      </w:pPr>
      <w:r>
        <w:rPr>
          <w:rFonts w:hint="eastAsia"/>
        </w:rPr>
        <w:t>应按专业域明确责任边界，至少覆盖节目源与播控、编解码复用与调制、传输承载网络、发射机与天馈、供配电与备用电源、机房环境与安防消防、监测控制与告警平台、网络与信息安全、后勤与物资保障。</w:t>
      </w:r>
    </w:p>
    <w:p w14:paraId="1C4D5E84">
      <w:pPr>
        <w:pStyle w:val="165"/>
        <w:spacing w:line="360" w:lineRule="auto"/>
      </w:pPr>
      <w:r>
        <w:rPr>
          <w:rFonts w:hint="eastAsia"/>
        </w:rPr>
        <w:t>每一专业域应明确处置负责人、操作执行人、复核人以及对外协同联络人，关键操作应落实双人复核与口令确认。</w:t>
      </w:r>
    </w:p>
    <w:p w14:paraId="094EB71A">
      <w:pPr>
        <w:pStyle w:val="165"/>
        <w:spacing w:line="360" w:lineRule="auto"/>
      </w:pPr>
      <w:r>
        <w:rPr>
          <w:rFonts w:hint="eastAsia"/>
        </w:rPr>
        <w:t>涉及跨单位链路的故障处置应明确牵头单位与协同单位，牵头单位负责统一信息口径、统一切换节奏、统一记录归档。</w:t>
      </w:r>
    </w:p>
    <w:p w14:paraId="5BBE75C2">
      <w:pPr>
        <w:pStyle w:val="105"/>
        <w:spacing w:before="120" w:after="120" w:line="360" w:lineRule="auto"/>
      </w:pPr>
      <w:r>
        <w:rPr>
          <w:rFonts w:hint="eastAsia"/>
        </w:rPr>
        <w:t>协同联动机制要求</w:t>
      </w:r>
    </w:p>
    <w:p w14:paraId="2A4D712D">
      <w:pPr>
        <w:pStyle w:val="165"/>
        <w:spacing w:line="360" w:lineRule="auto"/>
      </w:pPr>
      <w:r>
        <w:rPr>
          <w:rFonts w:hint="eastAsia"/>
        </w:rPr>
        <w:t>应建立跨部门跨单位联动机制，至少包含传输网络单位、发射台站、播控单位、设备集成单位、设备厂家、供电单位、通信运营单位以及属地应急管理相关单位的联络与协同规则。</w:t>
      </w:r>
    </w:p>
    <w:p w14:paraId="77FB9D77">
      <w:pPr>
        <w:pStyle w:val="165"/>
        <w:spacing w:line="360" w:lineRule="auto"/>
      </w:pPr>
      <w:r>
        <w:rPr>
          <w:rFonts w:hint="eastAsia"/>
        </w:rPr>
        <w:t>联动机制应明确升级触发条件、联动响应时限、到场或远程支持方式、联合研判流程、联合操作边界以及联合恢复验证方式。</w:t>
      </w:r>
    </w:p>
    <w:p w14:paraId="24DE903A">
      <w:pPr>
        <w:pStyle w:val="165"/>
        <w:spacing w:line="360" w:lineRule="auto"/>
      </w:pPr>
      <w:r>
        <w:rPr>
          <w:rFonts w:hint="eastAsia"/>
        </w:rPr>
        <w:t>对需要现场抢修的故障，应建立到场路径、门禁权限、机房钥匙管理、作业票证与安全交底的快速通道，确保抢修人员可在规定时限内进入作业面。</w:t>
      </w:r>
    </w:p>
    <w:p w14:paraId="52CE0505">
      <w:pPr>
        <w:pStyle w:val="105"/>
        <w:spacing w:before="120" w:after="120" w:line="360" w:lineRule="auto"/>
      </w:pPr>
      <w:r>
        <w:rPr>
          <w:rFonts w:hint="eastAsia"/>
        </w:rPr>
        <w:t>操作权限与变更控制要求</w:t>
      </w:r>
    </w:p>
    <w:p w14:paraId="176A8749">
      <w:pPr>
        <w:pStyle w:val="165"/>
        <w:spacing w:line="360" w:lineRule="auto"/>
      </w:pPr>
      <w:r>
        <w:rPr>
          <w:rFonts w:hint="eastAsia"/>
        </w:rPr>
        <w:t>应建立应急操作权限清单，明确可执行的切换操作范围、可修改的配置范围、可回退的版本范围以及禁止操作清单。</w:t>
      </w:r>
    </w:p>
    <w:p w14:paraId="6CD4B164">
      <w:pPr>
        <w:pStyle w:val="165"/>
        <w:spacing w:line="360" w:lineRule="auto"/>
      </w:pPr>
      <w:r>
        <w:rPr>
          <w:rFonts w:hint="eastAsia"/>
        </w:rPr>
        <w:t>应急切换、路由改动、配置修改、软件重启、版本回退等高风险操作应执行口令确认与双人复核，并在研判记录中形成时间轴留痕。</w:t>
      </w:r>
    </w:p>
    <w:p w14:paraId="4EB50461">
      <w:pPr>
        <w:pStyle w:val="165"/>
        <w:spacing w:line="360" w:lineRule="auto"/>
      </w:pPr>
      <w:r>
        <w:rPr>
          <w:rFonts w:hint="eastAsia"/>
        </w:rPr>
        <w:t>处置期间的临时配置与旁路策略应设定有效期与回收责任人，恢复完成后应按计划回退到受控配置或形成正式变更闭环。</w:t>
      </w:r>
    </w:p>
    <w:p w14:paraId="73722D49">
      <w:pPr>
        <w:pStyle w:val="105"/>
        <w:spacing w:before="120" w:after="120" w:line="360" w:lineRule="auto"/>
      </w:pPr>
      <w:r>
        <w:rPr>
          <w:rFonts w:hint="eastAsia"/>
        </w:rPr>
        <w:t>通信保障要求</w:t>
      </w:r>
    </w:p>
    <w:p w14:paraId="1278387E">
      <w:pPr>
        <w:pStyle w:val="165"/>
        <w:spacing w:line="360" w:lineRule="auto"/>
      </w:pPr>
      <w:r>
        <w:rPr>
          <w:rFonts w:hint="eastAsia"/>
        </w:rPr>
        <w:t>应急处置期间应保证指挥通信畅通，至少配置电话、即时通信、专用调度系统等两种以上通信手段，并明确主用与备用通信方式。</w:t>
      </w:r>
    </w:p>
    <w:p w14:paraId="291C02D5">
      <w:pPr>
        <w:pStyle w:val="165"/>
        <w:spacing w:line="360" w:lineRule="auto"/>
      </w:pPr>
      <w:r>
        <w:rPr>
          <w:rFonts w:hint="eastAsia"/>
        </w:rPr>
        <w:t>指挥群组应按岗位设置，至少包含总指挥、现场指挥、专业负责人、值守席位、信息报告岗与资源保障岗，避免人员过多导致信息噪声。</w:t>
      </w:r>
    </w:p>
    <w:p w14:paraId="00A44F33">
      <w:pPr>
        <w:pStyle w:val="165"/>
        <w:spacing w:line="360" w:lineRule="auto"/>
      </w:pPr>
      <w:r>
        <w:rPr>
          <w:rFonts w:hint="eastAsia"/>
        </w:rPr>
        <w:t>关键指令应采用可追溯方式下达并复诵确认，涉及切换窗口与停机窗口的指令应明确执行时间、回退条件与验证要求。</w:t>
      </w:r>
    </w:p>
    <w:p w14:paraId="383A6700">
      <w:pPr>
        <w:pStyle w:val="105"/>
        <w:spacing w:before="120" w:after="120" w:line="360" w:lineRule="auto"/>
      </w:pPr>
      <w:r>
        <w:rPr>
          <w:rFonts w:hint="eastAsia"/>
        </w:rPr>
        <w:t>厂家与专家支持要求</w:t>
      </w:r>
    </w:p>
    <w:p w14:paraId="62FCDE4F">
      <w:pPr>
        <w:pStyle w:val="165"/>
        <w:spacing w:line="360" w:lineRule="auto"/>
      </w:pPr>
      <w:r>
        <w:rPr>
          <w:rFonts w:hint="eastAsia"/>
        </w:rPr>
        <w:t>对关键设备与关键系统应建立厂家支持协议或服务条款，明确远程支持通道、响应时限、到场时限、备件供应时限与升级处置路径。</w:t>
      </w:r>
    </w:p>
    <w:p w14:paraId="19E95FFB">
      <w:pPr>
        <w:pStyle w:val="165"/>
        <w:spacing w:line="360" w:lineRule="auto"/>
      </w:pPr>
      <w:r>
        <w:rPr>
          <w:rFonts w:hint="eastAsia"/>
        </w:rPr>
        <w:t>需要厂家介入的故障应由指挥体系统一发起并提供必要证据，包含告警信息、日志片段、配置版本、现场参数与已采取措施，减少重复沟通成本。</w:t>
      </w:r>
    </w:p>
    <w:p w14:paraId="73C2DFF9">
      <w:pPr>
        <w:pStyle w:val="165"/>
        <w:spacing w:line="360" w:lineRule="auto"/>
      </w:pPr>
      <w:r>
        <w:rPr>
          <w:rFonts w:hint="eastAsia"/>
        </w:rPr>
        <w:t>应建立专家库或技术支持小组，覆盖传输网络、发射机天馈、编解码复用、网络安全等专业方向，满足复杂故障的快速研判需求。</w:t>
      </w:r>
    </w:p>
    <w:p w14:paraId="16E0385B">
      <w:pPr>
        <w:pStyle w:val="105"/>
        <w:spacing w:before="120" w:after="120" w:line="360" w:lineRule="auto"/>
      </w:pPr>
      <w:r>
        <w:rPr>
          <w:rFonts w:hint="eastAsia"/>
        </w:rPr>
        <w:t>资源调配与保障要求</w:t>
      </w:r>
    </w:p>
    <w:p w14:paraId="341518B7">
      <w:pPr>
        <w:pStyle w:val="165"/>
        <w:spacing w:line="360" w:lineRule="auto"/>
      </w:pPr>
      <w:r>
        <w:rPr>
          <w:rFonts w:hint="eastAsia"/>
        </w:rPr>
        <w:t>应建立应急资源清单，至少包含备用链路清单、备机清单、关键备件清单、工具仪表清单、油料与电源保障清单以及应急车辆与通行保障措施。</w:t>
      </w:r>
    </w:p>
    <w:p w14:paraId="2862031E">
      <w:pPr>
        <w:pStyle w:val="165"/>
        <w:spacing w:line="360" w:lineRule="auto"/>
      </w:pPr>
      <w:r>
        <w:rPr>
          <w:rFonts w:hint="eastAsia"/>
        </w:rPr>
        <w:t>应明确资源调拨流程与审批权限，重大故障应优先保障恢复所需资源，必要时启动跨台站跨区域资源调配。</w:t>
      </w:r>
    </w:p>
    <w:p w14:paraId="24F722A4">
      <w:pPr>
        <w:pStyle w:val="165"/>
        <w:spacing w:line="360" w:lineRule="auto"/>
      </w:pPr>
      <w:r>
        <w:rPr>
          <w:rFonts w:hint="eastAsia"/>
        </w:rPr>
        <w:t>资源使用应留痕，包含领用归还、使用时间、使用目的、消耗数量与责任人，事件关闭后应完成补库与状态复原。</w:t>
      </w:r>
    </w:p>
    <w:p w14:paraId="5A4FB059">
      <w:pPr>
        <w:pStyle w:val="105"/>
        <w:spacing w:before="120" w:after="120" w:line="360" w:lineRule="auto"/>
      </w:pPr>
      <w:r>
        <w:rPr>
          <w:rFonts w:hint="eastAsia"/>
        </w:rPr>
        <w:t>现场作业安全要求</w:t>
      </w:r>
    </w:p>
    <w:p w14:paraId="7E255901">
      <w:pPr>
        <w:pStyle w:val="165"/>
        <w:spacing w:line="360" w:lineRule="auto"/>
      </w:pPr>
      <w:r>
        <w:rPr>
          <w:rFonts w:hint="eastAsia"/>
        </w:rPr>
        <w:t>现场处置应执行电气安全、登高安全、射频安全与消防安全要求，进入发射机房、天馈区域与高压配电区域应落实许可与监护。</w:t>
      </w:r>
    </w:p>
    <w:p w14:paraId="79D46802">
      <w:pPr>
        <w:pStyle w:val="165"/>
        <w:spacing w:line="360" w:lineRule="auto"/>
      </w:pPr>
      <w:r>
        <w:rPr>
          <w:rFonts w:hint="eastAsia"/>
        </w:rPr>
        <w:t>应急抢修不得以牺牲安全为代价。存在触电、坠落、火灾、雷电等风险时应先采取隔离与防护措施，必要时实施业务降级与远程切换替代现场冒险操作。</w:t>
      </w:r>
    </w:p>
    <w:p w14:paraId="675A0592">
      <w:pPr>
        <w:pStyle w:val="165"/>
        <w:spacing w:line="360" w:lineRule="auto"/>
      </w:pPr>
      <w:r>
        <w:rPr>
          <w:rFonts w:hint="eastAsia"/>
        </w:rPr>
        <w:t>现场关键操作应由具备资质的人员执行，操作前应确认设备状态与隔离状态，操作后应立即进行必要的状态核验与告警复核。</w:t>
      </w:r>
    </w:p>
    <w:p w14:paraId="7AA0A507">
      <w:pPr>
        <w:pStyle w:val="105"/>
        <w:spacing w:before="120" w:after="120" w:line="360" w:lineRule="auto"/>
      </w:pPr>
      <w:r>
        <w:rPr>
          <w:rFonts w:hint="eastAsia"/>
        </w:rPr>
        <w:t>信息口径与对外协同要求</w:t>
      </w:r>
    </w:p>
    <w:p w14:paraId="3FB05E58">
      <w:pPr>
        <w:pStyle w:val="165"/>
        <w:spacing w:line="360" w:lineRule="auto"/>
      </w:pPr>
      <w:r>
        <w:rPr>
          <w:rFonts w:hint="eastAsia"/>
        </w:rPr>
        <w:t>处置期间的信息发布应遵循统一口径原则，未经指挥体系确认的信息不得外传。</w:t>
      </w:r>
    </w:p>
    <w:p w14:paraId="6C20320E">
      <w:pPr>
        <w:pStyle w:val="165"/>
        <w:spacing w:line="360" w:lineRule="auto"/>
      </w:pPr>
      <w:r>
        <w:rPr>
          <w:rFonts w:hint="eastAsia"/>
        </w:rPr>
        <w:t>对上级单位、主管部门与协同单位的通报应以事实为主，明确当前状态、影响范围、已采取措施、下一步计划与预计恢复时间，并保持滚动更新。</w:t>
      </w:r>
    </w:p>
    <w:p w14:paraId="54077A44">
      <w:pPr>
        <w:pStyle w:val="165"/>
        <w:spacing w:line="360" w:lineRule="auto"/>
      </w:pPr>
      <w:r>
        <w:rPr>
          <w:rFonts w:hint="eastAsia"/>
        </w:rPr>
        <w:t>对疑似网络安全事件或疑似人为破坏事件，应同步启动安全保卫与网络安全处置协同机制，相关证据应按要求留存并保护现场。</w:t>
      </w:r>
    </w:p>
    <w:p w14:paraId="199C0495">
      <w:pPr>
        <w:pStyle w:val="165"/>
        <w:numPr>
          <w:ilvl w:val="0"/>
          <w:numId w:val="0"/>
        </w:numPr>
        <w:spacing w:line="360" w:lineRule="auto"/>
      </w:pPr>
    </w:p>
    <w:p w14:paraId="1F984500">
      <w:pPr>
        <w:pStyle w:val="165"/>
        <w:numPr>
          <w:ilvl w:val="0"/>
          <w:numId w:val="0"/>
        </w:numPr>
        <w:spacing w:line="360" w:lineRule="auto"/>
      </w:pPr>
    </w:p>
    <w:p w14:paraId="5EE02811">
      <w:pPr>
        <w:pStyle w:val="165"/>
        <w:numPr>
          <w:ilvl w:val="0"/>
          <w:numId w:val="0"/>
        </w:numPr>
        <w:spacing w:line="360" w:lineRule="auto"/>
        <w:rPr>
          <w:rFonts w:hint="eastAsia"/>
        </w:rPr>
      </w:pPr>
    </w:p>
    <w:p w14:paraId="2BDD46BB">
      <w:pPr>
        <w:pStyle w:val="104"/>
        <w:spacing w:before="240" w:after="240" w:line="360" w:lineRule="auto"/>
      </w:pPr>
      <w:bookmarkStart w:id="54" w:name="_Toc219116517"/>
      <w:r>
        <w:rPr>
          <w:rFonts w:hint="eastAsia"/>
        </w:rPr>
        <w:t>现场处置与切换控制</w:t>
      </w:r>
      <w:bookmarkEnd w:id="54"/>
    </w:p>
    <w:p w14:paraId="021DF8CA">
      <w:pPr>
        <w:pStyle w:val="105"/>
        <w:spacing w:before="120" w:after="120" w:line="360" w:lineRule="auto"/>
      </w:pPr>
      <w:r>
        <w:rPr>
          <w:rFonts w:hint="eastAsia"/>
        </w:rPr>
        <w:t>一般要求</w:t>
      </w:r>
    </w:p>
    <w:p w14:paraId="428E1A84">
      <w:pPr>
        <w:pStyle w:val="165"/>
        <w:spacing w:line="360" w:lineRule="auto"/>
      </w:pPr>
      <w:r>
        <w:rPr>
          <w:rFonts w:hint="eastAsia"/>
        </w:rPr>
        <w:t>现场处置应以快速恢复业务为第一目标，遵循先恢复后定位、先切换后修复、先控制影响后消除隐患的原则。</w:t>
      </w:r>
    </w:p>
    <w:p w14:paraId="609C057B">
      <w:pPr>
        <w:pStyle w:val="165"/>
        <w:spacing w:line="360" w:lineRule="auto"/>
      </w:pPr>
      <w:r>
        <w:rPr>
          <w:rFonts w:hint="eastAsia"/>
        </w:rPr>
        <w:t>应急处置应以最小操作集完成恢复，避免在未掌握风险边界条件下进行大范围重配置、批量重启与级联切换，防止故障扩大。</w:t>
      </w:r>
    </w:p>
    <w:p w14:paraId="5C8B1D1E">
      <w:pPr>
        <w:pStyle w:val="165"/>
        <w:spacing w:line="360" w:lineRule="auto"/>
      </w:pPr>
      <w:r>
        <w:rPr>
          <w:rFonts w:hint="eastAsia"/>
        </w:rPr>
        <w:t>关键操作应执行双人复核与口令确认，操作前应明确切换目标、切换窗口、回退条件、验证指标与记录要求。</w:t>
      </w:r>
    </w:p>
    <w:p w14:paraId="2D368E38">
      <w:pPr>
        <w:pStyle w:val="165"/>
        <w:spacing w:line="360" w:lineRule="auto"/>
      </w:pPr>
      <w:r>
        <w:rPr>
          <w:rFonts w:hint="eastAsia"/>
        </w:rPr>
        <w:t>处置过程中应持续更新研判记录，关键节点至少包含告警确认时间、处置策略确定时间、切换执行时间、恢复验证时间、业务切回时间。</w:t>
      </w:r>
    </w:p>
    <w:p w14:paraId="4CB17A09">
      <w:pPr>
        <w:pStyle w:val="105"/>
        <w:spacing w:before="120" w:after="120" w:line="360" w:lineRule="auto"/>
      </w:pPr>
      <w:r>
        <w:rPr>
          <w:rFonts w:hint="eastAsia"/>
        </w:rPr>
        <w:t>处置策略选择要求</w:t>
      </w:r>
    </w:p>
    <w:p w14:paraId="23218992">
      <w:pPr>
        <w:pStyle w:val="165"/>
        <w:spacing w:line="360" w:lineRule="auto"/>
      </w:pPr>
      <w:r>
        <w:rPr>
          <w:rFonts w:hint="eastAsia"/>
        </w:rPr>
        <w:t>应优先采用预案内的标准切换路径与降级播出方案。预案内应明确主用链路、备用链路、降级业务形态与切换验证方法。</w:t>
      </w:r>
    </w:p>
    <w:p w14:paraId="58A76DBF">
      <w:pPr>
        <w:pStyle w:val="165"/>
        <w:spacing w:line="360" w:lineRule="auto"/>
      </w:pPr>
      <w:r>
        <w:rPr>
          <w:rFonts w:hint="eastAsia"/>
        </w:rPr>
        <w:t>当根因未明且业务影响显著时，应优先实施隔离与绕行措施，包括链路重路由、备用编码器切换、备用发射机切换、备用电源切换或启用异地备播。</w:t>
      </w:r>
    </w:p>
    <w:p w14:paraId="52864EB1">
      <w:pPr>
        <w:pStyle w:val="165"/>
        <w:spacing w:line="360" w:lineRule="auto"/>
      </w:pPr>
      <w:r>
        <w:rPr>
          <w:rFonts w:hint="eastAsia"/>
        </w:rPr>
        <w:t>当存在安全风险或设备保护动作风险时，应优先实施保护性处置，包括降低发射功率、限制输出、隔离故障设备、暂停高风险操作并启用备用方案。</w:t>
      </w:r>
    </w:p>
    <w:p w14:paraId="776120F6">
      <w:pPr>
        <w:pStyle w:val="105"/>
        <w:spacing w:before="120" w:after="120" w:line="360" w:lineRule="auto"/>
      </w:pPr>
      <w:r>
        <w:rPr>
          <w:rFonts w:hint="eastAsia"/>
        </w:rPr>
        <w:t>切换控制要求</w:t>
      </w:r>
    </w:p>
    <w:p w14:paraId="0D9954F3">
      <w:pPr>
        <w:pStyle w:val="165"/>
        <w:spacing w:line="360" w:lineRule="auto"/>
      </w:pPr>
      <w:r>
        <w:rPr>
          <w:rFonts w:hint="eastAsia"/>
        </w:rPr>
        <w:t>切换操作应遵循单点变更原则，每次切换尽量只改变一个关键变量，如只切链路、只切设备、只切配置版本，切换完成并验证后再实施下一步操作。</w:t>
      </w:r>
    </w:p>
    <w:p w14:paraId="4E5CAFD7">
      <w:pPr>
        <w:pStyle w:val="165"/>
        <w:spacing w:line="360" w:lineRule="auto"/>
      </w:pPr>
      <w:r>
        <w:rPr>
          <w:rFonts w:hint="eastAsia"/>
        </w:rPr>
        <w:t>切换前应确认备用资源处于可用状态，包括设备上电、配置版本一致、接口连通、授权有效、容量满足、关键阈值合理。</w:t>
      </w:r>
    </w:p>
    <w:p w14:paraId="54D2A279">
      <w:pPr>
        <w:pStyle w:val="165"/>
        <w:spacing w:line="360" w:lineRule="auto"/>
      </w:pPr>
      <w:r>
        <w:rPr>
          <w:rFonts w:hint="eastAsia"/>
        </w:rPr>
        <w:t>切换时应明确切换方式与顺序，通常应先建立备用承载，再切换业务入口或出口，避免同时断开主用与备用导致全断。</w:t>
      </w:r>
    </w:p>
    <w:p w14:paraId="2FAFCDDB">
      <w:pPr>
        <w:pStyle w:val="165"/>
        <w:spacing w:line="360" w:lineRule="auto"/>
      </w:pPr>
      <w:r>
        <w:rPr>
          <w:rFonts w:hint="eastAsia"/>
        </w:rPr>
        <w:t>切换后应立即执行快速验证，验证通过后方可宣布恢复并进入深度定位与修复阶段。验证不通过应按回退条件立即回退或切换至次级备用路径。</w:t>
      </w:r>
    </w:p>
    <w:p w14:paraId="305DD97A">
      <w:pPr>
        <w:pStyle w:val="165"/>
        <w:spacing w:line="360" w:lineRule="auto"/>
      </w:pPr>
      <w:r>
        <w:rPr>
          <w:rFonts w:hint="eastAsia"/>
        </w:rPr>
        <w:t>对跨单位链路与跨区域台站的切换，应由牵头单位统一发令并同步记录，严禁不同单位在同一窗口内同时改动路由与配置。</w:t>
      </w:r>
    </w:p>
    <w:p w14:paraId="3E0AD4CD">
      <w:pPr>
        <w:pStyle w:val="105"/>
        <w:spacing w:before="120" w:after="120" w:line="360" w:lineRule="auto"/>
      </w:pPr>
      <w:r>
        <w:rPr>
          <w:rFonts w:hint="eastAsia"/>
        </w:rPr>
        <w:t>节目源与节目链路异常处置要求</w:t>
      </w:r>
    </w:p>
    <w:p w14:paraId="467CBE86">
      <w:pPr>
        <w:pStyle w:val="165"/>
        <w:spacing w:line="360" w:lineRule="auto"/>
      </w:pPr>
      <w:r>
        <w:rPr>
          <w:rFonts w:hint="eastAsia"/>
        </w:rPr>
        <w:t>出现无信号、黑场、静音、码流中断等现象时，应首先确认节目源输出状态与源侧告警，核对输入接口状态与时钟同步状态。</w:t>
      </w:r>
    </w:p>
    <w:p w14:paraId="3AA5EC94">
      <w:pPr>
        <w:pStyle w:val="165"/>
        <w:spacing w:line="360" w:lineRule="auto"/>
      </w:pPr>
      <w:r>
        <w:rPr>
          <w:rFonts w:hint="eastAsia"/>
        </w:rPr>
        <w:t>应优先切换至备用节目源或备用输入通道，必要时启用应急节目或应急画面音频源，确保基本播出能力。</w:t>
      </w:r>
    </w:p>
    <w:p w14:paraId="50BD4255">
      <w:pPr>
        <w:pStyle w:val="165"/>
        <w:spacing w:line="360" w:lineRule="auto"/>
      </w:pPr>
      <w:r>
        <w:rPr>
          <w:rFonts w:hint="eastAsia"/>
        </w:rPr>
        <w:t>当异常疑似由时钟、同步或接口抖动引起时，应检查参考时钟源与同步链路，必要时切换备用时钟源并复核同步告警消除情况。</w:t>
      </w:r>
    </w:p>
    <w:p w14:paraId="1BA0594E">
      <w:pPr>
        <w:pStyle w:val="105"/>
        <w:spacing w:before="120" w:after="120" w:line="360" w:lineRule="auto"/>
      </w:pPr>
      <w:r>
        <w:rPr>
          <w:rFonts w:hint="eastAsia"/>
        </w:rPr>
        <w:t>编解码复用与调制环节故障处置要求</w:t>
      </w:r>
    </w:p>
    <w:p w14:paraId="059F4C0E">
      <w:pPr>
        <w:pStyle w:val="165"/>
        <w:spacing w:line="360" w:lineRule="auto"/>
      </w:pPr>
      <w:r>
        <w:rPr>
          <w:rFonts w:hint="eastAsia"/>
        </w:rPr>
        <w:t>出现码流参数异常、业务流丢失、复用错误、调制告警时，应核对设备运行状态、CPU与内存资源、关键配置版本与最近变更记录。</w:t>
      </w:r>
    </w:p>
    <w:p w14:paraId="4B3568DC">
      <w:pPr>
        <w:pStyle w:val="165"/>
        <w:spacing w:line="360" w:lineRule="auto"/>
      </w:pPr>
      <w:r>
        <w:rPr>
          <w:rFonts w:hint="eastAsia"/>
        </w:rPr>
        <w:t>应优先采用热备或旁路切换方式，将业务切换至备用编码器、备用复用器或备用调制器，并保留故障设备的日志与配置快照用于后续分析。</w:t>
      </w:r>
    </w:p>
    <w:p w14:paraId="5B04AD77">
      <w:pPr>
        <w:pStyle w:val="165"/>
        <w:spacing w:line="360" w:lineRule="auto"/>
      </w:pPr>
      <w:r>
        <w:rPr>
          <w:rFonts w:hint="eastAsia"/>
        </w:rPr>
        <w:t>对疑似软件异常的设备，可按预案执行受控重启或服务重启，重启前应确认业务已切离或具备不中断重启条件，重启后应核对业务流完整性与告警状态。</w:t>
      </w:r>
    </w:p>
    <w:p w14:paraId="0B1E37B2">
      <w:pPr>
        <w:pStyle w:val="165"/>
        <w:spacing w:line="360" w:lineRule="auto"/>
      </w:pPr>
      <w:r>
        <w:rPr>
          <w:rFonts w:hint="eastAsia"/>
        </w:rPr>
        <w:t>对版本回退操作应采用受控回退流程，回退前应备份当前版本配置与参数，回退后应执行功能核验与兼容性核验，避免回退导致接口协议不匹配。</w:t>
      </w:r>
    </w:p>
    <w:p w14:paraId="632243AE">
      <w:pPr>
        <w:pStyle w:val="105"/>
        <w:spacing w:before="120" w:after="120" w:line="360" w:lineRule="auto"/>
      </w:pPr>
      <w:r>
        <w:rPr>
          <w:rFonts w:hint="eastAsia"/>
        </w:rPr>
        <w:t>传输承载链路中断或劣化处置要求</w:t>
      </w:r>
    </w:p>
    <w:p w14:paraId="68223F13">
      <w:pPr>
        <w:pStyle w:val="165"/>
        <w:spacing w:line="360" w:lineRule="auto"/>
      </w:pPr>
      <w:r>
        <w:rPr>
          <w:rFonts w:hint="eastAsia"/>
        </w:rPr>
        <w:t>出现链路中断、丢包升高、时延抖动异常时，应先分段定位故障段，区分本地接入段、城域段、骨干段与对端接入段，并核对关键节点端口状态与路由收敛状态。</w:t>
      </w:r>
    </w:p>
    <w:p w14:paraId="04DAA4BB">
      <w:pPr>
        <w:pStyle w:val="165"/>
        <w:spacing w:line="360" w:lineRule="auto"/>
      </w:pPr>
      <w:r>
        <w:rPr>
          <w:rFonts w:hint="eastAsia"/>
        </w:rPr>
        <w:t>应优先启用备用承载链路或备用路径重路由，必要时实施带宽降级、码率下调或业务优先级调整，保障重要业务先恢复。</w:t>
      </w:r>
    </w:p>
    <w:p w14:paraId="52EE51D4">
      <w:pPr>
        <w:pStyle w:val="165"/>
        <w:spacing w:line="360" w:lineRule="auto"/>
      </w:pPr>
      <w:r>
        <w:rPr>
          <w:rFonts w:hint="eastAsia"/>
        </w:rPr>
        <w:t>对租用运营商链路，应按联动机制立即启动故障报修与升级通道，明确故障编号、影响范围、测试结果与期望恢复时限，并保持滚动通报。</w:t>
      </w:r>
    </w:p>
    <w:p w14:paraId="5F4B268C">
      <w:pPr>
        <w:pStyle w:val="165"/>
        <w:spacing w:line="360" w:lineRule="auto"/>
      </w:pPr>
      <w:r>
        <w:rPr>
          <w:rFonts w:hint="eastAsia"/>
        </w:rPr>
        <w:t>对疑似链路环路、地址冲突或配置误改导致的异常，应立即实施隔离措施并冻结相关配置变更，待业务稳定后再开展恢复性排查。</w:t>
      </w:r>
    </w:p>
    <w:p w14:paraId="23E9F3D6">
      <w:pPr>
        <w:pStyle w:val="105"/>
        <w:spacing w:before="120" w:after="120" w:line="360" w:lineRule="auto"/>
      </w:pPr>
      <w:r>
        <w:rPr>
          <w:rFonts w:hint="eastAsia"/>
        </w:rPr>
        <w:t>发射机与功放系统故障处置要求</w:t>
      </w:r>
    </w:p>
    <w:p w14:paraId="1AC226B2">
      <w:pPr>
        <w:pStyle w:val="165"/>
        <w:spacing w:line="360" w:lineRule="auto"/>
      </w:pPr>
      <w:r>
        <w:rPr>
          <w:rFonts w:hint="eastAsia"/>
        </w:rPr>
        <w:t>出现发射机停机、功率下降、保护动作、过温过流告警时，应先确认供电状态、冷却状态与联锁状态，禁止在保护条件未解除时强制复位。</w:t>
      </w:r>
    </w:p>
    <w:p w14:paraId="255330B0">
      <w:pPr>
        <w:pStyle w:val="165"/>
        <w:spacing w:line="360" w:lineRule="auto"/>
      </w:pPr>
      <w:r>
        <w:rPr>
          <w:rFonts w:hint="eastAsia"/>
        </w:rPr>
        <w:t>应优先切换备用发射机或备用功放模块，必要时采取降功率运行方案以维持覆盖基本能力，并同步评估覆盖影响。</w:t>
      </w:r>
    </w:p>
    <w:p w14:paraId="5D399221">
      <w:pPr>
        <w:pStyle w:val="165"/>
        <w:spacing w:line="360" w:lineRule="auto"/>
      </w:pPr>
      <w:r>
        <w:rPr>
          <w:rFonts w:hint="eastAsia"/>
        </w:rPr>
        <w:t>切换后应重点核验输出功率、反射功率、驻波比与告警状态，确认天馈系统无异常后方可逐步恢复至目标功率。</w:t>
      </w:r>
    </w:p>
    <w:p w14:paraId="2CE7EEBD">
      <w:pPr>
        <w:pStyle w:val="165"/>
        <w:numPr>
          <w:ilvl w:val="0"/>
          <w:numId w:val="0"/>
        </w:numPr>
        <w:spacing w:line="360" w:lineRule="auto"/>
        <w:rPr>
          <w:rFonts w:hint="eastAsia"/>
        </w:rPr>
      </w:pPr>
    </w:p>
    <w:p w14:paraId="354FFCDD">
      <w:pPr>
        <w:pStyle w:val="105"/>
        <w:spacing w:before="120" w:after="120" w:line="360" w:lineRule="auto"/>
      </w:pPr>
      <w:r>
        <w:rPr>
          <w:rFonts w:hint="eastAsia"/>
        </w:rPr>
        <w:t>天馈系统异常处置要求</w:t>
      </w:r>
    </w:p>
    <w:p w14:paraId="1F4CFF27">
      <w:pPr>
        <w:pStyle w:val="165"/>
        <w:spacing w:line="360" w:lineRule="auto"/>
      </w:pPr>
      <w:r>
        <w:rPr>
          <w:rFonts w:hint="eastAsia"/>
        </w:rPr>
        <w:t>出现驻波比异常、反射功率升高、覆盖突降等现象时，应优先降低功率或停机保护，防止进一步损坏发射机功放与馈线。</w:t>
      </w:r>
    </w:p>
    <w:p w14:paraId="67E54F03">
      <w:pPr>
        <w:pStyle w:val="165"/>
        <w:spacing w:line="360" w:lineRule="auto"/>
      </w:pPr>
      <w:r>
        <w:rPr>
          <w:rFonts w:hint="eastAsia"/>
        </w:rPr>
        <w:t>应结合监测数据与现场巡检研判异常位置，核对馈线连接点、接头、防水与接地状态，必要时切换备用天线系统或备用馈线通道。</w:t>
      </w:r>
    </w:p>
    <w:p w14:paraId="365180A2">
      <w:pPr>
        <w:pStyle w:val="165"/>
        <w:spacing w:line="360" w:lineRule="auto"/>
      </w:pPr>
      <w:r>
        <w:rPr>
          <w:rFonts w:hint="eastAsia"/>
        </w:rPr>
        <w:t>在雷电、强风、冰雪等极端天气条件下应优先保障人员安全，现场登高与塔桅作业应满足许可与监护要求，必要时采取业务降级替代现场处置。</w:t>
      </w:r>
    </w:p>
    <w:p w14:paraId="47E22603">
      <w:pPr>
        <w:pStyle w:val="105"/>
        <w:spacing w:before="120" w:after="120" w:line="360" w:lineRule="auto"/>
      </w:pPr>
      <w:r>
        <w:rPr>
          <w:rFonts w:hint="eastAsia"/>
        </w:rPr>
        <w:t>供配电与备用电源故障处置要求</w:t>
      </w:r>
    </w:p>
    <w:p w14:paraId="20803758">
      <w:pPr>
        <w:pStyle w:val="165"/>
        <w:spacing w:line="360" w:lineRule="auto"/>
      </w:pPr>
      <w:r>
        <w:rPr>
          <w:rFonts w:hint="eastAsia"/>
        </w:rPr>
        <w:t>出现市电异常、UPS告警、发电机未能启动等情况时，应立即核对供电切换状态与负载状态，防止过载导致级联掉电。</w:t>
      </w:r>
    </w:p>
    <w:p w14:paraId="71D7E93B">
      <w:pPr>
        <w:pStyle w:val="165"/>
        <w:spacing w:line="360" w:lineRule="auto"/>
      </w:pPr>
      <w:r>
        <w:rPr>
          <w:rFonts w:hint="eastAsia"/>
        </w:rPr>
        <w:t>应按预案实施电源切换与负载分级保障，优先保障播出链路关键设备与监测告警系统供电，非关键负载可临时切除。</w:t>
      </w:r>
    </w:p>
    <w:p w14:paraId="2A43DE9E">
      <w:pPr>
        <w:pStyle w:val="165"/>
        <w:spacing w:line="360" w:lineRule="auto"/>
      </w:pPr>
      <w:r>
        <w:rPr>
          <w:rFonts w:hint="eastAsia"/>
        </w:rPr>
        <w:t>供配电恢复后应实施受控上电与分步恢复，避免一次性上电造成冲击与二次故障，并记录电源切换时间与关键电参变化。</w:t>
      </w:r>
    </w:p>
    <w:p w14:paraId="4A644A95">
      <w:pPr>
        <w:pStyle w:val="105"/>
        <w:spacing w:before="120" w:after="120" w:line="360" w:lineRule="auto"/>
      </w:pPr>
      <w:r>
        <w:rPr>
          <w:rFonts w:hint="eastAsia"/>
        </w:rPr>
        <w:t>监测控制平台与告警链路故障处置要求</w:t>
      </w:r>
    </w:p>
    <w:p w14:paraId="309D57C6">
      <w:pPr>
        <w:pStyle w:val="165"/>
        <w:spacing w:line="360" w:lineRule="auto"/>
      </w:pPr>
      <w:r>
        <w:rPr>
          <w:rFonts w:hint="eastAsia"/>
        </w:rPr>
        <w:t>监测告警平台故障不得视为一般IT故障处理，应按播出安全保障系统对待，优先恢复告警能力以支撑研判与处置。</w:t>
      </w:r>
    </w:p>
    <w:p w14:paraId="1F3D22CB">
      <w:pPr>
        <w:pStyle w:val="165"/>
        <w:spacing w:line="360" w:lineRule="auto"/>
      </w:pPr>
      <w:r>
        <w:rPr>
          <w:rFonts w:hint="eastAsia"/>
        </w:rPr>
        <w:t>告警链路中断时应启用备用监测通道或人工巡检机制，确保关键设备状态可见并可记录。</w:t>
      </w:r>
    </w:p>
    <w:p w14:paraId="56D4081D">
      <w:pPr>
        <w:pStyle w:val="165"/>
        <w:spacing w:line="360" w:lineRule="auto"/>
      </w:pPr>
      <w:r>
        <w:rPr>
          <w:rFonts w:hint="eastAsia"/>
        </w:rPr>
        <w:t>恢复后应核对告警阈值与规则未被误改，必要时对关键阈值进行抽样复核并固化受控配置。</w:t>
      </w:r>
    </w:p>
    <w:p w14:paraId="2C67E3B4">
      <w:pPr>
        <w:pStyle w:val="105"/>
        <w:spacing w:before="120" w:after="120" w:line="360" w:lineRule="auto"/>
      </w:pPr>
      <w:r>
        <w:rPr>
          <w:rFonts w:hint="eastAsia"/>
        </w:rPr>
        <w:t>网络与信息安全事件处置要求</w:t>
      </w:r>
    </w:p>
    <w:p w14:paraId="1AB5E5BB">
      <w:pPr>
        <w:pStyle w:val="165"/>
        <w:spacing w:line="360" w:lineRule="auto"/>
      </w:pPr>
      <w:r>
        <w:rPr>
          <w:rFonts w:hint="eastAsia"/>
        </w:rPr>
        <w:t>出现异常登录、配置被改、流量异常、勒索或恶意代码迹象时，应按疑似安全事件快速处置，优先隔离受影响系统与账户，保全日志与证据。</w:t>
      </w:r>
    </w:p>
    <w:p w14:paraId="4F3AF98B">
      <w:pPr>
        <w:pStyle w:val="165"/>
        <w:spacing w:line="360" w:lineRule="auto"/>
      </w:pPr>
      <w:r>
        <w:rPr>
          <w:rFonts w:hint="eastAsia"/>
        </w:rPr>
        <w:t>在不影响业务恢复前提下，应尽快切换至可信备份配置或可信镜像版本，避免在受感染环境中反复重启导致证据丢失与扩散。</w:t>
      </w:r>
    </w:p>
    <w:p w14:paraId="6165204C">
      <w:pPr>
        <w:pStyle w:val="165"/>
        <w:spacing w:line="360" w:lineRule="auto"/>
      </w:pPr>
      <w:r>
        <w:rPr>
          <w:rFonts w:hint="eastAsia"/>
        </w:rPr>
        <w:t>安全事件处置应与恢复工作并行推进，但操作边界应由指挥体系统一控制，确保业务恢复与证据保全两者均可实现。</w:t>
      </w:r>
    </w:p>
    <w:p w14:paraId="773A75F1">
      <w:pPr>
        <w:pStyle w:val="104"/>
        <w:spacing w:before="240" w:after="240" w:line="360" w:lineRule="auto"/>
      </w:pPr>
      <w:bookmarkStart w:id="55" w:name="_Toc219116518"/>
      <w:r>
        <w:rPr>
          <w:rFonts w:hint="eastAsia"/>
        </w:rPr>
        <w:t>恢复验证与业务切回</w:t>
      </w:r>
      <w:bookmarkEnd w:id="55"/>
    </w:p>
    <w:p w14:paraId="4CDFA3EF">
      <w:pPr>
        <w:pStyle w:val="105"/>
        <w:spacing w:before="120" w:after="120" w:line="360" w:lineRule="auto"/>
      </w:pPr>
      <w:r>
        <w:rPr>
          <w:rFonts w:hint="eastAsia"/>
        </w:rPr>
        <w:t>一般要求</w:t>
      </w:r>
    </w:p>
    <w:p w14:paraId="2D7B9B9E">
      <w:pPr>
        <w:pStyle w:val="165"/>
        <w:spacing w:line="360" w:lineRule="auto"/>
      </w:pPr>
      <w:r>
        <w:rPr>
          <w:rFonts w:hint="eastAsia"/>
        </w:rPr>
        <w:t>恢复验证应作为恢复过程的强制环节。未完成恢复验证不得宣布恢复完成，不得实施业务切回或事件关闭。</w:t>
      </w:r>
    </w:p>
    <w:p w14:paraId="7A0DB81D">
      <w:pPr>
        <w:pStyle w:val="165"/>
        <w:spacing w:line="360" w:lineRule="auto"/>
      </w:pPr>
      <w:r>
        <w:rPr>
          <w:rFonts w:hint="eastAsia"/>
        </w:rPr>
        <w:t>恢复验证应覆盖业务可用性、业务质量、覆盖效果、设备运行状态、告警状态与关键配置一致性。验证应形成记录并可追溯。</w:t>
      </w:r>
    </w:p>
    <w:p w14:paraId="4C849FD2">
      <w:pPr>
        <w:pStyle w:val="165"/>
        <w:spacing w:line="360" w:lineRule="auto"/>
      </w:pPr>
      <w:r>
        <w:rPr>
          <w:rFonts w:hint="eastAsia"/>
        </w:rPr>
        <w:t>恢复验证应采用分层验证方式，先完成快速验证确保业务恢复，再完成深度验证确保稳定运行与隐患消除。</w:t>
      </w:r>
    </w:p>
    <w:p w14:paraId="2E56D397">
      <w:pPr>
        <w:pStyle w:val="105"/>
        <w:spacing w:before="120" w:after="120" w:line="360" w:lineRule="auto"/>
      </w:pPr>
      <w:r>
        <w:rPr>
          <w:rFonts w:hint="eastAsia"/>
        </w:rPr>
        <w:t>快速验证要求</w:t>
      </w:r>
    </w:p>
    <w:p w14:paraId="5DA770FA">
      <w:pPr>
        <w:pStyle w:val="165"/>
        <w:spacing w:line="360" w:lineRule="auto"/>
      </w:pPr>
      <w:r>
        <w:rPr>
          <w:rFonts w:hint="eastAsia"/>
        </w:rPr>
        <w:t>快速验证应在切换或修复操作完成后立即执行，验证内容至少包括：</w:t>
      </w:r>
    </w:p>
    <w:p w14:paraId="7BA6164F">
      <w:pPr>
        <w:pStyle w:val="56"/>
        <w:spacing w:line="360" w:lineRule="auto"/>
        <w:ind w:firstLine="420"/>
      </w:pPr>
      <w:r>
        <w:rPr>
          <w:rFonts w:hint="eastAsia"/>
        </w:rPr>
        <w:t>a) 业务是否恢复输出或恢复接收；</w:t>
      </w:r>
    </w:p>
    <w:p w14:paraId="2DB2DFB1">
      <w:pPr>
        <w:pStyle w:val="56"/>
        <w:spacing w:line="360" w:lineRule="auto"/>
        <w:ind w:firstLine="420"/>
      </w:pPr>
      <w:r>
        <w:rPr>
          <w:rFonts w:hint="eastAsia"/>
        </w:rPr>
        <w:t>b) 关键业务流是否齐全且连续；</w:t>
      </w:r>
    </w:p>
    <w:p w14:paraId="423C610B">
      <w:pPr>
        <w:pStyle w:val="56"/>
        <w:spacing w:line="360" w:lineRule="auto"/>
        <w:ind w:firstLine="420"/>
      </w:pPr>
      <w:r>
        <w:rPr>
          <w:rFonts w:hint="eastAsia"/>
        </w:rPr>
        <w:t>c) 关键告警是否消除或降级为可接受状态；</w:t>
      </w:r>
    </w:p>
    <w:p w14:paraId="22FFC803">
      <w:pPr>
        <w:pStyle w:val="56"/>
        <w:spacing w:line="360" w:lineRule="auto"/>
        <w:ind w:firstLine="420"/>
      </w:pPr>
      <w:r>
        <w:rPr>
          <w:rFonts w:hint="eastAsia"/>
        </w:rPr>
        <w:t>d) 发射侧关键参数是否回到安全范围内。</w:t>
      </w:r>
    </w:p>
    <w:p w14:paraId="6F004034">
      <w:pPr>
        <w:pStyle w:val="165"/>
        <w:spacing w:line="360" w:lineRule="auto"/>
      </w:pPr>
      <w:r>
        <w:rPr>
          <w:rFonts w:hint="eastAsia"/>
        </w:rPr>
        <w:t>快速验证应优先采用自动化监测数据与多点监测结果交叉验证，必要时结合人工试听看与现场仪表读数。</w:t>
      </w:r>
    </w:p>
    <w:p w14:paraId="1C10420A">
      <w:pPr>
        <w:pStyle w:val="165"/>
        <w:spacing w:line="360" w:lineRule="auto"/>
      </w:pPr>
      <w:r>
        <w:rPr>
          <w:rFonts w:hint="eastAsia"/>
        </w:rPr>
        <w:t>快速验证不通过时应立即执行回退或启用次级备用路径，禁止在未恢复业务条件下继续进行复杂根因排查。</w:t>
      </w:r>
    </w:p>
    <w:p w14:paraId="55A1F64E">
      <w:pPr>
        <w:pStyle w:val="105"/>
        <w:spacing w:before="120" w:after="120" w:line="360" w:lineRule="auto"/>
      </w:pPr>
      <w:r>
        <w:rPr>
          <w:rFonts w:hint="eastAsia"/>
        </w:rPr>
        <w:t>深度验证要求</w:t>
      </w:r>
    </w:p>
    <w:p w14:paraId="701F5992">
      <w:pPr>
        <w:pStyle w:val="165"/>
        <w:spacing w:line="360" w:lineRule="auto"/>
      </w:pPr>
      <w:r>
        <w:rPr>
          <w:rFonts w:hint="eastAsia"/>
        </w:rPr>
        <w:t>深度验证应在业务恢复后尽快开展，重点确认系统在一定观察窗口内稳定运行。观察窗口可根据故障等级确定，一级与二级故障宜设置更长观察窗口。</w:t>
      </w:r>
    </w:p>
    <w:p w14:paraId="662AAEAB">
      <w:pPr>
        <w:pStyle w:val="165"/>
        <w:spacing w:line="360" w:lineRule="auto"/>
      </w:pPr>
      <w:r>
        <w:rPr>
          <w:rFonts w:hint="eastAsia"/>
        </w:rPr>
        <w:t>深度验证内容宜至少包括</w:t>
      </w:r>
    </w:p>
    <w:p w14:paraId="0E7BC6BE">
      <w:pPr>
        <w:pStyle w:val="56"/>
        <w:spacing w:line="360" w:lineRule="auto"/>
        <w:ind w:firstLine="420"/>
      </w:pPr>
      <w:r>
        <w:rPr>
          <w:rFonts w:hint="eastAsia"/>
        </w:rPr>
        <w:t>a) 码流质量指标验证，包含误码率、丢包率、时延与抖动、码率稳定性、节目表与业务映射一致性；</w:t>
      </w:r>
    </w:p>
    <w:p w14:paraId="3D841AB9">
      <w:pPr>
        <w:pStyle w:val="56"/>
        <w:spacing w:line="360" w:lineRule="auto"/>
        <w:ind w:firstLine="420"/>
      </w:pPr>
      <w:r>
        <w:rPr>
          <w:rFonts w:hint="eastAsia"/>
        </w:rPr>
        <w:t>b) 音视频质量验证，包含音画同步、画面异常、静音与爆音、字幕与多音轨等关键功能；</w:t>
      </w:r>
    </w:p>
    <w:p w14:paraId="100211CA">
      <w:pPr>
        <w:pStyle w:val="56"/>
        <w:spacing w:line="360" w:lineRule="auto"/>
        <w:ind w:firstLine="420"/>
      </w:pPr>
      <w:r>
        <w:rPr>
          <w:rFonts w:hint="eastAsia"/>
        </w:rPr>
        <w:t>c) 覆盖效果验证，包含关键监测点接收质量、覆盖边界变化、同频干扰与邻频干扰变化；</w:t>
      </w:r>
    </w:p>
    <w:p w14:paraId="3A71190C">
      <w:pPr>
        <w:pStyle w:val="56"/>
        <w:spacing w:line="360" w:lineRule="auto"/>
        <w:ind w:firstLine="420"/>
      </w:pPr>
      <w:r>
        <w:rPr>
          <w:rFonts w:hint="eastAsia"/>
        </w:rPr>
        <w:t>d) 发射机与天馈验证，包含输出功率、反射功率、驻波比、温度与电流、保护动作记录与告警趋势；</w:t>
      </w:r>
    </w:p>
    <w:p w14:paraId="1FDAB0B6">
      <w:pPr>
        <w:pStyle w:val="56"/>
        <w:spacing w:line="360" w:lineRule="auto"/>
        <w:ind w:firstLine="420"/>
      </w:pPr>
      <w:r>
        <w:rPr>
          <w:rFonts w:hint="eastAsia"/>
        </w:rPr>
        <w:t>e) 供配电与环境验证，包含市电与备用电源状态、UPS负载与电池状态、发电机运行状态、温湿度与冷却能力；</w:t>
      </w:r>
    </w:p>
    <w:p w14:paraId="34522A1F">
      <w:pPr>
        <w:pStyle w:val="56"/>
        <w:spacing w:line="360" w:lineRule="auto"/>
        <w:ind w:firstLine="420"/>
      </w:pPr>
      <w:r>
        <w:rPr>
          <w:rFonts w:hint="eastAsia"/>
        </w:rPr>
        <w:t>f) 配置一致性验证，包含主备设备配置版本一致、路由策略一致、告警阈值与规则未被误改、账号权限与审计策略有效。</w:t>
      </w:r>
    </w:p>
    <w:p w14:paraId="1C52198D">
      <w:pPr>
        <w:pStyle w:val="165"/>
        <w:spacing w:line="360" w:lineRule="auto"/>
      </w:pPr>
      <w:r>
        <w:rPr>
          <w:rFonts w:hint="eastAsia"/>
        </w:rPr>
        <w:t>深度验证应形成对比记录，至少包含切换前后关键指标对比、异常指标清单、处置建议与是否允许切回的结论。</w:t>
      </w:r>
    </w:p>
    <w:p w14:paraId="14503661">
      <w:pPr>
        <w:pStyle w:val="165"/>
        <w:numPr>
          <w:ilvl w:val="0"/>
          <w:numId w:val="0"/>
        </w:numPr>
        <w:spacing w:line="360" w:lineRule="auto"/>
        <w:rPr>
          <w:rFonts w:hint="eastAsia"/>
        </w:rPr>
      </w:pPr>
    </w:p>
    <w:p w14:paraId="7EB42897">
      <w:pPr>
        <w:pStyle w:val="105"/>
        <w:spacing w:before="120" w:after="120" w:line="360" w:lineRule="auto"/>
      </w:pPr>
      <w:r>
        <w:rPr>
          <w:rFonts w:hint="eastAsia"/>
        </w:rPr>
        <w:t>业务切回要求</w:t>
      </w:r>
    </w:p>
    <w:p w14:paraId="12F0D815">
      <w:pPr>
        <w:pStyle w:val="165"/>
        <w:spacing w:line="360" w:lineRule="auto"/>
      </w:pPr>
      <w:r>
        <w:rPr>
          <w:rFonts w:hint="eastAsia"/>
        </w:rPr>
        <w:t>业务切回应以稳定优先为原则。若备用路径运行稳定且主用路径仍存在不确定隐患，应延后切回并保持备用运行，同时开展根因修复。</w:t>
      </w:r>
    </w:p>
    <w:p w14:paraId="4B4F3205">
      <w:pPr>
        <w:pStyle w:val="165"/>
        <w:spacing w:line="360" w:lineRule="auto"/>
      </w:pPr>
      <w:r>
        <w:rPr>
          <w:rFonts w:hint="eastAsia"/>
        </w:rPr>
        <w:t>切回条件应至少满足：</w:t>
      </w:r>
    </w:p>
    <w:p w14:paraId="383ECF0C">
      <w:pPr>
        <w:pStyle w:val="56"/>
        <w:spacing w:line="360" w:lineRule="auto"/>
        <w:ind w:firstLine="420"/>
      </w:pPr>
      <w:r>
        <w:rPr>
          <w:rFonts w:hint="eastAsia"/>
        </w:rPr>
        <w:t>a) 主用设备或主用链路完成修复并通过深度验证；</w:t>
      </w:r>
    </w:p>
    <w:p w14:paraId="5C99C20B">
      <w:pPr>
        <w:pStyle w:val="56"/>
        <w:spacing w:line="360" w:lineRule="auto"/>
        <w:ind w:firstLine="420"/>
      </w:pPr>
      <w:r>
        <w:rPr>
          <w:rFonts w:hint="eastAsia"/>
        </w:rPr>
        <w:t>b) 关键指标满足规定阈值且在观察窗口内稳定；</w:t>
      </w:r>
    </w:p>
    <w:p w14:paraId="11B6132A">
      <w:pPr>
        <w:pStyle w:val="56"/>
        <w:spacing w:line="360" w:lineRule="auto"/>
        <w:ind w:firstLine="420"/>
      </w:pPr>
      <w:r>
        <w:rPr>
          <w:rFonts w:hint="eastAsia"/>
        </w:rPr>
        <w:t>c) 切回方案、切回窗口与回退条件已明确并经指挥批准；</w:t>
      </w:r>
    </w:p>
    <w:p w14:paraId="226915A9">
      <w:pPr>
        <w:pStyle w:val="56"/>
        <w:spacing w:line="360" w:lineRule="auto"/>
        <w:ind w:firstLine="420"/>
      </w:pPr>
      <w:r>
        <w:rPr>
          <w:rFonts w:hint="eastAsia"/>
        </w:rPr>
        <w:t>d) 切回所需协同单位已就绪并完成同步确认。</w:t>
      </w:r>
    </w:p>
    <w:p w14:paraId="64E159C5">
      <w:pPr>
        <w:pStyle w:val="165"/>
        <w:spacing w:line="360" w:lineRule="auto"/>
      </w:pPr>
      <w:r>
        <w:rPr>
          <w:rFonts w:hint="eastAsia"/>
        </w:rPr>
        <w:t>切回操作应遵循单点变更原则并执行双人复核。切回后应立即开展快速验证并进入观察窗口，观察窗口内异常应按回退条件快速回退至备用路径。</w:t>
      </w:r>
    </w:p>
    <w:p w14:paraId="4326F2F0">
      <w:pPr>
        <w:pStyle w:val="165"/>
        <w:spacing w:line="360" w:lineRule="auto"/>
      </w:pPr>
      <w:r>
        <w:rPr>
          <w:rFonts w:hint="eastAsia"/>
        </w:rPr>
        <w:t>切回完成后应清理临时配置与旁路策略，恢复受控配置状态。确需保留的临时措施应转为正式变更并完成审批闭环。</w:t>
      </w:r>
    </w:p>
    <w:p w14:paraId="434FEA3E">
      <w:pPr>
        <w:pStyle w:val="105"/>
        <w:spacing w:before="120" w:after="120" w:line="360" w:lineRule="auto"/>
      </w:pPr>
      <w:r>
        <w:rPr>
          <w:rFonts w:hint="eastAsia"/>
        </w:rPr>
        <w:t>事件关闭判定要求</w:t>
      </w:r>
    </w:p>
    <w:p w14:paraId="7B365ADA">
      <w:pPr>
        <w:pStyle w:val="165"/>
        <w:spacing w:line="360" w:lineRule="auto"/>
      </w:pPr>
      <w:r>
        <w:rPr>
          <w:rFonts w:hint="eastAsia"/>
        </w:rPr>
        <w:t>事件关闭应满足以下条件：</w:t>
      </w:r>
    </w:p>
    <w:p w14:paraId="6F4869AF">
      <w:pPr>
        <w:pStyle w:val="56"/>
        <w:spacing w:line="360" w:lineRule="auto"/>
        <w:ind w:firstLine="420"/>
      </w:pPr>
      <w:r>
        <w:rPr>
          <w:rFonts w:hint="eastAsia"/>
        </w:rPr>
        <w:t>a) 业务恢复并完成深度验证；</w:t>
      </w:r>
    </w:p>
    <w:p w14:paraId="480B4E98">
      <w:pPr>
        <w:pStyle w:val="56"/>
        <w:spacing w:line="360" w:lineRule="auto"/>
        <w:ind w:firstLine="420"/>
      </w:pPr>
      <w:r>
        <w:rPr>
          <w:rFonts w:hint="eastAsia"/>
        </w:rPr>
        <w:t>b) 关键告警处于正常或可接受状态，且无持续恶化趋势；</w:t>
      </w:r>
    </w:p>
    <w:p w14:paraId="74D2E5F9">
      <w:pPr>
        <w:pStyle w:val="56"/>
        <w:spacing w:line="360" w:lineRule="auto"/>
        <w:ind w:firstLine="420"/>
      </w:pPr>
      <w:r>
        <w:rPr>
          <w:rFonts w:hint="eastAsia"/>
        </w:rPr>
        <w:t>c) 关键配置与权限处于受控状态，临时配置已回收或闭环；</w:t>
      </w:r>
    </w:p>
    <w:p w14:paraId="59CD699B">
      <w:pPr>
        <w:pStyle w:val="56"/>
        <w:spacing w:line="360" w:lineRule="auto"/>
        <w:ind w:firstLine="420"/>
      </w:pPr>
      <w:r>
        <w:rPr>
          <w:rFonts w:hint="eastAsia"/>
        </w:rPr>
        <w:t>d) 信息报告与记录留痕完整，材料归档完成；</w:t>
      </w:r>
    </w:p>
    <w:p w14:paraId="28388F67">
      <w:pPr>
        <w:pStyle w:val="56"/>
        <w:spacing w:line="360" w:lineRule="auto"/>
        <w:ind w:firstLine="420"/>
      </w:pPr>
      <w:r>
        <w:rPr>
          <w:rFonts w:hint="eastAsia"/>
        </w:rPr>
        <w:t>e) 根因分析计划已形成，整改措施与期限已明确。</w:t>
      </w:r>
    </w:p>
    <w:p w14:paraId="2B712135">
      <w:pPr>
        <w:pStyle w:val="165"/>
        <w:spacing w:line="360" w:lineRule="auto"/>
      </w:pPr>
      <w:r>
        <w:rPr>
          <w:rFonts w:hint="eastAsia"/>
        </w:rPr>
        <w:t>对一级与二级故障，应在事件关闭后组织复盘会议，形成复盘报告与整改清单，并纳入演练与改进计划。</w:t>
      </w:r>
    </w:p>
    <w:p w14:paraId="4355876A">
      <w:pPr>
        <w:pStyle w:val="105"/>
        <w:spacing w:before="120" w:after="120" w:line="360" w:lineRule="auto"/>
      </w:pPr>
      <w:r>
        <w:rPr>
          <w:rFonts w:hint="eastAsia"/>
        </w:rPr>
        <w:t>恢复后跟踪要求</w:t>
      </w:r>
    </w:p>
    <w:p w14:paraId="5FD0A343">
      <w:pPr>
        <w:pStyle w:val="165"/>
        <w:spacing w:line="360" w:lineRule="auto"/>
      </w:pPr>
      <w:r>
        <w:rPr>
          <w:rFonts w:hint="eastAsia"/>
        </w:rPr>
        <w:t>恢复后应设置跟踪观察期，跟踪期内应重点关注同类告警复发、关键指标漂移、备用资源消耗与负载变化。</w:t>
      </w:r>
    </w:p>
    <w:p w14:paraId="63A258EA">
      <w:pPr>
        <w:pStyle w:val="165"/>
        <w:spacing w:line="360" w:lineRule="auto"/>
      </w:pPr>
      <w:r>
        <w:rPr>
          <w:rFonts w:hint="eastAsia"/>
        </w:rPr>
        <w:t>跟踪期内若出现同类异常复发，应按升级条件重新启动响应并优先采用已验证的稳定路径，防止反复切换引发新的不稳定。</w:t>
      </w:r>
    </w:p>
    <w:p w14:paraId="730D6D1A">
      <w:pPr>
        <w:pStyle w:val="104"/>
        <w:spacing w:before="240" w:after="240" w:line="360" w:lineRule="auto"/>
      </w:pPr>
      <w:bookmarkStart w:id="56" w:name="_Toc219116519"/>
      <w:r>
        <w:rPr>
          <w:rFonts w:hint="eastAsia"/>
        </w:rPr>
        <w:t>信息报告与记录归档</w:t>
      </w:r>
      <w:bookmarkEnd w:id="56"/>
    </w:p>
    <w:p w14:paraId="747270EF">
      <w:pPr>
        <w:pStyle w:val="105"/>
        <w:spacing w:before="120" w:after="120" w:line="360" w:lineRule="auto"/>
      </w:pPr>
      <w:r>
        <w:rPr>
          <w:rFonts w:hint="eastAsia"/>
        </w:rPr>
        <w:t>一般要求</w:t>
      </w:r>
    </w:p>
    <w:p w14:paraId="2816D92B">
      <w:pPr>
        <w:pStyle w:val="165"/>
        <w:spacing w:line="360" w:lineRule="auto"/>
      </w:pPr>
      <w:r>
        <w:rPr>
          <w:rFonts w:hint="eastAsia"/>
        </w:rPr>
        <w:t>信息报告应遵循及时、准确、统一口径的原则。报告内容应以事实为主，明确当前状态、影响范围、已采取措施、下一步计划与预计恢复时间，避免未经验证的推断性结论。</w:t>
      </w:r>
    </w:p>
    <w:p w14:paraId="0F95FC59">
      <w:pPr>
        <w:pStyle w:val="165"/>
        <w:spacing w:line="360" w:lineRule="auto"/>
      </w:pPr>
      <w:r>
        <w:rPr>
          <w:rFonts w:hint="eastAsia"/>
        </w:rPr>
        <w:t>信息报告应与研判记录一致，关键时间点、关键操作与关键指标应可相互印证。</w:t>
      </w:r>
    </w:p>
    <w:p w14:paraId="3126ABA9">
      <w:pPr>
        <w:pStyle w:val="165"/>
        <w:spacing w:line="360" w:lineRule="auto"/>
      </w:pPr>
      <w:r>
        <w:rPr>
          <w:rFonts w:hint="eastAsia"/>
        </w:rPr>
        <w:t>信息报告与记录归档应覆盖首报、续报、终报与复盘材料四类内容，形成可追溯闭环。</w:t>
      </w:r>
    </w:p>
    <w:p w14:paraId="577A76CB">
      <w:pPr>
        <w:pStyle w:val="105"/>
        <w:spacing w:before="120" w:after="120" w:line="360" w:lineRule="auto"/>
      </w:pPr>
      <w:r>
        <w:rPr>
          <w:rFonts w:hint="eastAsia"/>
        </w:rPr>
        <w:t>报告对象与时限要求</w:t>
      </w:r>
    </w:p>
    <w:p w14:paraId="40D8B158">
      <w:pPr>
        <w:pStyle w:val="165"/>
        <w:spacing w:line="360" w:lineRule="auto"/>
      </w:pPr>
      <w:r>
        <w:rPr>
          <w:rFonts w:hint="eastAsia"/>
        </w:rPr>
        <w:t>报告对象应根据故障等级与管理要求确定，通常包括运行维护单位内部管理层、播控与传输协同单位、发射台站管理单位、上级主管单位以及必要的应急管理与安全保卫相关单位。</w:t>
      </w:r>
    </w:p>
    <w:p w14:paraId="541854D2">
      <w:pPr>
        <w:pStyle w:val="165"/>
        <w:spacing w:line="360" w:lineRule="auto"/>
      </w:pPr>
      <w:r>
        <w:rPr>
          <w:rFonts w:hint="eastAsia"/>
        </w:rPr>
        <w:t>报告时限应满足表1要求。对一级与二级故障应实施滚动续报机制，续报频率宜根据处置进展与上级要求确定。</w:t>
      </w:r>
    </w:p>
    <w:p w14:paraId="0838A4D9">
      <w:pPr>
        <w:pStyle w:val="165"/>
        <w:spacing w:line="360" w:lineRule="auto"/>
      </w:pPr>
      <w:r>
        <w:rPr>
          <w:rFonts w:hint="eastAsia"/>
        </w:rPr>
        <w:t>对疑似网络与信息安全事件、疑似人为破坏事件或涉及公共安全风险的事件，应同步启动专项报告通道，并按相关规定报送。</w:t>
      </w:r>
    </w:p>
    <w:p w14:paraId="54990AE5">
      <w:pPr>
        <w:pStyle w:val="105"/>
        <w:spacing w:before="120" w:after="120" w:line="360" w:lineRule="auto"/>
      </w:pPr>
      <w:r>
        <w:rPr>
          <w:rFonts w:hint="eastAsia"/>
        </w:rPr>
        <w:t>首报续报终报内容要求</w:t>
      </w:r>
    </w:p>
    <w:p w14:paraId="2C10D54F">
      <w:pPr>
        <w:pStyle w:val="165"/>
        <w:spacing w:line="360" w:lineRule="auto"/>
      </w:pPr>
      <w:r>
        <w:rPr>
          <w:rFonts w:hint="eastAsia"/>
        </w:rPr>
        <w:t>首报内容应至少包括：</w:t>
      </w:r>
    </w:p>
    <w:p w14:paraId="1CD3EFD3">
      <w:pPr>
        <w:pStyle w:val="56"/>
        <w:spacing w:line="360" w:lineRule="auto"/>
        <w:ind w:firstLine="420"/>
      </w:pPr>
      <w:r>
        <w:rPr>
          <w:rFonts w:hint="eastAsia"/>
        </w:rPr>
        <w:t>a) 事件发生时间与发现时间；</w:t>
      </w:r>
    </w:p>
    <w:p w14:paraId="09A42701">
      <w:pPr>
        <w:pStyle w:val="56"/>
        <w:spacing w:line="360" w:lineRule="auto"/>
        <w:ind w:firstLine="420"/>
      </w:pPr>
      <w:r>
        <w:rPr>
          <w:rFonts w:hint="eastAsia"/>
        </w:rPr>
        <w:t>b) 影响对象与影响范围，包含频道频点台站区域用户影响；</w:t>
      </w:r>
    </w:p>
    <w:p w14:paraId="7979116C">
      <w:pPr>
        <w:pStyle w:val="56"/>
        <w:spacing w:line="360" w:lineRule="auto"/>
        <w:ind w:firstLine="420"/>
      </w:pPr>
      <w:r>
        <w:rPr>
          <w:rFonts w:hint="eastAsia"/>
        </w:rPr>
        <w:t>c) 当前状态，区分中断或劣化；</w:t>
      </w:r>
    </w:p>
    <w:p w14:paraId="349E680D">
      <w:pPr>
        <w:pStyle w:val="56"/>
        <w:spacing w:line="360" w:lineRule="auto"/>
        <w:ind w:firstLine="420"/>
      </w:pPr>
      <w:r>
        <w:rPr>
          <w:rFonts w:hint="eastAsia"/>
        </w:rPr>
        <w:t>d) 已采取的初步措施与是否已切换备用；</w:t>
      </w:r>
    </w:p>
    <w:p w14:paraId="3C0A9277">
      <w:pPr>
        <w:pStyle w:val="56"/>
        <w:spacing w:line="360" w:lineRule="auto"/>
        <w:ind w:firstLine="420"/>
      </w:pPr>
      <w:r>
        <w:rPr>
          <w:rFonts w:hint="eastAsia"/>
        </w:rPr>
        <w:t>e) 初步研判结论，允许表述为疑似原因但应标注未确认；</w:t>
      </w:r>
    </w:p>
    <w:p w14:paraId="7CA1AD9A">
      <w:pPr>
        <w:pStyle w:val="56"/>
        <w:spacing w:line="360" w:lineRule="auto"/>
        <w:ind w:firstLine="420"/>
      </w:pPr>
      <w:r>
        <w:rPr>
          <w:rFonts w:hint="eastAsia"/>
        </w:rPr>
        <w:t>f) 预计恢复路径与预计恢复时间；</w:t>
      </w:r>
    </w:p>
    <w:p w14:paraId="591DB6B9">
      <w:pPr>
        <w:pStyle w:val="56"/>
        <w:spacing w:line="360" w:lineRule="auto"/>
        <w:ind w:firstLine="420"/>
      </w:pPr>
      <w:r>
        <w:rPr>
          <w:rFonts w:hint="eastAsia"/>
        </w:rPr>
        <w:t>g) 联系人、联系方式与现场指挥信息。</w:t>
      </w:r>
    </w:p>
    <w:p w14:paraId="0728D9CE">
      <w:pPr>
        <w:pStyle w:val="165"/>
        <w:spacing w:line="360" w:lineRule="auto"/>
      </w:pPr>
      <w:r>
        <w:rPr>
          <w:rFonts w:hint="eastAsia"/>
        </w:rPr>
        <w:t>续报内容应至少包括：</w:t>
      </w:r>
    </w:p>
    <w:p w14:paraId="453856D4">
      <w:pPr>
        <w:pStyle w:val="56"/>
        <w:spacing w:line="360" w:lineRule="auto"/>
        <w:ind w:firstLine="420"/>
      </w:pPr>
      <w:r>
        <w:rPr>
          <w:rFonts w:hint="eastAsia"/>
        </w:rPr>
        <w:t>a) 当前进展与关键操作时间点；</w:t>
      </w:r>
    </w:p>
    <w:p w14:paraId="1D67D630">
      <w:pPr>
        <w:pStyle w:val="56"/>
        <w:spacing w:line="360" w:lineRule="auto"/>
        <w:ind w:firstLine="420"/>
      </w:pPr>
      <w:r>
        <w:rPr>
          <w:rFonts w:hint="eastAsia"/>
        </w:rPr>
        <w:t>b) 已完成的切换或修复动作及验证结果；</w:t>
      </w:r>
    </w:p>
    <w:p w14:paraId="3390BABE">
      <w:pPr>
        <w:pStyle w:val="56"/>
        <w:spacing w:line="360" w:lineRule="auto"/>
        <w:ind w:firstLine="420"/>
      </w:pPr>
      <w:r>
        <w:rPr>
          <w:rFonts w:hint="eastAsia"/>
        </w:rPr>
        <w:t>c) 影响范围是否扩大或收缩；</w:t>
      </w:r>
    </w:p>
    <w:p w14:paraId="5258D38E">
      <w:pPr>
        <w:pStyle w:val="56"/>
        <w:spacing w:line="360" w:lineRule="auto"/>
        <w:ind w:firstLine="420"/>
      </w:pPr>
      <w:r>
        <w:rPr>
          <w:rFonts w:hint="eastAsia"/>
        </w:rPr>
        <w:t>d) 当前仍存在的主要风险与需要协调支持事项；</w:t>
      </w:r>
    </w:p>
    <w:p w14:paraId="33CDE2D0">
      <w:pPr>
        <w:pStyle w:val="56"/>
        <w:spacing w:line="360" w:lineRule="auto"/>
        <w:ind w:firstLine="420"/>
      </w:pPr>
      <w:r>
        <w:rPr>
          <w:rFonts w:hint="eastAsia"/>
        </w:rPr>
        <w:t>e) 预计恢复时间更新与原因说明。</w:t>
      </w:r>
    </w:p>
    <w:p w14:paraId="6900FD13">
      <w:pPr>
        <w:pStyle w:val="165"/>
        <w:spacing w:line="360" w:lineRule="auto"/>
      </w:pPr>
      <w:r>
        <w:rPr>
          <w:rFonts w:hint="eastAsia"/>
        </w:rPr>
        <w:t>终报内容应至少包括：</w:t>
      </w:r>
    </w:p>
    <w:p w14:paraId="65F9BBE2">
      <w:pPr>
        <w:pStyle w:val="56"/>
        <w:spacing w:line="360" w:lineRule="auto"/>
        <w:ind w:firstLine="420"/>
      </w:pPr>
      <w:r>
        <w:rPr>
          <w:rFonts w:hint="eastAsia"/>
        </w:rPr>
        <w:t>a) 恢复完成时间与恢复验证结论；</w:t>
      </w:r>
    </w:p>
    <w:p w14:paraId="38A9C237">
      <w:pPr>
        <w:pStyle w:val="56"/>
        <w:spacing w:line="360" w:lineRule="auto"/>
        <w:ind w:firstLine="420"/>
      </w:pPr>
      <w:r>
        <w:rPr>
          <w:rFonts w:hint="eastAsia"/>
        </w:rPr>
        <w:t>b) 故障等级确认与最终影响评估；</w:t>
      </w:r>
    </w:p>
    <w:p w14:paraId="638C8E25">
      <w:pPr>
        <w:pStyle w:val="56"/>
        <w:spacing w:line="360" w:lineRule="auto"/>
        <w:ind w:firstLine="420"/>
      </w:pPr>
      <w:r>
        <w:rPr>
          <w:rFonts w:hint="eastAsia"/>
        </w:rPr>
        <w:t>c) 根因初步结论或根因分析计划；</w:t>
      </w:r>
    </w:p>
    <w:p w14:paraId="22361D4D">
      <w:pPr>
        <w:pStyle w:val="56"/>
        <w:spacing w:line="360" w:lineRule="auto"/>
        <w:ind w:firstLine="420"/>
      </w:pPr>
      <w:r>
        <w:rPr>
          <w:rFonts w:hint="eastAsia"/>
        </w:rPr>
        <w:t>d) 采取措施汇总与切换路径说明；</w:t>
      </w:r>
    </w:p>
    <w:p w14:paraId="110ED01E">
      <w:pPr>
        <w:pStyle w:val="56"/>
        <w:spacing w:line="360" w:lineRule="auto"/>
        <w:ind w:firstLine="420"/>
      </w:pPr>
      <w:r>
        <w:rPr>
          <w:rFonts w:hint="eastAsia"/>
        </w:rPr>
        <w:t>e) 未消除隐患与后续整改计划；</w:t>
      </w:r>
    </w:p>
    <w:p w14:paraId="4AEE7FE5">
      <w:pPr>
        <w:pStyle w:val="56"/>
        <w:spacing w:line="360" w:lineRule="auto"/>
        <w:ind w:firstLine="420"/>
      </w:pPr>
      <w:r>
        <w:rPr>
          <w:rFonts w:hint="eastAsia"/>
        </w:rPr>
        <w:t>f) 资料归档清单与责任人。</w:t>
      </w:r>
    </w:p>
    <w:p w14:paraId="217178A7">
      <w:pPr>
        <w:pStyle w:val="56"/>
        <w:spacing w:line="360" w:lineRule="auto"/>
        <w:ind w:firstLine="199" w:firstLineChars="95"/>
        <w:rPr>
          <w:rFonts w:hint="eastAsia"/>
        </w:rPr>
      </w:pPr>
    </w:p>
    <w:p w14:paraId="2615D4E4">
      <w:pPr>
        <w:pStyle w:val="105"/>
        <w:spacing w:before="120" w:after="120" w:line="360" w:lineRule="auto"/>
      </w:pPr>
      <w:r>
        <w:rPr>
          <w:rFonts w:hint="eastAsia"/>
        </w:rPr>
        <w:t>报送要素与留存材料要求</w:t>
      </w:r>
    </w:p>
    <w:p w14:paraId="223BCAAE">
      <w:pPr>
        <w:pStyle w:val="56"/>
        <w:spacing w:line="360" w:lineRule="auto"/>
        <w:ind w:firstLine="420"/>
      </w:pPr>
      <w:r>
        <w:rPr>
          <w:rFonts w:hint="eastAsia"/>
        </w:rPr>
        <w:t>信息报送要素与留存材料清单见表2。</w:t>
      </w:r>
    </w:p>
    <w:p w14:paraId="6375BEFE">
      <w:pPr>
        <w:pStyle w:val="112"/>
        <w:spacing w:before="120" w:after="120" w:line="360" w:lineRule="auto"/>
      </w:pPr>
      <w:r>
        <w:rPr>
          <w:rFonts w:hint="eastAsia"/>
        </w:rPr>
        <w:t>信息报送要素与留存材料清单</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08"/>
        <w:gridCol w:w="2977"/>
        <w:gridCol w:w="1701"/>
        <w:gridCol w:w="1842"/>
        <w:gridCol w:w="1406"/>
      </w:tblGrid>
      <w:tr w14:paraId="2AAA85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408" w:type="dxa"/>
            <w:tcBorders>
              <w:top w:val="single" w:color="auto" w:sz="8" w:space="0"/>
              <w:bottom w:val="single" w:color="auto" w:sz="8" w:space="0"/>
            </w:tcBorders>
            <w:vAlign w:val="center"/>
          </w:tcPr>
          <w:p w14:paraId="65CBA467">
            <w:pPr>
              <w:pStyle w:val="178"/>
            </w:pPr>
            <w:r>
              <w:rPr>
                <w:rFonts w:hint="eastAsia"/>
              </w:rPr>
              <w:t>报送要素类别</w:t>
            </w:r>
          </w:p>
        </w:tc>
        <w:tc>
          <w:tcPr>
            <w:tcW w:w="2977" w:type="dxa"/>
            <w:tcBorders>
              <w:top w:val="single" w:color="auto" w:sz="8" w:space="0"/>
              <w:bottom w:val="single" w:color="auto" w:sz="8" w:space="0"/>
            </w:tcBorders>
            <w:vAlign w:val="center"/>
          </w:tcPr>
          <w:p w14:paraId="506EF828">
            <w:pPr>
              <w:pStyle w:val="178"/>
            </w:pPr>
            <w:r>
              <w:rPr>
                <w:rFonts w:hint="eastAsia"/>
              </w:rPr>
              <w:t>报送要素内容</w:t>
            </w:r>
          </w:p>
        </w:tc>
        <w:tc>
          <w:tcPr>
            <w:tcW w:w="1701" w:type="dxa"/>
            <w:tcBorders>
              <w:top w:val="single" w:color="auto" w:sz="8" w:space="0"/>
              <w:bottom w:val="single" w:color="auto" w:sz="8" w:space="0"/>
            </w:tcBorders>
            <w:vAlign w:val="center"/>
          </w:tcPr>
          <w:p w14:paraId="4C32F038">
            <w:pPr>
              <w:pStyle w:val="178"/>
            </w:pPr>
            <w:r>
              <w:rPr>
                <w:rFonts w:hint="eastAsia"/>
              </w:rPr>
              <w:t>关键时间点要求</w:t>
            </w:r>
          </w:p>
        </w:tc>
        <w:tc>
          <w:tcPr>
            <w:tcW w:w="1842" w:type="dxa"/>
            <w:tcBorders>
              <w:top w:val="single" w:color="auto" w:sz="8" w:space="0"/>
              <w:bottom w:val="single" w:color="auto" w:sz="8" w:space="0"/>
            </w:tcBorders>
            <w:vAlign w:val="center"/>
          </w:tcPr>
          <w:p w14:paraId="59367E71">
            <w:pPr>
              <w:pStyle w:val="178"/>
            </w:pPr>
            <w:r>
              <w:rPr>
                <w:rFonts w:hint="eastAsia"/>
              </w:rPr>
              <w:t>留存材料类型</w:t>
            </w:r>
          </w:p>
        </w:tc>
        <w:tc>
          <w:tcPr>
            <w:tcW w:w="1406" w:type="dxa"/>
            <w:tcBorders>
              <w:top w:val="single" w:color="auto" w:sz="8" w:space="0"/>
              <w:bottom w:val="single" w:color="auto" w:sz="8" w:space="0"/>
            </w:tcBorders>
            <w:vAlign w:val="center"/>
          </w:tcPr>
          <w:p w14:paraId="1A9D96AF">
            <w:pPr>
              <w:pStyle w:val="178"/>
            </w:pPr>
            <w:r>
              <w:rPr>
                <w:rFonts w:hint="eastAsia"/>
              </w:rPr>
              <w:t>留存要点</w:t>
            </w:r>
          </w:p>
        </w:tc>
      </w:tr>
      <w:tr w14:paraId="1C5382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Borders>
              <w:top w:val="single" w:color="auto" w:sz="8" w:space="0"/>
            </w:tcBorders>
            <w:vAlign w:val="center"/>
          </w:tcPr>
          <w:p w14:paraId="6ABF1684">
            <w:pPr>
              <w:pStyle w:val="178"/>
            </w:pPr>
            <w:r>
              <w:rPr>
                <w:rFonts w:hint="eastAsia"/>
              </w:rPr>
              <w:t>事件基本信息</w:t>
            </w:r>
          </w:p>
        </w:tc>
        <w:tc>
          <w:tcPr>
            <w:tcW w:w="2977" w:type="dxa"/>
            <w:tcBorders>
              <w:top w:val="single" w:color="auto" w:sz="8" w:space="0"/>
            </w:tcBorders>
            <w:vAlign w:val="center"/>
          </w:tcPr>
          <w:p w14:paraId="3FCFBB24">
            <w:pPr>
              <w:pStyle w:val="178"/>
            </w:pPr>
            <w:r>
              <w:rPr>
                <w:rFonts w:hint="eastAsia"/>
              </w:rPr>
              <w:t>事件编号、发生时间、发现时间、地点或台站、业务类型、故障等级</w:t>
            </w:r>
          </w:p>
        </w:tc>
        <w:tc>
          <w:tcPr>
            <w:tcW w:w="1701" w:type="dxa"/>
            <w:tcBorders>
              <w:top w:val="single" w:color="auto" w:sz="8" w:space="0"/>
            </w:tcBorders>
            <w:vAlign w:val="center"/>
          </w:tcPr>
          <w:p w14:paraId="1F4B3137">
            <w:pPr>
              <w:pStyle w:val="178"/>
            </w:pPr>
            <w:r>
              <w:rPr>
                <w:rFonts w:hint="eastAsia"/>
              </w:rPr>
              <w:t>首报必须包含</w:t>
            </w:r>
          </w:p>
        </w:tc>
        <w:tc>
          <w:tcPr>
            <w:tcW w:w="1842" w:type="dxa"/>
            <w:tcBorders>
              <w:top w:val="single" w:color="auto" w:sz="8" w:space="0"/>
            </w:tcBorders>
            <w:vAlign w:val="center"/>
          </w:tcPr>
          <w:p w14:paraId="22ABDC5B">
            <w:pPr>
              <w:pStyle w:val="178"/>
            </w:pPr>
            <w:r>
              <w:rPr>
                <w:rFonts w:hint="eastAsia"/>
              </w:rPr>
              <w:t>工单记录、值班记录</w:t>
            </w:r>
          </w:p>
        </w:tc>
        <w:tc>
          <w:tcPr>
            <w:tcW w:w="1406" w:type="dxa"/>
            <w:tcBorders>
              <w:top w:val="single" w:color="auto" w:sz="8" w:space="0"/>
            </w:tcBorders>
            <w:vAlign w:val="center"/>
          </w:tcPr>
          <w:p w14:paraId="36314C93">
            <w:pPr>
              <w:pStyle w:val="178"/>
            </w:pPr>
            <w:r>
              <w:rPr>
                <w:rFonts w:hint="eastAsia"/>
              </w:rPr>
              <w:t>时间轴完整、编号一致</w:t>
            </w:r>
          </w:p>
        </w:tc>
      </w:tr>
      <w:tr w14:paraId="7F376D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408" w:type="dxa"/>
            <w:vAlign w:val="center"/>
          </w:tcPr>
          <w:p w14:paraId="4AB35CCA">
            <w:pPr>
              <w:pStyle w:val="178"/>
            </w:pPr>
            <w:r>
              <w:rPr>
                <w:rFonts w:hint="eastAsia"/>
              </w:rPr>
              <w:t>影响评估信息</w:t>
            </w:r>
          </w:p>
        </w:tc>
        <w:tc>
          <w:tcPr>
            <w:tcW w:w="2977" w:type="dxa"/>
            <w:vAlign w:val="center"/>
          </w:tcPr>
          <w:p w14:paraId="5DFB8B72">
            <w:pPr>
              <w:pStyle w:val="178"/>
            </w:pPr>
            <w:r>
              <w:rPr>
                <w:rFonts w:hint="eastAsia"/>
              </w:rPr>
              <w:t>影响对象、影响范围、业务中断或劣化类型、覆盖变化、重要业务影响</w:t>
            </w:r>
          </w:p>
        </w:tc>
        <w:tc>
          <w:tcPr>
            <w:tcW w:w="1701" w:type="dxa"/>
            <w:vAlign w:val="center"/>
          </w:tcPr>
          <w:p w14:paraId="16217AFE">
            <w:pPr>
              <w:pStyle w:val="178"/>
            </w:pPr>
            <w:r>
              <w:rPr>
                <w:rFonts w:hint="eastAsia"/>
              </w:rPr>
              <w:t>首报与续报滚动更新</w:t>
            </w:r>
          </w:p>
        </w:tc>
        <w:tc>
          <w:tcPr>
            <w:tcW w:w="1842" w:type="dxa"/>
            <w:vAlign w:val="center"/>
          </w:tcPr>
          <w:p w14:paraId="1D782F4D">
            <w:pPr>
              <w:pStyle w:val="178"/>
            </w:pPr>
            <w:r>
              <w:rPr>
                <w:rFonts w:hint="eastAsia"/>
              </w:rPr>
              <w:t>监测截图、覆盖监测记录、用户反馈记录</w:t>
            </w:r>
          </w:p>
        </w:tc>
        <w:tc>
          <w:tcPr>
            <w:tcW w:w="1406" w:type="dxa"/>
            <w:vAlign w:val="center"/>
          </w:tcPr>
          <w:p w14:paraId="26BB6C53">
            <w:pPr>
              <w:pStyle w:val="178"/>
            </w:pPr>
            <w:r>
              <w:rPr>
                <w:rFonts w:hint="eastAsia"/>
              </w:rPr>
              <w:t>证据可核验、口径一致</w:t>
            </w:r>
          </w:p>
        </w:tc>
      </w:tr>
      <w:tr w14:paraId="130962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0C6A7D7F">
            <w:pPr>
              <w:pStyle w:val="178"/>
            </w:pPr>
            <w:r>
              <w:rPr>
                <w:rFonts w:hint="eastAsia"/>
              </w:rPr>
              <w:t>处置措施信息</w:t>
            </w:r>
          </w:p>
        </w:tc>
        <w:tc>
          <w:tcPr>
            <w:tcW w:w="2977" w:type="dxa"/>
            <w:vAlign w:val="center"/>
          </w:tcPr>
          <w:p w14:paraId="6C5D3159">
            <w:pPr>
              <w:pStyle w:val="178"/>
            </w:pPr>
            <w:r>
              <w:rPr>
                <w:rFonts w:hint="eastAsia"/>
              </w:rPr>
              <w:t>已采取措施、切换路径、降级方案、现场抢修动作、回退条件</w:t>
            </w:r>
          </w:p>
        </w:tc>
        <w:tc>
          <w:tcPr>
            <w:tcW w:w="1701" w:type="dxa"/>
            <w:vAlign w:val="center"/>
          </w:tcPr>
          <w:p w14:paraId="4E3B16B9">
            <w:pPr>
              <w:pStyle w:val="178"/>
            </w:pPr>
            <w:r>
              <w:rPr>
                <w:rFonts w:hint="eastAsia"/>
              </w:rPr>
              <w:t>每次关键操作后更新</w:t>
            </w:r>
          </w:p>
        </w:tc>
        <w:tc>
          <w:tcPr>
            <w:tcW w:w="1842" w:type="dxa"/>
            <w:vAlign w:val="center"/>
          </w:tcPr>
          <w:p w14:paraId="4BE3868E">
            <w:pPr>
              <w:pStyle w:val="178"/>
            </w:pPr>
            <w:r>
              <w:rPr>
                <w:rFonts w:hint="eastAsia"/>
              </w:rPr>
              <w:t>操作记录、口令确认记录、配置变更记录</w:t>
            </w:r>
          </w:p>
        </w:tc>
        <w:tc>
          <w:tcPr>
            <w:tcW w:w="1406" w:type="dxa"/>
            <w:vAlign w:val="center"/>
          </w:tcPr>
          <w:p w14:paraId="72ADDD22">
            <w:pPr>
              <w:pStyle w:val="178"/>
            </w:pPr>
            <w:r>
              <w:rPr>
                <w:rFonts w:hint="eastAsia"/>
              </w:rPr>
              <w:t>操作人复核人明确、可追溯</w:t>
            </w:r>
          </w:p>
        </w:tc>
      </w:tr>
      <w:tr w14:paraId="014FB4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6A189485">
            <w:pPr>
              <w:pStyle w:val="178"/>
            </w:pPr>
            <w:r>
              <w:rPr>
                <w:rFonts w:hint="eastAsia"/>
              </w:rPr>
              <w:t>恢复验证信息</w:t>
            </w:r>
          </w:p>
        </w:tc>
        <w:tc>
          <w:tcPr>
            <w:tcW w:w="2977" w:type="dxa"/>
            <w:vAlign w:val="center"/>
          </w:tcPr>
          <w:p w14:paraId="4C06A5B5">
            <w:pPr>
              <w:pStyle w:val="178"/>
            </w:pPr>
            <w:r>
              <w:rPr>
                <w:rFonts w:hint="eastAsia"/>
              </w:rPr>
              <w:t>快速验证结论、深度验证结论、关键指标对比、观察窗口结果</w:t>
            </w:r>
          </w:p>
        </w:tc>
        <w:tc>
          <w:tcPr>
            <w:tcW w:w="1701" w:type="dxa"/>
            <w:vAlign w:val="center"/>
          </w:tcPr>
          <w:p w14:paraId="360FE01B">
            <w:pPr>
              <w:pStyle w:val="178"/>
            </w:pPr>
            <w:r>
              <w:rPr>
                <w:rFonts w:hint="eastAsia"/>
              </w:rPr>
              <w:t>终报必须包含</w:t>
            </w:r>
          </w:p>
        </w:tc>
        <w:tc>
          <w:tcPr>
            <w:tcW w:w="1842" w:type="dxa"/>
            <w:vAlign w:val="center"/>
          </w:tcPr>
          <w:p w14:paraId="1A152D00">
            <w:pPr>
              <w:pStyle w:val="178"/>
            </w:pPr>
            <w:r>
              <w:rPr>
                <w:rFonts w:hint="eastAsia"/>
              </w:rPr>
              <w:t>指标报表、测试记录、现场参数记录</w:t>
            </w:r>
          </w:p>
        </w:tc>
        <w:tc>
          <w:tcPr>
            <w:tcW w:w="1406" w:type="dxa"/>
            <w:vAlign w:val="center"/>
          </w:tcPr>
          <w:p w14:paraId="396C0D87">
            <w:pPr>
              <w:pStyle w:val="178"/>
            </w:pPr>
            <w:r>
              <w:rPr>
                <w:rFonts w:hint="eastAsia"/>
              </w:rPr>
              <w:t>前后对比清晰、指标阈值可查</w:t>
            </w:r>
          </w:p>
        </w:tc>
      </w:tr>
      <w:tr w14:paraId="421E3D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69C03521">
            <w:pPr>
              <w:pStyle w:val="178"/>
            </w:pPr>
            <w:r>
              <w:rPr>
                <w:rFonts w:hint="eastAsia"/>
              </w:rPr>
              <w:t>根因与整改信息</w:t>
            </w:r>
          </w:p>
        </w:tc>
        <w:tc>
          <w:tcPr>
            <w:tcW w:w="2977" w:type="dxa"/>
            <w:vAlign w:val="center"/>
          </w:tcPr>
          <w:p w14:paraId="0DC32CD4">
            <w:pPr>
              <w:pStyle w:val="178"/>
            </w:pPr>
            <w:r>
              <w:rPr>
                <w:rFonts w:hint="eastAsia"/>
              </w:rPr>
              <w:t>初步原因、根因分析计划、整改措施、责任人、完成期限</w:t>
            </w:r>
          </w:p>
        </w:tc>
        <w:tc>
          <w:tcPr>
            <w:tcW w:w="1701" w:type="dxa"/>
            <w:vAlign w:val="center"/>
          </w:tcPr>
          <w:p w14:paraId="139B66EF">
            <w:pPr>
              <w:pStyle w:val="178"/>
            </w:pPr>
            <w:r>
              <w:rPr>
                <w:rFonts w:hint="eastAsia"/>
              </w:rPr>
              <w:t>终报与复盘阶段更新</w:t>
            </w:r>
          </w:p>
        </w:tc>
        <w:tc>
          <w:tcPr>
            <w:tcW w:w="1842" w:type="dxa"/>
            <w:vAlign w:val="center"/>
          </w:tcPr>
          <w:p w14:paraId="4BC88EDA">
            <w:pPr>
              <w:pStyle w:val="178"/>
            </w:pPr>
            <w:r>
              <w:rPr>
                <w:rFonts w:hint="eastAsia"/>
              </w:rPr>
              <w:t>复盘报告、整改清单、闭环证明</w:t>
            </w:r>
          </w:p>
        </w:tc>
        <w:tc>
          <w:tcPr>
            <w:tcW w:w="1406" w:type="dxa"/>
            <w:vAlign w:val="center"/>
          </w:tcPr>
          <w:p w14:paraId="681D2B97">
            <w:pPr>
              <w:pStyle w:val="178"/>
            </w:pPr>
            <w:r>
              <w:rPr>
                <w:rFonts w:hint="eastAsia"/>
              </w:rPr>
              <w:t>措施可执行、闭环可验证</w:t>
            </w:r>
          </w:p>
        </w:tc>
      </w:tr>
      <w:tr w14:paraId="21B374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1D24D5C7">
            <w:pPr>
              <w:pStyle w:val="178"/>
            </w:pPr>
            <w:r>
              <w:rPr>
                <w:rFonts w:hint="eastAsia"/>
              </w:rPr>
              <w:t>安全与合规信息</w:t>
            </w:r>
          </w:p>
        </w:tc>
        <w:tc>
          <w:tcPr>
            <w:tcW w:w="2977" w:type="dxa"/>
            <w:vAlign w:val="center"/>
          </w:tcPr>
          <w:p w14:paraId="292A0797">
            <w:pPr>
              <w:pStyle w:val="178"/>
            </w:pPr>
            <w:r>
              <w:rPr>
                <w:rFonts w:hint="eastAsia"/>
              </w:rPr>
              <w:t>疑似安全事件判定、证据保全情况、涉敏信息处理、对外口径控制</w:t>
            </w:r>
          </w:p>
        </w:tc>
        <w:tc>
          <w:tcPr>
            <w:tcW w:w="1701" w:type="dxa"/>
            <w:vAlign w:val="center"/>
          </w:tcPr>
          <w:p w14:paraId="4C71EC98">
            <w:pPr>
              <w:pStyle w:val="178"/>
            </w:pPr>
            <w:r>
              <w:rPr>
                <w:rFonts w:hint="eastAsia"/>
              </w:rPr>
              <w:t>出现相关情形即更新</w:t>
            </w:r>
          </w:p>
        </w:tc>
        <w:tc>
          <w:tcPr>
            <w:tcW w:w="1842" w:type="dxa"/>
            <w:vAlign w:val="center"/>
          </w:tcPr>
          <w:p w14:paraId="498E5AA9">
            <w:pPr>
              <w:pStyle w:val="178"/>
            </w:pPr>
            <w:r>
              <w:rPr>
                <w:rFonts w:hint="eastAsia"/>
              </w:rPr>
              <w:t>安全日志、审计记录、证据保全清单</w:t>
            </w:r>
          </w:p>
        </w:tc>
        <w:tc>
          <w:tcPr>
            <w:tcW w:w="1406" w:type="dxa"/>
            <w:vAlign w:val="center"/>
          </w:tcPr>
          <w:p w14:paraId="7538DE42">
            <w:pPr>
              <w:pStyle w:val="178"/>
            </w:pPr>
            <w:r>
              <w:rPr>
                <w:rFonts w:hint="eastAsia"/>
              </w:rPr>
              <w:t>证据完整、防篡改留存</w:t>
            </w:r>
          </w:p>
        </w:tc>
      </w:tr>
      <w:tr w14:paraId="371E3C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7C7BBE7A">
            <w:pPr>
              <w:pStyle w:val="178"/>
            </w:pPr>
            <w:r>
              <w:rPr>
                <w:rFonts w:hint="eastAsia"/>
              </w:rPr>
              <w:t>资源保障信息</w:t>
            </w:r>
          </w:p>
        </w:tc>
        <w:tc>
          <w:tcPr>
            <w:tcW w:w="2977" w:type="dxa"/>
            <w:vAlign w:val="center"/>
          </w:tcPr>
          <w:p w14:paraId="32474502">
            <w:pPr>
              <w:pStyle w:val="178"/>
            </w:pPr>
            <w:r>
              <w:rPr>
                <w:rFonts w:hint="eastAsia"/>
              </w:rPr>
              <w:t>备件备机启用情况、跨单位支援情况、人员到位时间、物资消耗</w:t>
            </w:r>
          </w:p>
        </w:tc>
        <w:tc>
          <w:tcPr>
            <w:tcW w:w="1701" w:type="dxa"/>
            <w:vAlign w:val="center"/>
          </w:tcPr>
          <w:p w14:paraId="732F2CC6">
            <w:pPr>
              <w:pStyle w:val="178"/>
            </w:pPr>
            <w:r>
              <w:rPr>
                <w:rFonts w:hint="eastAsia"/>
              </w:rPr>
              <w:t>续报中必要更新</w:t>
            </w:r>
          </w:p>
        </w:tc>
        <w:tc>
          <w:tcPr>
            <w:tcW w:w="1842" w:type="dxa"/>
            <w:vAlign w:val="center"/>
          </w:tcPr>
          <w:p w14:paraId="73D599F8">
            <w:pPr>
              <w:pStyle w:val="178"/>
            </w:pPr>
            <w:r>
              <w:rPr>
                <w:rFonts w:hint="eastAsia"/>
              </w:rPr>
              <w:t>领用归还记录、到场记录、调拨记录</w:t>
            </w:r>
          </w:p>
        </w:tc>
        <w:tc>
          <w:tcPr>
            <w:tcW w:w="1406" w:type="dxa"/>
            <w:vAlign w:val="center"/>
          </w:tcPr>
          <w:p w14:paraId="6480AA9D">
            <w:pPr>
              <w:pStyle w:val="178"/>
            </w:pPr>
            <w:r>
              <w:rPr>
                <w:rFonts w:hint="eastAsia"/>
              </w:rPr>
              <w:t>数量准确、责任清晰</w:t>
            </w:r>
          </w:p>
        </w:tc>
      </w:tr>
    </w:tbl>
    <w:p w14:paraId="781E924B">
      <w:pPr>
        <w:pStyle w:val="105"/>
        <w:spacing w:before="120" w:after="120" w:line="360" w:lineRule="auto"/>
      </w:pPr>
      <w:r>
        <w:rPr>
          <w:rFonts w:hint="eastAsia"/>
        </w:rPr>
        <w:t>记录归档与保管要求</w:t>
      </w:r>
    </w:p>
    <w:p w14:paraId="2B52B57C">
      <w:pPr>
        <w:pStyle w:val="165"/>
        <w:spacing w:line="360" w:lineRule="auto"/>
      </w:pPr>
      <w:r>
        <w:rPr>
          <w:rFonts w:hint="eastAsia"/>
        </w:rPr>
        <w:t>记录归档应按事件编号形成归档包，归档包至少包括研判记录、操作记录、报告记录、截图与日志、配置快照、测试记录、现场照片、备件领用记录、复盘材料与整改闭环材料。</w:t>
      </w:r>
    </w:p>
    <w:p w14:paraId="1F090F12">
      <w:pPr>
        <w:pStyle w:val="165"/>
        <w:spacing w:line="360" w:lineRule="auto"/>
      </w:pPr>
      <w:r>
        <w:rPr>
          <w:rFonts w:hint="eastAsia"/>
        </w:rPr>
        <w:t>电子证据应保留原始格式并记录获取方式与时间，必要时采用哈希校验或防篡改存储方式。</w:t>
      </w:r>
    </w:p>
    <w:p w14:paraId="57F3847E">
      <w:pPr>
        <w:pStyle w:val="165"/>
        <w:spacing w:line="360" w:lineRule="auto"/>
      </w:pPr>
      <w:r>
        <w:rPr>
          <w:rFonts w:hint="eastAsia"/>
        </w:rPr>
        <w:t>归档资料保管期限应满足行业管理与内部审计要求。涉及安全事件、重大播出安全事件的资料应按更高期限保管并限制访问权限。</w:t>
      </w:r>
    </w:p>
    <w:p w14:paraId="02105DCD">
      <w:pPr>
        <w:pStyle w:val="105"/>
        <w:spacing w:before="120" w:after="120" w:line="360" w:lineRule="auto"/>
      </w:pPr>
      <w:r>
        <w:rPr>
          <w:rFonts w:hint="eastAsia"/>
        </w:rPr>
        <w:t>对外信息与舆情协同要求</w:t>
      </w:r>
    </w:p>
    <w:p w14:paraId="286144E1">
      <w:pPr>
        <w:pStyle w:val="165"/>
        <w:spacing w:line="360" w:lineRule="auto"/>
      </w:pPr>
      <w:r>
        <w:rPr>
          <w:rFonts w:hint="eastAsia"/>
        </w:rPr>
        <w:t>对外信息发布应执行统一口径与审批流程，未经批准不得对外披露事件细节、系统结构、配置细节与安全信息。</w:t>
      </w:r>
    </w:p>
    <w:p w14:paraId="1F01B2BA">
      <w:pPr>
        <w:pStyle w:val="165"/>
        <w:spacing w:line="360" w:lineRule="auto"/>
      </w:pPr>
      <w:r>
        <w:rPr>
          <w:rFonts w:hint="eastAsia"/>
        </w:rPr>
        <w:t>出现舆情扩散风险时，应与宣传与舆情管理部门协同，提供事实核查与技术解释支撑，避免误传扩大影响。</w:t>
      </w:r>
    </w:p>
    <w:p w14:paraId="315F150D">
      <w:pPr>
        <w:pStyle w:val="104"/>
        <w:spacing w:before="240" w:after="240" w:line="360" w:lineRule="auto"/>
      </w:pPr>
      <w:bookmarkStart w:id="57" w:name="_Toc219116520"/>
      <w:r>
        <w:rPr>
          <w:rFonts w:hint="eastAsia"/>
        </w:rPr>
        <w:t>保障措施与演练改进</w:t>
      </w:r>
      <w:bookmarkEnd w:id="57"/>
    </w:p>
    <w:p w14:paraId="018389A8">
      <w:pPr>
        <w:pStyle w:val="105"/>
        <w:spacing w:before="120" w:after="120" w:line="360" w:lineRule="auto"/>
      </w:pPr>
      <w:r>
        <w:rPr>
          <w:rFonts w:hint="eastAsia"/>
        </w:rPr>
        <w:t>预案体系与流程固化要求</w:t>
      </w:r>
    </w:p>
    <w:p w14:paraId="1AB6B623">
      <w:pPr>
        <w:pStyle w:val="165"/>
        <w:spacing w:line="360" w:lineRule="auto"/>
      </w:pPr>
      <w:r>
        <w:rPr>
          <w:rFonts w:hint="eastAsia"/>
        </w:rPr>
        <w:t>应建立覆盖端到端链路的应急预案体系，预案应包含故障分级判定、响应流程、切换路径、降级播出方案、回退条件、验证方法、信息报送模板与责任分工。</w:t>
      </w:r>
    </w:p>
    <w:p w14:paraId="6E760AB8">
      <w:pPr>
        <w:pStyle w:val="165"/>
        <w:spacing w:line="360" w:lineRule="auto"/>
      </w:pPr>
      <w:r>
        <w:rPr>
          <w:rFonts w:hint="eastAsia"/>
        </w:rPr>
        <w:t>预案应与系统架构一致并保持更新。系统扩容、链路调整、设备替换、版本升级、阈值调整等变更完成后，应同步评估预案适用性并更新预案内容。</w:t>
      </w:r>
    </w:p>
    <w:p w14:paraId="18831571">
      <w:pPr>
        <w:pStyle w:val="165"/>
        <w:spacing w:line="360" w:lineRule="auto"/>
      </w:pPr>
      <w:r>
        <w:rPr>
          <w:rFonts w:hint="eastAsia"/>
        </w:rPr>
        <w:t>预案应形成可操作的标准作业指导书，关键切换操作应形成步骤清单，包含操作顺序、关键参数、风险点提示与验证项，减少应急处置对个人经验的依赖。</w:t>
      </w:r>
    </w:p>
    <w:p w14:paraId="0A703E63">
      <w:pPr>
        <w:pStyle w:val="105"/>
        <w:spacing w:before="120" w:after="120" w:line="360" w:lineRule="auto"/>
      </w:pPr>
      <w:r>
        <w:rPr>
          <w:rFonts w:hint="eastAsia"/>
        </w:rPr>
        <w:t>备份备机与备件保障要求</w:t>
      </w:r>
    </w:p>
    <w:p w14:paraId="24FE2A7A">
      <w:pPr>
        <w:pStyle w:val="165"/>
        <w:spacing w:line="360" w:lineRule="auto"/>
      </w:pPr>
      <w:r>
        <w:rPr>
          <w:rFonts w:hint="eastAsia"/>
        </w:rPr>
        <w:t>应建立主备体系与容量评估机制，明确主备切换策略、主备一致性要求、资源冗余比与最低可用业务集。</w:t>
      </w:r>
    </w:p>
    <w:p w14:paraId="45B058FF">
      <w:pPr>
        <w:pStyle w:val="165"/>
        <w:spacing w:line="360" w:lineRule="auto"/>
      </w:pPr>
      <w:r>
        <w:rPr>
          <w:rFonts w:hint="eastAsia"/>
        </w:rPr>
        <w:t>应建立关键备机清单与关键备件清单，至少覆盖编码器、复用器、调制器、路由交换关键板卡、发射机关键模块、功放模块、监测探头、UPS关键部件、天馈关键器件与常用连接器件。</w:t>
      </w:r>
    </w:p>
    <w:p w14:paraId="1952FDD7">
      <w:pPr>
        <w:pStyle w:val="165"/>
        <w:spacing w:line="360" w:lineRule="auto"/>
      </w:pPr>
      <w:r>
        <w:rPr>
          <w:rFonts w:hint="eastAsia"/>
        </w:rPr>
        <w:t>应建立库存下限与到位时限要求，形成备件状态台账，台账应记录型号、序列号、兼容性、存放位置、有效期、维护周期与可用状态。</w:t>
      </w:r>
    </w:p>
    <w:p w14:paraId="5E609C71">
      <w:pPr>
        <w:pStyle w:val="165"/>
        <w:spacing w:line="360" w:lineRule="auto"/>
      </w:pPr>
      <w:r>
        <w:rPr>
          <w:rFonts w:hint="eastAsia"/>
        </w:rPr>
        <w:t>应建立备机备件定期通电与功能核验制度，防止长期闲置导致备用失效。核验结果应形成记录并纳入设备健康管理。</w:t>
      </w:r>
    </w:p>
    <w:p w14:paraId="3577354E">
      <w:pPr>
        <w:pStyle w:val="105"/>
        <w:spacing w:before="120" w:after="120" w:line="360" w:lineRule="auto"/>
      </w:pPr>
      <w:r>
        <w:rPr>
          <w:rFonts w:hint="eastAsia"/>
        </w:rPr>
        <w:t>配置管理与可恢复能力要求</w:t>
      </w:r>
    </w:p>
    <w:p w14:paraId="5DA7493C">
      <w:pPr>
        <w:pStyle w:val="165"/>
        <w:spacing w:line="360" w:lineRule="auto"/>
      </w:pPr>
      <w:r>
        <w:rPr>
          <w:rFonts w:hint="eastAsia"/>
        </w:rPr>
        <w:t>应建立关键配置集中管理机制，至少包括编解码复用参数、业务映射表、路由策略、发射机关键参数、监测告警规则、账号权限与审计策略。</w:t>
      </w:r>
    </w:p>
    <w:p w14:paraId="75B16639">
      <w:pPr>
        <w:pStyle w:val="165"/>
        <w:spacing w:line="360" w:lineRule="auto"/>
      </w:pPr>
      <w:r>
        <w:rPr>
          <w:rFonts w:hint="eastAsia"/>
        </w:rPr>
        <w:t>应建立配置备份、版本控制与回退机制，关键配置应至少保留最近多个稳定版本，并明确回退触发条件与回退验证要求。</w:t>
      </w:r>
    </w:p>
    <w:p w14:paraId="1FD447C8">
      <w:pPr>
        <w:pStyle w:val="165"/>
        <w:spacing w:line="360" w:lineRule="auto"/>
      </w:pPr>
      <w:r>
        <w:rPr>
          <w:rFonts w:hint="eastAsia"/>
        </w:rPr>
        <w:t>应建立灾备数据与日志留存机制，确保在监测平台故障、系统崩溃或安全事件条件下仍可获取关键证据与恢复所需配置。</w:t>
      </w:r>
    </w:p>
    <w:p w14:paraId="7E08E6D5">
      <w:pPr>
        <w:pStyle w:val="105"/>
        <w:spacing w:before="120" w:after="120" w:line="360" w:lineRule="auto"/>
      </w:pPr>
      <w:r>
        <w:rPr>
          <w:rFonts w:hint="eastAsia"/>
        </w:rPr>
        <w:t>运维值守与能力建设要求</w:t>
      </w:r>
    </w:p>
    <w:p w14:paraId="261A8057">
      <w:pPr>
        <w:pStyle w:val="165"/>
        <w:spacing w:line="360" w:lineRule="auto"/>
      </w:pPr>
      <w:r>
        <w:rPr>
          <w:rFonts w:hint="eastAsia"/>
        </w:rPr>
        <w:t>应建立值守制度与交接班制度，确保关键岗位全天候可响应。交接班应覆盖告警状态、运行风险、未闭环工单、备用资源状态与当天变更计划。</w:t>
      </w:r>
    </w:p>
    <w:p w14:paraId="61BA46AC">
      <w:pPr>
        <w:pStyle w:val="165"/>
        <w:spacing w:line="360" w:lineRule="auto"/>
      </w:pPr>
      <w:r>
        <w:rPr>
          <w:rFonts w:hint="eastAsia"/>
        </w:rPr>
        <w:t>应建立能力矩阵与培训机制，覆盖传输承载、编解码复用、发射机天馈、供配电与环境、网络安全与日志分析等技能方向。</w:t>
      </w:r>
    </w:p>
    <w:p w14:paraId="4335BC80">
      <w:pPr>
        <w:pStyle w:val="165"/>
        <w:spacing w:line="360" w:lineRule="auto"/>
      </w:pPr>
      <w:r>
        <w:rPr>
          <w:rFonts w:hint="eastAsia"/>
        </w:rPr>
        <w:t>关键岗位应具备独立研判与受控切换能力，新上岗人员应经过带教与考核后方可独立值守。</w:t>
      </w:r>
    </w:p>
    <w:p w14:paraId="6C7BF8AE">
      <w:pPr>
        <w:pStyle w:val="105"/>
        <w:spacing w:before="120" w:after="120" w:line="360" w:lineRule="auto"/>
      </w:pPr>
      <w:r>
        <w:rPr>
          <w:rFonts w:hint="eastAsia"/>
        </w:rPr>
        <w:t>演练与评估要求</w:t>
      </w:r>
    </w:p>
    <w:p w14:paraId="28096179">
      <w:pPr>
        <w:pStyle w:val="165"/>
        <w:spacing w:line="360" w:lineRule="auto"/>
      </w:pPr>
      <w:r>
        <w:rPr>
          <w:rFonts w:hint="eastAsia"/>
        </w:rPr>
        <w:t>应建立常态化演练机制，演练类型宜包括桌面推演、单系统演练、链路切换演练、全链路演练与安全事件演练。</w:t>
      </w:r>
    </w:p>
    <w:p w14:paraId="0AED2312">
      <w:pPr>
        <w:pStyle w:val="165"/>
        <w:spacing w:line="360" w:lineRule="auto"/>
      </w:pPr>
      <w:r>
        <w:rPr>
          <w:rFonts w:hint="eastAsia"/>
        </w:rPr>
        <w:t>演练应覆盖典型故障场景，至少包含链路中断、备用切换、发射机故障、供电切换、监测平台故障、配置误改回退、通信中断与信息报送。</w:t>
      </w:r>
    </w:p>
    <w:p w14:paraId="46672149">
      <w:pPr>
        <w:pStyle w:val="165"/>
        <w:spacing w:line="360" w:lineRule="auto"/>
      </w:pPr>
      <w:r>
        <w:rPr>
          <w:rFonts w:hint="eastAsia"/>
        </w:rPr>
        <w:t>演练应明确目标与评价指标，指标宜包括响应时长、定位时长、切换时长、恢复验证时长、信息报送及时性与记录完整性。</w:t>
      </w:r>
    </w:p>
    <w:p w14:paraId="7DBFB395">
      <w:pPr>
        <w:pStyle w:val="165"/>
        <w:spacing w:line="360" w:lineRule="auto"/>
      </w:pPr>
      <w:r>
        <w:rPr>
          <w:rFonts w:hint="eastAsia"/>
        </w:rPr>
        <w:t>演练结束应形成评估报告，评估报告应包含问题清单、改进措施、责任人、完成期限与复验计划。</w:t>
      </w:r>
    </w:p>
    <w:p w14:paraId="0539DBD2">
      <w:pPr>
        <w:pStyle w:val="105"/>
        <w:spacing w:before="120" w:after="120" w:line="360" w:lineRule="auto"/>
      </w:pPr>
      <w:r>
        <w:rPr>
          <w:rFonts w:hint="eastAsia"/>
        </w:rPr>
        <w:t>复盘改进与闭环管理要求</w:t>
      </w:r>
    </w:p>
    <w:p w14:paraId="7C2A7B27">
      <w:pPr>
        <w:pStyle w:val="165"/>
        <w:spacing w:line="360" w:lineRule="auto"/>
      </w:pPr>
      <w:r>
        <w:rPr>
          <w:rFonts w:hint="eastAsia"/>
        </w:rPr>
        <w:t>一级与二级故障应开展复盘，三级故障宜开展专项复盘，复盘应聚焦根因、过程缺陷、预案适用性、协同效率、备份备件有效性与监测告警有效性。</w:t>
      </w:r>
    </w:p>
    <w:p w14:paraId="04C386DA">
      <w:pPr>
        <w:pStyle w:val="165"/>
        <w:spacing w:line="360" w:lineRule="auto"/>
      </w:pPr>
      <w:r>
        <w:rPr>
          <w:rFonts w:hint="eastAsia"/>
        </w:rPr>
        <w:t>复盘应形成整改清单并纳入闭环管理，整改应包含技术整改、流程整改与能力整改三类措施。</w:t>
      </w:r>
    </w:p>
    <w:p w14:paraId="05329A52">
      <w:pPr>
        <w:pStyle w:val="165"/>
        <w:spacing w:line="360" w:lineRule="auto"/>
      </w:pPr>
      <w:r>
        <w:rPr>
          <w:rFonts w:hint="eastAsia"/>
        </w:rPr>
        <w:t>对重复发生的同类故障，应开展趋势分析与系统性治理，必要时实施架构优化、冗余增强、替代方案引入或监测阈值与告警规则重构。</w:t>
      </w:r>
    </w:p>
    <w:bookmarkEnd w:id="26"/>
    <w:p w14:paraId="617F5C5F">
      <w:pPr>
        <w:pStyle w:val="56"/>
        <w:ind w:firstLine="0" w:firstLineChars="0"/>
        <w:jc w:val="center"/>
      </w:pPr>
      <w:bookmarkStart w:id="58" w:name="BookMark8"/>
      <w:r>
        <w:rPr>
          <w:rFonts w:hint="eastAsia"/>
        </w:rPr>
        <w:drawing>
          <wp:inline distT="0" distB="0" distL="0" distR="0">
            <wp:extent cx="1485900" cy="317500"/>
            <wp:effectExtent l="0" t="0" r="0" b="6350"/>
            <wp:docPr id="2106036804" name="图片 1"/>
            <wp:cNvGraphicFramePr/>
            <a:graphic xmlns:a="http://schemas.openxmlformats.org/drawingml/2006/main">
              <a:graphicData uri="http://schemas.openxmlformats.org/drawingml/2006/picture">
                <pic:pic xmlns:pic="http://schemas.openxmlformats.org/drawingml/2006/picture">
                  <pic:nvPicPr>
                    <pic:cNvPr id="2106036804" name="图片 1"/>
                    <pic:cNvPicPr/>
                  </pic:nvPicPr>
                  <pic:blipFill>
                    <a:blip r:embed="rId2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sectPr>
      <w:headerReference r:id="rId22" w:type="default"/>
      <w:footerReference r:id="rId24" w:type="default"/>
      <w:headerReference r:id="rId23" w:type="even"/>
      <w:footerReference r:id="rId25"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BBF03">
    <w:pPr>
      <w:pStyle w:val="51"/>
    </w:pPr>
    <w:r>
      <w:fldChar w:fldCharType="begin"/>
    </w:r>
    <w:r>
      <w:instrText xml:space="preserve"> PAGE   \* MERGEFORMAT \* MERGEFORMAT </w:instrText>
    </w:r>
    <w:r>
      <w:fldChar w:fldCharType="separate"/>
    </w:r>
    <w:r>
      <w:t>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85F50">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10013">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15522">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6B52C">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CFF9B">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84411">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04C90">
    <w:pPr>
      <w:pStyle w:val="61"/>
    </w:pPr>
    <w:r>
      <w:fldChar w:fldCharType="begin"/>
    </w:r>
    <w:r>
      <w:instrText xml:space="preserve"> STYLEREF  标准文件_文件编号  \* MERGEFORMAT </w:instrText>
    </w:r>
    <w:r>
      <w:fldChar w:fldCharType="separate"/>
    </w:r>
    <w:r>
      <w:t>T/XJBX 0191—2026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3185F">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0191—2026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0191—2026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0191—2026</w:t>
    </w:r>
    <w:r>
      <w:rPr>
        <w:rFonts w:hint="eastAsi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C52">
    <w:pPr>
      <w:pStyle w:val="18"/>
    </w:pPr>
    <w:r>
      <w:pict>
        <v:shape id="PowerPlusWaterMarkObject29119159"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B5FF1">
    <w:pPr>
      <w:pStyle w:val="61"/>
    </w:pPr>
    <w:r>
      <w:fldChar w:fldCharType="begin"/>
    </w:r>
    <w:r>
      <w:instrText xml:space="preserve"> STYLEREF  标准文件_文件编号  \* MERGEFORMAT </w:instrText>
    </w:r>
    <w:r>
      <w:fldChar w:fldCharType="separate"/>
    </w:r>
    <w:r>
      <w:t>T/XJBX 0191—2026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D67A7">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0191—2026</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4ACDE">
    <w:pPr>
      <w:pStyle w:val="61"/>
    </w:pPr>
    <w:r>
      <w:fldChar w:fldCharType="begin"/>
    </w:r>
    <w:r>
      <w:instrText xml:space="preserve"> STYLEREF  标准文件_文件编号  \* MERGEFORMAT </w:instrText>
    </w:r>
    <w:r>
      <w:fldChar w:fldCharType="separate"/>
    </w:r>
    <w:r>
      <w:t>T/XJBX 0191—2026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F4957">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0191—2026</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72"/>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rQUATOqK2y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A7DB9"/>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2EE4"/>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3D10"/>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740"/>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B57"/>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0FA"/>
    <w:rsid w:val="00B07242"/>
    <w:rsid w:val="00B10534"/>
    <w:rsid w:val="00B113DB"/>
    <w:rsid w:val="00B11D8A"/>
    <w:rsid w:val="00B12981"/>
    <w:rsid w:val="00B14747"/>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775"/>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7F4"/>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71A"/>
    <w:rsid w:val="00DE0A4B"/>
    <w:rsid w:val="00DE187A"/>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6A8"/>
    <w:rsid w:val="00E346CD"/>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2827"/>
    <w:rsid w:val="00EC5359"/>
    <w:rsid w:val="00EC562A"/>
    <w:rsid w:val="00ED067A"/>
    <w:rsid w:val="00ED2B50"/>
    <w:rsid w:val="00EE0350"/>
    <w:rsid w:val="00EE0719"/>
    <w:rsid w:val="00EE0E80"/>
    <w:rsid w:val="00EE613F"/>
    <w:rsid w:val="00EE7295"/>
    <w:rsid w:val="00EE7869"/>
    <w:rsid w:val="00EF054A"/>
    <w:rsid w:val="00EF293C"/>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7C963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3.jpeg"/><Relationship Id="rId28" Type="http://schemas.openxmlformats.org/officeDocument/2006/relationships/image" Target="media/image2.pn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282613CE">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07E2A895">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179F8B78">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157A7F"/>
    <w:rsid w:val="00232C79"/>
    <w:rsid w:val="005E6634"/>
    <w:rsid w:val="007146E1"/>
    <w:rsid w:val="00AA341C"/>
    <w:rsid w:val="00AE1DC6"/>
    <w:rsid w:val="00B14747"/>
    <w:rsid w:val="00B94F8A"/>
    <w:rsid w:val="00C9423E"/>
    <w:rsid w:val="00DA07CB"/>
    <w:rsid w:val="00E51851"/>
    <w:rsid w:val="00F3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24</Pages>
  <Words>12332</Words>
  <Characters>12755</Characters>
  <Lines>102</Lines>
  <Paragraphs>28</Paragraphs>
  <TotalTime>4294967293</TotalTime>
  <ScaleCrop>false</ScaleCrop>
  <LinksUpToDate>false</LinksUpToDate>
  <CharactersWithSpaces>12917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2025-08-08T03:30:00Z</dcterms:created>
  <dc:creator>Jianyi Huang</dc:creator>
  <dc:description>&lt;config cover="true" show_menu="true" version="1.0.0" doctype="SDKXY"&gt;_x000d_
&lt;/config&gt;</dc:description>
  <cp:lastModifiedBy>WPS_1602478251</cp:lastModifiedBy>
  <cp:lastPrinted>2021-02-02T09:22:00Z</cp:lastPrinted>
  <dcterms:modified xsi:type="dcterms:W3CDTF">2026-01-15T02:13:21Z</dcterms:modified>
  <dc:title>团体标准</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2052-12.1.0.24657</vt:lpwstr>
  </property>
  <property fmtid="{D5CDD505-2E9C-101B-9397-08002B2CF9AE}" pid="17" name="ICV">
    <vt:lpwstr>3B83BE71DEAC4DC5A905C4BFFA3D357E_12</vt:lpwstr>
  </property>
</Properties>
</file>