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5.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L 7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70</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9"/>
            </w:textInput>
          </w:ffData>
        </w:fldChar>
      </w:r>
      <w:bookmarkStart w:id="6" w:name="NSTD_CODE_F"/>
      <w:r>
        <w:instrText xml:space="preserve"> FORMTEXT </w:instrText>
      </w:r>
      <w:r>
        <w:fldChar w:fldCharType="separate"/>
      </w:r>
      <w:r>
        <w:t>0189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004280D6">
      <w:pPr>
        <w:pStyle w:val="197"/>
        <w:framePr w:h="6974" w:hRule="exact" w:wrap="around" w:x="1419" w:anchorLock="1"/>
      </w:pPr>
      <w:r>
        <w:fldChar w:fldCharType="begin">
          <w:ffData>
            <w:name w:val="CSTD_NAME"/>
            <w:enabled/>
            <w:calcOnExit w:val="0"/>
            <w:textInput>
              <w:default w:val="电子信息行业数字资产分类与评估技术指引"/>
            </w:textInput>
          </w:ffData>
        </w:fldChar>
      </w:r>
      <w:bookmarkStart w:id="9" w:name="CSTD_NAME"/>
      <w:r>
        <w:instrText xml:space="preserve"> FORMTEXT </w:instrText>
      </w:r>
      <w:r>
        <w:fldChar w:fldCharType="separate"/>
      </w:r>
      <w:r>
        <w:t>电子信息行业数字资产分类</w:t>
      </w:r>
    </w:p>
    <w:p w14:paraId="73594FE6">
      <w:pPr>
        <w:pStyle w:val="197"/>
        <w:framePr w:h="6974" w:hRule="exact" w:wrap="around" w:x="1419" w:anchorLock="1"/>
      </w:pPr>
      <w:r>
        <w:t>与评估技术指引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classification and evaluation technology of digital assets in the electronic information indust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classification and evaluation technology of digital assets in the electronic information industry</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bookmarkStart w:id="58" w:name="_GoBack"/>
      <w:bookmarkEnd w:id="58"/>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43C7887">
      <w:pPr>
        <w:bidi w:val="0"/>
        <w:rPr>
          <w:rFonts w:hint="eastAsia" w:ascii="Calibri" w:hAnsi="Calibri" w:eastAsia="宋体" w:cs="Times New Roman"/>
          <w:kern w:val="2"/>
          <w:sz w:val="21"/>
          <w:szCs w:val="21"/>
          <w:lang w:val="en-US" w:eastAsia="zh-CN" w:bidi="ar-SA"/>
        </w:rPr>
      </w:pPr>
    </w:p>
    <w:p w14:paraId="0E5C7260">
      <w:pPr>
        <w:bidi w:val="0"/>
        <w:rPr>
          <w:rFonts w:hint="eastAsia"/>
          <w:lang w:val="en-US" w:eastAsia="zh-CN"/>
        </w:rPr>
      </w:pPr>
    </w:p>
    <w:p w14:paraId="297F385E">
      <w:pPr>
        <w:tabs>
          <w:tab w:val="left" w:pos="8318"/>
        </w:tabs>
        <w:bidi w:val="0"/>
        <w:jc w:val="left"/>
        <w:rPr>
          <w:rFonts w:hint="eastAsia"/>
          <w:lang w:val="en-US" w:eastAsia="zh-CN"/>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p>
    <w:p w14:paraId="1C522ABC">
      <w:pPr>
        <w:pStyle w:val="91"/>
        <w:spacing w:after="360"/>
      </w:pPr>
      <w:bookmarkStart w:id="21" w:name="BookMark1"/>
      <w:r>
        <w:rPr>
          <w:rFonts w:hint="eastAsia"/>
          <w:spacing w:val="320"/>
        </w:rPr>
        <w:t>目</w:t>
      </w:r>
      <w:r>
        <w:rPr>
          <w:rFonts w:hint="eastAsia"/>
        </w:rPr>
        <w:t>次</w:t>
      </w:r>
    </w:p>
    <w:p w14:paraId="73DEA76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"_Toc219114397"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_Toc219114397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FC802E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"_Toc219114398"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_Toc219114398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7249A5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"_Toc219114399"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_Toc219114399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427C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_Toc219114400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B347B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_Toc219114401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D2DF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"_Toc219114402" </w:instrText>
      </w:r>
      <w:r>
        <w:fldChar w:fldCharType="separate"/>
      </w:r>
      <w:r>
        <w:rPr>
          <w:rStyle w:val="32"/>
          <w:rFonts w:hint="eastAsia"/>
        </w:rPr>
        <w:t>4</w:t>
      </w:r>
      <w:r>
        <w:rPr>
          <w:rStyle w:val="32"/>
        </w:rPr>
        <w:t xml:space="preserve"> </w:t>
      </w:r>
      <w:r>
        <w:rPr>
          <w:rStyle w:val="32"/>
          <w:rFonts w:hint="eastAsia"/>
        </w:rPr>
        <w:t xml:space="preserve"> 分类体系与识别规则</w:t>
      </w:r>
      <w:r>
        <w:rPr>
          <w:rFonts w:hint="eastAsia"/>
        </w:rPr>
        <w:tab/>
      </w:r>
      <w:r>
        <w:rPr>
          <w:rFonts w:hint="eastAsia"/>
        </w:rPr>
        <w:fldChar w:fldCharType="begin"/>
      </w:r>
      <w:r>
        <w:rPr>
          <w:rFonts w:hint="eastAsia"/>
        </w:rPr>
        <w:instrText xml:space="preserve"> </w:instrText>
      </w:r>
      <w:r>
        <w:instrText xml:space="preserve">PAGEREF _Toc219114402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C93EF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"_Toc219114403" </w:instrText>
      </w:r>
      <w:r>
        <w:fldChar w:fldCharType="separate"/>
      </w:r>
      <w:r>
        <w:rPr>
          <w:rStyle w:val="32"/>
          <w:rFonts w:hint="eastAsia"/>
        </w:rPr>
        <w:t>5</w:t>
      </w:r>
      <w:r>
        <w:rPr>
          <w:rStyle w:val="32"/>
        </w:rPr>
        <w:t xml:space="preserve"> </w:t>
      </w:r>
      <w:r>
        <w:rPr>
          <w:rStyle w:val="32"/>
          <w:rFonts w:hint="eastAsia"/>
        </w:rPr>
        <w:t xml:space="preserve"> 评估总体原则与适用场景</w:t>
      </w:r>
      <w:r>
        <w:rPr>
          <w:rFonts w:hint="eastAsia"/>
        </w:rPr>
        <w:tab/>
      </w:r>
      <w:r>
        <w:rPr>
          <w:rFonts w:hint="eastAsia"/>
        </w:rPr>
        <w:fldChar w:fldCharType="begin"/>
      </w:r>
      <w:r>
        <w:rPr>
          <w:rFonts w:hint="eastAsia"/>
        </w:rPr>
        <w:instrText xml:space="preserve"> </w:instrText>
      </w:r>
      <w:r>
        <w:instrText xml:space="preserve">PAGEREF _Toc219114403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681F76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"_Toc219114404" </w:instrText>
      </w:r>
      <w:r>
        <w:fldChar w:fldCharType="separate"/>
      </w:r>
      <w:r>
        <w:rPr>
          <w:rStyle w:val="32"/>
          <w:rFonts w:hint="eastAsia"/>
        </w:rPr>
        <w:t>6</w:t>
      </w:r>
      <w:r>
        <w:rPr>
          <w:rStyle w:val="32"/>
        </w:rPr>
        <w:t xml:space="preserve"> </w:t>
      </w:r>
      <w:r>
        <w:rPr>
          <w:rStyle w:val="32"/>
          <w:rFonts w:hint="eastAsia"/>
        </w:rPr>
        <w:t xml:space="preserve"> 评估数据要求与证据链要求</w:t>
      </w:r>
      <w:r>
        <w:rPr>
          <w:rFonts w:hint="eastAsia"/>
        </w:rPr>
        <w:tab/>
      </w:r>
      <w:r>
        <w:rPr>
          <w:rFonts w:hint="eastAsia"/>
        </w:rPr>
        <w:fldChar w:fldCharType="begin"/>
      </w:r>
      <w:r>
        <w:rPr>
          <w:rFonts w:hint="eastAsia"/>
        </w:rPr>
        <w:instrText xml:space="preserve"> </w:instrText>
      </w:r>
      <w:r>
        <w:instrText xml:space="preserve">PAGEREF _Toc219114404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2FD0A8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"_Toc219114405" </w:instrText>
      </w:r>
      <w:r>
        <w:fldChar w:fldCharType="separate"/>
      </w:r>
      <w:r>
        <w:rPr>
          <w:rStyle w:val="32"/>
          <w:rFonts w:hint="eastAsia"/>
        </w:rPr>
        <w:t>7</w:t>
      </w:r>
      <w:r>
        <w:rPr>
          <w:rStyle w:val="32"/>
        </w:rPr>
        <w:t xml:space="preserve"> </w:t>
      </w:r>
      <w:r>
        <w:rPr>
          <w:rStyle w:val="32"/>
          <w:rFonts w:hint="eastAsia"/>
        </w:rPr>
        <w:t xml:space="preserve"> 评估方法与参数确定要求</w:t>
      </w:r>
      <w:r>
        <w:rPr>
          <w:rFonts w:hint="eastAsia"/>
        </w:rPr>
        <w:tab/>
      </w:r>
      <w:r>
        <w:rPr>
          <w:rFonts w:hint="eastAsia"/>
        </w:rPr>
        <w:fldChar w:fldCharType="begin"/>
      </w:r>
      <w:r>
        <w:rPr>
          <w:rFonts w:hint="eastAsia"/>
        </w:rPr>
        <w:instrText xml:space="preserve"> </w:instrText>
      </w:r>
      <w:r>
        <w:instrText xml:space="preserve">PAGEREF _Toc219114405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08A9E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"_Toc219114406" </w:instrText>
      </w:r>
      <w:r>
        <w:fldChar w:fldCharType="separate"/>
      </w:r>
      <w:r>
        <w:rPr>
          <w:rStyle w:val="32"/>
          <w:rFonts w:hint="eastAsia"/>
        </w:rPr>
        <w:t>8</w:t>
      </w:r>
      <w:r>
        <w:rPr>
          <w:rStyle w:val="32"/>
        </w:rPr>
        <w:t xml:space="preserve"> </w:t>
      </w:r>
      <w:r>
        <w:rPr>
          <w:rStyle w:val="32"/>
          <w:rFonts w:hint="eastAsia"/>
        </w:rPr>
        <w:t xml:space="preserve"> 风险因素与调整要求</w:t>
      </w:r>
      <w:r>
        <w:rPr>
          <w:rFonts w:hint="eastAsia"/>
        </w:rPr>
        <w:tab/>
      </w:r>
      <w:r>
        <w:rPr>
          <w:rFonts w:hint="eastAsia"/>
        </w:rPr>
        <w:fldChar w:fldCharType="begin"/>
      </w:r>
      <w:r>
        <w:rPr>
          <w:rFonts w:hint="eastAsia"/>
        </w:rPr>
        <w:instrText xml:space="preserve"> </w:instrText>
      </w:r>
      <w:r>
        <w:instrText xml:space="preserve">PAGEREF _Toc219114406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0FA5D8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"_Toc219114407" </w:instrText>
      </w:r>
      <w:r>
        <w:fldChar w:fldCharType="separate"/>
      </w:r>
      <w:r>
        <w:rPr>
          <w:rStyle w:val="32"/>
          <w:rFonts w:hint="eastAsia"/>
        </w:rPr>
        <w:t>9</w:t>
      </w:r>
      <w:r>
        <w:rPr>
          <w:rStyle w:val="32"/>
        </w:rPr>
        <w:t xml:space="preserve"> </w:t>
      </w:r>
      <w:r>
        <w:rPr>
          <w:rStyle w:val="32"/>
          <w:rFonts w:hint="eastAsia"/>
        </w:rPr>
        <w:t xml:space="preserve"> 评估结果表达与报告要求</w:t>
      </w:r>
      <w:r>
        <w:rPr>
          <w:rFonts w:hint="eastAsia"/>
        </w:rPr>
        <w:tab/>
      </w:r>
      <w:r>
        <w:rPr>
          <w:rFonts w:hint="eastAsia"/>
        </w:rPr>
        <w:fldChar w:fldCharType="begin"/>
      </w:r>
      <w:r>
        <w:rPr>
          <w:rFonts w:hint="eastAsia"/>
        </w:rPr>
        <w:instrText xml:space="preserve"> </w:instrText>
      </w:r>
      <w:r>
        <w:instrText xml:space="preserve">PAGEREF _Toc219114407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140EFC8">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1439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本文件起草单位：北京国联天成信息技术有限公司。</w:t>
      </w:r>
    </w:p>
    <w:p w14:paraId="55F4A5D1">
      <w:pPr>
        <w:pStyle w:val="56"/>
        <w:spacing w:line="360" w:lineRule="auto"/>
        <w:ind w:firstLine="420"/>
      </w:pPr>
      <w:r>
        <w:rPr>
          <w:rFonts w:hint="eastAsia"/>
        </w:rPr>
        <w:t>本文件主要起草人：门嘉平。</w:t>
      </w:r>
    </w:p>
    <w:p w14:paraId="1B3EB912">
      <w:pPr>
        <w:pStyle w:val="56"/>
        <w:ind w:firstLine="420"/>
      </w:pPr>
    </w:p>
    <w:p w14:paraId="784B3C9B">
      <w:pPr>
        <w:pStyle w:val="56"/>
        <w:ind w:firstLine="420"/>
      </w:pPr>
    </w:p>
    <w:p w14:paraId="5E93BAD6">
      <w:pPr>
        <w:bidi w:val="0"/>
      </w:pPr>
    </w:p>
    <w:p w14:paraId="69342498">
      <w:pPr>
        <w:bidi w:val="0"/>
      </w:pPr>
    </w:p>
    <w:p w14:paraId="7963D5AF">
      <w:pPr>
        <w:tabs>
          <w:tab w:val="left" w:pos="6468"/>
        </w:tabs>
        <w:bidi w:val="0"/>
        <w:jc w:val="left"/>
        <w:rPr>
          <w:rFonts w:hint="eastAsia"/>
          <w:lang w:eastAsia="zh-CN"/>
        </w:rPr>
      </w:pPr>
      <w:r>
        <w:rPr>
          <w:rFonts w:hint="eastAsia"/>
          <w:lang w:eastAsia="zh-CN"/>
        </w:rPr>
        <w:tab/>
      </w:r>
    </w:p>
    <w:p w14:paraId="4146CBC4">
      <w:pPr>
        <w:bidi w:val="0"/>
        <w:rPr>
          <w:rFonts w:hint="eastAsia" w:ascii="Calibri" w:hAnsi="Calibri" w:eastAsia="宋体" w:cs="Times New Roman"/>
          <w:kern w:val="2"/>
          <w:sz w:val="21"/>
          <w:szCs w:val="21"/>
          <w:lang w:val="en-US" w:eastAsia="zh-CN" w:bidi="ar-SA"/>
        </w:rPr>
      </w:pPr>
    </w:p>
    <w:p w14:paraId="3AE348D3">
      <w:pPr>
        <w:bidi w:val="0"/>
        <w:rPr>
          <w:rFonts w:hint="eastAsia"/>
          <w:lang w:val="en-US" w:eastAsia="zh-CN"/>
        </w:rPr>
      </w:pPr>
    </w:p>
    <w:p w14:paraId="4704C0F7">
      <w:pPr>
        <w:bidi w:val="0"/>
        <w:rPr>
          <w:rFonts w:hint="eastAsia"/>
          <w:lang w:val="en-US" w:eastAsia="zh-CN"/>
        </w:rPr>
      </w:pPr>
    </w:p>
    <w:p w14:paraId="11826120">
      <w:pPr>
        <w:bidi w:val="0"/>
        <w:rPr>
          <w:rFonts w:hint="eastAsia"/>
          <w:lang w:val="en-US" w:eastAsia="zh-CN"/>
        </w:rPr>
      </w:pPr>
    </w:p>
    <w:p w14:paraId="78F66C2E">
      <w:pPr>
        <w:bidi w:val="0"/>
        <w:rPr>
          <w:rFonts w:hint="eastAsia"/>
          <w:lang w:val="en-US" w:eastAsia="zh-CN"/>
        </w:rPr>
      </w:pPr>
    </w:p>
    <w:p w14:paraId="4AF6E930">
      <w:pPr>
        <w:bidi w:val="0"/>
        <w:rPr>
          <w:rFonts w:hint="eastAsia"/>
          <w:lang w:val="en-US" w:eastAsia="zh-CN"/>
        </w:rPr>
      </w:pPr>
    </w:p>
    <w:p w14:paraId="76E4FD55">
      <w:pPr>
        <w:bidi w:val="0"/>
        <w:rPr>
          <w:rFonts w:hint="eastAsia"/>
          <w:lang w:val="en-US" w:eastAsia="zh-CN"/>
        </w:rPr>
      </w:pPr>
    </w:p>
    <w:p w14:paraId="75013E40">
      <w:pPr>
        <w:bidi w:val="0"/>
        <w:rPr>
          <w:rFonts w:hint="eastAsia"/>
          <w:lang w:val="en-US" w:eastAsia="zh-CN"/>
        </w:rPr>
      </w:pPr>
    </w:p>
    <w:p w14:paraId="304287F3">
      <w:pPr>
        <w:bidi w:val="0"/>
        <w:rPr>
          <w:rFonts w:hint="eastAsia"/>
          <w:lang w:val="en-US" w:eastAsia="zh-CN"/>
        </w:rPr>
      </w:pPr>
    </w:p>
    <w:p w14:paraId="6B8D4879">
      <w:pPr>
        <w:tabs>
          <w:tab w:val="left" w:pos="1885"/>
        </w:tabs>
        <w:bidi w:val="0"/>
        <w:jc w:val="left"/>
        <w:rPr>
          <w:rFonts w:hint="eastAsia"/>
          <w:lang w:val="en-US"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14398"/>
      <w:bookmarkStart w:id="25" w:name="BookMark3"/>
      <w:r>
        <w:rPr>
          <w:spacing w:val="320"/>
        </w:rPr>
        <w:t>引</w:t>
      </w:r>
      <w:r>
        <w:t>言</w:t>
      </w:r>
      <w:bookmarkEnd w:id="24"/>
    </w:p>
    <w:p w14:paraId="1FE37F69">
      <w:pPr>
        <w:pStyle w:val="56"/>
        <w:spacing w:line="360" w:lineRule="auto"/>
        <w:ind w:firstLine="420"/>
      </w:pPr>
      <w:r>
        <w:rPr>
          <w:rFonts w:hint="eastAsia"/>
        </w:rPr>
        <w:t>电子信息行业以数据要素和软件系统为核心生产资料，业务链条覆盖研发设计、生产制造、供应链协同、产品交付、运维服务与生态运营等多个环节。在云计算、人工智能、物联网、工业互联网与区块链等技术驱动下，企业形成并沉淀了大量可复用、可交易、可授权、可计量的数字资产，包括但不限于数据资源、软件与源代码、算法模型、知识库与训练语料、数字内容、数字化工艺与仿真成果、数字身份与权限体系、数字化品牌资源以及面向行业应用的平台能力与接口资源。数字资产的规模化积累提升了企业创新效率与经营价值，同时也带来了权属界定困难、口径不统一、价值评估分歧、合规风险突出与安全治理成本上升等问题，制约了数字资产的盘点入表、经营决策、投融资定价、资产交易与收益分配。</w:t>
      </w:r>
    </w:p>
    <w:p w14:paraId="6D04078B">
      <w:pPr>
        <w:pStyle w:val="56"/>
        <w:spacing w:line="360" w:lineRule="auto"/>
        <w:ind w:firstLine="420"/>
      </w:pPr>
      <w:r>
        <w:rPr>
          <w:rFonts w:hint="eastAsia"/>
        </w:rPr>
        <w:t>为规范电子信息行业数字资产管理与价值评估活动，本文件围绕数字资产的分类框架、识别边界、关键属性描述、评估原则、评估方法选用、数据采集与证据要求、风险调整与结果表达等内容提出技术要求，旨在建立可落地、可比对、可追溯的分类与评估体系，促进企业在资产管理、财务管理、审计核查、资产交易、知识产权运营、数据合规与安全治理等场景下形成统一的术语体系与工作路径。</w:t>
      </w:r>
    </w:p>
    <w:p w14:paraId="7F4A69FE">
      <w:pPr>
        <w:pStyle w:val="56"/>
        <w:spacing w:line="360" w:lineRule="auto"/>
        <w:ind w:firstLine="420"/>
      </w:pPr>
      <w:r>
        <w:rPr>
          <w:rFonts w:hint="eastAsia"/>
        </w:rPr>
        <w:t>本文件坚持以业务价值与可控性为导向，强调分类与评估应与企业业务模式、技术特征、权属结构、获取方式与使用方式相匹配，兼顾财务视角与经营视角的差异化需求。对于涉及数据安全、个人信息保护、商业秘密与知识产权的数字资产，本文件强调在评估活动中同步开展合规性审查与安全影响分析，确保评估结果在可用可管的前提下具备合理性与可验证性。通过本文件的实施，期望推动电子信息行业数字资产从分散管理向体系化治理升级，为数字资产价值实现与高质量发展提供技术支撑。</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FC5B46E">
          <w:pPr>
            <w:pStyle w:val="177"/>
            <w:spacing w:after="0"/>
          </w:pPr>
          <w:bookmarkStart w:id="27" w:name="NEW_STAND_NAME"/>
          <w:r>
            <w:rPr>
              <w:rFonts w:hint="eastAsia"/>
            </w:rPr>
            <w:t>电子信息行业数字资产分类</w:t>
          </w:r>
        </w:p>
        <w:p w14:paraId="7D4E3E1F">
          <w:pPr>
            <w:pStyle w:val="177"/>
            <w:spacing w:before="0"/>
          </w:pPr>
          <w:r>
            <w:rPr>
              <w:rFonts w:hint="eastAsia"/>
            </w:rPr>
            <w:t>与评估技术指引</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6986530"/>
      <w:bookmarkStart w:id="32" w:name="_Toc26648465"/>
      <w:bookmarkStart w:id="33" w:name="_Toc24884218"/>
      <w:bookmarkStart w:id="34" w:name="_Toc26986771"/>
      <w:bookmarkStart w:id="35" w:name="_Toc219114399"/>
      <w:bookmarkStart w:id="36" w:name="_Toc26718930"/>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42B7D039">
      <w:pPr>
        <w:pStyle w:val="56"/>
        <w:spacing w:line="360" w:lineRule="auto"/>
        <w:ind w:firstLine="420"/>
      </w:pPr>
      <w:bookmarkStart w:id="38" w:name="_Toc24884212"/>
      <w:bookmarkStart w:id="39" w:name="_Toc17233326"/>
      <w:bookmarkStart w:id="40" w:name="_Toc17233334"/>
      <w:bookmarkStart w:id="41" w:name="_Toc24884219"/>
      <w:bookmarkStart w:id="42" w:name="_Toc26648466"/>
      <w:r>
        <w:rPr>
          <w:rFonts w:hint="eastAsia"/>
        </w:rPr>
        <w:t>本文件规定了电子信息行业数字资产分类的分类体系与识别规则、评估总体原则与适用场景、评估数据要求与证据链要求、评估方法与参数确定要求、风险因素与调整要求、评估结果表达与报告要求等内容。</w:t>
      </w:r>
    </w:p>
    <w:p w14:paraId="76265264">
      <w:pPr>
        <w:pStyle w:val="56"/>
        <w:spacing w:line="360" w:lineRule="auto"/>
        <w:ind w:firstLine="420"/>
      </w:pPr>
      <w:r>
        <w:rPr>
          <w:rFonts w:hint="eastAsia"/>
        </w:rPr>
        <w:t>本文件适用于电子信息行业企业及相关机构在下列活动中的数字资产分类与评估工作。</w:t>
      </w:r>
    </w:p>
    <w:p w14:paraId="3733B2AD">
      <w:pPr>
        <w:pStyle w:val="104"/>
        <w:spacing w:before="240" w:after="240" w:line="360" w:lineRule="auto"/>
      </w:pPr>
      <w:bookmarkStart w:id="43" w:name="_Toc219114400"/>
      <w:bookmarkStart w:id="44" w:name="_Toc26718931"/>
      <w:bookmarkStart w:id="45" w:name="_Toc26986531"/>
      <w:bookmarkStart w:id="46" w:name="_Toc97192965"/>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EEC780">
      <w:pPr>
        <w:pStyle w:val="56"/>
        <w:spacing w:line="360" w:lineRule="auto"/>
        <w:ind w:firstLine="420"/>
      </w:pPr>
      <w:r>
        <w:t xml:space="preserve">GB/T </w:t>
      </w:r>
      <w:r>
        <w:rPr>
          <w:rFonts w:hint="eastAsia"/>
        </w:rPr>
        <w:t>1.1—2</w:t>
      </w:r>
      <w:r>
        <w:t>020</w:t>
      </w:r>
      <w:r>
        <w:rPr>
          <w:rFonts w:hint="eastAsia"/>
        </w:rPr>
        <w:t xml:space="preserve"> 标准化工作导则  第1部分：标准化文件的结构和起草规则</w:t>
      </w:r>
    </w:p>
    <w:p w14:paraId="3BC9B7DC">
      <w:pPr>
        <w:pStyle w:val="56"/>
        <w:spacing w:line="360" w:lineRule="auto"/>
        <w:ind w:firstLine="420"/>
      </w:pPr>
      <w:r>
        <w:t xml:space="preserve">GB/T </w:t>
      </w:r>
      <w:r>
        <w:rPr>
          <w:rFonts w:hint="eastAsia"/>
        </w:rPr>
        <w:t>22239 信息安全技术  网络安全等级保护基本要求</w:t>
      </w:r>
    </w:p>
    <w:p w14:paraId="07A7F860">
      <w:pPr>
        <w:pStyle w:val="56"/>
        <w:spacing w:line="360" w:lineRule="auto"/>
        <w:ind w:firstLine="420"/>
      </w:pPr>
      <w:r>
        <w:t xml:space="preserve">GB/T </w:t>
      </w:r>
      <w:r>
        <w:rPr>
          <w:rFonts w:hint="eastAsia"/>
        </w:rPr>
        <w:t>25069 信息安全技术  术语</w:t>
      </w:r>
    </w:p>
    <w:p w14:paraId="0574B3AA">
      <w:pPr>
        <w:pStyle w:val="56"/>
        <w:spacing w:line="360" w:lineRule="auto"/>
        <w:ind w:firstLine="420"/>
      </w:pPr>
      <w:r>
        <w:rPr>
          <w:rFonts w:hint="eastAsia"/>
        </w:rPr>
        <w:t>GB/T 35273 信息安全技术  个人信息安全规范</w:t>
      </w:r>
    </w:p>
    <w:p w14:paraId="51F02A4E">
      <w:pPr>
        <w:pStyle w:val="104"/>
        <w:spacing w:before="240" w:after="240" w:line="360" w:lineRule="auto"/>
      </w:pPr>
      <w:bookmarkStart w:id="48" w:name="_Toc97192966"/>
      <w:bookmarkStart w:id="49" w:name="_Toc21911440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02EC8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数字资产 digital asset</w:t>
      </w:r>
    </w:p>
    <w:p w14:paraId="2AFF95A1">
      <w:pPr>
        <w:pStyle w:val="56"/>
        <w:spacing w:line="360" w:lineRule="auto"/>
        <w:ind w:firstLine="420"/>
      </w:pPr>
      <w:r>
        <w:rPr>
          <w:rFonts w:hint="eastAsia"/>
        </w:rPr>
        <w:t>以数字化形式存在并可被组织控制或管理，能够在一定期间内为组织带来可计量经济利益或服务潜力的资源，包括数据资源软件系统算法模型数字内容平台能力等。</w:t>
      </w:r>
    </w:p>
    <w:p w14:paraId="1E6CDC9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数据资产 data asset</w:t>
      </w:r>
    </w:p>
    <w:p w14:paraId="0E43C864">
      <w:pPr>
        <w:pStyle w:val="56"/>
        <w:spacing w:line="360" w:lineRule="auto"/>
        <w:ind w:firstLine="420"/>
      </w:pPr>
      <w:r>
        <w:rPr>
          <w:rFonts w:hint="eastAsia"/>
        </w:rPr>
        <w:t>以数据集数据产品或数据服务等形式存在，具备明确来源边界用途及管理责任，能够支持经营决策业务运营产品交付或对外交易并产生价值的数据资源。</w:t>
      </w:r>
    </w:p>
    <w:p w14:paraId="464ABE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数据资源 data resource</w:t>
      </w:r>
    </w:p>
    <w:p w14:paraId="069B656F">
      <w:pPr>
        <w:pStyle w:val="56"/>
        <w:spacing w:line="360" w:lineRule="auto"/>
        <w:ind w:firstLine="420"/>
      </w:pPr>
      <w:r>
        <w:rPr>
          <w:rFonts w:hint="eastAsia"/>
        </w:rPr>
        <w:t>组织在业务活动中形成获取或加工的数据及其相关信息集合，尚未必然达到资产化确认条件，但可作为数字资产识别评估与治理的对象。</w:t>
      </w:r>
    </w:p>
    <w:p w14:paraId="3F55B8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数据集 dataset</w:t>
      </w:r>
    </w:p>
    <w:p w14:paraId="13AB9C28">
      <w:pPr>
        <w:pStyle w:val="56"/>
        <w:spacing w:line="360" w:lineRule="auto"/>
        <w:ind w:firstLine="420"/>
      </w:pPr>
      <w:r>
        <w:rPr>
          <w:rFonts w:hint="eastAsia"/>
        </w:rPr>
        <w:t>为特定目的组织形成的结构化半结构化或非结构化数据集合，具有可描述的范围口径时间空间维度及质量特征。</w:t>
      </w:r>
    </w:p>
    <w:p w14:paraId="52D5E73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元数据 metadata</w:t>
      </w:r>
    </w:p>
    <w:p w14:paraId="4101CF52">
      <w:pPr>
        <w:pStyle w:val="56"/>
        <w:spacing w:line="360" w:lineRule="auto"/>
        <w:ind w:firstLine="420"/>
      </w:pPr>
      <w:r>
        <w:rPr>
          <w:rFonts w:hint="eastAsia"/>
        </w:rPr>
        <w:t>描述数据集内容结构来源口径权限生命周期和质量指标等信息的数据，用于支撑数据治理可追溯管理与评估取数一致性。</w:t>
      </w:r>
    </w:p>
    <w:p w14:paraId="1D77DB2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数据产品 data product</w:t>
      </w:r>
    </w:p>
    <w:p w14:paraId="7CB7B2B0">
      <w:pPr>
        <w:pStyle w:val="56"/>
        <w:spacing w:line="360" w:lineRule="auto"/>
        <w:ind w:firstLine="420"/>
      </w:pPr>
      <w:r>
        <w:rPr>
          <w:rFonts w:hint="eastAsia"/>
        </w:rPr>
        <w:t>在满足合规与安全要求前提下，经过加工治理并形成稳定交付形态，可被内部复用或对外提供并具备定价基础的数据集合或数据服务组合。</w:t>
      </w:r>
    </w:p>
    <w:p w14:paraId="6283BF2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软件资产 software asset</w:t>
      </w:r>
    </w:p>
    <w:p w14:paraId="2761EE8E">
      <w:pPr>
        <w:pStyle w:val="56"/>
        <w:spacing w:line="360" w:lineRule="auto"/>
        <w:ind w:firstLine="420"/>
      </w:pPr>
      <w:r>
        <w:rPr>
          <w:rFonts w:hint="eastAsia"/>
        </w:rPr>
        <w:t>以可执行程序配置文件安装包或系统服务等形式存在，具备可识别权利边界与控制机制，能够支撑业务运行或形成对外交付价值的软件系统及其组成部分。</w:t>
      </w:r>
    </w:p>
    <w:p w14:paraId="39AA45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源代码资产 source code asset</w:t>
      </w:r>
    </w:p>
    <w:p w14:paraId="4D825621">
      <w:pPr>
        <w:pStyle w:val="56"/>
        <w:spacing w:line="360" w:lineRule="auto"/>
        <w:ind w:firstLine="420"/>
      </w:pPr>
      <w:r>
        <w:rPr>
          <w:rFonts w:hint="eastAsia"/>
        </w:rPr>
        <w:t>以源代码及其构建脚本依赖配置为主要载体，具备版本控制与可追溯证据，能够支持软件产品开发迭代交付与维护并形成价值的代码资源。</w:t>
      </w:r>
    </w:p>
    <w:p w14:paraId="7E80FB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算法模型资产 algorithm model asset</w:t>
      </w:r>
    </w:p>
    <w:p w14:paraId="53FA974A">
      <w:pPr>
        <w:pStyle w:val="56"/>
        <w:spacing w:line="360" w:lineRule="auto"/>
        <w:ind w:firstLine="420"/>
      </w:pPr>
      <w:r>
        <w:rPr>
          <w:rFonts w:hint="eastAsia"/>
        </w:rPr>
        <w:t>以模型结构参数权重推理流程及配套部署方案为主要内容，具备可复现可运行与可治理特征，能够支撑预测识别推荐优化等能力并形成价值的算法模型。</w:t>
      </w:r>
    </w:p>
    <w:p w14:paraId="6B3D2C1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训练数据 training data</w:t>
      </w:r>
    </w:p>
    <w:p w14:paraId="1CA4B3A3">
      <w:pPr>
        <w:pStyle w:val="56"/>
        <w:spacing w:line="360" w:lineRule="auto"/>
        <w:ind w:firstLine="420"/>
      </w:pPr>
      <w:r>
        <w:rPr>
          <w:rFonts w:hint="eastAsia"/>
        </w:rPr>
        <w:t>用于算法模型训练验证与测试的数据集合，具有明确来源口径标注规则与使用授权约束，是算法模型资产价值形成的重要基础要素。</w:t>
      </w:r>
    </w:p>
    <w:p w14:paraId="37696A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数字内容资产 digital content asset</w:t>
      </w:r>
    </w:p>
    <w:p w14:paraId="1FCCA117">
      <w:pPr>
        <w:pStyle w:val="56"/>
        <w:spacing w:line="360" w:lineRule="auto"/>
        <w:ind w:firstLine="420"/>
      </w:pPr>
      <w:r>
        <w:rPr>
          <w:rFonts w:hint="eastAsia"/>
        </w:rPr>
        <w:t>以文本图像音视频三维模型交互内容等形式存在，具备可识别权利边界与可控传播机制，可用于产品功能内容运营或对外授权并形成价值的内容资源。</w:t>
      </w:r>
    </w:p>
    <w:p w14:paraId="012E03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平台能力 platform capability</w:t>
      </w:r>
    </w:p>
    <w:p w14:paraId="03E95F30">
      <w:pPr>
        <w:pStyle w:val="56"/>
        <w:spacing w:line="360" w:lineRule="auto"/>
        <w:ind w:firstLine="420"/>
      </w:pPr>
      <w:r>
        <w:rPr>
          <w:rFonts w:hint="eastAsia"/>
        </w:rPr>
        <w:t>以平台化方式提供的算力数据治理模型服务中间件能力与运维能力等可复用能力集合，能够支撑多业务多应用场景并形成规模化价值。</w:t>
      </w:r>
    </w:p>
    <w:p w14:paraId="122AA7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接口资源 api resource</w:t>
      </w:r>
    </w:p>
    <w:p w14:paraId="2139295C">
      <w:pPr>
        <w:pStyle w:val="56"/>
        <w:spacing w:line="360" w:lineRule="auto"/>
        <w:ind w:firstLine="420"/>
      </w:pPr>
      <w:r>
        <w:rPr>
          <w:rFonts w:hint="eastAsia"/>
        </w:rPr>
        <w:t>以应用程序接口及其调用规范鉴权机制服务等级和配额策略为主要内容，可用于系统集成生态开放或对外计费服务并形成价值的接口能力资源。</w:t>
      </w:r>
    </w:p>
    <w:p w14:paraId="2C1A1F2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权属边界 ownership boundary</w:t>
      </w:r>
    </w:p>
    <w:p w14:paraId="11ED0D72">
      <w:pPr>
        <w:pStyle w:val="56"/>
        <w:spacing w:line="360" w:lineRule="auto"/>
        <w:ind w:firstLine="420"/>
      </w:pPr>
      <w:r>
        <w:rPr>
          <w:rFonts w:hint="eastAsia"/>
        </w:rPr>
        <w:t>用于界定数字资产权利归属与控制范围的边界集合，通常包括知识产权归属数据来源与授权链路使用范围地域期限可转授权限制以及相关合同约定。</w:t>
      </w:r>
    </w:p>
    <w:p w14:paraId="4CB02C85">
      <w:pPr>
        <w:pStyle w:val="104"/>
        <w:tabs>
          <w:tab w:val="center" w:pos="4677"/>
        </w:tabs>
        <w:spacing w:before="240" w:after="240" w:line="360" w:lineRule="auto"/>
      </w:pPr>
      <w:bookmarkStart w:id="51" w:name="_Toc219114402"/>
      <w:r>
        <w:rPr>
          <w:rFonts w:hint="eastAsia"/>
        </w:rPr>
        <w:t>分类体系与识别规则</w:t>
      </w:r>
      <w:bookmarkEnd w:id="51"/>
      <w:r>
        <w:rPr>
          <w:rFonts w:hint="eastAsia"/>
          <w:lang w:eastAsia="zh-CN"/>
        </w:rPr>
        <w:tab/>
      </w:r>
    </w:p>
    <w:p w14:paraId="423A07C7">
      <w:pPr>
        <w:pStyle w:val="105"/>
        <w:spacing w:before="120" w:after="120" w:line="360" w:lineRule="auto"/>
      </w:pPr>
      <w:r>
        <w:rPr>
          <w:rFonts w:hint="eastAsia"/>
        </w:rPr>
        <w:t>分类总体原则</w:t>
      </w:r>
    </w:p>
    <w:p w14:paraId="2E36AD2A">
      <w:pPr>
        <w:pStyle w:val="56"/>
        <w:spacing w:line="360" w:lineRule="auto"/>
        <w:ind w:firstLine="420"/>
      </w:pPr>
      <w:r>
        <w:rPr>
          <w:rFonts w:hint="eastAsia"/>
        </w:rPr>
        <w:t>数字资产分类应服务于管理与评估的可执行性，满足口径统一边界清晰可追溯可扩展的要求。分类体系应与企业业务模式组织架构产品形态交付方式以及合规安全要求相匹配，并满足以下原则：</w:t>
      </w:r>
    </w:p>
    <w:p w14:paraId="029E02BF">
      <w:pPr>
        <w:pStyle w:val="56"/>
        <w:spacing w:line="360" w:lineRule="auto"/>
        <w:ind w:firstLine="420"/>
      </w:pPr>
      <w:r>
        <w:rPr>
          <w:rFonts w:hint="eastAsia"/>
        </w:rPr>
        <w:t>a) 权利边界优先原则：分类应首先反映权属边界与控制关系，确保同一资产在不同部门不同系统中可一致识别与归并；</w:t>
      </w:r>
    </w:p>
    <w:p w14:paraId="02DC0EBD">
      <w:pPr>
        <w:pStyle w:val="56"/>
        <w:spacing w:line="360" w:lineRule="auto"/>
        <w:ind w:firstLine="420"/>
      </w:pPr>
      <w:r>
        <w:rPr>
          <w:rFonts w:hint="eastAsia"/>
        </w:rPr>
        <w:t>b) 用途一致原则：同一资产在不同应用场景下可形成不同的价值贡献，但分类应保持资产本体不变，评估阶段再按用途进行价值拆分或情景假设；</w:t>
      </w:r>
    </w:p>
    <w:p w14:paraId="4F2E28BA">
      <w:pPr>
        <w:pStyle w:val="56"/>
        <w:spacing w:line="360" w:lineRule="auto"/>
        <w:ind w:firstLine="420"/>
      </w:pPr>
      <w:r>
        <w:rPr>
          <w:rFonts w:hint="eastAsia"/>
        </w:rPr>
        <w:t>c) 可核验原则：每一类资产应具备可核验的证据链，包括来源证明授权链路版本记录交付记录使用记录与合规审查记录；</w:t>
      </w:r>
    </w:p>
    <w:p w14:paraId="38DD3DA9">
      <w:pPr>
        <w:pStyle w:val="56"/>
        <w:spacing w:line="360" w:lineRule="auto"/>
        <w:ind w:firstLine="420"/>
      </w:pPr>
      <w:r>
        <w:rPr>
          <w:rFonts w:hint="eastAsia"/>
        </w:rPr>
        <w:t>d) 生命周期原则：分类应支持资产从形成治理运营变更退出的全生命周期管理，并支持版本化和迭代化资产的连续记录；</w:t>
      </w:r>
    </w:p>
    <w:p w14:paraId="606D12A8">
      <w:pPr>
        <w:pStyle w:val="56"/>
        <w:spacing w:line="360" w:lineRule="auto"/>
        <w:ind w:firstLine="420"/>
      </w:pPr>
      <w:r>
        <w:rPr>
          <w:rFonts w:hint="eastAsia"/>
        </w:rPr>
        <w:t>e) 安全合规并行原则：分类应同步标注敏感性等级与合规约束，确保后续评估取数共享流转和交易定价活动在可用可管前提下进行。</w:t>
      </w:r>
    </w:p>
    <w:p w14:paraId="4B085C0F">
      <w:pPr>
        <w:pStyle w:val="105"/>
        <w:spacing w:before="120" w:after="120" w:line="360" w:lineRule="auto"/>
      </w:pPr>
      <w:r>
        <w:rPr>
          <w:rFonts w:hint="eastAsia"/>
        </w:rPr>
        <w:t>分类体系框架</w:t>
      </w:r>
    </w:p>
    <w:p w14:paraId="64761432">
      <w:pPr>
        <w:pStyle w:val="56"/>
        <w:spacing w:line="360" w:lineRule="auto"/>
        <w:ind w:firstLine="420"/>
      </w:pPr>
      <w:r>
        <w:rPr>
          <w:rFonts w:hint="eastAsia"/>
        </w:rPr>
        <w:t>电子信息行业数字资产宜按资产形态与价值生成机制建立一级分类，并按业务场景和交付方式细分二级分类。一级分类可包括数据资产软件与系统资产算法模型资产数字内容资产平台能力资产接口资源资产数字化工艺与仿真成果资产数字身份与权限体系资产以及其他经确认的数字资产。二级分类可根据企业实际增设，例如按内部复用对外交付对外授权按产品模块按行业场景按部署形态等维度进行细分。</w:t>
      </w:r>
    </w:p>
    <w:p w14:paraId="70A71C46">
      <w:pPr>
        <w:pStyle w:val="105"/>
        <w:spacing w:before="120" w:after="120" w:line="360" w:lineRule="auto"/>
      </w:pPr>
      <w:r>
        <w:rPr>
          <w:rFonts w:hint="eastAsia"/>
        </w:rPr>
        <w:t>数字资产识别边界</w:t>
      </w:r>
    </w:p>
    <w:p w14:paraId="5AC70C71">
      <w:pPr>
        <w:pStyle w:val="65"/>
        <w:spacing w:before="120" w:after="120" w:line="360" w:lineRule="auto"/>
      </w:pPr>
      <w:r>
        <w:rPr>
          <w:rFonts w:hint="eastAsia"/>
        </w:rPr>
        <w:t>识别对象边界</w:t>
      </w:r>
    </w:p>
    <w:p w14:paraId="237BDBDD">
      <w:pPr>
        <w:pStyle w:val="56"/>
        <w:spacing w:line="360" w:lineRule="auto"/>
        <w:ind w:firstLine="420"/>
      </w:pPr>
      <w:r>
        <w:rPr>
          <w:rFonts w:hint="eastAsia"/>
        </w:rPr>
        <w:t>纳入识别的数字资产应满足可识别可控制可计量可受益的基本特征，至少应具备明确的资产载体或交付形态，明确的责任主体，明确的使用范围或服务范围，明确的数据来源或开发来源。</w:t>
      </w:r>
    </w:p>
    <w:p w14:paraId="7B165459">
      <w:pPr>
        <w:pStyle w:val="65"/>
        <w:spacing w:before="120" w:after="120" w:line="360" w:lineRule="auto"/>
      </w:pPr>
      <w:r>
        <w:rPr>
          <w:rFonts w:hint="eastAsia"/>
        </w:rPr>
        <w:t>不纳入情形</w:t>
      </w:r>
    </w:p>
    <w:p w14:paraId="22AECC00">
      <w:pPr>
        <w:pStyle w:val="56"/>
        <w:spacing w:line="360" w:lineRule="auto"/>
        <w:ind w:firstLine="420"/>
      </w:pPr>
      <w:r>
        <w:rPr>
          <w:rFonts w:hint="eastAsia"/>
        </w:rPr>
        <w:t>以下情形通常不宜确认为数字资产，但可作为管理资源或成本对象进行分级治理：</w:t>
      </w:r>
    </w:p>
    <w:p w14:paraId="26D4E49B">
      <w:pPr>
        <w:pStyle w:val="56"/>
        <w:spacing w:line="360" w:lineRule="auto"/>
        <w:ind w:firstLine="420"/>
      </w:pPr>
      <w:r>
        <w:rPr>
          <w:rFonts w:hint="eastAsia"/>
        </w:rPr>
        <w:t>a) 无法形成清晰权属边界且缺少授权链路证明的数字化信息；</w:t>
      </w:r>
    </w:p>
    <w:p w14:paraId="5052E886">
      <w:pPr>
        <w:pStyle w:val="56"/>
        <w:spacing w:line="360" w:lineRule="auto"/>
        <w:ind w:firstLine="420"/>
      </w:pPr>
      <w:r>
        <w:rPr>
          <w:rFonts w:hint="eastAsia"/>
        </w:rPr>
        <w:t>b) 仅用于临时分析或一次性任务且无法复用的临时数据与脚本；</w:t>
      </w:r>
    </w:p>
    <w:p w14:paraId="17AF2AD5">
      <w:pPr>
        <w:pStyle w:val="56"/>
        <w:spacing w:line="360" w:lineRule="auto"/>
        <w:ind w:firstLine="420"/>
      </w:pPr>
      <w:r>
        <w:rPr>
          <w:rFonts w:hint="eastAsia"/>
        </w:rPr>
        <w:t>c) 未形成稳定交付形态且缺少版本与变更记录的零散文件集合；</w:t>
      </w:r>
    </w:p>
    <w:p w14:paraId="7B863634">
      <w:pPr>
        <w:pStyle w:val="56"/>
        <w:spacing w:line="360" w:lineRule="auto"/>
        <w:ind w:firstLine="420"/>
      </w:pPr>
      <w:r>
        <w:rPr>
          <w:rFonts w:hint="eastAsia"/>
        </w:rPr>
        <w:t>d) 无法证明未来经济利益或服务潜力且缺少可衡量使用价值的记录性信息。</w:t>
      </w:r>
    </w:p>
    <w:p w14:paraId="584F5491">
      <w:pPr>
        <w:pStyle w:val="65"/>
        <w:spacing w:before="120" w:after="120" w:line="360" w:lineRule="auto"/>
      </w:pPr>
      <w:r>
        <w:rPr>
          <w:rFonts w:hint="eastAsia"/>
        </w:rPr>
        <w:t>资产拆分与归并规则</w:t>
      </w:r>
    </w:p>
    <w:p w14:paraId="766C16B7">
      <w:pPr>
        <w:pStyle w:val="56"/>
        <w:spacing w:line="360" w:lineRule="auto"/>
        <w:ind w:firstLine="420"/>
      </w:pPr>
      <w:r>
        <w:rPr>
          <w:rFonts w:hint="eastAsia"/>
        </w:rPr>
        <w:t>数字资产拆分与归并应遵循最小可管理单元原则和最小可评估单元原则。可按以下逻辑处理：</w:t>
      </w:r>
    </w:p>
    <w:p w14:paraId="2BB054BB">
      <w:pPr>
        <w:pStyle w:val="56"/>
        <w:spacing w:line="360" w:lineRule="auto"/>
        <w:ind w:firstLine="420"/>
      </w:pPr>
      <w:r>
        <w:rPr>
          <w:rFonts w:hint="eastAsia"/>
        </w:rPr>
        <w:t>a) 若资产以统一权属统一版本统一交付统一收益为主，宜归并为一个资产单元；</w:t>
      </w:r>
    </w:p>
    <w:p w14:paraId="26AF534A">
      <w:pPr>
        <w:pStyle w:val="56"/>
        <w:spacing w:line="360" w:lineRule="auto"/>
        <w:ind w:firstLine="420"/>
      </w:pPr>
      <w:r>
        <w:rPr>
          <w:rFonts w:hint="eastAsia"/>
        </w:rPr>
        <w:t>b) 若资产存在不同权属不同授权限制不同交付对象或不同收益机制，宜拆分为多个资产单元；</w:t>
      </w:r>
    </w:p>
    <w:p w14:paraId="2F1B110E">
      <w:pPr>
        <w:pStyle w:val="56"/>
        <w:spacing w:line="360" w:lineRule="auto"/>
        <w:ind w:firstLine="420"/>
      </w:pPr>
      <w:r>
        <w:rPr>
          <w:rFonts w:hint="eastAsia"/>
        </w:rPr>
        <w:t>c) 对平台能力类资产可采用能力域归并，按核心能力域形成资产单元，并将接口资源或组件作为子资产记录；</w:t>
      </w:r>
    </w:p>
    <w:p w14:paraId="64B3A764">
      <w:pPr>
        <w:pStyle w:val="56"/>
        <w:spacing w:line="360" w:lineRule="auto"/>
        <w:ind w:firstLine="420"/>
      </w:pPr>
      <w:r>
        <w:rPr>
          <w:rFonts w:hint="eastAsia"/>
        </w:rPr>
        <w:t>d) 对数据资产可按数据域加产品形态归并，按数据集加数据产品加数据服务层级建立映射关系。</w:t>
      </w:r>
    </w:p>
    <w:p w14:paraId="65A8999F">
      <w:pPr>
        <w:pStyle w:val="105"/>
        <w:spacing w:before="120" w:after="120" w:line="360" w:lineRule="auto"/>
      </w:pPr>
      <w:r>
        <w:rPr>
          <w:rFonts w:hint="eastAsia"/>
        </w:rPr>
        <w:t>关键属性字段要求</w:t>
      </w:r>
    </w:p>
    <w:p w14:paraId="4C0D849A">
      <w:pPr>
        <w:pStyle w:val="56"/>
        <w:spacing w:line="360" w:lineRule="auto"/>
        <w:ind w:firstLine="420"/>
      </w:pPr>
      <w:r>
        <w:rPr>
          <w:rFonts w:hint="eastAsia"/>
        </w:rPr>
        <w:t>为支撑评估与治理，数字资产识别记录应至少包含以下关键属性字段并形成受控口径：</w:t>
      </w:r>
    </w:p>
    <w:p w14:paraId="3DA4E9F4">
      <w:pPr>
        <w:pStyle w:val="56"/>
        <w:spacing w:line="360" w:lineRule="auto"/>
        <w:ind w:firstLine="420"/>
      </w:pPr>
      <w:r>
        <w:rPr>
          <w:rFonts w:hint="eastAsia"/>
        </w:rPr>
        <w:t>a) 基础字段：资产名称资产编号资产类别责任部门责任人形成方式形成时间版本标识存储位置或部署位置；</w:t>
      </w:r>
    </w:p>
    <w:p w14:paraId="7AAFFF97">
      <w:pPr>
        <w:pStyle w:val="56"/>
        <w:spacing w:line="360" w:lineRule="auto"/>
        <w:ind w:firstLine="420"/>
      </w:pPr>
      <w:r>
        <w:rPr>
          <w:rFonts w:hint="eastAsia"/>
        </w:rPr>
        <w:t>b) 权属字段：权属主体取得方式合同依据授权范围地域期限可转授权限制知识产权类型；</w:t>
      </w:r>
    </w:p>
    <w:p w14:paraId="4CED4EC6">
      <w:pPr>
        <w:pStyle w:val="56"/>
        <w:spacing w:line="360" w:lineRule="auto"/>
        <w:ind w:firstLine="420"/>
      </w:pPr>
      <w:r>
        <w:rPr>
          <w:rFonts w:hint="eastAsia"/>
        </w:rPr>
        <w:t>c) 控制字段：访问控制机制鉴权方式变更控制机制备份与恢复机制可替代性说明；</w:t>
      </w:r>
    </w:p>
    <w:p w14:paraId="46F3D2C7">
      <w:pPr>
        <w:pStyle w:val="56"/>
        <w:spacing w:line="360" w:lineRule="auto"/>
        <w:ind w:firstLine="420"/>
      </w:pPr>
      <w:r>
        <w:rPr>
          <w:rFonts w:hint="eastAsia"/>
        </w:rPr>
        <w:t>d) 使用字段：主要用途使用场景使用频次服务对象交付方式内部复用范围对外交易或授权情况；</w:t>
      </w:r>
    </w:p>
    <w:p w14:paraId="12E9F5C3">
      <w:pPr>
        <w:pStyle w:val="56"/>
        <w:spacing w:line="360" w:lineRule="auto"/>
        <w:ind w:firstLine="420"/>
      </w:pPr>
      <w:r>
        <w:rPr>
          <w:rFonts w:hint="eastAsia"/>
        </w:rPr>
        <w:t>e) 质量字段：数据质量指标或软件质量指标模型性能指标内容质量指标可用性指标；</w:t>
      </w:r>
    </w:p>
    <w:p w14:paraId="3485E8AC">
      <w:pPr>
        <w:pStyle w:val="56"/>
        <w:spacing w:line="360" w:lineRule="auto"/>
        <w:ind w:firstLine="420"/>
      </w:pPr>
      <w:r>
        <w:rPr>
          <w:rFonts w:hint="eastAsia"/>
        </w:rPr>
        <w:t>f) 合规安全字段：敏感性等级涉及个人信息情况涉及重要数据情况跨境约束安全保护措施合规审查结论；</w:t>
      </w:r>
    </w:p>
    <w:p w14:paraId="103BD61E">
      <w:pPr>
        <w:pStyle w:val="56"/>
        <w:spacing w:line="360" w:lineRule="auto"/>
        <w:ind w:firstLine="420"/>
      </w:pPr>
      <w:r>
        <w:rPr>
          <w:rFonts w:hint="eastAsia"/>
        </w:rPr>
        <w:t>g) 价值字段：价值驱动机制成本归集口径收益来源或节约来源可计量指标与取数规则；</w:t>
      </w:r>
    </w:p>
    <w:p w14:paraId="62920940">
      <w:pPr>
        <w:pStyle w:val="56"/>
        <w:spacing w:line="360" w:lineRule="auto"/>
        <w:ind w:firstLine="420"/>
      </w:pPr>
      <w:r>
        <w:rPr>
          <w:rFonts w:hint="eastAsia"/>
        </w:rPr>
        <w:t>h) 证据字段：来源证明开发记录版本记录交付验收记录运维监控记录审计记录以及相关附件索引。</w:t>
      </w:r>
    </w:p>
    <w:p w14:paraId="5F790611">
      <w:pPr>
        <w:pStyle w:val="105"/>
        <w:spacing w:before="120" w:after="120" w:line="360" w:lineRule="auto"/>
      </w:pPr>
      <w:r>
        <w:rPr>
          <w:rFonts w:hint="eastAsia"/>
        </w:rPr>
        <w:t>识别流程要求</w:t>
      </w:r>
    </w:p>
    <w:p w14:paraId="2ADAE542">
      <w:pPr>
        <w:pStyle w:val="56"/>
        <w:spacing w:line="360" w:lineRule="auto"/>
        <w:ind w:firstLine="420"/>
      </w:pPr>
      <w:r>
        <w:rPr>
          <w:rFonts w:hint="eastAsia"/>
        </w:rPr>
        <w:t>数字资产识别宜按以下流程开展并形成记录：</w:t>
      </w:r>
    </w:p>
    <w:p w14:paraId="2A99DB43">
      <w:pPr>
        <w:pStyle w:val="56"/>
        <w:spacing w:line="360" w:lineRule="auto"/>
        <w:ind w:firstLine="420"/>
      </w:pPr>
      <w:r>
        <w:rPr>
          <w:rFonts w:hint="eastAsia"/>
        </w:rPr>
        <w:t>a) 范围确定：明确业务范围资产范围系统范围以及评估或管理目的；</w:t>
      </w:r>
    </w:p>
    <w:p w14:paraId="6B7D5B59">
      <w:pPr>
        <w:pStyle w:val="56"/>
        <w:spacing w:line="360" w:lineRule="auto"/>
        <w:ind w:firstLine="420"/>
      </w:pPr>
      <w:r>
        <w:rPr>
          <w:rFonts w:hint="eastAsia"/>
        </w:rPr>
        <w:t>b) 资产梳理：按分类框架开展盘点形成初始清单并完成去重归并；</w:t>
      </w:r>
    </w:p>
    <w:p w14:paraId="43266682">
      <w:pPr>
        <w:pStyle w:val="56"/>
        <w:spacing w:line="360" w:lineRule="auto"/>
        <w:ind w:firstLine="420"/>
      </w:pPr>
      <w:r>
        <w:rPr>
          <w:rFonts w:hint="eastAsia"/>
        </w:rPr>
        <w:t>c) 权属核验：核查权属边界授权链路合同条款与知识产权归属；</w:t>
      </w:r>
    </w:p>
    <w:p w14:paraId="333768C3">
      <w:pPr>
        <w:pStyle w:val="56"/>
        <w:spacing w:line="360" w:lineRule="auto"/>
        <w:ind w:firstLine="420"/>
      </w:pPr>
      <w:r>
        <w:rPr>
          <w:rFonts w:hint="eastAsia"/>
        </w:rPr>
        <w:t>d) 控制核验：核查访问控制变更控制审计日志备份恢复与运行可用性；</w:t>
      </w:r>
    </w:p>
    <w:p w14:paraId="6FBACB04">
      <w:pPr>
        <w:pStyle w:val="56"/>
        <w:spacing w:line="360" w:lineRule="auto"/>
        <w:ind w:firstLine="420"/>
      </w:pPr>
      <w:r>
        <w:rPr>
          <w:rFonts w:hint="eastAsia"/>
        </w:rPr>
        <w:t>e) 合规核验：核查个人信息重要数据跨境约束算法合规与行业监管要求；</w:t>
      </w:r>
    </w:p>
    <w:p w14:paraId="1779B99D">
      <w:pPr>
        <w:pStyle w:val="56"/>
        <w:spacing w:line="360" w:lineRule="auto"/>
        <w:ind w:firstLine="420"/>
      </w:pPr>
      <w:r>
        <w:rPr>
          <w:rFonts w:hint="eastAsia"/>
        </w:rPr>
        <w:t>f) 入账建档：建立资产档案与台账字段完成证据链索引形成受控版本。</w:t>
      </w:r>
    </w:p>
    <w:p w14:paraId="624120B6">
      <w:pPr>
        <w:pStyle w:val="104"/>
        <w:spacing w:before="240" w:after="240" w:line="360" w:lineRule="auto"/>
      </w:pPr>
      <w:bookmarkStart w:id="52" w:name="_Toc219114403"/>
      <w:r>
        <w:rPr>
          <w:rFonts w:hint="eastAsia"/>
        </w:rPr>
        <w:t>评估总体原则与适用场景</w:t>
      </w:r>
      <w:bookmarkEnd w:id="52"/>
    </w:p>
    <w:p w14:paraId="034E42D8">
      <w:pPr>
        <w:pStyle w:val="105"/>
        <w:spacing w:before="120" w:after="120" w:line="360" w:lineRule="auto"/>
      </w:pPr>
      <w:r>
        <w:rPr>
          <w:rFonts w:hint="eastAsia"/>
        </w:rPr>
        <w:t>评估目的与前提条件</w:t>
      </w:r>
    </w:p>
    <w:p w14:paraId="470302F1">
      <w:pPr>
        <w:pStyle w:val="56"/>
        <w:spacing w:line="360" w:lineRule="auto"/>
        <w:ind w:firstLine="420"/>
      </w:pPr>
      <w:r>
        <w:rPr>
          <w:rFonts w:hint="eastAsia"/>
        </w:rPr>
        <w:t>数字资产评估应以明确的评估目的为起点，围绕评估对象范围权属边界使用方式预期收益路径以及限制条件确定评估前提条件。评估前提条件应至少包括评估基准日价值类型计量货币使用场景假设范围以及可用数据边界。评估目的发生变化时应重新审视评估假设参数体系与结果表达方式，避免将不同目的下的评估结论直接替换或混用。</w:t>
      </w:r>
    </w:p>
    <w:p w14:paraId="3B57391E">
      <w:pPr>
        <w:pStyle w:val="56"/>
        <w:spacing w:line="360" w:lineRule="auto"/>
        <w:ind w:firstLine="420"/>
      </w:pPr>
      <w:r>
        <w:rPr>
          <w:rFonts w:hint="eastAsia"/>
        </w:rPr>
        <w:t>数字资产评估应在合法合规前提下开展。涉及个人信息重要数据商业秘密国家安全以及行业监管要求的评估对象，应在完成合规审查与风险评估后方可进入价值测算环节。评估中使用的样本数据日志数据交易数据与财务数据应具备可追溯来源与授权依据。</w:t>
      </w:r>
    </w:p>
    <w:p w14:paraId="0630E7AF">
      <w:pPr>
        <w:pStyle w:val="105"/>
        <w:spacing w:before="120" w:after="120" w:line="360" w:lineRule="auto"/>
      </w:pPr>
      <w:r>
        <w:rPr>
          <w:rFonts w:hint="eastAsia"/>
        </w:rPr>
        <w:t>评估基本原则</w:t>
      </w:r>
    </w:p>
    <w:p w14:paraId="4F789125">
      <w:pPr>
        <w:pStyle w:val="65"/>
        <w:spacing w:before="120" w:after="120" w:line="360" w:lineRule="auto"/>
      </w:pPr>
      <w:r>
        <w:rPr>
          <w:rFonts w:hint="eastAsia"/>
        </w:rPr>
        <w:t>权属清晰原则</w:t>
      </w:r>
    </w:p>
    <w:p w14:paraId="0CEA1813">
      <w:pPr>
        <w:pStyle w:val="56"/>
        <w:spacing w:line="360" w:lineRule="auto"/>
        <w:ind w:firstLine="420"/>
      </w:pPr>
      <w:r>
        <w:rPr>
          <w:rFonts w:hint="eastAsia"/>
        </w:rPr>
        <w:t>评估对象应具备可识别的权属边界与控制关系。对权属不清或授权链路不完整的资产，应先完成权属核验与边界确认，再开展价值测算。必要时应将权属不确定性作为限制条件或风险调整因素纳入结果表达。</w:t>
      </w:r>
    </w:p>
    <w:p w14:paraId="40EDE204">
      <w:pPr>
        <w:pStyle w:val="65"/>
        <w:spacing w:before="120" w:after="120" w:line="360" w:lineRule="auto"/>
      </w:pPr>
      <w:r>
        <w:rPr>
          <w:rFonts w:hint="eastAsia"/>
        </w:rPr>
        <w:t>口径一致原则</w:t>
      </w:r>
    </w:p>
    <w:p w14:paraId="1DEB9077">
      <w:pPr>
        <w:pStyle w:val="56"/>
        <w:spacing w:line="360" w:lineRule="auto"/>
        <w:ind w:firstLine="420"/>
      </w:pPr>
      <w:r>
        <w:rPr>
          <w:rFonts w:hint="eastAsia"/>
        </w:rPr>
        <w:t>评估口径应与资产分类口径成本归集口径收益归集口径以及使用口径保持一致。对同一资产在不同系统中的名称口径版本或范围不一致的，应建立映射关系并记录调整依据，确保评估结论可复核可重复。</w:t>
      </w:r>
    </w:p>
    <w:p w14:paraId="2D62FA85">
      <w:pPr>
        <w:pStyle w:val="56"/>
        <w:spacing w:line="360" w:lineRule="auto"/>
        <w:ind w:firstLine="0" w:firstLineChars="0"/>
        <w:rPr>
          <w:rFonts w:hint="eastAsia"/>
        </w:rPr>
      </w:pPr>
    </w:p>
    <w:p w14:paraId="60ACDBC3">
      <w:pPr>
        <w:pStyle w:val="65"/>
        <w:spacing w:before="120" w:after="120" w:line="360" w:lineRule="auto"/>
      </w:pPr>
      <w:r>
        <w:rPr>
          <w:rFonts w:hint="eastAsia"/>
        </w:rPr>
        <w:t>可计量原则</w:t>
      </w:r>
    </w:p>
    <w:p w14:paraId="564B970F">
      <w:pPr>
        <w:pStyle w:val="56"/>
        <w:spacing w:line="360" w:lineRule="auto"/>
        <w:ind w:firstLine="420"/>
      </w:pPr>
      <w:r>
        <w:rPr>
          <w:rFonts w:hint="eastAsia"/>
        </w:rPr>
        <w:t>评估应优先采用可量化指标支撑价值测算，确保关键参数具有数据来源或合理推导依据。对难以直接量化的价值贡献，应通过可核验的替代指标进行描述，并明确不确定性来源与敏感性影响。</w:t>
      </w:r>
    </w:p>
    <w:p w14:paraId="5986E5B8">
      <w:pPr>
        <w:pStyle w:val="65"/>
        <w:spacing w:before="120" w:after="120" w:line="360" w:lineRule="auto"/>
      </w:pPr>
      <w:r>
        <w:rPr>
          <w:rFonts w:hint="eastAsia"/>
        </w:rPr>
        <w:t>最佳用途原则</w:t>
      </w:r>
    </w:p>
    <w:p w14:paraId="6A575BED">
      <w:pPr>
        <w:pStyle w:val="56"/>
        <w:spacing w:line="360" w:lineRule="auto"/>
        <w:ind w:firstLine="420"/>
      </w:pPr>
      <w:r>
        <w:rPr>
          <w:rFonts w:hint="eastAsia"/>
        </w:rPr>
        <w:t>评估应基于资产在当前条件下的合理可行用途确定价值贡献路径。若评估假设涉及用途改变或商业模式变化，应明确实现条件投入要求时间周期与关键约束，并在结果中披露与基准情景的差异。</w:t>
      </w:r>
    </w:p>
    <w:p w14:paraId="03329B0D">
      <w:pPr>
        <w:pStyle w:val="65"/>
        <w:spacing w:before="120" w:after="120" w:line="360" w:lineRule="auto"/>
      </w:pPr>
      <w:r>
        <w:rPr>
          <w:rFonts w:hint="eastAsia"/>
        </w:rPr>
        <w:t>风险匹配原则</w:t>
      </w:r>
    </w:p>
    <w:p w14:paraId="0EC59D4A">
      <w:pPr>
        <w:pStyle w:val="56"/>
        <w:spacing w:line="360" w:lineRule="auto"/>
        <w:ind w:firstLine="420"/>
      </w:pPr>
      <w:r>
        <w:rPr>
          <w:rFonts w:hint="eastAsia"/>
        </w:rPr>
        <w:t>评估应识别并量化影响价值的主要风险因素，包括合规风险安全风险技术迭代风险供应链依赖风险市场波动风险客户集中风险以及侵权与争议风险。风险调整应与资产特征和收益实现机制相匹配，避免仅以经验折扣替代可解释的风险分析。</w:t>
      </w:r>
    </w:p>
    <w:p w14:paraId="091D2AB4">
      <w:pPr>
        <w:pStyle w:val="65"/>
        <w:spacing w:before="120" w:after="120" w:line="360" w:lineRule="auto"/>
      </w:pPr>
      <w:r>
        <w:rPr>
          <w:rFonts w:hint="eastAsia"/>
        </w:rPr>
        <w:t>可复核原则</w:t>
      </w:r>
    </w:p>
    <w:p w14:paraId="1C78BA56">
      <w:pPr>
        <w:pStyle w:val="56"/>
        <w:spacing w:line="360" w:lineRule="auto"/>
        <w:ind w:firstLine="420"/>
      </w:pPr>
      <w:r>
        <w:rPr>
          <w:rFonts w:hint="eastAsia"/>
        </w:rPr>
        <w:t>评估过程应形成可复核证据链，包含数据来源参数选取依据模型计算过程关键假设以及结论推导路径。评估结论应支持第三方在相同前提条件下复现主要计算结果。</w:t>
      </w:r>
    </w:p>
    <w:p w14:paraId="04F30891">
      <w:pPr>
        <w:pStyle w:val="105"/>
        <w:spacing w:before="120" w:after="120" w:line="360" w:lineRule="auto"/>
      </w:pPr>
      <w:r>
        <w:rPr>
          <w:rFonts w:hint="eastAsia"/>
        </w:rPr>
        <w:t>适用场景与价值类型</w:t>
      </w:r>
    </w:p>
    <w:p w14:paraId="5B59DF90">
      <w:pPr>
        <w:pStyle w:val="56"/>
        <w:spacing w:line="360" w:lineRule="auto"/>
        <w:ind w:firstLine="420"/>
      </w:pPr>
      <w:r>
        <w:rPr>
          <w:rFonts w:hint="eastAsia"/>
        </w:rPr>
        <w:t>数字资产评估应根据应用场景选择适当的价值类型与结果表达方式。常见场景包括内部管理决策投融资并购重组资产交易与授权定价财务报告与审计支持税务管理与合规管理以及数据要素流通定价等。</w:t>
      </w:r>
    </w:p>
    <w:p w14:paraId="07C82F16">
      <w:pPr>
        <w:pStyle w:val="56"/>
        <w:spacing w:line="360" w:lineRule="auto"/>
        <w:ind w:firstLine="420"/>
      </w:pPr>
      <w:r>
        <w:rPr>
          <w:rFonts w:hint="eastAsia"/>
        </w:rPr>
        <w:t>不同场景下价值类型可包括市场价值投资价值使用价值或特定目的价值。评估应明确价值类型及其适用前提，并说明结论是否包含协同效应是否包含未来新增投入是否包含渠道与品牌等外部条件。对用于交易或授权定价的评估，应重点说明可转让范围可授权范围地域期限以及是否允许再授权等限制条件对价值的影响。</w:t>
      </w:r>
    </w:p>
    <w:p w14:paraId="4507B587">
      <w:pPr>
        <w:pStyle w:val="105"/>
        <w:spacing w:before="120" w:after="120" w:line="360" w:lineRule="auto"/>
      </w:pPr>
      <w:r>
        <w:rPr>
          <w:rFonts w:hint="eastAsia"/>
        </w:rPr>
        <w:t>评估方法选用原则</w:t>
      </w:r>
    </w:p>
    <w:p w14:paraId="002313F4">
      <w:pPr>
        <w:pStyle w:val="56"/>
        <w:spacing w:line="360" w:lineRule="auto"/>
        <w:ind w:firstLine="420"/>
      </w:pPr>
      <w:r>
        <w:rPr>
          <w:rFonts w:hint="eastAsia"/>
        </w:rPr>
        <w:t>评估方法选用应与资产类型数据可得性收益实现机制以及市场可比性相一致，通常可选用成本法收益法市场法及其组合方法。方法选用应遵循以下要求：</w:t>
      </w:r>
    </w:p>
    <w:p w14:paraId="5CC12353">
      <w:pPr>
        <w:pStyle w:val="56"/>
        <w:spacing w:line="360" w:lineRule="auto"/>
        <w:ind w:firstLine="420"/>
      </w:pPr>
      <w:r>
        <w:rPr>
          <w:rFonts w:hint="eastAsia"/>
        </w:rPr>
        <w:t>a) 当资产可稳定产生可预测收益或可量化成本节约时，宜优先考虑收益法并强化关键假设验证与敏感性分析；</w:t>
      </w:r>
    </w:p>
    <w:p w14:paraId="7874FD05">
      <w:pPr>
        <w:pStyle w:val="56"/>
        <w:spacing w:line="360" w:lineRule="auto"/>
        <w:ind w:firstLine="420"/>
      </w:pPr>
      <w:r>
        <w:rPr>
          <w:rFonts w:hint="eastAsia"/>
        </w:rPr>
        <w:t>b) 当市场存在可比交易案例或可比授权定价且可比性可论证时，宜采用市场法并对差异因素进行调整；</w:t>
      </w:r>
    </w:p>
    <w:p w14:paraId="3B1B9730">
      <w:pPr>
        <w:pStyle w:val="56"/>
        <w:spacing w:line="360" w:lineRule="auto"/>
        <w:ind w:firstLine="420"/>
      </w:pPr>
      <w:r>
        <w:rPr>
          <w:rFonts w:hint="eastAsia"/>
        </w:rPr>
        <w:t>c) 当收益路径不清晰但形成成本边界清晰且可核验时，可采用成本法并充分考虑技术迭代折旧功能性贬值与合规限制；</w:t>
      </w:r>
    </w:p>
    <w:p w14:paraId="4E91087F">
      <w:pPr>
        <w:pStyle w:val="56"/>
        <w:spacing w:line="360" w:lineRule="auto"/>
        <w:ind w:firstLine="420"/>
      </w:pPr>
      <w:r>
        <w:rPr>
          <w:rFonts w:hint="eastAsia"/>
        </w:rPr>
        <w:t>d) 当单一方法难以覆盖核心价值或数据支撑不足时，宜采用多方法交叉验证并说明权重依据与差异原因。</w:t>
      </w:r>
    </w:p>
    <w:p w14:paraId="6C9B05FD">
      <w:pPr>
        <w:pStyle w:val="105"/>
        <w:spacing w:before="120" w:after="120" w:line="360" w:lineRule="auto"/>
      </w:pPr>
      <w:r>
        <w:rPr>
          <w:rFonts w:hint="eastAsia"/>
        </w:rPr>
        <w:t>评估边界与假设管理</w:t>
      </w:r>
    </w:p>
    <w:p w14:paraId="7D4FA951">
      <w:pPr>
        <w:pStyle w:val="56"/>
        <w:spacing w:line="360" w:lineRule="auto"/>
        <w:ind w:firstLine="420"/>
      </w:pPr>
      <w:r>
        <w:rPr>
          <w:rFonts w:hint="eastAsia"/>
        </w:rPr>
        <w:t>评估应明确资产边界与收益边界，避免将平台生态协同品牌溢价组织能力等非资产本体要素无依据地并入资产价值。对确需纳入的协同效应或组合价值，应单独披露计算口径与实现条件。</w:t>
      </w:r>
    </w:p>
    <w:p w14:paraId="75DB1C10">
      <w:pPr>
        <w:pStyle w:val="56"/>
        <w:spacing w:line="360" w:lineRule="auto"/>
        <w:ind w:firstLine="420"/>
      </w:pPr>
      <w:r>
        <w:rPr>
          <w:rFonts w:hint="eastAsia"/>
        </w:rPr>
        <w:t>评估假设应受控管理。关键假设包括用户规模增长调用量增长续费率价格策略成本节约比例数据质量稳定性模型性能稳定性合规可持续性以及关键依赖项可获得性等。关键假设应说明证据来源和合理性依据，并对高敏感参数开展敏感性分析，披露价值区间或情景结果。</w:t>
      </w:r>
    </w:p>
    <w:p w14:paraId="65FD9D8C">
      <w:pPr>
        <w:pStyle w:val="105"/>
        <w:spacing w:before="120" w:after="120" w:line="360" w:lineRule="auto"/>
      </w:pPr>
      <w:r>
        <w:rPr>
          <w:rFonts w:hint="eastAsia"/>
        </w:rPr>
        <w:t>结果表达要求</w:t>
      </w:r>
    </w:p>
    <w:p w14:paraId="2A62EE40">
      <w:pPr>
        <w:pStyle w:val="56"/>
        <w:spacing w:line="360" w:lineRule="auto"/>
        <w:ind w:firstLine="420"/>
      </w:pPr>
      <w:r>
        <w:rPr>
          <w:rFonts w:hint="eastAsia"/>
        </w:rPr>
        <w:t>评估结果应至少包含评估对象描述评估目的价值类型评估基准日方法选用关键假设关键参数风险调整说明以及价值结论。结论表达可采用单一值或区间值，区间值应说明上下限含义与触发条件。对存在重大不确定性或重大限制条件的评估对象，应在结论中披露限制条件并说明对结论可靠性的影响。</w:t>
      </w:r>
    </w:p>
    <w:p w14:paraId="26EC36A8">
      <w:pPr>
        <w:pStyle w:val="104"/>
        <w:spacing w:before="240" w:after="240" w:line="360" w:lineRule="auto"/>
      </w:pPr>
      <w:bookmarkStart w:id="53" w:name="_Toc219114404"/>
      <w:r>
        <w:rPr>
          <w:rFonts w:hint="eastAsia"/>
        </w:rPr>
        <w:t>评估数据要求与证据链要求</w:t>
      </w:r>
      <w:bookmarkEnd w:id="53"/>
    </w:p>
    <w:p w14:paraId="73E6C02C">
      <w:pPr>
        <w:pStyle w:val="105"/>
        <w:spacing w:before="120" w:after="120" w:line="360" w:lineRule="auto"/>
      </w:pPr>
      <w:r>
        <w:rPr>
          <w:rFonts w:hint="eastAsia"/>
        </w:rPr>
        <w:t>一般要求</w:t>
      </w:r>
    </w:p>
    <w:p w14:paraId="76B1AF8B">
      <w:pPr>
        <w:pStyle w:val="165"/>
        <w:spacing w:line="360" w:lineRule="auto"/>
      </w:pPr>
      <w:r>
        <w:rPr>
          <w:rFonts w:hint="eastAsia"/>
        </w:rPr>
        <w:t>数字资产评估所用数据应满足真实准确完整一致可追溯的要求。评估机构或评估工作组应建立数据清单取数口径说明校验记录以及数据留存机制，确保评估过程可复核可再现。</w:t>
      </w:r>
    </w:p>
    <w:p w14:paraId="69C4F09F">
      <w:pPr>
        <w:pStyle w:val="165"/>
        <w:spacing w:line="360" w:lineRule="auto"/>
      </w:pPr>
      <w:r>
        <w:rPr>
          <w:rFonts w:hint="eastAsia"/>
        </w:rPr>
        <w:t>评估数据应覆盖资产识别信息权属与授权信息使用与运营信息成本与投入信息收益与节约信息以及合规与安全信息。对关键参数应形成证据链目录并提供附件索引，确保可追溯到原始记录或系统日志。</w:t>
      </w:r>
    </w:p>
    <w:p w14:paraId="6C92F07B">
      <w:pPr>
        <w:pStyle w:val="165"/>
        <w:spacing w:line="360" w:lineRule="auto"/>
      </w:pPr>
      <w:r>
        <w:rPr>
          <w:rFonts w:hint="eastAsia"/>
        </w:rPr>
        <w:t>评估数据的时间窗口应与评估基准日一致。涉及趋势外推或预测的，应说明历史样本区间外推方法假设条件以及验证方式，并对高敏感参数开展情景分析或敏感性分析。</w:t>
      </w:r>
    </w:p>
    <w:p w14:paraId="6A3FDF00">
      <w:pPr>
        <w:pStyle w:val="105"/>
        <w:spacing w:before="120" w:after="120" w:line="360" w:lineRule="auto"/>
      </w:pPr>
      <w:r>
        <w:rPr>
          <w:rFonts w:hint="eastAsia"/>
        </w:rPr>
        <w:t>数据类型与来源要求</w:t>
      </w:r>
    </w:p>
    <w:p w14:paraId="21858210">
      <w:pPr>
        <w:pStyle w:val="65"/>
        <w:spacing w:before="120" w:after="120" w:line="360" w:lineRule="auto"/>
      </w:pPr>
      <w:r>
        <w:rPr>
          <w:rFonts w:hint="eastAsia"/>
        </w:rPr>
        <w:t>权属与授权数据</w:t>
      </w:r>
    </w:p>
    <w:p w14:paraId="4F54ED8E">
      <w:pPr>
        <w:pStyle w:val="56"/>
        <w:spacing w:line="360" w:lineRule="auto"/>
        <w:ind w:firstLine="420"/>
      </w:pPr>
      <w:r>
        <w:rPr>
          <w:rFonts w:hint="eastAsia"/>
        </w:rPr>
        <w:t>应至少包括合同协议授权条款知识产权登记或归属证明开源许可合规声明以及再授权限制等。对权属边界存在不确定的，应形成权属核验结论并将不确定性作为风险调整因素或限制条件披露。</w:t>
      </w:r>
    </w:p>
    <w:p w14:paraId="2B3305F4">
      <w:pPr>
        <w:pStyle w:val="65"/>
        <w:spacing w:before="120" w:after="120" w:line="360" w:lineRule="auto"/>
      </w:pPr>
      <w:r>
        <w:rPr>
          <w:rFonts w:hint="eastAsia"/>
        </w:rPr>
        <w:t>技术与版本数据</w:t>
      </w:r>
    </w:p>
    <w:p w14:paraId="5A65F2DC">
      <w:pPr>
        <w:pStyle w:val="56"/>
        <w:spacing w:line="360" w:lineRule="auto"/>
        <w:ind w:firstLine="420"/>
      </w:pPr>
      <w:r>
        <w:rPr>
          <w:rFonts w:hint="eastAsia"/>
        </w:rPr>
        <w:t>应至少包括架构说明接口文档数据字典元数据模型卡或说明书代码仓库记录构建发布记录版本变更记录以及性能测试或质量报告。对算法模型资产应补充训练数据说明标注规则参数记录性能评测记录以及部署配置记录。</w:t>
      </w:r>
    </w:p>
    <w:p w14:paraId="13F09C40">
      <w:pPr>
        <w:pStyle w:val="65"/>
        <w:spacing w:before="120" w:after="120" w:line="360" w:lineRule="auto"/>
      </w:pPr>
      <w:r>
        <w:rPr>
          <w:rFonts w:hint="eastAsia"/>
        </w:rPr>
        <w:t>使用与运营数据</w:t>
      </w:r>
    </w:p>
    <w:p w14:paraId="140593F4">
      <w:pPr>
        <w:pStyle w:val="56"/>
        <w:spacing w:line="360" w:lineRule="auto"/>
        <w:ind w:firstLine="420"/>
      </w:pPr>
      <w:r>
        <w:rPr>
          <w:rFonts w:hint="eastAsia"/>
        </w:rPr>
        <w:t>应至少包括调用日志访问日志下载与交付记录用户规模活跃度留存率续费率服务等级指标故障记录以及客户或项目验收记录。对平台能力资产与接口资源资产应提供可计量的服务量指标与计费规则或内部计量规则。</w:t>
      </w:r>
    </w:p>
    <w:p w14:paraId="505839D9">
      <w:pPr>
        <w:pStyle w:val="65"/>
        <w:spacing w:before="120" w:after="120" w:line="360" w:lineRule="auto"/>
      </w:pPr>
      <w:r>
        <w:rPr>
          <w:rFonts w:hint="eastAsia"/>
        </w:rPr>
        <w:t>成本与投入数据</w:t>
      </w:r>
    </w:p>
    <w:p w14:paraId="5115B721">
      <w:pPr>
        <w:pStyle w:val="56"/>
        <w:spacing w:line="360" w:lineRule="auto"/>
        <w:ind w:firstLine="420"/>
      </w:pPr>
      <w:r>
        <w:rPr>
          <w:rFonts w:hint="eastAsia"/>
        </w:rPr>
        <w:t>应至少包括研发投入采购投入算力与存储成本运维成本数据治理成本安全合规成本以及相关人工成本归集口径。成本归集应与资产边界一致，并明确资本化与费用化口径的适用范围及差异处理方式。</w:t>
      </w:r>
    </w:p>
    <w:p w14:paraId="77DF3E72">
      <w:pPr>
        <w:pStyle w:val="65"/>
        <w:spacing w:before="120" w:after="120" w:line="360" w:lineRule="auto"/>
      </w:pPr>
      <w:r>
        <w:rPr>
          <w:rFonts w:hint="eastAsia"/>
        </w:rPr>
        <w:t>收益与节约数据</w:t>
      </w:r>
    </w:p>
    <w:p w14:paraId="4E1E3982">
      <w:pPr>
        <w:pStyle w:val="56"/>
        <w:spacing w:line="360" w:lineRule="auto"/>
        <w:ind w:firstLine="420"/>
      </w:pPr>
      <w:r>
        <w:rPr>
          <w:rFonts w:hint="eastAsia"/>
        </w:rPr>
        <w:t>应至少包括直接收入数据授权收入数据订阅或计费收入数据以及可量化的成本节约数据与效率提升数据。对成本节约类收益应明确对比基线测算方法取数范围以及可验证证据。</w:t>
      </w:r>
    </w:p>
    <w:p w14:paraId="70DCCD18">
      <w:pPr>
        <w:pStyle w:val="105"/>
        <w:spacing w:before="120" w:after="120" w:line="360" w:lineRule="auto"/>
      </w:pPr>
      <w:r>
        <w:rPr>
          <w:rFonts w:hint="eastAsia"/>
        </w:rPr>
        <w:t>数据口径一致性要求</w:t>
      </w:r>
    </w:p>
    <w:p w14:paraId="771F0347">
      <w:pPr>
        <w:pStyle w:val="165"/>
        <w:spacing w:line="360" w:lineRule="auto"/>
      </w:pPr>
      <w:r>
        <w:rPr>
          <w:rFonts w:hint="eastAsia"/>
        </w:rPr>
        <w:t>取数口径应形成受控文件，至少说明指标定义统计周期去重规则异常处理规则以及与业务系统字段的映射关系。</w:t>
      </w:r>
    </w:p>
    <w:p w14:paraId="1B13626C">
      <w:pPr>
        <w:pStyle w:val="165"/>
        <w:spacing w:line="360" w:lineRule="auto"/>
      </w:pPr>
      <w:r>
        <w:rPr>
          <w:rFonts w:hint="eastAsia"/>
        </w:rPr>
        <w:t>多系统取数时应建立一致性校验机制。对同一指标在不同系统中的差异应说明原因并形成调整记录，调整不得改变原始数据并应保留复核路径。</w:t>
      </w:r>
    </w:p>
    <w:p w14:paraId="70E8FF93">
      <w:pPr>
        <w:pStyle w:val="165"/>
        <w:spacing w:line="360" w:lineRule="auto"/>
      </w:pPr>
      <w:r>
        <w:rPr>
          <w:rFonts w:hint="eastAsia"/>
        </w:rPr>
        <w:t>评估所用工程量规模调用量用户量交易量等关键指标应与财务报表管理报表或审计口径具备可对账关系。无法对账的应披露原因并说明对结论可靠性的影响。</w:t>
      </w:r>
    </w:p>
    <w:p w14:paraId="15969402">
      <w:pPr>
        <w:pStyle w:val="105"/>
        <w:spacing w:before="120" w:after="120" w:line="360" w:lineRule="auto"/>
      </w:pPr>
      <w:r>
        <w:rPr>
          <w:rFonts w:hint="eastAsia"/>
        </w:rPr>
        <w:t>数据质量校验要求</w:t>
      </w:r>
    </w:p>
    <w:p w14:paraId="67EFA930">
      <w:pPr>
        <w:pStyle w:val="165"/>
        <w:spacing w:line="360" w:lineRule="auto"/>
      </w:pPr>
      <w:r>
        <w:rPr>
          <w:rFonts w:hint="eastAsia"/>
        </w:rPr>
        <w:t>数据校验应至少包括完整性校验准确性校验一致性校验及时性校验以及可追溯性校验。</w:t>
      </w:r>
    </w:p>
    <w:p w14:paraId="11EB8C2D">
      <w:pPr>
        <w:pStyle w:val="165"/>
        <w:spacing w:line="360" w:lineRule="auto"/>
      </w:pPr>
      <w:r>
        <w:rPr>
          <w:rFonts w:hint="eastAsia"/>
        </w:rPr>
        <w:t>对日志数据应明确采集点位采集覆盖范围留存周期脱敏规则以及防篡改机制。日志缺失或留存周期不足时应说明缺口范围并采取替代证据或保守假设。</w:t>
      </w:r>
    </w:p>
    <w:p w14:paraId="429F8EAF">
      <w:pPr>
        <w:pStyle w:val="165"/>
        <w:spacing w:line="360" w:lineRule="auto"/>
      </w:pPr>
      <w:r>
        <w:rPr>
          <w:rFonts w:hint="eastAsia"/>
        </w:rPr>
        <w:t>对模型性能与数据质量指标应明确测试集或样本范围测试方法版本对应关系以及测试环境，避免跨版本跨环境结果混用。表1用于规范数字资产分类框架与识别要点，分类口径与证据要求见表1。</w:t>
      </w:r>
    </w:p>
    <w:p w14:paraId="1CA6C39A">
      <w:pPr>
        <w:pStyle w:val="112"/>
        <w:spacing w:before="120" w:after="120"/>
      </w:pPr>
      <w:r>
        <w:rPr>
          <w:rFonts w:hint="eastAsia"/>
        </w:rPr>
        <w:t>评估数据清单与校验要求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985"/>
        <w:gridCol w:w="1984"/>
        <w:gridCol w:w="2268"/>
        <w:gridCol w:w="1973"/>
      </w:tblGrid>
      <w:tr w14:paraId="621E3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1A92BF46">
            <w:pPr>
              <w:pStyle w:val="178"/>
            </w:pPr>
            <w:r>
              <w:rPr>
                <w:rFonts w:hint="eastAsia"/>
              </w:rPr>
              <w:t>数据类别</w:t>
            </w:r>
          </w:p>
        </w:tc>
        <w:tc>
          <w:tcPr>
            <w:tcW w:w="1985" w:type="dxa"/>
            <w:tcBorders>
              <w:top w:val="single" w:color="auto" w:sz="8" w:space="0"/>
              <w:bottom w:val="single" w:color="auto" w:sz="8" w:space="0"/>
            </w:tcBorders>
            <w:vAlign w:val="center"/>
          </w:tcPr>
          <w:p w14:paraId="0AC0B1BB">
            <w:pPr>
              <w:pStyle w:val="178"/>
            </w:pPr>
            <w:r>
              <w:rPr>
                <w:rFonts w:hint="eastAsia"/>
              </w:rPr>
              <w:t>主要数据项示例</w:t>
            </w:r>
          </w:p>
        </w:tc>
        <w:tc>
          <w:tcPr>
            <w:tcW w:w="1984" w:type="dxa"/>
            <w:tcBorders>
              <w:top w:val="single" w:color="auto" w:sz="8" w:space="0"/>
              <w:bottom w:val="single" w:color="auto" w:sz="8" w:space="0"/>
            </w:tcBorders>
            <w:vAlign w:val="center"/>
          </w:tcPr>
          <w:p w14:paraId="1D6F097C">
            <w:pPr>
              <w:pStyle w:val="178"/>
            </w:pPr>
            <w:r>
              <w:rPr>
                <w:rFonts w:hint="eastAsia"/>
              </w:rPr>
              <w:t>主要来源示例</w:t>
            </w:r>
          </w:p>
        </w:tc>
        <w:tc>
          <w:tcPr>
            <w:tcW w:w="2268" w:type="dxa"/>
            <w:tcBorders>
              <w:top w:val="single" w:color="auto" w:sz="8" w:space="0"/>
              <w:bottom w:val="single" w:color="auto" w:sz="8" w:space="0"/>
            </w:tcBorders>
            <w:vAlign w:val="center"/>
          </w:tcPr>
          <w:p w14:paraId="47CB9684">
            <w:pPr>
              <w:pStyle w:val="178"/>
            </w:pPr>
            <w:r>
              <w:rPr>
                <w:rFonts w:hint="eastAsia"/>
              </w:rPr>
              <w:t>核查要点</w:t>
            </w:r>
          </w:p>
        </w:tc>
        <w:tc>
          <w:tcPr>
            <w:tcW w:w="1973" w:type="dxa"/>
            <w:tcBorders>
              <w:top w:val="single" w:color="auto" w:sz="8" w:space="0"/>
              <w:bottom w:val="single" w:color="auto" w:sz="8" w:space="0"/>
            </w:tcBorders>
            <w:vAlign w:val="center"/>
          </w:tcPr>
          <w:p w14:paraId="685A0FD5">
            <w:pPr>
              <w:pStyle w:val="178"/>
            </w:pPr>
            <w:r>
              <w:rPr>
                <w:rFonts w:hint="eastAsia"/>
              </w:rPr>
              <w:t>证据链留存要求</w:t>
            </w:r>
          </w:p>
        </w:tc>
      </w:tr>
      <w:tr w14:paraId="2D9C6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3CEF478D">
            <w:pPr>
              <w:pStyle w:val="178"/>
            </w:pPr>
            <w:r>
              <w:rPr>
                <w:rFonts w:hint="eastAsia"/>
              </w:rPr>
              <w:t>权属与授权</w:t>
            </w:r>
          </w:p>
        </w:tc>
        <w:tc>
          <w:tcPr>
            <w:tcW w:w="1985" w:type="dxa"/>
            <w:tcBorders>
              <w:top w:val="single" w:color="auto" w:sz="8" w:space="0"/>
            </w:tcBorders>
            <w:vAlign w:val="center"/>
          </w:tcPr>
          <w:p w14:paraId="4298B760">
            <w:pPr>
              <w:pStyle w:val="178"/>
            </w:pPr>
            <w:r>
              <w:rPr>
                <w:rFonts w:hint="eastAsia"/>
              </w:rPr>
              <w:t>权属主体、授权范围、地域期限、再授权限制、许可类型</w:t>
            </w:r>
          </w:p>
        </w:tc>
        <w:tc>
          <w:tcPr>
            <w:tcW w:w="1984" w:type="dxa"/>
            <w:tcBorders>
              <w:top w:val="single" w:color="auto" w:sz="8" w:space="0"/>
            </w:tcBorders>
            <w:vAlign w:val="center"/>
          </w:tcPr>
          <w:p w14:paraId="77BFBED4">
            <w:pPr>
              <w:pStyle w:val="178"/>
            </w:pPr>
            <w:r>
              <w:rPr>
                <w:rFonts w:hint="eastAsia"/>
              </w:rPr>
              <w:t>合同文本、授权函、登记证明、开源许可清单</w:t>
            </w:r>
          </w:p>
        </w:tc>
        <w:tc>
          <w:tcPr>
            <w:tcW w:w="2268" w:type="dxa"/>
            <w:tcBorders>
              <w:top w:val="single" w:color="auto" w:sz="8" w:space="0"/>
            </w:tcBorders>
            <w:vAlign w:val="center"/>
          </w:tcPr>
          <w:p w14:paraId="1208CCDF">
            <w:pPr>
              <w:pStyle w:val="178"/>
            </w:pPr>
            <w:r>
              <w:rPr>
                <w:rFonts w:hint="eastAsia"/>
              </w:rPr>
              <w:t>权属边界清晰、授权链路完整、限制条件可识别</w:t>
            </w:r>
          </w:p>
        </w:tc>
        <w:tc>
          <w:tcPr>
            <w:tcW w:w="1973" w:type="dxa"/>
            <w:tcBorders>
              <w:top w:val="single" w:color="auto" w:sz="8" w:space="0"/>
            </w:tcBorders>
            <w:vAlign w:val="center"/>
          </w:tcPr>
          <w:p w14:paraId="76A8323E">
            <w:pPr>
              <w:pStyle w:val="178"/>
            </w:pPr>
            <w:r>
              <w:rPr>
                <w:rFonts w:hint="eastAsia"/>
              </w:rPr>
              <w:t>合同及附件、关键条款摘录、权属核验记录、版本对应关系</w:t>
            </w:r>
          </w:p>
        </w:tc>
      </w:tr>
      <w:tr w14:paraId="028D3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51A420B">
            <w:pPr>
              <w:pStyle w:val="178"/>
            </w:pPr>
            <w:r>
              <w:rPr>
                <w:rFonts w:hint="eastAsia"/>
              </w:rPr>
              <w:t>技术与版本</w:t>
            </w:r>
          </w:p>
        </w:tc>
        <w:tc>
          <w:tcPr>
            <w:tcW w:w="1985" w:type="dxa"/>
            <w:vAlign w:val="center"/>
          </w:tcPr>
          <w:p w14:paraId="3B6491BD">
            <w:pPr>
              <w:pStyle w:val="178"/>
            </w:pPr>
            <w:r>
              <w:rPr>
                <w:rFonts w:hint="eastAsia"/>
              </w:rPr>
              <w:t>架构说明、数据字典、元数据、模型说明、版本记录</w:t>
            </w:r>
          </w:p>
        </w:tc>
        <w:tc>
          <w:tcPr>
            <w:tcW w:w="1984" w:type="dxa"/>
            <w:vAlign w:val="center"/>
          </w:tcPr>
          <w:p w14:paraId="1C37CF29">
            <w:pPr>
              <w:pStyle w:val="178"/>
            </w:pPr>
            <w:r>
              <w:rPr>
                <w:rFonts w:hint="eastAsia"/>
              </w:rPr>
              <w:t>研发文档库、代码仓库、配置库、模型仓库</w:t>
            </w:r>
          </w:p>
        </w:tc>
        <w:tc>
          <w:tcPr>
            <w:tcW w:w="2268" w:type="dxa"/>
            <w:vAlign w:val="center"/>
          </w:tcPr>
          <w:p w14:paraId="24132705">
            <w:pPr>
              <w:pStyle w:val="178"/>
            </w:pPr>
            <w:r>
              <w:rPr>
                <w:rFonts w:hint="eastAsia"/>
              </w:rPr>
              <w:t>资产边界与版本一致、可复现可部署、关键依赖明确</w:t>
            </w:r>
          </w:p>
        </w:tc>
        <w:tc>
          <w:tcPr>
            <w:tcW w:w="1973" w:type="dxa"/>
            <w:vAlign w:val="center"/>
          </w:tcPr>
          <w:p w14:paraId="0DCCBD77">
            <w:pPr>
              <w:pStyle w:val="178"/>
            </w:pPr>
            <w:r>
              <w:rPr>
                <w:rFonts w:hint="eastAsia"/>
              </w:rPr>
              <w:t>文档版本快照、提交记录、构建发布记录、关键配置留存</w:t>
            </w:r>
          </w:p>
        </w:tc>
      </w:tr>
      <w:tr w14:paraId="3A618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FBB4746">
            <w:pPr>
              <w:pStyle w:val="178"/>
            </w:pPr>
            <w:r>
              <w:rPr>
                <w:rFonts w:hint="eastAsia"/>
              </w:rPr>
              <w:t>使用与运营</w:t>
            </w:r>
          </w:p>
        </w:tc>
        <w:tc>
          <w:tcPr>
            <w:tcW w:w="1985" w:type="dxa"/>
            <w:vAlign w:val="center"/>
          </w:tcPr>
          <w:p w14:paraId="4EAA3F6B">
            <w:pPr>
              <w:pStyle w:val="178"/>
            </w:pPr>
            <w:r>
              <w:rPr>
                <w:rFonts w:hint="eastAsia"/>
              </w:rPr>
              <w:t>调用量、活跃用户、服务等级、故障率、交付验收</w:t>
            </w:r>
          </w:p>
        </w:tc>
        <w:tc>
          <w:tcPr>
            <w:tcW w:w="1984" w:type="dxa"/>
            <w:vAlign w:val="center"/>
          </w:tcPr>
          <w:p w14:paraId="744FC781">
            <w:pPr>
              <w:pStyle w:val="178"/>
            </w:pPr>
            <w:r>
              <w:rPr>
                <w:rFonts w:hint="eastAsia"/>
              </w:rPr>
              <w:t>日志平台、监控平台、计费系统、验收资料</w:t>
            </w:r>
          </w:p>
        </w:tc>
        <w:tc>
          <w:tcPr>
            <w:tcW w:w="2268" w:type="dxa"/>
            <w:vAlign w:val="center"/>
          </w:tcPr>
          <w:p w14:paraId="33A5A5B0">
            <w:pPr>
              <w:pStyle w:val="178"/>
            </w:pPr>
            <w:r>
              <w:rPr>
                <w:rFonts w:hint="eastAsia"/>
              </w:rPr>
              <w:t>统计口径一致、去重规则明确、异常数据可解释</w:t>
            </w:r>
          </w:p>
        </w:tc>
        <w:tc>
          <w:tcPr>
            <w:tcW w:w="1973" w:type="dxa"/>
            <w:vAlign w:val="center"/>
          </w:tcPr>
          <w:p w14:paraId="74D2144C">
            <w:pPr>
              <w:pStyle w:val="178"/>
            </w:pPr>
            <w:r>
              <w:rPr>
                <w:rFonts w:hint="eastAsia"/>
              </w:rPr>
              <w:t>取数脚本或查询语句、统计口径说明、原始日志索引、监控报表</w:t>
            </w:r>
          </w:p>
        </w:tc>
      </w:tr>
    </w:tbl>
    <w:p w14:paraId="1ED4B32A">
      <w:pPr>
        <w:pStyle w:val="56"/>
        <w:spacing w:before="120" w:beforeLines="50" w:after="120" w:afterLines="50"/>
        <w:ind w:firstLine="0" w:firstLineChars="0"/>
        <w:jc w:val="center"/>
        <w:rPr>
          <w:rFonts w:ascii="黑体" w:hAnsi="黑体" w:eastAsia="黑体"/>
        </w:rPr>
      </w:pPr>
      <w:r>
        <w:rPr>
          <w:rFonts w:hint="eastAsia" w:ascii="黑体" w:hAnsi="黑体" w:eastAsia="黑体"/>
        </w:rPr>
        <w:t>表1  评估数据清单与校验要求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985"/>
        <w:gridCol w:w="1984"/>
        <w:gridCol w:w="2268"/>
        <w:gridCol w:w="1973"/>
      </w:tblGrid>
      <w:tr w14:paraId="272DD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0EA0954">
            <w:pPr>
              <w:pStyle w:val="178"/>
            </w:pPr>
            <w:r>
              <w:rPr>
                <w:rFonts w:hint="eastAsia"/>
              </w:rPr>
              <w:t>数据类别</w:t>
            </w:r>
          </w:p>
        </w:tc>
        <w:tc>
          <w:tcPr>
            <w:tcW w:w="1985" w:type="dxa"/>
            <w:tcBorders>
              <w:top w:val="single" w:color="auto" w:sz="8" w:space="0"/>
              <w:bottom w:val="single" w:color="auto" w:sz="8" w:space="0"/>
            </w:tcBorders>
            <w:vAlign w:val="center"/>
          </w:tcPr>
          <w:p w14:paraId="0D74C8C4">
            <w:pPr>
              <w:pStyle w:val="178"/>
            </w:pPr>
            <w:r>
              <w:rPr>
                <w:rFonts w:hint="eastAsia"/>
              </w:rPr>
              <w:t>主要数据项示例</w:t>
            </w:r>
          </w:p>
        </w:tc>
        <w:tc>
          <w:tcPr>
            <w:tcW w:w="1984" w:type="dxa"/>
            <w:tcBorders>
              <w:top w:val="single" w:color="auto" w:sz="8" w:space="0"/>
              <w:bottom w:val="single" w:color="auto" w:sz="8" w:space="0"/>
            </w:tcBorders>
            <w:vAlign w:val="center"/>
          </w:tcPr>
          <w:p w14:paraId="5446B43C">
            <w:pPr>
              <w:pStyle w:val="178"/>
            </w:pPr>
            <w:r>
              <w:rPr>
                <w:rFonts w:hint="eastAsia"/>
              </w:rPr>
              <w:t>主要来源示例</w:t>
            </w:r>
          </w:p>
        </w:tc>
        <w:tc>
          <w:tcPr>
            <w:tcW w:w="2268" w:type="dxa"/>
            <w:tcBorders>
              <w:top w:val="single" w:color="auto" w:sz="8" w:space="0"/>
              <w:bottom w:val="single" w:color="auto" w:sz="8" w:space="0"/>
            </w:tcBorders>
            <w:vAlign w:val="center"/>
          </w:tcPr>
          <w:p w14:paraId="377D4201">
            <w:pPr>
              <w:pStyle w:val="178"/>
            </w:pPr>
            <w:r>
              <w:rPr>
                <w:rFonts w:hint="eastAsia"/>
              </w:rPr>
              <w:t>核查要点</w:t>
            </w:r>
          </w:p>
        </w:tc>
        <w:tc>
          <w:tcPr>
            <w:tcW w:w="1973" w:type="dxa"/>
            <w:tcBorders>
              <w:top w:val="single" w:color="auto" w:sz="8" w:space="0"/>
              <w:bottom w:val="single" w:color="auto" w:sz="8" w:space="0"/>
            </w:tcBorders>
            <w:vAlign w:val="center"/>
          </w:tcPr>
          <w:p w14:paraId="5B5A02E5">
            <w:pPr>
              <w:pStyle w:val="178"/>
            </w:pPr>
            <w:r>
              <w:rPr>
                <w:rFonts w:hint="eastAsia"/>
              </w:rPr>
              <w:t>证据链留存要求</w:t>
            </w:r>
          </w:p>
        </w:tc>
      </w:tr>
      <w:tr w14:paraId="3F719D55">
        <w:trPr>
          <w:jc w:val="center"/>
        </w:trPr>
        <w:tc>
          <w:tcPr>
            <w:tcW w:w="1124" w:type="dxa"/>
            <w:vAlign w:val="center"/>
          </w:tcPr>
          <w:p w14:paraId="2487825E">
            <w:pPr>
              <w:pStyle w:val="178"/>
            </w:pPr>
            <w:r>
              <w:rPr>
                <w:rFonts w:hint="eastAsia"/>
              </w:rPr>
              <w:t>成本与投入</w:t>
            </w:r>
          </w:p>
        </w:tc>
        <w:tc>
          <w:tcPr>
            <w:tcW w:w="1985" w:type="dxa"/>
            <w:vAlign w:val="center"/>
          </w:tcPr>
          <w:p w14:paraId="7DA1195A">
            <w:pPr>
              <w:pStyle w:val="178"/>
            </w:pPr>
            <w:r>
              <w:rPr>
                <w:rFonts w:hint="eastAsia"/>
              </w:rPr>
              <w:t>研发人工、算力存储、运维、数据治理、安全合规</w:t>
            </w:r>
          </w:p>
        </w:tc>
        <w:tc>
          <w:tcPr>
            <w:tcW w:w="1984" w:type="dxa"/>
            <w:vAlign w:val="center"/>
          </w:tcPr>
          <w:p w14:paraId="28567D4B">
            <w:pPr>
              <w:pStyle w:val="178"/>
            </w:pPr>
            <w:r>
              <w:rPr>
                <w:rFonts w:hint="eastAsia"/>
              </w:rPr>
              <w:t>财务系统、工时系统、云账单、采购合同</w:t>
            </w:r>
          </w:p>
        </w:tc>
        <w:tc>
          <w:tcPr>
            <w:tcW w:w="2268" w:type="dxa"/>
            <w:vAlign w:val="center"/>
          </w:tcPr>
          <w:p w14:paraId="191179CB">
            <w:pPr>
              <w:pStyle w:val="178"/>
            </w:pPr>
            <w:r>
              <w:rPr>
                <w:rFonts w:hint="eastAsia"/>
              </w:rPr>
              <w:t>成本归集边界一致、分摊规则合理、可对账可追溯</w:t>
            </w:r>
          </w:p>
        </w:tc>
        <w:tc>
          <w:tcPr>
            <w:tcW w:w="1973" w:type="dxa"/>
            <w:vAlign w:val="center"/>
          </w:tcPr>
          <w:p w14:paraId="4E7A2887">
            <w:pPr>
              <w:pStyle w:val="178"/>
            </w:pPr>
            <w:r>
              <w:rPr>
                <w:rFonts w:hint="eastAsia"/>
              </w:rPr>
              <w:t>分摊规则文件、取数明细、对账记录、发票合同及台账</w:t>
            </w:r>
          </w:p>
        </w:tc>
      </w:tr>
      <w:tr w14:paraId="29497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4AD9B00">
            <w:pPr>
              <w:pStyle w:val="178"/>
            </w:pPr>
            <w:r>
              <w:rPr>
                <w:rFonts w:hint="eastAsia"/>
              </w:rPr>
              <w:t>收益与节约</w:t>
            </w:r>
          </w:p>
        </w:tc>
        <w:tc>
          <w:tcPr>
            <w:tcW w:w="1985" w:type="dxa"/>
            <w:vAlign w:val="center"/>
          </w:tcPr>
          <w:p w14:paraId="13200FAB">
            <w:pPr>
              <w:pStyle w:val="178"/>
            </w:pPr>
            <w:r>
              <w:rPr>
                <w:rFonts w:hint="eastAsia"/>
              </w:rPr>
              <w:t>订阅收入、授权收入、项目收入、成本节约、效率提升</w:t>
            </w:r>
          </w:p>
        </w:tc>
        <w:tc>
          <w:tcPr>
            <w:tcW w:w="1984" w:type="dxa"/>
            <w:vAlign w:val="center"/>
          </w:tcPr>
          <w:p w14:paraId="5005BD3B">
            <w:pPr>
              <w:pStyle w:val="178"/>
            </w:pPr>
            <w:r>
              <w:rPr>
                <w:rFonts w:hint="eastAsia"/>
              </w:rPr>
              <w:t>销售系统、合同台账、财务收入明细、经营分析</w:t>
            </w:r>
          </w:p>
        </w:tc>
        <w:tc>
          <w:tcPr>
            <w:tcW w:w="2268" w:type="dxa"/>
            <w:vAlign w:val="center"/>
          </w:tcPr>
          <w:p w14:paraId="07395D6C">
            <w:pPr>
              <w:pStyle w:val="178"/>
            </w:pPr>
            <w:r>
              <w:rPr>
                <w:rFonts w:hint="eastAsia"/>
              </w:rPr>
              <w:t>收益路径清晰、基线定义明确、可验证</w:t>
            </w:r>
          </w:p>
        </w:tc>
        <w:tc>
          <w:tcPr>
            <w:tcW w:w="1973" w:type="dxa"/>
            <w:vAlign w:val="center"/>
          </w:tcPr>
          <w:p w14:paraId="3EC1BBAC">
            <w:pPr>
              <w:pStyle w:val="178"/>
            </w:pPr>
            <w:r>
              <w:rPr>
                <w:rFonts w:hint="eastAsia"/>
              </w:rPr>
              <w:t>收入对账表、合同与开票回款记录、基线说明、计算过程留存</w:t>
            </w:r>
          </w:p>
        </w:tc>
      </w:tr>
      <w:tr w14:paraId="774C4A63">
        <w:tblPrEx>
          <w:tblCellMar>
            <w:top w:w="0" w:type="dxa"/>
            <w:left w:w="0" w:type="dxa"/>
            <w:bottom w:w="0" w:type="dxa"/>
            <w:right w:w="0" w:type="dxa"/>
          </w:tblCellMar>
        </w:tblPrEx>
        <w:trPr>
          <w:jc w:val="center"/>
        </w:trPr>
        <w:tc>
          <w:tcPr>
            <w:tcW w:w="1124" w:type="dxa"/>
            <w:vAlign w:val="center"/>
          </w:tcPr>
          <w:p w14:paraId="0309D77D">
            <w:pPr>
              <w:pStyle w:val="178"/>
            </w:pPr>
            <w:r>
              <w:rPr>
                <w:rFonts w:hint="eastAsia"/>
              </w:rPr>
              <w:t>合规与安全</w:t>
            </w:r>
          </w:p>
        </w:tc>
        <w:tc>
          <w:tcPr>
            <w:tcW w:w="1985" w:type="dxa"/>
            <w:vAlign w:val="center"/>
          </w:tcPr>
          <w:p w14:paraId="2B9C8158">
            <w:pPr>
              <w:pStyle w:val="178"/>
            </w:pPr>
            <w:r>
              <w:rPr>
                <w:rFonts w:hint="eastAsia"/>
              </w:rPr>
              <w:t>敏感性等级、合规审查结论、安全测评结果、跨境约束</w:t>
            </w:r>
          </w:p>
        </w:tc>
        <w:tc>
          <w:tcPr>
            <w:tcW w:w="1984" w:type="dxa"/>
            <w:vAlign w:val="center"/>
          </w:tcPr>
          <w:p w14:paraId="2E1AE9E2">
            <w:pPr>
              <w:pStyle w:val="178"/>
            </w:pPr>
            <w:r>
              <w:rPr>
                <w:rFonts w:hint="eastAsia"/>
              </w:rPr>
              <w:t>合规审查记录、安全测评报告、数据分级台账</w:t>
            </w:r>
          </w:p>
        </w:tc>
        <w:tc>
          <w:tcPr>
            <w:tcW w:w="2268" w:type="dxa"/>
            <w:vAlign w:val="center"/>
          </w:tcPr>
          <w:p w14:paraId="598B5692">
            <w:pPr>
              <w:pStyle w:val="178"/>
            </w:pPr>
            <w:r>
              <w:rPr>
                <w:rFonts w:hint="eastAsia"/>
              </w:rPr>
              <w:t>结论有效期明确、约束条件可执行、风险可量化</w:t>
            </w:r>
          </w:p>
        </w:tc>
        <w:tc>
          <w:tcPr>
            <w:tcW w:w="1973" w:type="dxa"/>
            <w:vAlign w:val="center"/>
          </w:tcPr>
          <w:p w14:paraId="51850637">
            <w:pPr>
              <w:pStyle w:val="178"/>
            </w:pPr>
            <w:r>
              <w:rPr>
                <w:rFonts w:hint="eastAsia"/>
              </w:rPr>
              <w:t>审查报告、测评报告、整改闭环记录、访问权限与审计记录</w:t>
            </w:r>
          </w:p>
        </w:tc>
      </w:tr>
    </w:tbl>
    <w:p w14:paraId="516E227E">
      <w:pPr>
        <w:pStyle w:val="105"/>
        <w:spacing w:before="120" w:after="120" w:line="360" w:lineRule="auto"/>
      </w:pPr>
      <w:r>
        <w:rPr>
          <w:rFonts w:hint="eastAsia"/>
        </w:rPr>
        <w:t>合规与安全控制要求</w:t>
      </w:r>
    </w:p>
    <w:p w14:paraId="466D8BD0">
      <w:pPr>
        <w:pStyle w:val="165"/>
        <w:spacing w:line="360" w:lineRule="auto"/>
      </w:pPr>
      <w:r>
        <w:rPr>
          <w:rFonts w:hint="eastAsia"/>
        </w:rPr>
        <w:t>评估活动应坚持最小必要原则。仅采集实现评估目的所必需的数据，能以汇总数据支持的不得强制采集明细数据。</w:t>
      </w:r>
    </w:p>
    <w:p w14:paraId="63A17347">
      <w:pPr>
        <w:pStyle w:val="165"/>
        <w:spacing w:line="360" w:lineRule="auto"/>
      </w:pPr>
      <w:r>
        <w:rPr>
          <w:rFonts w:hint="eastAsia"/>
        </w:rPr>
        <w:t>涉及个人信息重要数据商业秘密的评估数据应执行脱敏去标识化访问控制与审计留痕要求，必要时采用安全隔离环境开展取数与计算。</w:t>
      </w:r>
    </w:p>
    <w:p w14:paraId="2AAEAC74">
      <w:pPr>
        <w:pStyle w:val="165"/>
        <w:spacing w:line="360" w:lineRule="auto"/>
      </w:pPr>
      <w:r>
        <w:rPr>
          <w:rFonts w:hint="eastAsia"/>
        </w:rPr>
        <w:t>涉及跨境约束或行业监管要求的数据，应在评估前完成合规确认并明确可使用范围，评估报告中应披露相关限制条件及其对价值实现的影响。</w:t>
      </w:r>
    </w:p>
    <w:p w14:paraId="3A50D50D">
      <w:pPr>
        <w:pStyle w:val="105"/>
        <w:spacing w:before="120" w:after="120" w:line="360" w:lineRule="auto"/>
      </w:pPr>
      <w:r>
        <w:rPr>
          <w:rFonts w:hint="eastAsia"/>
        </w:rPr>
        <w:t>数据留存与复核要求</w:t>
      </w:r>
    </w:p>
    <w:p w14:paraId="02BF47C8">
      <w:pPr>
        <w:pStyle w:val="165"/>
        <w:spacing w:line="360" w:lineRule="auto"/>
      </w:pPr>
      <w:r>
        <w:rPr>
          <w:rFonts w:hint="eastAsia"/>
        </w:rPr>
        <w:t>评估工作应形成数据包留存与复核材料，至少包括数据清单口径说明取数记录校验记录计算过程关键假设与参数依据以及结论推导链路。</w:t>
      </w:r>
    </w:p>
    <w:p w14:paraId="296351A1">
      <w:pPr>
        <w:pStyle w:val="165"/>
        <w:spacing w:line="360" w:lineRule="auto"/>
      </w:pPr>
      <w:r>
        <w:rPr>
          <w:rFonts w:hint="eastAsia"/>
        </w:rPr>
        <w:t>数据留存应满足企业内控与审计要求，并符合数据安全与隐私保护要求。留存期限应与评估用途相匹配，原则上不低于评估结论使用周期及相关审计周期。</w:t>
      </w:r>
    </w:p>
    <w:p w14:paraId="4A3EE7FC">
      <w:pPr>
        <w:pStyle w:val="165"/>
        <w:spacing w:line="360" w:lineRule="auto"/>
      </w:pPr>
      <w:r>
        <w:rPr>
          <w:rFonts w:hint="eastAsia"/>
        </w:rPr>
        <w:t>评估复核宜包括独立取数复核口径一致性复核关键参数复核以及敏感性复核。复核结论应形成记录并作为评估报告附件或工作底稿保存。</w:t>
      </w:r>
    </w:p>
    <w:p w14:paraId="4B1AE0F1">
      <w:pPr>
        <w:pStyle w:val="104"/>
        <w:spacing w:before="240" w:after="240" w:line="360" w:lineRule="auto"/>
      </w:pPr>
      <w:bookmarkStart w:id="54" w:name="_Toc219114405"/>
      <w:r>
        <w:rPr>
          <w:rFonts w:hint="eastAsia"/>
        </w:rPr>
        <w:t>评估方法与参数确定要求</w:t>
      </w:r>
      <w:bookmarkEnd w:id="54"/>
    </w:p>
    <w:p w14:paraId="5545E493">
      <w:pPr>
        <w:pStyle w:val="105"/>
        <w:spacing w:before="120" w:after="120" w:line="360" w:lineRule="auto"/>
      </w:pPr>
      <w:r>
        <w:rPr>
          <w:rFonts w:hint="eastAsia"/>
        </w:rPr>
        <w:t>一般要求</w:t>
      </w:r>
    </w:p>
    <w:p w14:paraId="4FFF5ECE">
      <w:pPr>
        <w:pStyle w:val="165"/>
        <w:spacing w:line="360" w:lineRule="auto"/>
      </w:pPr>
      <w:r>
        <w:rPr>
          <w:rFonts w:hint="eastAsia"/>
        </w:rPr>
        <w:t>评估方法选用应与评估目的一致，并与资产类型、权属边界、收益实现机制、数据可得性、市场可比性相匹配。评估应至少说明方法选用理由、关键假设、关键参数来源、计算过程、风险调整逻辑及交叉验证结论。</w:t>
      </w:r>
    </w:p>
    <w:p w14:paraId="6FC9B554">
      <w:pPr>
        <w:pStyle w:val="165"/>
        <w:spacing w:line="360" w:lineRule="auto"/>
      </w:pPr>
      <w:r>
        <w:rPr>
          <w:rFonts w:hint="eastAsia"/>
        </w:rPr>
        <w:t>对同一数字资产宜采用一种主方法并辅以一种校验方法进行交叉验证。若主方法与校验方法差异较大，应分析差异来源并说明采用结论的依据。</w:t>
      </w:r>
    </w:p>
    <w:p w14:paraId="7A7302B1">
      <w:pPr>
        <w:pStyle w:val="165"/>
        <w:spacing w:line="360" w:lineRule="auto"/>
      </w:pPr>
      <w:r>
        <w:rPr>
          <w:rFonts w:hint="eastAsia"/>
        </w:rPr>
        <w:t>评估应避免价值重复计量。平台能力、接口资源、数据资产、算法模型在同一业务链条中可能同时贡献价值，评估时应明确价值归属边界，必要时采用贡献分摊或协同价值单列披露的方式处理。</w:t>
      </w:r>
    </w:p>
    <w:p w14:paraId="5FB3975E">
      <w:pPr>
        <w:pStyle w:val="165"/>
        <w:spacing w:line="360" w:lineRule="auto"/>
      </w:pPr>
      <w:r>
        <w:rPr>
          <w:rFonts w:hint="eastAsia"/>
        </w:rPr>
        <w:t>评估应明确资产状态，包含开发阶段、试运行阶段、稳定运营阶段、退化阶段等。不同状态下参数口径、预测期、风险水平应区别设定，不得混用。</w:t>
      </w:r>
    </w:p>
    <w:p w14:paraId="5825AFBE">
      <w:pPr>
        <w:pStyle w:val="105"/>
        <w:spacing w:before="120" w:after="120" w:line="360" w:lineRule="auto"/>
      </w:pPr>
      <w:r>
        <w:rPr>
          <w:rFonts w:hint="eastAsia"/>
        </w:rPr>
        <w:t>成本法要求</w:t>
      </w:r>
    </w:p>
    <w:p w14:paraId="54CF2027">
      <w:pPr>
        <w:pStyle w:val="65"/>
        <w:spacing w:before="120" w:after="120" w:line="360" w:lineRule="auto"/>
      </w:pPr>
      <w:r>
        <w:rPr>
          <w:rFonts w:hint="eastAsia"/>
        </w:rPr>
        <w:t>适用边界</w:t>
      </w:r>
    </w:p>
    <w:p w14:paraId="36FD603D">
      <w:pPr>
        <w:pStyle w:val="56"/>
        <w:spacing w:line="360" w:lineRule="auto"/>
        <w:ind w:firstLine="420"/>
      </w:pPr>
      <w:r>
        <w:rPr>
          <w:rFonts w:hint="eastAsia"/>
        </w:rPr>
        <w:t>成本法适用于收益路径尚不清晰或难以可靠预测，但资产形成成本边界清晰且可核验的情形。典型适用对象包括内部使用的软件系统、数据治理平台基础能力、部分算法模型底座能力、工艺与仿真成果方法库等。</w:t>
      </w:r>
    </w:p>
    <w:p w14:paraId="38C57863">
      <w:pPr>
        <w:pStyle w:val="65"/>
        <w:spacing w:before="120" w:after="120" w:line="360" w:lineRule="auto"/>
      </w:pPr>
      <w:r>
        <w:rPr>
          <w:rFonts w:hint="eastAsia"/>
        </w:rPr>
        <w:t>成本构成</w:t>
      </w:r>
    </w:p>
    <w:p w14:paraId="1177A438">
      <w:pPr>
        <w:pStyle w:val="56"/>
        <w:spacing w:line="360" w:lineRule="auto"/>
        <w:ind w:firstLine="420"/>
      </w:pPr>
      <w:r>
        <w:rPr>
          <w:rFonts w:hint="eastAsia"/>
        </w:rPr>
        <w:t>采用成本法时应明确成本口径，并至少包含直接成本、间接成本以及必要的合理利润或管理溢价。成本归集应与资产边界一致，并明确分摊规则与对账关系。常见成本项包括研发人工成本、外包成本、算力与存储成本、工具与软件许可成本、测试与验证成本、数据治理成本、运维投入成本、安全合规投入成本。</w:t>
      </w:r>
    </w:p>
    <w:p w14:paraId="5EBA643F">
      <w:pPr>
        <w:pStyle w:val="65"/>
        <w:spacing w:before="120" w:after="120" w:line="360" w:lineRule="auto"/>
      </w:pPr>
      <w:r>
        <w:rPr>
          <w:rFonts w:hint="eastAsia"/>
        </w:rPr>
        <w:t>重置成本与复现成本</w:t>
      </w:r>
    </w:p>
    <w:p w14:paraId="7C9C2DEE">
      <w:pPr>
        <w:pStyle w:val="56"/>
        <w:spacing w:line="360" w:lineRule="auto"/>
        <w:ind w:firstLine="420"/>
      </w:pPr>
      <w:r>
        <w:rPr>
          <w:rFonts w:hint="eastAsia"/>
        </w:rPr>
        <w:t>应根据评估目的选择重置成本或复现成本。重置成本强调以当前可行技术实现同等服务潜力的成本，复现成本强调复制当前资产形态与功能的成本。对技术迭代快的资产宜优先采用重置成本，并说明与现有资产差异的合理性。</w:t>
      </w:r>
    </w:p>
    <w:p w14:paraId="3DC270DD">
      <w:pPr>
        <w:pStyle w:val="65"/>
        <w:spacing w:before="120" w:after="120" w:line="360" w:lineRule="auto"/>
      </w:pPr>
      <w:r>
        <w:rPr>
          <w:rFonts w:hint="eastAsia"/>
        </w:rPr>
        <w:t>贬值调整</w:t>
      </w:r>
    </w:p>
    <w:p w14:paraId="693F213A">
      <w:pPr>
        <w:pStyle w:val="56"/>
        <w:spacing w:line="360" w:lineRule="auto"/>
        <w:ind w:firstLine="420"/>
      </w:pPr>
      <w:r>
        <w:rPr>
          <w:rFonts w:hint="eastAsia"/>
        </w:rPr>
        <w:t>成本法应考虑贬值因素并形成可解释的调整依据，至少包括功能性贬值、技术性贬值、经济性贬值以及合规约束带来的可用性折减。贬值判断应结合版本迭代速度、替代技术成熟度、性能差距、维护负担、市场需求变化、合规限制强度等因素，并保留测算底稿。</w:t>
      </w:r>
    </w:p>
    <w:p w14:paraId="0615B1A6">
      <w:pPr>
        <w:pStyle w:val="105"/>
        <w:spacing w:before="120" w:after="120" w:line="360" w:lineRule="auto"/>
      </w:pPr>
      <w:r>
        <w:rPr>
          <w:rFonts w:hint="eastAsia"/>
        </w:rPr>
        <w:t>收益法要求</w:t>
      </w:r>
    </w:p>
    <w:p w14:paraId="3FBBA9E7">
      <w:pPr>
        <w:pStyle w:val="65"/>
        <w:spacing w:before="120" w:after="120" w:line="360" w:lineRule="auto"/>
      </w:pPr>
      <w:r>
        <w:rPr>
          <w:rFonts w:hint="eastAsia"/>
        </w:rPr>
        <w:t>适用边界</w:t>
      </w:r>
    </w:p>
    <w:p w14:paraId="67B0EF4C">
      <w:pPr>
        <w:pStyle w:val="56"/>
        <w:spacing w:line="360" w:lineRule="auto"/>
        <w:ind w:firstLine="420"/>
      </w:pPr>
      <w:r>
        <w:rPr>
          <w:rFonts w:hint="eastAsia"/>
        </w:rPr>
        <w:t>收益法适用于资产能够形成可识别的现金流增量或可量化的成本节约，且关键假设可被合理验证的情形。典型适用对象包括数据产品对外交易与订阅、接口资源计费服务、平台能力对外服务收入、数字内容授权收入、软件产品许可与订阅、算法模型服务收费或带来的转化提升。</w:t>
      </w:r>
    </w:p>
    <w:p w14:paraId="280FF144">
      <w:pPr>
        <w:pStyle w:val="65"/>
        <w:spacing w:before="120" w:after="120" w:line="360" w:lineRule="auto"/>
      </w:pPr>
      <w:r>
        <w:rPr>
          <w:rFonts w:hint="eastAsia"/>
        </w:rPr>
        <w:t>收益识别与归属</w:t>
      </w:r>
    </w:p>
    <w:p w14:paraId="6A6F59E2">
      <w:pPr>
        <w:pStyle w:val="56"/>
        <w:spacing w:line="360" w:lineRule="auto"/>
        <w:ind w:firstLine="420"/>
      </w:pPr>
      <w:r>
        <w:rPr>
          <w:rFonts w:hint="eastAsia"/>
        </w:rPr>
        <w:t>收益法应明确收益归属边界与计量口径，区分直接收入、间接收入、成本节约与风险降低带来的价值。对间接收益应说明归因路径与可验证证据，避免将组织能力、品牌溢价、渠道优势无依据计入单一资产价值。</w:t>
      </w:r>
    </w:p>
    <w:p w14:paraId="6D42A943">
      <w:pPr>
        <w:pStyle w:val="65"/>
        <w:spacing w:before="120" w:after="120" w:line="360" w:lineRule="auto"/>
      </w:pPr>
      <w:r>
        <w:rPr>
          <w:rFonts w:hint="eastAsia"/>
        </w:rPr>
        <w:t>现金流测算要求</w:t>
      </w:r>
    </w:p>
    <w:p w14:paraId="1A078D9C">
      <w:pPr>
        <w:pStyle w:val="56"/>
        <w:spacing w:line="360" w:lineRule="auto"/>
        <w:ind w:firstLine="420"/>
      </w:pPr>
      <w:r>
        <w:rPr>
          <w:rFonts w:hint="eastAsia"/>
        </w:rPr>
        <w:t>采用折现现金流方法时应明确预测期、增长假设、价格假设、成本假设、必要新增投入、维护与更新投入以及终值处理方法。预测期应与资产生命周期和技术迭代周期一致，终值假设应可解释并与行业趋势相一致。</w:t>
      </w:r>
    </w:p>
    <w:p w14:paraId="5DE26125">
      <w:pPr>
        <w:pStyle w:val="65"/>
        <w:spacing w:before="120" w:after="120" w:line="360" w:lineRule="auto"/>
      </w:pPr>
      <w:r>
        <w:rPr>
          <w:rFonts w:hint="eastAsia"/>
        </w:rPr>
        <w:t>许可费节省法要求</w:t>
      </w:r>
    </w:p>
    <w:p w14:paraId="0A6882BF">
      <w:pPr>
        <w:pStyle w:val="56"/>
        <w:spacing w:line="360" w:lineRule="auto"/>
        <w:ind w:firstLine="420"/>
      </w:pPr>
      <w:r>
        <w:rPr>
          <w:rFonts w:hint="eastAsia"/>
        </w:rPr>
        <w:t>对可授权的数字资产，尤其是软件、源代码、算法模型、数字内容、接口资源等，可采用许可费节省法。许可费率应来源于可比许可案例或行业合理区间，并对独占性、地域范围、期限、再授权限制、服务水平承诺等差异进行调整。税率、维持成本、合规成本等应纳入现金流测算。</w:t>
      </w:r>
    </w:p>
    <w:p w14:paraId="65FBF0CA">
      <w:pPr>
        <w:pStyle w:val="65"/>
        <w:spacing w:before="120" w:after="120" w:line="360" w:lineRule="auto"/>
      </w:pPr>
      <w:r>
        <w:rPr>
          <w:rFonts w:hint="eastAsia"/>
        </w:rPr>
        <w:t>超额收益法要求</w:t>
      </w:r>
    </w:p>
    <w:p w14:paraId="6B28C5B1">
      <w:pPr>
        <w:pStyle w:val="56"/>
        <w:spacing w:line="360" w:lineRule="auto"/>
        <w:ind w:firstLine="420"/>
      </w:pPr>
      <w:r>
        <w:rPr>
          <w:rFonts w:hint="eastAsia"/>
        </w:rPr>
        <w:t>对平台能力或组合型资产在业务链条中形成显著超额收益的，可采用超额收益法。采用时应识别并扣除贡献性资产费用，明确贡献性资产范围与计量依据，避免重复计量。贡献性资产费用口径应一致并可复核。</w:t>
      </w:r>
    </w:p>
    <w:p w14:paraId="0A2D4BB8">
      <w:pPr>
        <w:pStyle w:val="105"/>
        <w:spacing w:before="120" w:after="120" w:line="360" w:lineRule="auto"/>
      </w:pPr>
      <w:r>
        <w:rPr>
          <w:rFonts w:hint="eastAsia"/>
        </w:rPr>
        <w:t>市场法要求</w:t>
      </w:r>
    </w:p>
    <w:p w14:paraId="4B0FD7C8">
      <w:pPr>
        <w:pStyle w:val="65"/>
        <w:spacing w:before="120" w:after="120" w:line="360" w:lineRule="auto"/>
      </w:pPr>
      <w:r>
        <w:rPr>
          <w:rFonts w:hint="eastAsia"/>
        </w:rPr>
        <w:t>适用边界</w:t>
      </w:r>
    </w:p>
    <w:p w14:paraId="57917B00">
      <w:pPr>
        <w:pStyle w:val="56"/>
        <w:spacing w:line="360" w:lineRule="auto"/>
        <w:ind w:firstLine="420"/>
      </w:pPr>
      <w:r>
        <w:rPr>
          <w:rFonts w:hint="eastAsia"/>
        </w:rPr>
        <w:t>市场法适用于存在可比交易案例或可比授权定价，且可比性可论证的情形。典型适用对象包括数据产品交易、软件产品并购或许可、数字内容版权交易、接口资源与平台服务的可比计费模型等。</w:t>
      </w:r>
    </w:p>
    <w:p w14:paraId="13168C17">
      <w:pPr>
        <w:pStyle w:val="65"/>
        <w:spacing w:before="120" w:after="120" w:line="360" w:lineRule="auto"/>
      </w:pPr>
      <w:r>
        <w:rPr>
          <w:rFonts w:hint="eastAsia"/>
        </w:rPr>
        <w:t>可比性要求</w:t>
      </w:r>
    </w:p>
    <w:p w14:paraId="47E23193">
      <w:pPr>
        <w:pStyle w:val="56"/>
        <w:spacing w:line="360" w:lineRule="auto"/>
        <w:ind w:firstLine="420"/>
      </w:pPr>
      <w:r>
        <w:rPr>
          <w:rFonts w:hint="eastAsia"/>
        </w:rPr>
        <w:t>可比性论证应至少覆盖资产类型与功能范围、权属边界与授权限制、资产成熟度、交付形态、客户结构、服务水平、合规约束、增长潜力、风险水平等维度。无法满足关键维度可比性时不宜直接采用市场法作为主方法。</w:t>
      </w:r>
    </w:p>
    <w:p w14:paraId="215BBA93">
      <w:pPr>
        <w:pStyle w:val="65"/>
        <w:spacing w:before="120" w:after="120" w:line="360" w:lineRule="auto"/>
      </w:pPr>
      <w:r>
        <w:rPr>
          <w:rFonts w:hint="eastAsia"/>
        </w:rPr>
        <w:t>调整要求</w:t>
      </w:r>
    </w:p>
    <w:p w14:paraId="234EF94B">
      <w:pPr>
        <w:pStyle w:val="56"/>
        <w:spacing w:line="360" w:lineRule="auto"/>
        <w:ind w:firstLine="420"/>
      </w:pPr>
      <w:r>
        <w:rPr>
          <w:rFonts w:hint="eastAsia"/>
        </w:rPr>
        <w:t>市场法应对差异因素进行调整并说明依据。调整可采用比例调整、参数映射调整或情景校验调整。对交易价格信息来源应进行可信度评估，并记录来源与可核验证据。</w:t>
      </w:r>
    </w:p>
    <w:p w14:paraId="516A982F">
      <w:pPr>
        <w:pStyle w:val="105"/>
        <w:spacing w:before="120" w:after="120" w:line="360" w:lineRule="auto"/>
      </w:pPr>
      <w:r>
        <w:rPr>
          <w:rFonts w:hint="eastAsia"/>
        </w:rPr>
        <w:t>方法组合与结论确定要求</w:t>
      </w:r>
    </w:p>
    <w:p w14:paraId="6E1F382D">
      <w:pPr>
        <w:pStyle w:val="165"/>
        <w:spacing w:line="360" w:lineRule="auto"/>
      </w:pPr>
      <w:r>
        <w:rPr>
          <w:rFonts w:hint="eastAsia"/>
        </w:rPr>
        <w:t>当单一方法难以充分反映价值时，可采用方法组合。组合应说明各方法适用性、数据可靠性、差异来源以及权重确定逻辑。</w:t>
      </w:r>
    </w:p>
    <w:p w14:paraId="26522B11">
      <w:pPr>
        <w:pStyle w:val="165"/>
        <w:spacing w:line="360" w:lineRule="auto"/>
      </w:pPr>
      <w:r>
        <w:rPr>
          <w:rFonts w:hint="eastAsia"/>
        </w:rPr>
        <w:t>结论确定应优先考虑与评估目的最匹配且证据链最完备的方法结果。对差异显著的结果应给出解释，并可采用区间值表达。区间上下限应对应明确情景条件。</w:t>
      </w:r>
    </w:p>
    <w:p w14:paraId="28DB1220">
      <w:pPr>
        <w:pStyle w:val="165"/>
        <w:numPr>
          <w:ilvl w:val="0"/>
          <w:numId w:val="0"/>
        </w:numPr>
        <w:spacing w:line="360" w:lineRule="auto"/>
        <w:rPr>
          <w:rFonts w:hint="eastAsia"/>
        </w:rPr>
      </w:pPr>
    </w:p>
    <w:p w14:paraId="0CFB286A">
      <w:pPr>
        <w:pStyle w:val="105"/>
        <w:spacing w:before="120" w:after="120" w:line="360" w:lineRule="auto"/>
      </w:pPr>
      <w:r>
        <w:rPr>
          <w:rFonts w:hint="eastAsia"/>
        </w:rPr>
        <w:t>关键参数确定要求</w:t>
      </w:r>
    </w:p>
    <w:p w14:paraId="7B7CA815">
      <w:pPr>
        <w:pStyle w:val="65"/>
        <w:spacing w:before="120" w:after="120" w:line="360" w:lineRule="auto"/>
      </w:pPr>
      <w:r>
        <w:rPr>
          <w:rFonts w:hint="eastAsia"/>
        </w:rPr>
        <w:t>收入相关参数</w:t>
      </w:r>
    </w:p>
    <w:p w14:paraId="2989B16B">
      <w:pPr>
        <w:pStyle w:val="56"/>
        <w:spacing w:line="360" w:lineRule="auto"/>
        <w:ind w:firstLine="420"/>
      </w:pPr>
      <w:r>
        <w:rPr>
          <w:rFonts w:hint="eastAsia"/>
        </w:rPr>
        <w:t>收入预测应明确计费模型、单价策略、调用量或用户量预测、续费率、流失率、客户获取成本以及价格调整机制。参数应有数据支撑，至少来源于历史经营数据、合同订单、报价体系、市场研究或可比案例。</w:t>
      </w:r>
    </w:p>
    <w:p w14:paraId="65D31CC5">
      <w:pPr>
        <w:pStyle w:val="65"/>
        <w:spacing w:before="120" w:after="120" w:line="360" w:lineRule="auto"/>
      </w:pPr>
      <w:r>
        <w:rPr>
          <w:rFonts w:hint="eastAsia"/>
        </w:rPr>
        <w:t>成本相关参数</w:t>
      </w:r>
    </w:p>
    <w:p w14:paraId="0E43B599">
      <w:pPr>
        <w:pStyle w:val="56"/>
        <w:spacing w:line="360" w:lineRule="auto"/>
        <w:ind w:firstLine="420"/>
      </w:pPr>
      <w:r>
        <w:rPr>
          <w:rFonts w:hint="eastAsia"/>
        </w:rPr>
        <w:t>成本参数应明确固定成本与变动成本口径，包含算力、存储、带宽、运维、人力、合规、安全投入等。对平台类资产应明确边际成本变化规律，并说明扩容与性能提升带来的成本曲线。</w:t>
      </w:r>
    </w:p>
    <w:p w14:paraId="1628F949">
      <w:pPr>
        <w:pStyle w:val="65"/>
        <w:spacing w:before="120" w:after="120" w:line="360" w:lineRule="auto"/>
      </w:pPr>
      <w:r>
        <w:rPr>
          <w:rFonts w:hint="eastAsia"/>
        </w:rPr>
        <w:t>生命周期相关参数</w:t>
      </w:r>
    </w:p>
    <w:p w14:paraId="7ED2A709">
      <w:pPr>
        <w:pStyle w:val="56"/>
        <w:spacing w:line="360" w:lineRule="auto"/>
        <w:ind w:firstLine="420"/>
      </w:pPr>
      <w:r>
        <w:rPr>
          <w:rFonts w:hint="eastAsia"/>
        </w:rPr>
        <w:t>生命周期应结合技术迭代频率、版本更新周期、兼容性要求、替代技术成熟度以及合规要求变化趋势确定。对算法模型与数据产品应特别关注数据漂移、模型退化与再训练频次。</w:t>
      </w:r>
    </w:p>
    <w:p w14:paraId="649B5B1F">
      <w:pPr>
        <w:pStyle w:val="65"/>
        <w:spacing w:before="120" w:after="120" w:line="360" w:lineRule="auto"/>
      </w:pPr>
      <w:r>
        <w:rPr>
          <w:rFonts w:hint="eastAsia"/>
        </w:rPr>
        <w:t>许可费率与分成比例</w:t>
      </w:r>
    </w:p>
    <w:p w14:paraId="42554677">
      <w:pPr>
        <w:pStyle w:val="56"/>
        <w:spacing w:line="360" w:lineRule="auto"/>
        <w:ind w:firstLine="420"/>
      </w:pPr>
      <w:r>
        <w:rPr>
          <w:rFonts w:hint="eastAsia"/>
        </w:rPr>
        <w:t>许可费率或分成比例应基于可比许可案例、行业惯例或可验证的内部定价政策确定。对独占、排他、非独占以及是否允许再授权的差异应进行调整并记录依据。</w:t>
      </w:r>
    </w:p>
    <w:p w14:paraId="46F38BA9">
      <w:pPr>
        <w:pStyle w:val="105"/>
        <w:spacing w:before="120" w:after="120" w:line="360" w:lineRule="auto"/>
      </w:pPr>
      <w:r>
        <w:rPr>
          <w:rFonts w:hint="eastAsia"/>
        </w:rPr>
        <w:t>风险调整与折现率要求</w:t>
      </w:r>
    </w:p>
    <w:p w14:paraId="52DE4F04">
      <w:pPr>
        <w:pStyle w:val="65"/>
        <w:spacing w:before="120" w:after="120" w:line="360" w:lineRule="auto"/>
      </w:pPr>
      <w:r>
        <w:rPr>
          <w:rFonts w:hint="eastAsia"/>
        </w:rPr>
        <w:t>风险识别</w:t>
      </w:r>
    </w:p>
    <w:p w14:paraId="58BE9F62">
      <w:pPr>
        <w:pStyle w:val="56"/>
        <w:spacing w:line="360" w:lineRule="auto"/>
        <w:ind w:firstLine="420"/>
      </w:pPr>
      <w:r>
        <w:rPr>
          <w:rFonts w:hint="eastAsia"/>
        </w:rPr>
        <w:t>评估应识别并量化主要风险，至少包括合规风险、安全风险、侵权与争议风险、技术迭代风险、关键依赖风险、市场需求风险、客户集中风险以及运营稳定性风险。</w:t>
      </w:r>
    </w:p>
    <w:p w14:paraId="71B21AED">
      <w:pPr>
        <w:pStyle w:val="65"/>
        <w:spacing w:before="120" w:after="120" w:line="360" w:lineRule="auto"/>
      </w:pPr>
      <w:r>
        <w:rPr>
          <w:rFonts w:hint="eastAsia"/>
        </w:rPr>
        <w:t>折现率确定</w:t>
      </w:r>
    </w:p>
    <w:p w14:paraId="1790398C">
      <w:pPr>
        <w:pStyle w:val="56"/>
        <w:spacing w:line="360" w:lineRule="auto"/>
        <w:ind w:firstLine="420"/>
      </w:pPr>
      <w:r>
        <w:rPr>
          <w:rFonts w:hint="eastAsia"/>
        </w:rPr>
        <w:t>折现率应与现金流口径匹配，并反映资产特有风险。可采用企业资本成本作为基础，并结合资产风险进行调整。若采用风险调整系数或概率加权方式，应说明方法、参数来源与合理性。</w:t>
      </w:r>
    </w:p>
    <w:p w14:paraId="4E96A9CF">
      <w:pPr>
        <w:pStyle w:val="65"/>
        <w:spacing w:before="120" w:after="120" w:line="360" w:lineRule="auto"/>
      </w:pPr>
      <w:r>
        <w:rPr>
          <w:rFonts w:hint="eastAsia"/>
        </w:rPr>
        <w:t>风险折扣与情景处理</w:t>
      </w:r>
    </w:p>
    <w:p w14:paraId="7BE838F5">
      <w:pPr>
        <w:pStyle w:val="56"/>
        <w:spacing w:line="360" w:lineRule="auto"/>
        <w:ind w:firstLine="420"/>
      </w:pPr>
      <w:r>
        <w:rPr>
          <w:rFonts w:hint="eastAsia"/>
        </w:rPr>
        <w:t>当风险难以通过折现率充分表达时，可采用现金流概率加权、情景折扣或收益实现条件约束的方式处理。采用折扣时应说明折扣来源与触发条件，避免无依据的经验折扣。</w:t>
      </w:r>
    </w:p>
    <w:p w14:paraId="5E0BCC3E">
      <w:pPr>
        <w:pStyle w:val="105"/>
        <w:spacing w:before="120" w:after="120" w:line="360" w:lineRule="auto"/>
      </w:pPr>
      <w:r>
        <w:rPr>
          <w:rFonts w:hint="eastAsia"/>
        </w:rPr>
        <w:t>敏感性分析与情景分析要求</w:t>
      </w:r>
    </w:p>
    <w:p w14:paraId="001476A8">
      <w:pPr>
        <w:pStyle w:val="56"/>
        <w:spacing w:line="360" w:lineRule="auto"/>
        <w:ind w:firstLine="420"/>
      </w:pPr>
      <w:r>
        <w:rPr>
          <w:rFonts w:hint="eastAsia"/>
        </w:rPr>
        <w:t>评估应对关键参数开展敏感性分析，至少包括增长率、价格或费率、调用量或用户量、续费率、边际成本、合规约束强度、再训练频次或维护投入等。对高不确定性资产宜同时提供基准情景、乐观情景、保守情景的价值区间，并说明各情景成立条件。</w:t>
      </w:r>
    </w:p>
    <w:p w14:paraId="490CD889">
      <w:pPr>
        <w:pStyle w:val="105"/>
        <w:spacing w:before="120" w:after="120" w:line="360" w:lineRule="auto"/>
      </w:pPr>
      <w:r>
        <w:rPr>
          <w:rFonts w:hint="eastAsia"/>
        </w:rPr>
        <w:t>可复核与可再现要求</w:t>
      </w:r>
    </w:p>
    <w:p w14:paraId="7895A1C5">
      <w:pPr>
        <w:pStyle w:val="56"/>
        <w:spacing w:line="360" w:lineRule="auto"/>
        <w:ind w:firstLine="420"/>
      </w:pPr>
      <w:r>
        <w:rPr>
          <w:rFonts w:hint="eastAsia"/>
        </w:rPr>
        <w:t>评估应形成完整工作底稿，至少包含参数清单与来源、取数口径说明、计算模型说明、关键假设说明、交叉验证说明以及结论形成逻辑。采用工具或脚本计算的，应保留版本记录与运行环境说明，确保同等前提条件下可复现主要结果。</w:t>
      </w:r>
    </w:p>
    <w:p w14:paraId="5FCAC7CB">
      <w:pPr>
        <w:pStyle w:val="104"/>
        <w:spacing w:before="240" w:after="240" w:line="360" w:lineRule="auto"/>
      </w:pPr>
      <w:bookmarkStart w:id="55" w:name="_Toc219114406"/>
      <w:r>
        <w:rPr>
          <w:rFonts w:hint="eastAsia"/>
        </w:rPr>
        <w:t>风险因素与调整要求</w:t>
      </w:r>
      <w:bookmarkEnd w:id="55"/>
    </w:p>
    <w:p w14:paraId="015FA498">
      <w:pPr>
        <w:pStyle w:val="105"/>
        <w:spacing w:before="120" w:after="120" w:line="360" w:lineRule="auto"/>
      </w:pPr>
      <w:r>
        <w:rPr>
          <w:rFonts w:hint="eastAsia"/>
        </w:rPr>
        <w:t>一般要求</w:t>
      </w:r>
    </w:p>
    <w:p w14:paraId="48F64175">
      <w:pPr>
        <w:pStyle w:val="165"/>
        <w:spacing w:line="360" w:lineRule="auto"/>
      </w:pPr>
      <w:r>
        <w:rPr>
          <w:rFonts w:hint="eastAsia"/>
        </w:rPr>
        <w:t>数字资产价值受合规安全、权属边界、技术迭代、数据质量、依赖关系、市场环境与运营稳定性等因素影响。评估应识别主要风险因素并形成风险清单，明确风险来源、触发条件、影响路径、可控性以及证据链要求。</w:t>
      </w:r>
    </w:p>
    <w:p w14:paraId="0BBE1EE6">
      <w:pPr>
        <w:pStyle w:val="165"/>
        <w:spacing w:line="360" w:lineRule="auto"/>
      </w:pPr>
      <w:r>
        <w:rPr>
          <w:rFonts w:hint="eastAsia"/>
        </w:rPr>
        <w:t>风险调整应与评估方法一致。采用收益法时应优先通过现金流情景、概率加权、成本与投入调整、终值调整与折现率调整体现风险。采用成本法时应通过贬值调整、可用性折减与再投入要求体现风险。采用市场法时应通过可比性差异调整与交易限制调整体现风险。</w:t>
      </w:r>
    </w:p>
    <w:p w14:paraId="70D05F28">
      <w:pPr>
        <w:pStyle w:val="165"/>
        <w:spacing w:line="360" w:lineRule="auto"/>
      </w:pPr>
      <w:r>
        <w:rPr>
          <w:rFonts w:hint="eastAsia"/>
        </w:rPr>
        <w:t>风险调整应可解释可复核。对关键风险因子应给出量化依据或可核验的替代证据，并对高敏感风险进行情景分析，形成价值区间或条件性结论。</w:t>
      </w:r>
    </w:p>
    <w:p w14:paraId="094AEB78">
      <w:pPr>
        <w:pStyle w:val="105"/>
        <w:spacing w:before="120" w:after="120" w:line="360" w:lineRule="auto"/>
      </w:pPr>
      <w:r>
        <w:rPr>
          <w:rFonts w:hint="eastAsia"/>
        </w:rPr>
        <w:t>合规与安全风险</w:t>
      </w:r>
    </w:p>
    <w:p w14:paraId="7510283B">
      <w:pPr>
        <w:pStyle w:val="165"/>
        <w:spacing w:line="360" w:lineRule="auto"/>
      </w:pPr>
      <w:r>
        <w:rPr>
          <w:rFonts w:hint="eastAsia"/>
        </w:rPr>
        <w:t>合规风险识别应覆盖个人信息处理、重要数据管理、数据出境限制、行业监管要求、算法治理要求、内容合规要求以及数据产品合规交付要求。</w:t>
      </w:r>
    </w:p>
    <w:p w14:paraId="5F891E22">
      <w:pPr>
        <w:pStyle w:val="165"/>
        <w:spacing w:line="360" w:lineRule="auto"/>
      </w:pPr>
      <w:r>
        <w:rPr>
          <w:rFonts w:hint="eastAsia"/>
        </w:rPr>
        <w:t>合规风险调整应至少考虑合规整改投入、合规审查周期对收益实现节奏的影响、可用数据范围收缩带来的收益上限下降以及违规处罚与业务中断的概率影响。</w:t>
      </w:r>
    </w:p>
    <w:p w14:paraId="3F5887AA">
      <w:pPr>
        <w:pStyle w:val="165"/>
        <w:spacing w:line="360" w:lineRule="auto"/>
      </w:pPr>
      <w:r>
        <w:rPr>
          <w:rFonts w:hint="eastAsia"/>
        </w:rPr>
        <w:t>安全风险识别应覆盖访问控制薄弱、日志留存不足、数据泄露风险、供应链攻击风险、模型窃取风险与接口滥用风险。安全风险调整应结合安全加固投入、保险成本、事件处置成本与服务等级下降对客户留存的影响进行处理。</w:t>
      </w:r>
    </w:p>
    <w:p w14:paraId="7963C731">
      <w:pPr>
        <w:pStyle w:val="105"/>
        <w:spacing w:before="120" w:after="120" w:line="360" w:lineRule="auto"/>
      </w:pPr>
      <w:r>
        <w:rPr>
          <w:rFonts w:hint="eastAsia"/>
        </w:rPr>
        <w:t>权属边界与知识产权风险</w:t>
      </w:r>
    </w:p>
    <w:p w14:paraId="6675E9B2">
      <w:pPr>
        <w:pStyle w:val="165"/>
        <w:spacing w:line="360" w:lineRule="auto"/>
      </w:pPr>
      <w:r>
        <w:rPr>
          <w:rFonts w:hint="eastAsia"/>
        </w:rPr>
        <w:t>权属风险识别应覆盖权属不清、授权链路不完整、再授权限制不明确、开源许可不合规、共同开发归属争议以及员工与外包成果归属争议。</w:t>
      </w:r>
    </w:p>
    <w:p w14:paraId="2F1DCCD6">
      <w:pPr>
        <w:pStyle w:val="165"/>
        <w:spacing w:line="360" w:lineRule="auto"/>
      </w:pPr>
      <w:r>
        <w:rPr>
          <w:rFonts w:hint="eastAsia"/>
        </w:rPr>
        <w:t>知识产权风险调整应考虑可转让范围受限、许可范围受限、地域期限受限、独占性不足、侵权争议概率以及维权成本。对权属边界无法闭合的资产应在结论中披露限制条件，并可采用保守情景或区间下限表达。</w:t>
      </w:r>
    </w:p>
    <w:p w14:paraId="34D450D7">
      <w:pPr>
        <w:pStyle w:val="165"/>
        <w:numPr>
          <w:ilvl w:val="0"/>
          <w:numId w:val="0"/>
        </w:numPr>
        <w:spacing w:line="360" w:lineRule="auto"/>
      </w:pPr>
    </w:p>
    <w:p w14:paraId="569049DB">
      <w:pPr>
        <w:pStyle w:val="165"/>
        <w:numPr>
          <w:ilvl w:val="0"/>
          <w:numId w:val="0"/>
        </w:numPr>
        <w:spacing w:line="360" w:lineRule="auto"/>
        <w:rPr>
          <w:rFonts w:hint="eastAsia"/>
        </w:rPr>
      </w:pPr>
    </w:p>
    <w:p w14:paraId="544CB3D9">
      <w:pPr>
        <w:pStyle w:val="105"/>
        <w:spacing w:before="120" w:after="120" w:line="360" w:lineRule="auto"/>
      </w:pPr>
      <w:r>
        <w:rPr>
          <w:rFonts w:hint="eastAsia"/>
        </w:rPr>
        <w:t>技术迭代与可替代性风险</w:t>
      </w:r>
    </w:p>
    <w:p w14:paraId="1487E290">
      <w:pPr>
        <w:pStyle w:val="165"/>
        <w:spacing w:line="360" w:lineRule="auto"/>
      </w:pPr>
      <w:r>
        <w:rPr>
          <w:rFonts w:hint="eastAsia"/>
        </w:rPr>
        <w:t>技术风险识别应覆盖替代技术成熟度、版本迭代频率、兼容性维护负担、性能差距扩大风险、模型退化与数据漂移风险以及算力依赖风险。</w:t>
      </w:r>
    </w:p>
    <w:p w14:paraId="1EA1924E">
      <w:pPr>
        <w:pStyle w:val="165"/>
        <w:spacing w:line="360" w:lineRule="auto"/>
      </w:pPr>
      <w:r>
        <w:rPr>
          <w:rFonts w:hint="eastAsia"/>
        </w:rPr>
        <w:t>技术风险调整应通过生命周期缩短、维护与再训练投入上升、性能优势衰减速度加快、终值下降等方式体现。对强依赖特定硬件、特定云服务或特定供应商生态的资产应提高依赖风险权重。</w:t>
      </w:r>
    </w:p>
    <w:p w14:paraId="5517B977">
      <w:pPr>
        <w:pStyle w:val="105"/>
        <w:spacing w:before="120" w:after="120" w:line="360" w:lineRule="auto"/>
      </w:pPr>
      <w:r>
        <w:rPr>
          <w:rFonts w:hint="eastAsia"/>
        </w:rPr>
        <w:t>数据质量与可治理性风险</w:t>
      </w:r>
    </w:p>
    <w:p w14:paraId="61440B97">
      <w:pPr>
        <w:pStyle w:val="165"/>
        <w:spacing w:line="360" w:lineRule="auto"/>
      </w:pPr>
      <w:r>
        <w:rPr>
          <w:rFonts w:hint="eastAsia"/>
        </w:rPr>
        <w:t>数据质量风险识别应覆盖缺失率、准确率、时效性、一致性、覆盖度、标注质量、偏差与代表性以及数据可持续获取能力。</w:t>
      </w:r>
    </w:p>
    <w:p w14:paraId="1007D5E9">
      <w:pPr>
        <w:pStyle w:val="165"/>
        <w:spacing w:line="360" w:lineRule="auto"/>
      </w:pPr>
      <w:r>
        <w:rPr>
          <w:rFonts w:hint="eastAsia"/>
        </w:rPr>
        <w:t>数据质量风险调整应考虑治理投入、质量波动导致的交付稳定性下降、模型性能波动、客户投诉与违约风险、可交易规模受限等影响。对依赖持续更新的数据产品应评估数据更新机制与质量监控机制有效性。</w:t>
      </w:r>
    </w:p>
    <w:p w14:paraId="56027C64">
      <w:pPr>
        <w:pStyle w:val="105"/>
        <w:spacing w:before="120" w:after="120" w:line="360" w:lineRule="auto"/>
      </w:pPr>
      <w:r>
        <w:rPr>
          <w:rFonts w:hint="eastAsia"/>
        </w:rPr>
        <w:t>依赖关系与交付约束风险</w:t>
      </w:r>
    </w:p>
    <w:p w14:paraId="779E7B5A">
      <w:pPr>
        <w:pStyle w:val="165"/>
        <w:spacing w:line="360" w:lineRule="auto"/>
      </w:pPr>
      <w:r>
        <w:rPr>
          <w:rFonts w:hint="eastAsia"/>
        </w:rPr>
        <w:t>依赖关系风险识别应覆盖对上游数据源、第三方接口、开源组件、云平台服务、关键算法框架、关键人员与关键客户的依赖。</w:t>
      </w:r>
    </w:p>
    <w:p w14:paraId="0FDEF17C">
      <w:pPr>
        <w:pStyle w:val="165"/>
        <w:spacing w:line="360" w:lineRule="auto"/>
      </w:pPr>
      <w:r>
        <w:rPr>
          <w:rFonts w:hint="eastAsia"/>
        </w:rPr>
        <w:t>依赖关系风险调整应结合替代路径可行性、切换成本、合同锁定条款、服务中断概率与恢复能力进行处理。对接口资源与平台能力资产应重点评估服务等级承诺与容量约束对收益上限的影响。</w:t>
      </w:r>
    </w:p>
    <w:p w14:paraId="789ED668">
      <w:pPr>
        <w:pStyle w:val="105"/>
        <w:spacing w:before="120" w:after="120" w:line="360" w:lineRule="auto"/>
      </w:pPr>
      <w:r>
        <w:rPr>
          <w:rFonts w:hint="eastAsia"/>
        </w:rPr>
        <w:t>市场与商业化风险</w:t>
      </w:r>
    </w:p>
    <w:p w14:paraId="54EE01B9">
      <w:pPr>
        <w:pStyle w:val="165"/>
        <w:spacing w:line="360" w:lineRule="auto"/>
      </w:pPr>
      <w:r>
        <w:rPr>
          <w:rFonts w:hint="eastAsia"/>
        </w:rPr>
        <w:t>市场风险识别应覆盖需求波动、价格下行、竞争加剧、客户集中度、渠道依赖、商业模式变化以及监管政策变化对交易可行性的影响。</w:t>
      </w:r>
    </w:p>
    <w:p w14:paraId="27250C5D">
      <w:pPr>
        <w:pStyle w:val="165"/>
        <w:spacing w:line="360" w:lineRule="auto"/>
      </w:pPr>
      <w:r>
        <w:rPr>
          <w:rFonts w:hint="eastAsia"/>
        </w:rPr>
        <w:t>市场风险调整应通过增长率下调、价格策略保守化、获客成本上升、续费率下调、客户集中风险折扣与终值折减体现。对交易与授权定价场景应明确可比案例稀缺带来的不确定性并采用区间表达。</w:t>
      </w:r>
    </w:p>
    <w:p w14:paraId="7391EBDE">
      <w:pPr>
        <w:pStyle w:val="105"/>
        <w:spacing w:before="120" w:after="120" w:line="360" w:lineRule="auto"/>
      </w:pPr>
      <w:r>
        <w:rPr>
          <w:rFonts w:hint="eastAsia"/>
        </w:rPr>
        <w:t>风险调整方法与证据要求</w:t>
      </w:r>
    </w:p>
    <w:p w14:paraId="26A8EDFF">
      <w:pPr>
        <w:pStyle w:val="56"/>
        <w:spacing w:line="360" w:lineRule="auto"/>
        <w:ind w:firstLine="420"/>
      </w:pPr>
      <w:r>
        <w:rPr>
          <w:rFonts w:hint="eastAsia"/>
        </w:rPr>
        <w:t>风险因素与调整方法对应关系以及证据要求见表2。</w:t>
      </w:r>
    </w:p>
    <w:p w14:paraId="5238F50A">
      <w:pPr>
        <w:pStyle w:val="112"/>
        <w:spacing w:before="120" w:after="120"/>
      </w:pPr>
      <w:r>
        <w:rPr>
          <w:rFonts w:hint="eastAsia"/>
        </w:rPr>
        <w:t>风险因素与调整方法对照表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1985"/>
        <w:gridCol w:w="1984"/>
        <w:gridCol w:w="2398"/>
      </w:tblGrid>
      <w:tr w14:paraId="0A9E7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2CFD20D0">
            <w:pPr>
              <w:pStyle w:val="178"/>
            </w:pPr>
            <w:r>
              <w:rPr>
                <w:rFonts w:hint="eastAsia"/>
              </w:rPr>
              <w:t>风险因素类别</w:t>
            </w:r>
          </w:p>
        </w:tc>
        <w:tc>
          <w:tcPr>
            <w:tcW w:w="1843" w:type="dxa"/>
            <w:tcBorders>
              <w:top w:val="single" w:color="auto" w:sz="8" w:space="0"/>
              <w:bottom w:val="single" w:color="auto" w:sz="8" w:space="0"/>
            </w:tcBorders>
            <w:vAlign w:val="center"/>
          </w:tcPr>
          <w:p w14:paraId="05E0A76E">
            <w:pPr>
              <w:pStyle w:val="178"/>
            </w:pPr>
            <w:r>
              <w:rPr>
                <w:rFonts w:hint="eastAsia"/>
              </w:rPr>
              <w:t>典型风险点示例</w:t>
            </w:r>
          </w:p>
        </w:tc>
        <w:tc>
          <w:tcPr>
            <w:tcW w:w="1985" w:type="dxa"/>
            <w:tcBorders>
              <w:top w:val="single" w:color="auto" w:sz="8" w:space="0"/>
              <w:bottom w:val="single" w:color="auto" w:sz="8" w:space="0"/>
            </w:tcBorders>
            <w:vAlign w:val="center"/>
          </w:tcPr>
          <w:p w14:paraId="1683CE9A">
            <w:pPr>
              <w:pStyle w:val="178"/>
            </w:pPr>
            <w:r>
              <w:rPr>
                <w:rFonts w:hint="eastAsia"/>
              </w:rPr>
              <w:t>可量化指标示例</w:t>
            </w:r>
          </w:p>
        </w:tc>
        <w:tc>
          <w:tcPr>
            <w:tcW w:w="1984" w:type="dxa"/>
            <w:tcBorders>
              <w:top w:val="single" w:color="auto" w:sz="8" w:space="0"/>
              <w:bottom w:val="single" w:color="auto" w:sz="8" w:space="0"/>
            </w:tcBorders>
            <w:vAlign w:val="center"/>
          </w:tcPr>
          <w:p w14:paraId="5999A0CB">
            <w:pPr>
              <w:pStyle w:val="178"/>
            </w:pPr>
            <w:r>
              <w:rPr>
                <w:rFonts w:hint="eastAsia"/>
              </w:rPr>
              <w:t>主要证据来源示例</w:t>
            </w:r>
          </w:p>
        </w:tc>
        <w:tc>
          <w:tcPr>
            <w:tcW w:w="2398" w:type="dxa"/>
            <w:tcBorders>
              <w:top w:val="single" w:color="auto" w:sz="8" w:space="0"/>
              <w:bottom w:val="single" w:color="auto" w:sz="8" w:space="0"/>
            </w:tcBorders>
            <w:vAlign w:val="center"/>
          </w:tcPr>
          <w:p w14:paraId="75BA6415">
            <w:pPr>
              <w:pStyle w:val="178"/>
            </w:pPr>
            <w:r>
              <w:rPr>
                <w:rFonts w:hint="eastAsia"/>
              </w:rPr>
              <w:t>常用调整方式示例</w:t>
            </w:r>
          </w:p>
        </w:tc>
      </w:tr>
      <w:tr w14:paraId="12BF7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7D97C7FB">
            <w:pPr>
              <w:pStyle w:val="178"/>
            </w:pPr>
            <w:r>
              <w:rPr>
                <w:rFonts w:hint="eastAsia"/>
              </w:rPr>
              <w:t>合规风险</w:t>
            </w:r>
          </w:p>
        </w:tc>
        <w:tc>
          <w:tcPr>
            <w:tcW w:w="1843" w:type="dxa"/>
            <w:tcBorders>
              <w:top w:val="single" w:color="auto" w:sz="8" w:space="0"/>
            </w:tcBorders>
            <w:vAlign w:val="center"/>
          </w:tcPr>
          <w:p w14:paraId="42DFE337">
            <w:pPr>
              <w:pStyle w:val="178"/>
            </w:pPr>
            <w:r>
              <w:rPr>
                <w:rFonts w:hint="eastAsia"/>
              </w:rPr>
              <w:t>出境限制、重要数据限制、算法合规约束</w:t>
            </w:r>
          </w:p>
        </w:tc>
        <w:tc>
          <w:tcPr>
            <w:tcW w:w="1985" w:type="dxa"/>
            <w:tcBorders>
              <w:top w:val="single" w:color="auto" w:sz="8" w:space="0"/>
            </w:tcBorders>
            <w:vAlign w:val="center"/>
          </w:tcPr>
          <w:p w14:paraId="221C98B6">
            <w:pPr>
              <w:pStyle w:val="178"/>
            </w:pPr>
            <w:r>
              <w:rPr>
                <w:rFonts w:hint="eastAsia"/>
              </w:rPr>
              <w:t>可交易范围比例、合规审查周期、整改投入</w:t>
            </w:r>
          </w:p>
        </w:tc>
        <w:tc>
          <w:tcPr>
            <w:tcW w:w="1984" w:type="dxa"/>
            <w:tcBorders>
              <w:top w:val="single" w:color="auto" w:sz="8" w:space="0"/>
            </w:tcBorders>
            <w:vAlign w:val="center"/>
          </w:tcPr>
          <w:p w14:paraId="3E1B4EE4">
            <w:pPr>
              <w:pStyle w:val="178"/>
            </w:pPr>
            <w:r>
              <w:rPr>
                <w:rFonts w:hint="eastAsia"/>
              </w:rPr>
              <w:t>合规审查记录、数据分级台账、整改闭环</w:t>
            </w:r>
          </w:p>
        </w:tc>
        <w:tc>
          <w:tcPr>
            <w:tcW w:w="2398" w:type="dxa"/>
            <w:tcBorders>
              <w:top w:val="single" w:color="auto" w:sz="8" w:space="0"/>
            </w:tcBorders>
            <w:vAlign w:val="center"/>
          </w:tcPr>
          <w:p w14:paraId="38AE5353">
            <w:pPr>
              <w:pStyle w:val="178"/>
            </w:pPr>
            <w:r>
              <w:rPr>
                <w:rFonts w:hint="eastAsia"/>
              </w:rPr>
              <w:t>现金流延后、收益上限下调、成本上调、情景概率加权</w:t>
            </w:r>
          </w:p>
        </w:tc>
      </w:tr>
      <w:tr w14:paraId="4AB82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54A72D9">
            <w:pPr>
              <w:pStyle w:val="178"/>
            </w:pPr>
            <w:r>
              <w:rPr>
                <w:rFonts w:hint="eastAsia"/>
              </w:rPr>
              <w:t>安全风险</w:t>
            </w:r>
          </w:p>
        </w:tc>
        <w:tc>
          <w:tcPr>
            <w:tcW w:w="1843" w:type="dxa"/>
            <w:vAlign w:val="center"/>
          </w:tcPr>
          <w:p w14:paraId="2424E512">
            <w:pPr>
              <w:pStyle w:val="178"/>
            </w:pPr>
            <w:r>
              <w:rPr>
                <w:rFonts w:hint="eastAsia"/>
              </w:rPr>
              <w:t>泄露风险、接口滥用、模型窃取</w:t>
            </w:r>
          </w:p>
        </w:tc>
        <w:tc>
          <w:tcPr>
            <w:tcW w:w="1985" w:type="dxa"/>
            <w:vAlign w:val="center"/>
          </w:tcPr>
          <w:p w14:paraId="3674AF25">
            <w:pPr>
              <w:pStyle w:val="178"/>
            </w:pPr>
            <w:r>
              <w:rPr>
                <w:rFonts w:hint="eastAsia"/>
              </w:rPr>
              <w:t>事件频率、修复周期、服务等级下降</w:t>
            </w:r>
          </w:p>
        </w:tc>
        <w:tc>
          <w:tcPr>
            <w:tcW w:w="1984" w:type="dxa"/>
            <w:vAlign w:val="center"/>
          </w:tcPr>
          <w:p w14:paraId="356FDC7C">
            <w:pPr>
              <w:pStyle w:val="178"/>
            </w:pPr>
            <w:r>
              <w:rPr>
                <w:rFonts w:hint="eastAsia"/>
              </w:rPr>
              <w:t>安全测评报告、审计日志、监控报表</w:t>
            </w:r>
          </w:p>
        </w:tc>
        <w:tc>
          <w:tcPr>
            <w:tcW w:w="2398" w:type="dxa"/>
            <w:vAlign w:val="center"/>
          </w:tcPr>
          <w:p w14:paraId="2DDC46CB">
            <w:pPr>
              <w:pStyle w:val="178"/>
            </w:pPr>
            <w:r>
              <w:rPr>
                <w:rFonts w:hint="eastAsia"/>
              </w:rPr>
              <w:t>成本上调、客户留存下调、</w:t>
            </w:r>
          </w:p>
          <w:p w14:paraId="1F6A43CF">
            <w:pPr>
              <w:pStyle w:val="178"/>
            </w:pPr>
            <w:r>
              <w:rPr>
                <w:rFonts w:hint="eastAsia"/>
              </w:rPr>
              <w:t>折现率上调、终值折减</w:t>
            </w:r>
          </w:p>
        </w:tc>
      </w:tr>
      <w:tr w14:paraId="3D59A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71519C8">
            <w:pPr>
              <w:pStyle w:val="178"/>
            </w:pPr>
            <w:r>
              <w:rPr>
                <w:rFonts w:hint="eastAsia"/>
              </w:rPr>
              <w:t>权属风险</w:t>
            </w:r>
          </w:p>
        </w:tc>
        <w:tc>
          <w:tcPr>
            <w:tcW w:w="1843" w:type="dxa"/>
            <w:vAlign w:val="center"/>
          </w:tcPr>
          <w:p w14:paraId="1F8ADB95">
            <w:pPr>
              <w:pStyle w:val="178"/>
            </w:pPr>
            <w:r>
              <w:rPr>
                <w:rFonts w:hint="eastAsia"/>
              </w:rPr>
              <w:t>授权链路不完整、开源许可争议</w:t>
            </w:r>
          </w:p>
        </w:tc>
        <w:tc>
          <w:tcPr>
            <w:tcW w:w="1985" w:type="dxa"/>
            <w:vAlign w:val="center"/>
          </w:tcPr>
          <w:p w14:paraId="2D16B95F">
            <w:pPr>
              <w:pStyle w:val="178"/>
            </w:pPr>
            <w:r>
              <w:rPr>
                <w:rFonts w:hint="eastAsia"/>
              </w:rPr>
              <w:t>可授权范围比例、争议概率、维权成本</w:t>
            </w:r>
          </w:p>
        </w:tc>
        <w:tc>
          <w:tcPr>
            <w:tcW w:w="1984" w:type="dxa"/>
            <w:vAlign w:val="center"/>
          </w:tcPr>
          <w:p w14:paraId="721F0915">
            <w:pPr>
              <w:pStyle w:val="178"/>
            </w:pPr>
            <w:r>
              <w:rPr>
                <w:rFonts w:hint="eastAsia"/>
              </w:rPr>
              <w:t>合同条款、</w:t>
            </w:r>
          </w:p>
          <w:p w14:paraId="5BD24DF9">
            <w:pPr>
              <w:pStyle w:val="178"/>
            </w:pPr>
            <w:r>
              <w:rPr>
                <w:rFonts w:hint="eastAsia"/>
              </w:rPr>
              <w:t>许可清单、法务意见</w:t>
            </w:r>
          </w:p>
        </w:tc>
        <w:tc>
          <w:tcPr>
            <w:tcW w:w="2398" w:type="dxa"/>
            <w:vAlign w:val="center"/>
          </w:tcPr>
          <w:p w14:paraId="2E0628D8">
            <w:pPr>
              <w:pStyle w:val="178"/>
            </w:pPr>
            <w:r>
              <w:rPr>
                <w:rFonts w:hint="eastAsia"/>
              </w:rPr>
              <w:t>收益折扣、情景下限、折现率上调、限制条件披露</w:t>
            </w:r>
          </w:p>
        </w:tc>
      </w:tr>
      <w:tr w14:paraId="09DD8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2C3FB75">
            <w:pPr>
              <w:pStyle w:val="178"/>
            </w:pPr>
            <w:r>
              <w:rPr>
                <w:rFonts w:hint="eastAsia"/>
              </w:rPr>
              <w:t>技术迭代风险</w:t>
            </w:r>
          </w:p>
        </w:tc>
        <w:tc>
          <w:tcPr>
            <w:tcW w:w="1843" w:type="dxa"/>
            <w:vAlign w:val="center"/>
          </w:tcPr>
          <w:p w14:paraId="23927B17">
            <w:pPr>
              <w:pStyle w:val="178"/>
            </w:pPr>
            <w:r>
              <w:rPr>
                <w:rFonts w:hint="eastAsia"/>
              </w:rPr>
              <w:t>替代技术成熟、版本快速迭代</w:t>
            </w:r>
          </w:p>
        </w:tc>
        <w:tc>
          <w:tcPr>
            <w:tcW w:w="1985" w:type="dxa"/>
            <w:vAlign w:val="center"/>
          </w:tcPr>
          <w:p w14:paraId="4588F50D">
            <w:pPr>
              <w:pStyle w:val="178"/>
            </w:pPr>
            <w:r>
              <w:rPr>
                <w:rFonts w:hint="eastAsia"/>
              </w:rPr>
              <w:t>生命周期年限、性能衰减速度、再训练频次</w:t>
            </w:r>
          </w:p>
        </w:tc>
        <w:tc>
          <w:tcPr>
            <w:tcW w:w="1984" w:type="dxa"/>
            <w:vAlign w:val="center"/>
          </w:tcPr>
          <w:p w14:paraId="5F82899D">
            <w:pPr>
              <w:pStyle w:val="178"/>
            </w:pPr>
            <w:r>
              <w:rPr>
                <w:rFonts w:hint="eastAsia"/>
              </w:rPr>
              <w:t>路线图、版本记录、</w:t>
            </w:r>
          </w:p>
          <w:p w14:paraId="322DC971">
            <w:pPr>
              <w:pStyle w:val="178"/>
            </w:pPr>
            <w:r>
              <w:rPr>
                <w:rFonts w:hint="eastAsia"/>
              </w:rPr>
              <w:t>性能评测</w:t>
            </w:r>
          </w:p>
        </w:tc>
        <w:tc>
          <w:tcPr>
            <w:tcW w:w="2398" w:type="dxa"/>
            <w:vAlign w:val="center"/>
          </w:tcPr>
          <w:p w14:paraId="2195C619">
            <w:pPr>
              <w:pStyle w:val="178"/>
            </w:pPr>
            <w:r>
              <w:rPr>
                <w:rFonts w:hint="eastAsia"/>
              </w:rPr>
              <w:t>预测期缩短、维护投入上调、终值下调、折现率上调</w:t>
            </w:r>
          </w:p>
        </w:tc>
      </w:tr>
    </w:tbl>
    <w:p w14:paraId="03B6C06D">
      <w:pPr>
        <w:pStyle w:val="56"/>
        <w:spacing w:before="120" w:beforeLines="50" w:after="120" w:afterLines="50"/>
        <w:ind w:firstLine="0" w:firstLineChars="0"/>
        <w:jc w:val="center"/>
        <w:rPr>
          <w:rFonts w:ascii="黑体" w:hAnsi="黑体" w:eastAsia="黑体"/>
        </w:rPr>
      </w:pPr>
      <w:r>
        <w:rPr>
          <w:rFonts w:hint="eastAsia" w:ascii="黑体" w:hAnsi="黑体" w:eastAsia="黑体"/>
        </w:rPr>
        <w:t>表2  风险因素与调整方法对照表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843"/>
        <w:gridCol w:w="1985"/>
        <w:gridCol w:w="1984"/>
        <w:gridCol w:w="2398"/>
      </w:tblGrid>
      <w:tr w14:paraId="510D8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1500CAA6">
            <w:pPr>
              <w:pStyle w:val="178"/>
            </w:pPr>
            <w:r>
              <w:rPr>
                <w:rFonts w:hint="eastAsia"/>
              </w:rPr>
              <w:t>风险因素类别</w:t>
            </w:r>
          </w:p>
        </w:tc>
        <w:tc>
          <w:tcPr>
            <w:tcW w:w="1843" w:type="dxa"/>
            <w:tcBorders>
              <w:top w:val="single" w:color="auto" w:sz="8" w:space="0"/>
              <w:bottom w:val="single" w:color="auto" w:sz="8" w:space="0"/>
            </w:tcBorders>
            <w:vAlign w:val="center"/>
          </w:tcPr>
          <w:p w14:paraId="5A6B0CDB">
            <w:pPr>
              <w:pStyle w:val="178"/>
            </w:pPr>
            <w:r>
              <w:rPr>
                <w:rFonts w:hint="eastAsia"/>
              </w:rPr>
              <w:t>典型风险点示例</w:t>
            </w:r>
          </w:p>
        </w:tc>
        <w:tc>
          <w:tcPr>
            <w:tcW w:w="1985" w:type="dxa"/>
            <w:tcBorders>
              <w:top w:val="single" w:color="auto" w:sz="8" w:space="0"/>
              <w:bottom w:val="single" w:color="auto" w:sz="8" w:space="0"/>
            </w:tcBorders>
            <w:vAlign w:val="center"/>
          </w:tcPr>
          <w:p w14:paraId="57D9237F">
            <w:pPr>
              <w:pStyle w:val="178"/>
            </w:pPr>
            <w:r>
              <w:rPr>
                <w:rFonts w:hint="eastAsia"/>
              </w:rPr>
              <w:t>可量化指标示例</w:t>
            </w:r>
          </w:p>
        </w:tc>
        <w:tc>
          <w:tcPr>
            <w:tcW w:w="1984" w:type="dxa"/>
            <w:tcBorders>
              <w:top w:val="single" w:color="auto" w:sz="8" w:space="0"/>
              <w:bottom w:val="single" w:color="auto" w:sz="8" w:space="0"/>
            </w:tcBorders>
            <w:vAlign w:val="center"/>
          </w:tcPr>
          <w:p w14:paraId="4033953B">
            <w:pPr>
              <w:pStyle w:val="178"/>
            </w:pPr>
            <w:r>
              <w:rPr>
                <w:rFonts w:hint="eastAsia"/>
              </w:rPr>
              <w:t>主要证据来源示例</w:t>
            </w:r>
          </w:p>
        </w:tc>
        <w:tc>
          <w:tcPr>
            <w:tcW w:w="2398" w:type="dxa"/>
            <w:tcBorders>
              <w:top w:val="single" w:color="auto" w:sz="8" w:space="0"/>
              <w:bottom w:val="single" w:color="auto" w:sz="8" w:space="0"/>
            </w:tcBorders>
            <w:vAlign w:val="center"/>
          </w:tcPr>
          <w:p w14:paraId="15F0C6F6">
            <w:pPr>
              <w:pStyle w:val="178"/>
            </w:pPr>
            <w:r>
              <w:rPr>
                <w:rFonts w:hint="eastAsia"/>
              </w:rPr>
              <w:t>常用调整方式示例</w:t>
            </w:r>
          </w:p>
        </w:tc>
      </w:tr>
      <w:tr w14:paraId="12669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3DDD0BA">
            <w:pPr>
              <w:pStyle w:val="178"/>
            </w:pPr>
            <w:r>
              <w:rPr>
                <w:rFonts w:hint="eastAsia"/>
              </w:rPr>
              <w:t>数据质量风险</w:t>
            </w:r>
          </w:p>
        </w:tc>
        <w:tc>
          <w:tcPr>
            <w:tcW w:w="1843" w:type="dxa"/>
            <w:vAlign w:val="center"/>
          </w:tcPr>
          <w:p w14:paraId="2F9D3E06">
            <w:pPr>
              <w:pStyle w:val="178"/>
            </w:pPr>
            <w:r>
              <w:rPr>
                <w:rFonts w:hint="eastAsia"/>
              </w:rPr>
              <w:t>质量波动、偏差、漂移</w:t>
            </w:r>
          </w:p>
        </w:tc>
        <w:tc>
          <w:tcPr>
            <w:tcW w:w="1985" w:type="dxa"/>
            <w:vAlign w:val="center"/>
          </w:tcPr>
          <w:p w14:paraId="1288CF33">
            <w:pPr>
              <w:pStyle w:val="178"/>
            </w:pPr>
            <w:r>
              <w:rPr>
                <w:rFonts w:hint="eastAsia"/>
              </w:rPr>
              <w:t>缺失率、准确率、</w:t>
            </w:r>
          </w:p>
          <w:p w14:paraId="3E612679">
            <w:pPr>
              <w:pStyle w:val="178"/>
            </w:pPr>
            <w:r>
              <w:rPr>
                <w:rFonts w:hint="eastAsia"/>
              </w:rPr>
              <w:t>更新频次、漂移指标</w:t>
            </w:r>
          </w:p>
        </w:tc>
        <w:tc>
          <w:tcPr>
            <w:tcW w:w="1984" w:type="dxa"/>
            <w:vAlign w:val="center"/>
          </w:tcPr>
          <w:p w14:paraId="7772C972">
            <w:pPr>
              <w:pStyle w:val="178"/>
            </w:pPr>
            <w:r>
              <w:rPr>
                <w:rFonts w:hint="eastAsia"/>
              </w:rPr>
              <w:t>质量报告、元数据、</w:t>
            </w:r>
          </w:p>
          <w:p w14:paraId="300DD5F0">
            <w:pPr>
              <w:pStyle w:val="178"/>
            </w:pPr>
            <w:r>
              <w:rPr>
                <w:rFonts w:hint="eastAsia"/>
              </w:rPr>
              <w:t>治理记录</w:t>
            </w:r>
          </w:p>
        </w:tc>
        <w:tc>
          <w:tcPr>
            <w:tcW w:w="2398" w:type="dxa"/>
            <w:vAlign w:val="center"/>
          </w:tcPr>
          <w:p w14:paraId="1DD513D5">
            <w:pPr>
              <w:pStyle w:val="178"/>
            </w:pPr>
            <w:r>
              <w:rPr>
                <w:rFonts w:hint="eastAsia"/>
              </w:rPr>
              <w:t>治理成本上调、可交付规模下调、情景概率加权</w:t>
            </w:r>
          </w:p>
        </w:tc>
      </w:tr>
      <w:tr w14:paraId="0FB03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5884D70">
            <w:pPr>
              <w:pStyle w:val="178"/>
            </w:pPr>
            <w:r>
              <w:rPr>
                <w:rFonts w:hint="eastAsia"/>
              </w:rPr>
              <w:t>依赖关系风险</w:t>
            </w:r>
          </w:p>
        </w:tc>
        <w:tc>
          <w:tcPr>
            <w:tcW w:w="1843" w:type="dxa"/>
            <w:vAlign w:val="center"/>
          </w:tcPr>
          <w:p w14:paraId="110268FF">
            <w:pPr>
              <w:pStyle w:val="178"/>
            </w:pPr>
            <w:r>
              <w:rPr>
                <w:rFonts w:hint="eastAsia"/>
              </w:rPr>
              <w:t>第三方依赖、</w:t>
            </w:r>
          </w:p>
          <w:p w14:paraId="590F6C05">
            <w:pPr>
              <w:pStyle w:val="178"/>
            </w:pPr>
            <w:r>
              <w:rPr>
                <w:rFonts w:hint="eastAsia"/>
              </w:rPr>
              <w:t>关键供应商锁定</w:t>
            </w:r>
          </w:p>
        </w:tc>
        <w:tc>
          <w:tcPr>
            <w:tcW w:w="1985" w:type="dxa"/>
            <w:vAlign w:val="center"/>
          </w:tcPr>
          <w:p w14:paraId="3FAFEDB5">
            <w:pPr>
              <w:pStyle w:val="178"/>
            </w:pPr>
            <w:r>
              <w:rPr>
                <w:rFonts w:hint="eastAsia"/>
              </w:rPr>
              <w:t>切换成本、替代周期、依赖度比例</w:t>
            </w:r>
          </w:p>
        </w:tc>
        <w:tc>
          <w:tcPr>
            <w:tcW w:w="1984" w:type="dxa"/>
            <w:vAlign w:val="center"/>
          </w:tcPr>
          <w:p w14:paraId="5B3F1630">
            <w:pPr>
              <w:pStyle w:val="178"/>
            </w:pPr>
            <w:r>
              <w:rPr>
                <w:rFonts w:hint="eastAsia"/>
              </w:rPr>
              <w:t>架构说明、供应合同、SLA</w:t>
            </w:r>
          </w:p>
        </w:tc>
        <w:tc>
          <w:tcPr>
            <w:tcW w:w="2398" w:type="dxa"/>
            <w:vAlign w:val="center"/>
          </w:tcPr>
          <w:p w14:paraId="1E431CAF">
            <w:pPr>
              <w:pStyle w:val="178"/>
            </w:pPr>
            <w:r>
              <w:rPr>
                <w:rFonts w:hint="eastAsia"/>
              </w:rPr>
              <w:t>成本上调、收益下调、折现率上调、终值折减</w:t>
            </w:r>
          </w:p>
        </w:tc>
      </w:tr>
      <w:tr w14:paraId="7BFAD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686624C">
            <w:pPr>
              <w:pStyle w:val="178"/>
            </w:pPr>
            <w:r>
              <w:rPr>
                <w:rFonts w:hint="eastAsia"/>
              </w:rPr>
              <w:t>市场风险</w:t>
            </w:r>
          </w:p>
        </w:tc>
        <w:tc>
          <w:tcPr>
            <w:tcW w:w="1843" w:type="dxa"/>
            <w:vAlign w:val="center"/>
          </w:tcPr>
          <w:p w14:paraId="1C760682">
            <w:pPr>
              <w:pStyle w:val="178"/>
            </w:pPr>
            <w:r>
              <w:rPr>
                <w:rFonts w:hint="eastAsia"/>
              </w:rPr>
              <w:t>价格下行、客户集中、需求波动</w:t>
            </w:r>
          </w:p>
        </w:tc>
        <w:tc>
          <w:tcPr>
            <w:tcW w:w="1985" w:type="dxa"/>
            <w:vAlign w:val="center"/>
          </w:tcPr>
          <w:p w14:paraId="5126B742">
            <w:pPr>
              <w:pStyle w:val="178"/>
            </w:pPr>
            <w:r>
              <w:rPr>
                <w:rFonts w:hint="eastAsia"/>
              </w:rPr>
              <w:t>增长率、续费率、</w:t>
            </w:r>
          </w:p>
          <w:p w14:paraId="76E4574E">
            <w:pPr>
              <w:pStyle w:val="178"/>
            </w:pPr>
            <w:r>
              <w:rPr>
                <w:rFonts w:hint="eastAsia"/>
              </w:rPr>
              <w:t>流失率、获客成本</w:t>
            </w:r>
          </w:p>
        </w:tc>
        <w:tc>
          <w:tcPr>
            <w:tcW w:w="1984" w:type="dxa"/>
            <w:vAlign w:val="center"/>
          </w:tcPr>
          <w:p w14:paraId="30F64060">
            <w:pPr>
              <w:pStyle w:val="178"/>
            </w:pPr>
            <w:r>
              <w:rPr>
                <w:rFonts w:hint="eastAsia"/>
              </w:rPr>
              <w:t>经营数据、合同订单、市场研究</w:t>
            </w:r>
          </w:p>
        </w:tc>
        <w:tc>
          <w:tcPr>
            <w:tcW w:w="2398" w:type="dxa"/>
            <w:vAlign w:val="center"/>
          </w:tcPr>
          <w:p w14:paraId="72107239">
            <w:pPr>
              <w:pStyle w:val="178"/>
            </w:pPr>
            <w:r>
              <w:rPr>
                <w:rFonts w:hint="eastAsia"/>
              </w:rPr>
              <w:t>增长率下调、价格下调、续费率下调、情景概率加权</w:t>
            </w:r>
          </w:p>
        </w:tc>
      </w:tr>
    </w:tbl>
    <w:p w14:paraId="650954BD">
      <w:pPr>
        <w:pStyle w:val="105"/>
        <w:spacing w:before="120" w:after="120" w:line="360" w:lineRule="auto"/>
      </w:pPr>
      <w:r>
        <w:rPr>
          <w:rFonts w:hint="eastAsia"/>
        </w:rPr>
        <w:t>风险披露要求</w:t>
      </w:r>
    </w:p>
    <w:p w14:paraId="79138EBF">
      <w:pPr>
        <w:pStyle w:val="165"/>
        <w:spacing w:line="360" w:lineRule="auto"/>
      </w:pPr>
      <w:r>
        <w:rPr>
          <w:rFonts w:hint="eastAsia"/>
        </w:rPr>
        <w:t>评估报告应披露关键风险因素及其对结论的影响路径，披露关键假设与关键参数的敏感性结果。</w:t>
      </w:r>
    </w:p>
    <w:p w14:paraId="17F02055">
      <w:pPr>
        <w:pStyle w:val="165"/>
        <w:spacing w:line="360" w:lineRule="auto"/>
      </w:pPr>
      <w:r>
        <w:rPr>
          <w:rFonts w:hint="eastAsia"/>
        </w:rPr>
        <w:t>对存在重大限制条件的资产应披露限制条件内容、触发条件与解除条件，并说明在限制条件未解除情景下的价值表达方式。</w:t>
      </w:r>
    </w:p>
    <w:p w14:paraId="61E58321">
      <w:pPr>
        <w:pStyle w:val="165"/>
        <w:spacing w:line="360" w:lineRule="auto"/>
      </w:pPr>
      <w:r>
        <w:rPr>
          <w:rFonts w:hint="eastAsia"/>
        </w:rPr>
        <w:t>对高不确定性资产应提供基准情景、保守情景以及必要的下限情景结论，并说明各情景成立条件与证据基础。</w:t>
      </w:r>
    </w:p>
    <w:p w14:paraId="32432FB7">
      <w:pPr>
        <w:pStyle w:val="104"/>
        <w:spacing w:before="240" w:after="240" w:line="360" w:lineRule="auto"/>
      </w:pPr>
      <w:bookmarkStart w:id="56" w:name="_Toc219114407"/>
      <w:r>
        <w:rPr>
          <w:rFonts w:hint="eastAsia"/>
        </w:rPr>
        <w:t>评估结果表达与报告要求</w:t>
      </w:r>
      <w:bookmarkEnd w:id="56"/>
    </w:p>
    <w:p w14:paraId="568A40AB">
      <w:pPr>
        <w:pStyle w:val="105"/>
        <w:spacing w:before="120" w:after="120" w:line="360" w:lineRule="auto"/>
      </w:pPr>
      <w:r>
        <w:rPr>
          <w:rFonts w:hint="eastAsia"/>
        </w:rPr>
        <w:t>一般要求</w:t>
      </w:r>
    </w:p>
    <w:p w14:paraId="73CF5E69">
      <w:pPr>
        <w:pStyle w:val="56"/>
        <w:spacing w:line="360" w:lineRule="auto"/>
        <w:ind w:firstLine="420"/>
      </w:pPr>
      <w:r>
        <w:rPr>
          <w:rFonts w:hint="eastAsia"/>
        </w:rPr>
        <w:t>评估结果表达应与评估目的价值类型方法选用及前提条件一致，确保结论可理解可复核可用于决策。评估报告应突出资产边界权属边界使用边界与合规边界，避免将限制条件隐含在计算过程中而不披露。</w:t>
      </w:r>
    </w:p>
    <w:p w14:paraId="6127BC63">
      <w:pPr>
        <w:pStyle w:val="105"/>
        <w:spacing w:before="120" w:after="120" w:line="360" w:lineRule="auto"/>
      </w:pPr>
      <w:r>
        <w:rPr>
          <w:rFonts w:hint="eastAsia"/>
        </w:rPr>
        <w:t>结果表达要求</w:t>
      </w:r>
    </w:p>
    <w:p w14:paraId="74C24205">
      <w:pPr>
        <w:pStyle w:val="56"/>
        <w:spacing w:line="360" w:lineRule="auto"/>
        <w:ind w:firstLine="420"/>
      </w:pPr>
      <w:r>
        <w:rPr>
          <w:rFonts w:hint="eastAsia"/>
        </w:rPr>
        <w:t>结果可采用单一值或区间值表达。区间值应说明上限下限对应的情景条件与触发条件。</w:t>
      </w:r>
    </w:p>
    <w:p w14:paraId="5B6BA6B0">
      <w:pPr>
        <w:pStyle w:val="56"/>
        <w:spacing w:line="360" w:lineRule="auto"/>
        <w:ind w:firstLine="420"/>
      </w:pPr>
      <w:r>
        <w:rPr>
          <w:rFonts w:hint="eastAsia"/>
        </w:rPr>
        <w:t>应同时披露关键假设与关键参数，并说明其数据来源或推导依据。</w:t>
      </w:r>
    </w:p>
    <w:p w14:paraId="4BE684EE">
      <w:pPr>
        <w:pStyle w:val="56"/>
        <w:spacing w:line="360" w:lineRule="auto"/>
        <w:ind w:firstLine="420"/>
      </w:pPr>
      <w:r>
        <w:rPr>
          <w:rFonts w:hint="eastAsia"/>
        </w:rPr>
        <w:t>应披露风险调整方式及其影响方向，说明采用折现率调整现金流调整成本调整或市场可比调整的理由。</w:t>
      </w:r>
    </w:p>
    <w:p w14:paraId="658673E1">
      <w:pPr>
        <w:pStyle w:val="56"/>
        <w:spacing w:line="360" w:lineRule="auto"/>
        <w:ind w:firstLine="420"/>
      </w:pPr>
      <w:r>
        <w:rPr>
          <w:rFonts w:hint="eastAsia"/>
        </w:rPr>
        <w:t>对存在重大不确定性或重大限制条件的，应明确限制条件内容影响范围与可解除路径。</w:t>
      </w:r>
    </w:p>
    <w:p w14:paraId="72185B46">
      <w:pPr>
        <w:pStyle w:val="56"/>
        <w:spacing w:line="360" w:lineRule="auto"/>
        <w:ind w:firstLine="420"/>
      </w:pPr>
      <w:r>
        <w:rPr>
          <w:rFonts w:hint="eastAsia"/>
        </w:rPr>
        <w:t>对组合资产或平台资产应说明价值归属口径，避免与数据资产算法模型接口资源等子资产重复计量。</w:t>
      </w:r>
    </w:p>
    <w:p w14:paraId="60AA414A">
      <w:pPr>
        <w:pStyle w:val="105"/>
        <w:spacing w:before="120" w:after="120" w:line="360" w:lineRule="auto"/>
      </w:pPr>
      <w:r>
        <w:rPr>
          <w:rFonts w:hint="eastAsia"/>
        </w:rPr>
        <w:t>报告结构要求</w:t>
      </w:r>
    </w:p>
    <w:p w14:paraId="19834898">
      <w:pPr>
        <w:pStyle w:val="56"/>
        <w:spacing w:line="360" w:lineRule="auto"/>
        <w:ind w:firstLine="420"/>
      </w:pPr>
      <w:r>
        <w:rPr>
          <w:rFonts w:hint="eastAsia"/>
        </w:rPr>
        <w:t>评估报告宜包含以下内容并保持层次清晰：评估目的与基准日、评估对象与边界描述、权属与合规结论、数据来源与口径说明、方法选用与计算过程、关键假设与敏感性结果、风险因素与调整说明、价值结论与限制条件、复核意见与使用说明。</w:t>
      </w:r>
    </w:p>
    <w:p w14:paraId="693F82DE">
      <w:pPr>
        <w:pStyle w:val="105"/>
        <w:spacing w:before="120" w:after="120" w:line="360" w:lineRule="auto"/>
      </w:pPr>
      <w:r>
        <w:rPr>
          <w:rFonts w:hint="eastAsia"/>
        </w:rPr>
        <w:t>复核与留存要求</w:t>
      </w:r>
    </w:p>
    <w:p w14:paraId="58117ABC">
      <w:pPr>
        <w:pStyle w:val="56"/>
        <w:spacing w:line="360" w:lineRule="auto"/>
        <w:ind w:firstLine="420"/>
      </w:pPr>
      <w:r>
        <w:rPr>
          <w:rFonts w:hint="eastAsia"/>
        </w:rPr>
        <w:t>评估报告应支持独立复核。复核重点包括资产边界一致性、口径一致性、关键参数合理性、计算可再现性与限制条件充分披露。评估工作底稿与数据包应按企业内控要求留存，留存内容至少包括取数口径校验记录参数清单模型版本与关键证据链索引。</w:t>
      </w:r>
    </w:p>
    <w:p w14:paraId="24ECAE44">
      <w:pPr>
        <w:pStyle w:val="105"/>
        <w:spacing w:before="120" w:after="120" w:line="360" w:lineRule="auto"/>
      </w:pPr>
      <w:r>
        <w:rPr>
          <w:rFonts w:hint="eastAsia"/>
        </w:rPr>
        <w:t>使用与更新要求</w:t>
      </w:r>
    </w:p>
    <w:p w14:paraId="34D83FFA">
      <w:pPr>
        <w:pStyle w:val="56"/>
        <w:spacing w:line="360" w:lineRule="auto"/>
        <w:ind w:firstLine="420"/>
      </w:pPr>
      <w:r>
        <w:rPr>
          <w:rFonts w:hint="eastAsia"/>
        </w:rPr>
        <w:t>评估结论仅在既定前提条件下有效。用途变更或关键条件变化时应重新评估或更新。关键条件包括权属变化、合规约束变化、重大版本迭代、商业模式变化、主要客户结构变化以及市场价格体系变化。</w:t>
      </w:r>
    </w:p>
    <w:bookmarkEnd w:id="26"/>
    <w:p w14:paraId="0DEFCE75">
      <w:pPr>
        <w:pStyle w:val="56"/>
        <w:ind w:firstLine="0" w:firstLineChars="0"/>
        <w:jc w:val="center"/>
      </w:pPr>
      <w:bookmarkStart w:id="57" w:name="BookMark8"/>
      <w:r>
        <w:rPr>
          <w:rFonts w:hint="eastAsia"/>
        </w:rPr>
        <w:drawing>
          <wp:inline distT="0" distB="0" distL="0" distR="0">
            <wp:extent cx="1485900" cy="317500"/>
            <wp:effectExtent l="0" t="0" r="0" b="6350"/>
            <wp:docPr id="2123986465" name="图片 1"/>
            <wp:cNvGraphicFramePr/>
            <a:graphic xmlns:a="http://schemas.openxmlformats.org/drawingml/2006/main">
              <a:graphicData uri="http://schemas.openxmlformats.org/drawingml/2006/picture">
                <pic:pic xmlns:pic="http://schemas.openxmlformats.org/drawingml/2006/picture">
                  <pic:nvPicPr>
                    <pic:cNvPr id="2123986465"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D37C">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B57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522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E65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1198">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B4FB">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D30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229D">
    <w:pPr>
      <w:pStyle w:val="61"/>
    </w:pPr>
    <w:r>
      <w:fldChar w:fldCharType="begin"/>
    </w:r>
    <w:r>
      <w:instrText xml:space="preserve"> STYLEREF  标准文件_文件编号  \* MERGEFORMAT </w:instrText>
    </w:r>
    <w:r>
      <w:fldChar w:fldCharType="separate"/>
    </w:r>
    <w:r>
      <w:t>T/XJBX 0189—2026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6D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0189—2026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0189—2026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0189—2026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F9C4">
    <w:pPr>
      <w:pStyle w:val="61"/>
    </w:pPr>
    <w:r>
      <w:fldChar w:fldCharType="begin"/>
    </w:r>
    <w:r>
      <w:instrText xml:space="preserve"> STYLEREF  标准文件_文件编号  \* MERGEFORMAT </w:instrText>
    </w:r>
    <w:r>
      <w:fldChar w:fldCharType="separate"/>
    </w:r>
    <w:r>
      <w:t>T/XJBX 0189—2026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5B0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0189—2026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DD5F">
    <w:pPr>
      <w:pStyle w:val="61"/>
    </w:pPr>
    <w:r>
      <w:fldChar w:fldCharType="begin"/>
    </w:r>
    <w:r>
      <w:instrText xml:space="preserve"> STYLEREF  标准文件_文件编号  \* MERGEFORMAT </w:instrText>
    </w:r>
    <w:r>
      <w:fldChar w:fldCharType="separate"/>
    </w:r>
    <w:r>
      <w:t>T/XJBX 0189—2026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2F9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0189—2026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3"/>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ECB"/>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08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CF0"/>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BA3"/>
    <w:rsid w:val="0036107C"/>
    <w:rsid w:val="003615D2"/>
    <w:rsid w:val="0036429C"/>
    <w:rsid w:val="00364A53"/>
    <w:rsid w:val="003654CB"/>
    <w:rsid w:val="00365AA9"/>
    <w:rsid w:val="00365F86"/>
    <w:rsid w:val="00365F87"/>
    <w:rsid w:val="00366E89"/>
    <w:rsid w:val="003705F4"/>
    <w:rsid w:val="00370D58"/>
    <w:rsid w:val="00371316"/>
    <w:rsid w:val="00376713"/>
    <w:rsid w:val="0038165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F60"/>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5E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995"/>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9FE"/>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3E5B"/>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84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29B"/>
    <w:rsid w:val="00F859A8"/>
    <w:rsid w:val="00F86D87"/>
    <w:rsid w:val="00F87B52"/>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FA6791C"/>
    <w:rsid w:val="26760048"/>
    <w:rsid w:val="27906D19"/>
    <w:rsid w:val="2ED00512"/>
    <w:rsid w:val="571B4047"/>
    <w:rsid w:val="711E68DF"/>
    <w:rsid w:val="74DD0860"/>
    <w:rsid w:val="791A4DCE"/>
    <w:rsid w:val="7D4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A8540D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67A66F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55C987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40FCE"/>
    <w:rsid w:val="0007378E"/>
    <w:rsid w:val="00073F92"/>
    <w:rsid w:val="00232C79"/>
    <w:rsid w:val="00295D3A"/>
    <w:rsid w:val="005E6634"/>
    <w:rsid w:val="007146E1"/>
    <w:rsid w:val="009232F2"/>
    <w:rsid w:val="00AE1DC6"/>
    <w:rsid w:val="00E4484E"/>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13136</Words>
  <Characters>13491</Characters>
  <Lines>107</Lines>
  <Paragraphs>30</Paragraphs>
  <TotalTime>124</TotalTime>
  <ScaleCrop>false</ScaleCrop>
  <LinksUpToDate>false</LinksUpToDate>
  <CharactersWithSpaces>13675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2025-08-08T01:30:00Z</dcterms:created>
  <dc:creator>Jianyi Huang</dc:creator>
  <dc:description>&lt;config cover="true" show_menu="true" version="1.0.0" doctype="SDKXY"&gt;_x000d_
&lt;/config&gt;</dc:description>
  <cp:lastModifiedBy>WPS_1602478251</cp:lastModifiedBy>
  <cp:lastPrinted>2021-02-02T07:22:00Z</cp:lastPrinted>
  <dcterms:modified xsi:type="dcterms:W3CDTF">2026-01-15T02:11:47Z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3E9B4626AA1543F99CD237AB962209FF_12</vt:lpwstr>
  </property>
</Properties>
</file>