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20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91.200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7"/>
            </w:textInput>
          </w:ffData>
        </w:fldChar>
      </w:r>
      <w:bookmarkStart w:id="6" w:name="NSTD_CODE_F"/>
      <w:r>
        <w:instrText xml:space="preserve"> FORMTEXT </w:instrText>
      </w:r>
      <w:r>
        <w:fldChar w:fldCharType="separate"/>
      </w:r>
      <w:r>
        <w:t>0187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11C57F8C">
      <w:pPr>
        <w:pStyle w:val="197"/>
        <w:framePr w:h="6974" w:hRule="exact" w:wrap="around" w:x="1419" w:anchorLock="1"/>
      </w:pPr>
      <w:r>
        <w:fldChar w:fldCharType="begin">
          <w:ffData>
            <w:name w:val="CSTD_NAME"/>
            <w:enabled/>
            <w:calcOnExit w:val="0"/>
            <w:textInput>
              <w:default w:val="建筑工程施工管理系统框架与流程总体规范"/>
            </w:textInput>
          </w:ffData>
        </w:fldChar>
      </w:r>
      <w:bookmarkStart w:id="9" w:name="CSTD_NAME"/>
      <w:r>
        <w:instrText xml:space="preserve"> FORMTEXT </w:instrText>
      </w:r>
      <w:r>
        <w:fldChar w:fldCharType="separate"/>
      </w:r>
      <w:r>
        <w:t>建筑工程施工管理系统框架</w:t>
      </w:r>
    </w:p>
    <w:p w14:paraId="73594FE6">
      <w:pPr>
        <w:pStyle w:val="197"/>
        <w:framePr w:h="6974" w:hRule="exact" w:wrap="around" w:x="1419" w:anchorLock="1"/>
      </w:pPr>
      <w:r>
        <w:t>与流程总体规范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overall framework and procedures of construction management systems for building engineer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overall framework and procedures of construction management systems for building engineering</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bookmarkStart w:id="59" w:name="_GoBack"/>
      <w:bookmarkEnd w:id="59"/>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53AA94B">
      <w:pPr>
        <w:pStyle w:val="91"/>
        <w:spacing w:after="360"/>
      </w:pPr>
      <w:bookmarkStart w:id="21" w:name="BookMark1"/>
      <w:r>
        <w:rPr>
          <w:rFonts w:hint="eastAsia"/>
          <w:spacing w:val="320"/>
        </w:rPr>
        <w:t>目</w:t>
      </w:r>
      <w:r>
        <w:rPr>
          <w:rFonts w:hint="eastAsia"/>
        </w:rPr>
        <w:t>次</w:t>
      </w:r>
    </w:p>
    <w:p w14:paraId="2E9C43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"_Toc219109507"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_Toc219109507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BD6392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"_Toc219109508"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_Toc219109508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45A603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"_Toc219109509"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_Toc219109509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A2AAE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_Toc219109510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28648E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_Toc219109511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A7178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"_Toc219109512" </w:instrText>
      </w:r>
      <w:r>
        <w:fldChar w:fldCharType="separate"/>
      </w:r>
      <w:r>
        <w:rPr>
          <w:rStyle w:val="32"/>
          <w:rFonts w:hint="eastAsia"/>
        </w:rPr>
        <w:t>4</w:t>
      </w:r>
      <w:r>
        <w:rPr>
          <w:rStyle w:val="32"/>
        </w:rPr>
        <w:t xml:space="preserve"> </w:t>
      </w:r>
      <w:r>
        <w:rPr>
          <w:rStyle w:val="32"/>
          <w:rFonts w:hint="eastAsia"/>
        </w:rPr>
        <w:t xml:space="preserve"> 总体原则与系统建设要求</w:t>
      </w:r>
      <w:r>
        <w:rPr>
          <w:rFonts w:hint="eastAsia"/>
        </w:rPr>
        <w:tab/>
      </w:r>
      <w:r>
        <w:rPr>
          <w:rFonts w:hint="eastAsia"/>
        </w:rPr>
        <w:fldChar w:fldCharType="begin"/>
      </w:r>
      <w:r>
        <w:rPr>
          <w:rFonts w:hint="eastAsia"/>
        </w:rPr>
        <w:instrText xml:space="preserve"> </w:instrText>
      </w:r>
      <w:r>
        <w:instrText xml:space="preserve">PAGEREF _Toc219109512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93ED24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"_Toc219109513" </w:instrText>
      </w:r>
      <w:r>
        <w:fldChar w:fldCharType="separate"/>
      </w:r>
      <w:r>
        <w:rPr>
          <w:rStyle w:val="32"/>
          <w:rFonts w:hint="eastAsia"/>
        </w:rPr>
        <w:t>5</w:t>
      </w:r>
      <w:r>
        <w:rPr>
          <w:rStyle w:val="32"/>
        </w:rPr>
        <w:t xml:space="preserve"> </w:t>
      </w:r>
      <w:r>
        <w:rPr>
          <w:rStyle w:val="32"/>
          <w:rFonts w:hint="eastAsia"/>
        </w:rPr>
        <w:t xml:space="preserve"> 系统业务域框架与关键流程体系</w:t>
      </w:r>
      <w:r>
        <w:rPr>
          <w:rFonts w:hint="eastAsia"/>
        </w:rPr>
        <w:tab/>
      </w:r>
      <w:r>
        <w:rPr>
          <w:rFonts w:hint="eastAsia"/>
        </w:rPr>
        <w:fldChar w:fldCharType="begin"/>
      </w:r>
      <w:r>
        <w:rPr>
          <w:rFonts w:hint="eastAsia"/>
        </w:rPr>
        <w:instrText xml:space="preserve"> </w:instrText>
      </w:r>
      <w:r>
        <w:instrText xml:space="preserve">PAGEREF _Toc219109513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A1538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"_Toc219109514" </w:instrText>
      </w:r>
      <w:r>
        <w:fldChar w:fldCharType="separate"/>
      </w:r>
      <w:r>
        <w:rPr>
          <w:rStyle w:val="32"/>
          <w:rFonts w:hint="eastAsia"/>
        </w:rPr>
        <w:t>6</w:t>
      </w:r>
      <w:r>
        <w:rPr>
          <w:rStyle w:val="32"/>
        </w:rPr>
        <w:t xml:space="preserve"> </w:t>
      </w:r>
      <w:r>
        <w:rPr>
          <w:rStyle w:val="32"/>
          <w:rFonts w:hint="eastAsia"/>
        </w:rPr>
        <w:t xml:space="preserve"> 流程设计要求与节点控制规则</w:t>
      </w:r>
      <w:r>
        <w:rPr>
          <w:rFonts w:hint="eastAsia"/>
        </w:rPr>
        <w:tab/>
      </w:r>
      <w:r>
        <w:rPr>
          <w:rFonts w:hint="eastAsia"/>
        </w:rPr>
        <w:fldChar w:fldCharType="begin"/>
      </w:r>
      <w:r>
        <w:rPr>
          <w:rFonts w:hint="eastAsia"/>
        </w:rPr>
        <w:instrText xml:space="preserve"> </w:instrText>
      </w:r>
      <w:r>
        <w:instrText xml:space="preserve">PAGEREF _Toc219109514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B3759C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"_Toc219109515" </w:instrText>
      </w:r>
      <w:r>
        <w:fldChar w:fldCharType="separate"/>
      </w:r>
      <w:r>
        <w:rPr>
          <w:rStyle w:val="32"/>
          <w:rFonts w:hint="eastAsia"/>
        </w:rPr>
        <w:t>7</w:t>
      </w:r>
      <w:r>
        <w:rPr>
          <w:rStyle w:val="32"/>
        </w:rPr>
        <w:t xml:space="preserve"> </w:t>
      </w:r>
      <w:r>
        <w:rPr>
          <w:rStyle w:val="32"/>
          <w:rFonts w:hint="eastAsia"/>
        </w:rPr>
        <w:t xml:space="preserve"> 数据标准与编码体系</w:t>
      </w:r>
      <w:r>
        <w:rPr>
          <w:rFonts w:hint="eastAsia"/>
        </w:rPr>
        <w:tab/>
      </w:r>
      <w:r>
        <w:rPr>
          <w:rFonts w:hint="eastAsia"/>
        </w:rPr>
        <w:fldChar w:fldCharType="begin"/>
      </w:r>
      <w:r>
        <w:rPr>
          <w:rFonts w:hint="eastAsia"/>
        </w:rPr>
        <w:instrText xml:space="preserve"> </w:instrText>
      </w:r>
      <w:r>
        <w:instrText xml:space="preserve">PAGEREF _Toc219109515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57B554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"_Toc219109516" </w:instrText>
      </w:r>
      <w:r>
        <w:fldChar w:fldCharType="separate"/>
      </w:r>
      <w:r>
        <w:rPr>
          <w:rStyle w:val="32"/>
          <w:rFonts w:hint="eastAsia"/>
        </w:rPr>
        <w:t>8</w:t>
      </w:r>
      <w:r>
        <w:rPr>
          <w:rStyle w:val="32"/>
        </w:rPr>
        <w:t xml:space="preserve"> </w:t>
      </w:r>
      <w:r>
        <w:rPr>
          <w:rStyle w:val="32"/>
          <w:rFonts w:hint="eastAsia"/>
        </w:rPr>
        <w:t xml:space="preserve"> 角色权限与协同机制</w:t>
      </w:r>
      <w:r>
        <w:rPr>
          <w:rFonts w:hint="eastAsia"/>
        </w:rPr>
        <w:tab/>
      </w:r>
      <w:r>
        <w:rPr>
          <w:rFonts w:hint="eastAsia"/>
        </w:rPr>
        <w:fldChar w:fldCharType="begin"/>
      </w:r>
      <w:r>
        <w:rPr>
          <w:rFonts w:hint="eastAsia"/>
        </w:rPr>
        <w:instrText xml:space="preserve"> </w:instrText>
      </w:r>
      <w:r>
        <w:instrText xml:space="preserve">PAGEREF _Toc219109516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7822FC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"_Toc219109517" </w:instrText>
      </w:r>
      <w:r>
        <w:fldChar w:fldCharType="separate"/>
      </w:r>
      <w:r>
        <w:rPr>
          <w:rStyle w:val="32"/>
          <w:rFonts w:hint="eastAsia"/>
        </w:rPr>
        <w:t>9</w:t>
      </w:r>
      <w:r>
        <w:rPr>
          <w:rStyle w:val="32"/>
        </w:rPr>
        <w:t xml:space="preserve"> </w:t>
      </w:r>
      <w:r>
        <w:rPr>
          <w:rStyle w:val="32"/>
          <w:rFonts w:hint="eastAsia"/>
        </w:rPr>
        <w:t xml:space="preserve"> 接口集成与数据治理</w:t>
      </w:r>
      <w:r>
        <w:rPr>
          <w:rFonts w:hint="eastAsia"/>
        </w:rPr>
        <w:tab/>
      </w:r>
      <w:r>
        <w:rPr>
          <w:rFonts w:hint="eastAsia"/>
        </w:rPr>
        <w:fldChar w:fldCharType="begin"/>
      </w:r>
      <w:r>
        <w:rPr>
          <w:rFonts w:hint="eastAsia"/>
        </w:rPr>
        <w:instrText xml:space="preserve"> </w:instrText>
      </w:r>
      <w:r>
        <w:instrText xml:space="preserve">PAGEREF _Toc219109517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86F894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"_Toc219109518" </w:instrText>
      </w:r>
      <w:r>
        <w:fldChar w:fldCharType="separate"/>
      </w:r>
      <w:r>
        <w:rPr>
          <w:rStyle w:val="32"/>
          <w:rFonts w:hint="eastAsia"/>
        </w:rPr>
        <w:t>10</w:t>
      </w:r>
      <w:r>
        <w:rPr>
          <w:rStyle w:val="32"/>
        </w:rPr>
        <w:t xml:space="preserve"> </w:t>
      </w:r>
      <w:r>
        <w:rPr>
          <w:rStyle w:val="32"/>
          <w:rFonts w:hint="eastAsia"/>
        </w:rPr>
        <w:t xml:space="preserve"> 运行维护与验收评价</w:t>
      </w:r>
      <w:r>
        <w:rPr>
          <w:rFonts w:hint="eastAsia"/>
        </w:rPr>
        <w:tab/>
      </w:r>
      <w:r>
        <w:rPr>
          <w:rFonts w:hint="eastAsia"/>
        </w:rPr>
        <w:fldChar w:fldCharType="begin"/>
      </w:r>
      <w:r>
        <w:rPr>
          <w:rFonts w:hint="eastAsia"/>
        </w:rPr>
        <w:instrText xml:space="preserve"> </w:instrText>
      </w:r>
      <w:r>
        <w:instrText xml:space="preserve">PAGEREF _Toc219109518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8BA355A">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0950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5A40CF02">
      <w:pPr>
        <w:pStyle w:val="56"/>
        <w:spacing w:line="360" w:lineRule="auto"/>
        <w:ind w:firstLine="420"/>
      </w:pPr>
      <w:r>
        <w:rPr>
          <w:rFonts w:hint="eastAsia"/>
        </w:rPr>
        <w:t>本文件起草单位：北京建大京精大房工程管理有限公司重庆分公司。</w:t>
      </w:r>
    </w:p>
    <w:p w14:paraId="55F4A5D1">
      <w:pPr>
        <w:pStyle w:val="56"/>
        <w:spacing w:line="360" w:lineRule="auto"/>
        <w:ind w:firstLine="420"/>
      </w:pPr>
      <w:r>
        <w:rPr>
          <w:rFonts w:hint="eastAsia"/>
        </w:rPr>
        <w:t>本文件主要起草人：张敏。</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09508"/>
      <w:bookmarkStart w:id="25" w:name="BookMark3"/>
      <w:r>
        <w:rPr>
          <w:spacing w:val="320"/>
        </w:rPr>
        <w:t>引</w:t>
      </w:r>
      <w:r>
        <w:t>言</w:t>
      </w:r>
      <w:bookmarkEnd w:id="24"/>
    </w:p>
    <w:p w14:paraId="2A366D5A">
      <w:pPr>
        <w:pStyle w:val="56"/>
        <w:spacing w:line="360" w:lineRule="auto"/>
        <w:ind w:firstLine="420"/>
      </w:pPr>
      <w:r>
        <w:rPr>
          <w:rFonts w:hint="eastAsia"/>
        </w:rPr>
        <w:t>建筑工程施工管理系统是支撑项目计划组织、资源配置、质量安全控制、进度成本管控、合同与支付管理、信息沟通协同以及资料归档交付的核心信息化平台。随着工程总承包模式与多参建方协同管理的普及，施工管理从传统的分散台账与经验驱动逐步转向以流程驱动、数据驱动和风险导向为特征的数字化管理。若系统框架与流程缺乏统一规范，易出现模块边界不清、流程口径不一致、数据标准不统一、权限责任不匹配、线上线下脱节以及资料归档不可追溯等问题，进而影响管理效率与合规性，降低项目目标实现的确定性。</w:t>
      </w:r>
    </w:p>
    <w:p w14:paraId="018319C4">
      <w:pPr>
        <w:pStyle w:val="56"/>
        <w:spacing w:line="360" w:lineRule="auto"/>
        <w:ind w:firstLine="420"/>
      </w:pPr>
      <w:r>
        <w:rPr>
          <w:rFonts w:hint="eastAsia"/>
        </w:rPr>
        <w:t>施工管理系统的价值不在于功能堆砌，而在于形成覆盖策划、实施、监控、纠偏、评价与交付的闭环流程体系，并以统一的数据模型贯通进度、成本、质量、安全、合同、物资、设备与资料等关键业务域，确保关键事件可追溯、关键决策有依据、关键风险可预警。与此同时，施工管理系统还需满足工程建设相关法律法规、强制性标准与企业管理制度要求，保障审计合规、过程留痕、权限受控和数据安全。</w:t>
      </w:r>
    </w:p>
    <w:p w14:paraId="7F4A69FE">
      <w:pPr>
        <w:pStyle w:val="56"/>
        <w:spacing w:line="360" w:lineRule="auto"/>
        <w:ind w:firstLine="420"/>
      </w:pPr>
      <w:r>
        <w:rPr>
          <w:rFonts w:hint="eastAsia"/>
        </w:rPr>
        <w:t>为规范建筑工程施工管理系统的总体框架与流程，本文件提出系统建设的总体原则、业务域框架、流程体系结构、数据标准与编码体系、角色权限与组织协同机制、过程控制与风险预警机制、接口集成与数据治理要求、运行维护与持续改进要求等内容，形成可用于系统建设规划、需求编制、实施验收与运营评估的统一依据。本文件适用于房屋建筑与市政工程等建设项目施工阶段管理系统的规划建设与应用管理，也可为工程总承包项目的一体化管理平台提供参考。</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999DA5F">
          <w:pPr>
            <w:pStyle w:val="177"/>
            <w:spacing w:after="0"/>
          </w:pPr>
          <w:bookmarkStart w:id="27" w:name="NEW_STAND_NAME"/>
          <w:r>
            <w:rPr>
              <w:rFonts w:hint="eastAsia"/>
            </w:rPr>
            <w:t>建筑工程施工管理系统框架</w:t>
          </w:r>
        </w:p>
        <w:p w14:paraId="7D4E3E1F">
          <w:pPr>
            <w:pStyle w:val="177"/>
            <w:spacing w:before="0"/>
          </w:pPr>
          <w:r>
            <w:rPr>
              <w:rFonts w:hint="eastAsia"/>
            </w:rPr>
            <w:t>与流程总体规范</w:t>
          </w:r>
        </w:p>
      </w:sdtContent>
    </w:sdt>
    <w:bookmarkEnd w:id="27"/>
    <w:p w14:paraId="3DB22445">
      <w:pPr>
        <w:pStyle w:val="104"/>
        <w:spacing w:before="240" w:after="240" w:line="360" w:lineRule="auto"/>
      </w:pPr>
      <w:bookmarkStart w:id="28" w:name="_Toc26986771"/>
      <w:bookmarkStart w:id="29" w:name="_Toc26648465"/>
      <w:bookmarkStart w:id="30" w:name="_Toc26718930"/>
      <w:bookmarkStart w:id="31" w:name="_Toc17233325"/>
      <w:bookmarkStart w:id="32" w:name="_Toc219109509"/>
      <w:bookmarkStart w:id="33" w:name="_Toc24884211"/>
      <w:bookmarkStart w:id="34" w:name="_Toc17233333"/>
      <w:bookmarkStart w:id="35" w:name="_Toc97192964"/>
      <w:bookmarkStart w:id="36" w:name="_Toc26986530"/>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0AA971C8">
      <w:pPr>
        <w:pStyle w:val="56"/>
        <w:spacing w:line="360" w:lineRule="auto"/>
        <w:ind w:firstLine="420"/>
      </w:pPr>
      <w:bookmarkStart w:id="38" w:name="_Toc24884212"/>
      <w:bookmarkStart w:id="39" w:name="_Toc24884219"/>
      <w:bookmarkStart w:id="40" w:name="_Toc26648466"/>
      <w:bookmarkStart w:id="41" w:name="_Toc17233326"/>
      <w:bookmarkStart w:id="42" w:name="_Toc17233334"/>
      <w:r>
        <w:rPr>
          <w:rFonts w:hint="eastAsia"/>
        </w:rPr>
        <w:t>本文件规定了建筑工程施工管理系统的总体原则与系统建设要求、系统业务域框架与关键流程体系、流程设计要求与节点控制规则、数据标准与编码体系、角色权限与协同机制、接口集成与数据治理、运行维护与验收评价等内容。</w:t>
      </w:r>
    </w:p>
    <w:p w14:paraId="76265264">
      <w:pPr>
        <w:pStyle w:val="56"/>
        <w:spacing w:line="360" w:lineRule="auto"/>
        <w:ind w:firstLine="420"/>
      </w:pPr>
      <w:r>
        <w:rPr>
          <w:rFonts w:hint="eastAsia"/>
        </w:rPr>
        <w:t>本文件适用于房屋建筑工程、市政工程及其他采用项目化管理的建筑工程施工阶段管理系统的规划建设、实施部署与运行管理。工程总承包项目的一体化管理平台可参照执行。面向单一专业领域的专项系统可参照本文件的框架与数据口径要求进行适配。</w:t>
      </w:r>
    </w:p>
    <w:p w14:paraId="3733B2AD">
      <w:pPr>
        <w:pStyle w:val="104"/>
        <w:spacing w:before="240" w:after="240" w:line="360" w:lineRule="auto"/>
      </w:pPr>
      <w:bookmarkStart w:id="43" w:name="_Toc26718931"/>
      <w:bookmarkStart w:id="44" w:name="_Toc26986531"/>
      <w:bookmarkStart w:id="45" w:name="_Toc219109510"/>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2C7CB3E">
      <w:pPr>
        <w:pStyle w:val="56"/>
        <w:spacing w:line="360" w:lineRule="auto"/>
        <w:ind w:firstLine="420"/>
      </w:pPr>
      <w:r>
        <w:rPr>
          <w:rFonts w:hint="eastAsia"/>
        </w:rPr>
        <w:t>GB 50204 混凝土结构工程施工质量验收规范</w:t>
      </w:r>
    </w:p>
    <w:p w14:paraId="3C2E9A34">
      <w:pPr>
        <w:pStyle w:val="56"/>
        <w:spacing w:line="360" w:lineRule="auto"/>
        <w:ind w:firstLine="420"/>
      </w:pPr>
      <w:r>
        <w:rPr>
          <w:rFonts w:hint="eastAsia"/>
        </w:rPr>
        <w:t>GB 50300 建筑工程施工质量验收统一标准</w:t>
      </w:r>
    </w:p>
    <w:p w14:paraId="62DEA1AB">
      <w:pPr>
        <w:pStyle w:val="56"/>
        <w:spacing w:line="360" w:lineRule="auto"/>
        <w:ind w:firstLine="420"/>
      </w:pPr>
      <w:r>
        <w:rPr>
          <w:rFonts w:hint="eastAsia"/>
        </w:rPr>
        <w:t>GB 50500 建设工程工程量清单计价规范</w:t>
      </w:r>
    </w:p>
    <w:p w14:paraId="61EEE291">
      <w:pPr>
        <w:pStyle w:val="56"/>
        <w:spacing w:line="360" w:lineRule="auto"/>
        <w:ind w:firstLine="420"/>
      </w:pPr>
      <w:r>
        <w:rPr>
          <w:rFonts w:hint="eastAsia"/>
        </w:rPr>
        <w:t xml:space="preserve">GB/T 1.1 标准化工作导则 </w:t>
      </w:r>
      <w:r>
        <w:t xml:space="preserve"> </w:t>
      </w:r>
      <w:r>
        <w:rPr>
          <w:rFonts w:hint="eastAsia"/>
        </w:rPr>
        <w:t>第1部分：标准化文件的结构和起草规则</w:t>
      </w:r>
    </w:p>
    <w:p w14:paraId="51F02A4E">
      <w:pPr>
        <w:pStyle w:val="104"/>
        <w:spacing w:before="240" w:after="240" w:line="360" w:lineRule="auto"/>
      </w:pPr>
      <w:bookmarkStart w:id="48" w:name="_Toc219109511"/>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E87B25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施工管理系统 construction management system</w:t>
      </w:r>
    </w:p>
    <w:p w14:paraId="30F3DA4A">
      <w:pPr>
        <w:pStyle w:val="56"/>
        <w:spacing w:line="360" w:lineRule="auto"/>
        <w:ind w:firstLine="420"/>
      </w:pPr>
      <w:r>
        <w:rPr>
          <w:rFonts w:hint="eastAsia"/>
        </w:rPr>
        <w:t>用于支撑建筑工程施工阶段计划组织、进度控制、成本控制、质量安全管理、合同与支付管理、物资设备管理、现场协同沟通、资料档案管理与交付的综合信息系统。</w:t>
      </w:r>
    </w:p>
    <w:p w14:paraId="354D1DB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业务域 business domain</w:t>
      </w:r>
    </w:p>
    <w:p w14:paraId="19C11479">
      <w:pPr>
        <w:pStyle w:val="56"/>
        <w:spacing w:line="360" w:lineRule="auto"/>
        <w:ind w:firstLine="420"/>
      </w:pPr>
      <w:r>
        <w:rPr>
          <w:rFonts w:hint="eastAsia"/>
        </w:rPr>
        <w:t>施工管理系统中围绕同一类管理目标与业务对象形成的功能与数据集合，例如进度管理、成本管理、质量管理、安全管理、合同管理、物资管理、设备管理、资料档案管理等。</w:t>
      </w:r>
    </w:p>
    <w:p w14:paraId="41651B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流程体系 process architecture</w:t>
      </w:r>
    </w:p>
    <w:p w14:paraId="3C482699">
      <w:pPr>
        <w:pStyle w:val="56"/>
        <w:spacing w:line="360" w:lineRule="auto"/>
        <w:ind w:firstLine="420"/>
      </w:pPr>
      <w:r>
        <w:rPr>
          <w:rFonts w:hint="eastAsia"/>
        </w:rPr>
        <w:t>为实现施工管理目标，将业务活动按阶段、角色与规则组织为可执行、可监控、可追溯的流程集合，包含流程层级、流程边界、输入输出、审批节点与闭环规则。</w:t>
      </w:r>
    </w:p>
    <w:p w14:paraId="7E167EC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数据标准 data standard</w:t>
      </w:r>
    </w:p>
    <w:p w14:paraId="35FBC8B4">
      <w:pPr>
        <w:pStyle w:val="56"/>
        <w:spacing w:line="360" w:lineRule="auto"/>
        <w:ind w:firstLine="420"/>
      </w:pPr>
      <w:r>
        <w:rPr>
          <w:rFonts w:hint="eastAsia"/>
        </w:rPr>
        <w:t>对系统数据的分类、编码、字段定义、单位口径、取值规则、版本控制与数据质量要求的统一规定，用于保障跨模块数据一致与可交换。</w:t>
      </w:r>
    </w:p>
    <w:p w14:paraId="5A5E1D2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主数据 master data</w:t>
      </w:r>
    </w:p>
    <w:p w14:paraId="607389E1">
      <w:pPr>
        <w:pStyle w:val="56"/>
        <w:spacing w:line="360" w:lineRule="auto"/>
        <w:ind w:firstLine="420"/>
      </w:pPr>
      <w:r>
        <w:rPr>
          <w:rFonts w:hint="eastAsia"/>
        </w:rPr>
        <w:t>在多流程、多模块共享的基础数据对象，例如项目、组织、人员、合同、供应商、材料设备、构件与编码字典等。</w:t>
      </w:r>
    </w:p>
    <w:p w14:paraId="35C1EFB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权限模型 permission model</w:t>
      </w:r>
    </w:p>
    <w:p w14:paraId="236C320F">
      <w:pPr>
        <w:pStyle w:val="56"/>
        <w:spacing w:line="360" w:lineRule="auto"/>
        <w:ind w:firstLine="420"/>
      </w:pPr>
      <w:r>
        <w:rPr>
          <w:rFonts w:hint="eastAsia"/>
        </w:rPr>
        <w:t>对系统用户角色、权限范围、数据可见性、操作授权与审计追踪规则的集合，用于保障职责匹配与安全合规。</w:t>
      </w:r>
    </w:p>
    <w:p w14:paraId="0D42585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流程留痕 process traceability</w:t>
      </w:r>
    </w:p>
    <w:p w14:paraId="297B1E56">
      <w:pPr>
        <w:pStyle w:val="56"/>
        <w:spacing w:line="360" w:lineRule="auto"/>
        <w:ind w:firstLine="420"/>
      </w:pPr>
      <w:r>
        <w:rPr>
          <w:rFonts w:hint="eastAsia"/>
        </w:rPr>
        <w:t>对流程节点的发起、审批、变更、执行与关闭形成可追溯记录，包括时间戳、责任人、附件证据、意见与版本信息等。</w:t>
      </w:r>
    </w:p>
    <w:p w14:paraId="4753CD7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数据治理 data governance</w:t>
      </w:r>
    </w:p>
    <w:p w14:paraId="11ED0D72">
      <w:pPr>
        <w:pStyle w:val="56"/>
        <w:spacing w:line="360" w:lineRule="auto"/>
        <w:ind w:firstLine="420"/>
      </w:pPr>
      <w:r>
        <w:rPr>
          <w:rFonts w:hint="eastAsia"/>
        </w:rPr>
        <w:t>对数据全生命周期的标准制定、质量控制、变更管理、共享与安全、备份与恢复、审计与合规等管理活动的总称。</w:t>
      </w:r>
    </w:p>
    <w:p w14:paraId="20AA3ED5">
      <w:pPr>
        <w:pStyle w:val="104"/>
        <w:spacing w:before="240" w:after="240" w:line="360" w:lineRule="auto"/>
      </w:pPr>
      <w:bookmarkStart w:id="51" w:name="_Toc219109512"/>
      <w:r>
        <w:rPr>
          <w:rFonts w:hint="eastAsia"/>
        </w:rPr>
        <w:t>总体原则与系统建设要求</w:t>
      </w:r>
      <w:bookmarkEnd w:id="51"/>
    </w:p>
    <w:p w14:paraId="1BB8CBCA">
      <w:pPr>
        <w:pStyle w:val="105"/>
        <w:spacing w:before="120" w:after="120" w:line="360" w:lineRule="auto"/>
      </w:pPr>
      <w:r>
        <w:rPr>
          <w:rFonts w:hint="eastAsia"/>
        </w:rPr>
        <w:t>总体原则</w:t>
      </w:r>
    </w:p>
    <w:p w14:paraId="3A521476">
      <w:pPr>
        <w:pStyle w:val="65"/>
        <w:spacing w:before="120" w:after="120" w:line="360" w:lineRule="auto"/>
      </w:pPr>
      <w:r>
        <w:rPr>
          <w:rFonts w:hint="eastAsia"/>
        </w:rPr>
        <w:t>目标导向原则</w:t>
      </w:r>
    </w:p>
    <w:p w14:paraId="04592486">
      <w:pPr>
        <w:pStyle w:val="56"/>
        <w:spacing w:line="360" w:lineRule="auto"/>
        <w:ind w:firstLine="420"/>
      </w:pPr>
      <w:r>
        <w:rPr>
          <w:rFonts w:hint="eastAsia"/>
        </w:rPr>
        <w:t>施工管理系统应围绕项目进度、成本、质量、安全、合同履约与资料交付等管理目标进行设计与部署，系统功能与流程设置应能够支撑目标分解、过程监控、偏差纠正与结果评价。</w:t>
      </w:r>
    </w:p>
    <w:p w14:paraId="66FBFE24">
      <w:pPr>
        <w:pStyle w:val="65"/>
        <w:spacing w:before="120" w:after="120" w:line="360" w:lineRule="auto"/>
      </w:pPr>
      <w:r>
        <w:rPr>
          <w:rFonts w:hint="eastAsia"/>
        </w:rPr>
        <w:t>流程驱动原则</w:t>
      </w:r>
    </w:p>
    <w:p w14:paraId="6B3C652E">
      <w:pPr>
        <w:pStyle w:val="56"/>
        <w:spacing w:line="360" w:lineRule="auto"/>
        <w:ind w:firstLine="420"/>
      </w:pPr>
      <w:r>
        <w:rPr>
          <w:rFonts w:hint="eastAsia"/>
        </w:rPr>
        <w:t>施工管理系统应以流程体系为主线组织功能与数据，形成从策划到实施、从执行到验收、从问题发现到闭环整改的可执行流程。关键流程应明确输入输出、责任角色、审批节点与时限要求，并实现全过程留痕。</w:t>
      </w:r>
    </w:p>
    <w:p w14:paraId="622631A6">
      <w:pPr>
        <w:pStyle w:val="65"/>
        <w:spacing w:before="120" w:after="120" w:line="360" w:lineRule="auto"/>
      </w:pPr>
      <w:r>
        <w:rPr>
          <w:rFonts w:hint="eastAsia"/>
        </w:rPr>
        <w:t>数据一致原则</w:t>
      </w:r>
    </w:p>
    <w:p w14:paraId="087A8C8D">
      <w:pPr>
        <w:pStyle w:val="56"/>
        <w:spacing w:line="360" w:lineRule="auto"/>
        <w:ind w:firstLine="420"/>
      </w:pPr>
      <w:r>
        <w:rPr>
          <w:rFonts w:hint="eastAsia"/>
        </w:rPr>
        <w:t>施工管理系统应建立统一的数据标准与编码体系。项目、组织、合同、清单、材料设备、构件、检验批、变更签证等关键对象应具备唯一标识与统一字段口径，确保跨模块数据一致与可交换。</w:t>
      </w:r>
    </w:p>
    <w:p w14:paraId="216722A7">
      <w:pPr>
        <w:pStyle w:val="65"/>
        <w:spacing w:before="120" w:after="120" w:line="360" w:lineRule="auto"/>
      </w:pPr>
      <w:r>
        <w:rPr>
          <w:rFonts w:hint="eastAsia"/>
        </w:rPr>
        <w:t>职责匹配原则</w:t>
      </w:r>
    </w:p>
    <w:p w14:paraId="14381547">
      <w:pPr>
        <w:pStyle w:val="56"/>
        <w:spacing w:line="360" w:lineRule="auto"/>
        <w:ind w:firstLine="420"/>
      </w:pPr>
      <w:r>
        <w:rPr>
          <w:rFonts w:hint="eastAsia"/>
        </w:rPr>
        <w:t>施工管理系统应建立与项目组织结构相匹配的角色权限模型，实现权限按岗位配置、按职责授权、按业务域隔离，并满足授权审批、权限审计与权限回收要求。</w:t>
      </w:r>
    </w:p>
    <w:p w14:paraId="75CF44EC">
      <w:pPr>
        <w:pStyle w:val="65"/>
        <w:spacing w:before="120" w:after="120" w:line="360" w:lineRule="auto"/>
      </w:pPr>
      <w:r>
        <w:rPr>
          <w:rFonts w:hint="eastAsia"/>
        </w:rPr>
        <w:t>风险可控原则</w:t>
      </w:r>
    </w:p>
    <w:p w14:paraId="5B5BA85E">
      <w:pPr>
        <w:pStyle w:val="56"/>
        <w:spacing w:line="360" w:lineRule="auto"/>
        <w:ind w:firstLine="420"/>
      </w:pPr>
      <w:r>
        <w:rPr>
          <w:rFonts w:hint="eastAsia"/>
        </w:rPr>
        <w:t>施工管理系统应支持风险识别、风险分级、预警规则配置与闭环处置。对进度滞后、成本超支、质量安全隐患、合同履约偏差与资料缺失等风险，应具备预警触发、责任分派、整改跟踪与闭环验证能力。</w:t>
      </w:r>
    </w:p>
    <w:p w14:paraId="7E34630E">
      <w:pPr>
        <w:pStyle w:val="65"/>
        <w:spacing w:before="120" w:after="120" w:line="360" w:lineRule="auto"/>
      </w:pPr>
      <w:r>
        <w:rPr>
          <w:rFonts w:hint="eastAsia"/>
        </w:rPr>
        <w:t>可集成原则</w:t>
      </w:r>
    </w:p>
    <w:p w14:paraId="335480FC">
      <w:pPr>
        <w:pStyle w:val="56"/>
        <w:spacing w:line="360" w:lineRule="auto"/>
        <w:ind w:firstLine="420"/>
      </w:pPr>
      <w:r>
        <w:rPr>
          <w:rFonts w:hint="eastAsia"/>
        </w:rPr>
        <w:t>施工管理系统应支持与BIM平台、进度计划软件、计量支付系统、物资采购系统、财务系统、检测监测系统与电子签章系统等进行接口集成，避免信息孤岛，实现数据共享与业务协同。</w:t>
      </w:r>
    </w:p>
    <w:p w14:paraId="572E702E">
      <w:pPr>
        <w:pStyle w:val="65"/>
        <w:spacing w:before="120" w:after="120" w:line="360" w:lineRule="auto"/>
      </w:pPr>
      <w:r>
        <w:rPr>
          <w:rFonts w:hint="eastAsia"/>
        </w:rPr>
        <w:t>安全合规原则</w:t>
      </w:r>
    </w:p>
    <w:p w14:paraId="2FED0D68">
      <w:pPr>
        <w:pStyle w:val="56"/>
        <w:spacing w:line="360" w:lineRule="auto"/>
        <w:ind w:firstLine="420"/>
      </w:pPr>
      <w:r>
        <w:rPr>
          <w:rFonts w:hint="eastAsia"/>
        </w:rPr>
        <w:t>施工管理系统应满足网络安全与数据安全要求，落实身份认证、访问控制、数据加密、日志审计、备份恢复与安全事件处置机制，并满足相关法律法规与等级保护等要求。</w:t>
      </w:r>
    </w:p>
    <w:p w14:paraId="7FA8FB99">
      <w:pPr>
        <w:pStyle w:val="105"/>
        <w:spacing w:before="120" w:after="120" w:line="360" w:lineRule="auto"/>
      </w:pPr>
      <w:r>
        <w:rPr>
          <w:rFonts w:hint="eastAsia"/>
        </w:rPr>
        <w:t>系统架构要求</w:t>
      </w:r>
    </w:p>
    <w:p w14:paraId="10536652">
      <w:pPr>
        <w:pStyle w:val="165"/>
        <w:spacing w:line="360" w:lineRule="auto"/>
      </w:pPr>
      <w:r>
        <w:rPr>
          <w:rFonts w:hint="eastAsia"/>
        </w:rPr>
        <w:t>系统架构应包括业务应用层、流程引擎层、数据服务层与安全运维层。业务应用层应覆盖主要业务域，流程引擎层应支持流程编排与审批控制，数据服务层应提供主数据管理与数据交换能力，安全运维层应提供权限审计、备份恢复与运行监控能力。</w:t>
      </w:r>
    </w:p>
    <w:p w14:paraId="28D5069B">
      <w:pPr>
        <w:pStyle w:val="165"/>
        <w:spacing w:line="360" w:lineRule="auto"/>
      </w:pPr>
      <w:r>
        <w:rPr>
          <w:rFonts w:hint="eastAsia"/>
        </w:rPr>
        <w:t>系统应支持多项目管理与多组织协同。应支持集团级、公司级与项目级的分级管理，支持参建方协同账户或外部协作机制，并确保数据隔离与权限控制有效。</w:t>
      </w:r>
    </w:p>
    <w:p w14:paraId="1F686DE7">
      <w:pPr>
        <w:pStyle w:val="165"/>
        <w:spacing w:line="360" w:lineRule="auto"/>
      </w:pPr>
      <w:r>
        <w:rPr>
          <w:rFonts w:hint="eastAsia"/>
        </w:rPr>
        <w:t>系统应支持移动端与现场应用。对现场巡检、旁站、隐蔽验收、材料验收、问题整改、影像取证等高频场景，应提供移动端采集与离线缓存能力，并支持定位、拍照水印与二维码关联。</w:t>
      </w:r>
    </w:p>
    <w:p w14:paraId="19696C98">
      <w:pPr>
        <w:pStyle w:val="105"/>
        <w:spacing w:before="120" w:after="120" w:line="360" w:lineRule="auto"/>
      </w:pPr>
      <w:r>
        <w:rPr>
          <w:rFonts w:hint="eastAsia"/>
        </w:rPr>
        <w:t>功能与流程建设要求</w:t>
      </w:r>
    </w:p>
    <w:p w14:paraId="1954E912">
      <w:pPr>
        <w:pStyle w:val="165"/>
        <w:spacing w:line="360" w:lineRule="auto"/>
      </w:pPr>
      <w:r>
        <w:rPr>
          <w:rFonts w:hint="eastAsia"/>
        </w:rPr>
        <w:t>系统应以关键流程为核心构建功能。关键流程宜包括计划编制与审批、进度计划执行与偏差管理、计量与支付、变更签证、质量验收、隐患排查与整改闭环、材料设备采购与验收、分包管理、资料归档与交付等。</w:t>
      </w:r>
    </w:p>
    <w:p w14:paraId="23626B29">
      <w:pPr>
        <w:pStyle w:val="165"/>
        <w:spacing w:line="360" w:lineRule="auto"/>
      </w:pPr>
      <w:r>
        <w:rPr>
          <w:rFonts w:hint="eastAsia"/>
        </w:rPr>
        <w:t>流程应支持版本控制与变更留痕。对计划、合同、变更、图纸版本、方案版本与审批意见，应保留版本链与变更原因，确保审计可追溯。</w:t>
      </w:r>
    </w:p>
    <w:p w14:paraId="0828110F">
      <w:pPr>
        <w:pStyle w:val="165"/>
        <w:spacing w:line="360" w:lineRule="auto"/>
      </w:pPr>
      <w:r>
        <w:rPr>
          <w:rFonts w:hint="eastAsia"/>
        </w:rPr>
        <w:t>流程节点应具备证据要求。对关键审批节点与关键验收节点，应要求上传必要附件或形成结构化记录，保证线上结论可核验。</w:t>
      </w:r>
    </w:p>
    <w:p w14:paraId="54A90075">
      <w:pPr>
        <w:pStyle w:val="165"/>
        <w:spacing w:line="360" w:lineRule="auto"/>
      </w:pPr>
      <w:r>
        <w:rPr>
          <w:rFonts w:hint="eastAsia"/>
        </w:rPr>
        <w:t>系统应支持闭环管理。问题从发现、派发、整改、复查到销项应形成闭环，闭环数据应可统计并支持趋势分析与风险预警。</w:t>
      </w:r>
    </w:p>
    <w:p w14:paraId="342FE95A">
      <w:pPr>
        <w:pStyle w:val="105"/>
        <w:spacing w:before="120" w:after="120" w:line="360" w:lineRule="auto"/>
      </w:pPr>
      <w:r>
        <w:rPr>
          <w:rFonts w:hint="eastAsia"/>
        </w:rPr>
        <w:t>数据标准与主数据管理要求</w:t>
      </w:r>
    </w:p>
    <w:p w14:paraId="0881B1D4">
      <w:pPr>
        <w:pStyle w:val="165"/>
        <w:spacing w:line="360" w:lineRule="auto"/>
      </w:pPr>
      <w:r>
        <w:rPr>
          <w:rFonts w:hint="eastAsia"/>
        </w:rPr>
        <w:t>应建立数据标准体系。应统一编码规则、字段定义、单位口径、取值范围、必填字段与校验规则，并形成受控的数据字典。</w:t>
      </w:r>
    </w:p>
    <w:p w14:paraId="12AEEC65">
      <w:pPr>
        <w:pStyle w:val="165"/>
        <w:spacing w:line="360" w:lineRule="auto"/>
      </w:pPr>
      <w:r>
        <w:rPr>
          <w:rFonts w:hint="eastAsia"/>
        </w:rPr>
        <w:t>应建立主数据管理机制。项目、组织、人员、供应商、合同、清单、材料设备、构件与位置等主数据应统一维护，主数据变更应受控并具备审批与审计记录。</w:t>
      </w:r>
    </w:p>
    <w:p w14:paraId="7992CCC6">
      <w:pPr>
        <w:pStyle w:val="165"/>
        <w:spacing w:line="360" w:lineRule="auto"/>
      </w:pPr>
      <w:r>
        <w:rPr>
          <w:rFonts w:hint="eastAsia"/>
        </w:rPr>
        <w:t>应建立数据质量控制机制。应设置数据完整性、准确性、一致性与及时性指标，对关键数据缺失、逻辑矛盾与异常波动应提示并形成整改任务。</w:t>
      </w:r>
    </w:p>
    <w:p w14:paraId="556EEF53">
      <w:pPr>
        <w:pStyle w:val="105"/>
        <w:spacing w:before="120" w:after="120" w:line="360" w:lineRule="auto"/>
      </w:pPr>
      <w:r>
        <w:rPr>
          <w:rFonts w:hint="eastAsia"/>
        </w:rPr>
        <w:t>权限与审计要求</w:t>
      </w:r>
    </w:p>
    <w:p w14:paraId="02575055">
      <w:pPr>
        <w:pStyle w:val="165"/>
        <w:spacing w:line="360" w:lineRule="auto"/>
      </w:pPr>
      <w:r>
        <w:rPr>
          <w:rFonts w:hint="eastAsia"/>
        </w:rPr>
        <w:t>应建立角色权限模型。角色应与岗位职责一致，权限应覆盖菜单权限、数据权限与流程节点权限，避免权限过度集中或职责错配。</w:t>
      </w:r>
    </w:p>
    <w:p w14:paraId="38D1FAFF">
      <w:pPr>
        <w:pStyle w:val="165"/>
        <w:spacing w:line="360" w:lineRule="auto"/>
      </w:pPr>
      <w:r>
        <w:rPr>
          <w:rFonts w:hint="eastAsia"/>
        </w:rPr>
        <w:t>应实施权限生命周期管理。用户新增、授权、变更与注销应受控，关键权限变更应经审批，离岗人员权限应及时回收。</w:t>
      </w:r>
    </w:p>
    <w:p w14:paraId="3AB1A607">
      <w:pPr>
        <w:pStyle w:val="165"/>
        <w:spacing w:line="360" w:lineRule="auto"/>
      </w:pPr>
      <w:r>
        <w:rPr>
          <w:rFonts w:hint="eastAsia"/>
        </w:rPr>
        <w:t>应实施日志审计。应记录关键操作日志，包括登录、审批、变更、导出、删除与权限变更等操作，并支持按项目、用户、时间与业务对象查询。</w:t>
      </w:r>
    </w:p>
    <w:p w14:paraId="12CECDE3">
      <w:pPr>
        <w:pStyle w:val="105"/>
        <w:spacing w:before="120" w:after="120" w:line="360" w:lineRule="auto"/>
      </w:pPr>
      <w:r>
        <w:rPr>
          <w:rFonts w:hint="eastAsia"/>
        </w:rPr>
        <w:t>运行维护与持续改进要求</w:t>
      </w:r>
    </w:p>
    <w:p w14:paraId="4D6D71D8">
      <w:pPr>
        <w:pStyle w:val="165"/>
        <w:spacing w:line="360" w:lineRule="auto"/>
      </w:pPr>
      <w:r>
        <w:rPr>
          <w:rFonts w:hint="eastAsia"/>
        </w:rPr>
        <w:t>系统应具备运行监控能力。应监控系统可用性、响应时间、接口状态与关键任务队列，并具备故障告警与应急处置机制。</w:t>
      </w:r>
    </w:p>
    <w:p w14:paraId="19D15B1D">
      <w:pPr>
        <w:pStyle w:val="165"/>
        <w:spacing w:line="360" w:lineRule="auto"/>
      </w:pPr>
      <w:r>
        <w:rPr>
          <w:rFonts w:hint="eastAsia"/>
        </w:rPr>
        <w:t>应建立备份与恢复机制。应明确备份策略、备份频率、备份介质与恢复演练要求，确保关键数据可恢复。</w:t>
      </w:r>
    </w:p>
    <w:p w14:paraId="4E298868">
      <w:pPr>
        <w:pStyle w:val="165"/>
        <w:spacing w:line="360" w:lineRule="auto"/>
      </w:pPr>
      <w:r>
        <w:rPr>
          <w:rFonts w:hint="eastAsia"/>
        </w:rPr>
        <w:t>应建立持续改进机制。应基于系统使用数据、流程时效指标、问题闭环数据与用户反馈开展迭代优化，并形成版本发布与变更公告。</w:t>
      </w:r>
    </w:p>
    <w:p w14:paraId="2AC46D4C">
      <w:pPr>
        <w:pStyle w:val="165"/>
        <w:numPr>
          <w:ilvl w:val="0"/>
          <w:numId w:val="0"/>
        </w:numPr>
        <w:spacing w:line="360" w:lineRule="auto"/>
      </w:pPr>
    </w:p>
    <w:p w14:paraId="5E38F851">
      <w:pPr>
        <w:pStyle w:val="165"/>
        <w:numPr>
          <w:ilvl w:val="0"/>
          <w:numId w:val="0"/>
        </w:numPr>
        <w:spacing w:line="360" w:lineRule="auto"/>
      </w:pPr>
    </w:p>
    <w:p w14:paraId="005FD47D">
      <w:pPr>
        <w:pStyle w:val="165"/>
        <w:numPr>
          <w:ilvl w:val="0"/>
          <w:numId w:val="0"/>
        </w:numPr>
        <w:spacing w:line="360" w:lineRule="auto"/>
        <w:rPr>
          <w:rFonts w:hint="eastAsia"/>
        </w:rPr>
      </w:pPr>
    </w:p>
    <w:p w14:paraId="79873A31">
      <w:pPr>
        <w:pStyle w:val="104"/>
        <w:spacing w:before="240" w:after="240" w:line="360" w:lineRule="auto"/>
      </w:pPr>
      <w:bookmarkStart w:id="52" w:name="_Toc219109513"/>
      <w:r>
        <w:rPr>
          <w:rFonts w:hint="eastAsia"/>
        </w:rPr>
        <w:t>系统业务域框架与关键流程体系</w:t>
      </w:r>
      <w:bookmarkEnd w:id="52"/>
    </w:p>
    <w:p w14:paraId="31BB9D97">
      <w:pPr>
        <w:pStyle w:val="105"/>
        <w:spacing w:before="120" w:after="120" w:line="360" w:lineRule="auto"/>
      </w:pPr>
      <w:r>
        <w:rPr>
          <w:rFonts w:hint="eastAsia"/>
        </w:rPr>
        <w:t>业务域框架</w:t>
      </w:r>
    </w:p>
    <w:p w14:paraId="6E3E4B3F">
      <w:pPr>
        <w:pStyle w:val="165"/>
        <w:spacing w:line="360" w:lineRule="auto"/>
      </w:pPr>
      <w:r>
        <w:rPr>
          <w:rFonts w:hint="eastAsia"/>
        </w:rPr>
        <w:t>施工管理系统业务域应覆盖项目管理所需的主要管理要素，至少包括项目基础管理、进度管理、成本管理、合同管理、质量管理、安全管理、物资管理、设备管理、分包管理、技术管理、资料档案管理与综合统计分析等业务域。</w:t>
      </w:r>
    </w:p>
    <w:p w14:paraId="46064DF8">
      <w:pPr>
        <w:pStyle w:val="165"/>
        <w:spacing w:line="360" w:lineRule="auto"/>
      </w:pPr>
      <w:r>
        <w:rPr>
          <w:rFonts w:hint="eastAsia"/>
        </w:rPr>
        <w:t>业务域划分应明确边界与接口关系。相邻业务域之间应通过统一数据对象实现衔接，例如以清单与合同对象贯通成本与合同管理，以检验批与隐蔽验收对象贯通质量与资料管理，以隐患与整改对象贯通安全与闭环管理。</w:t>
      </w:r>
    </w:p>
    <w:p w14:paraId="7B9C6562">
      <w:pPr>
        <w:pStyle w:val="165"/>
        <w:spacing w:line="360" w:lineRule="auto"/>
      </w:pPr>
      <w:r>
        <w:rPr>
          <w:rFonts w:hint="eastAsia"/>
        </w:rPr>
        <w:t>业务域应支持分级管理与多方协同。集团级宜侧重指标汇总与风险监督，项目级宜侧重过程执行与闭环管理，参建方协同应通过受控权限实现跨组织流程协作。</w:t>
      </w:r>
    </w:p>
    <w:p w14:paraId="6F965052">
      <w:pPr>
        <w:pStyle w:val="105"/>
        <w:spacing w:before="120" w:after="120" w:line="360" w:lineRule="auto"/>
      </w:pPr>
      <w:r>
        <w:rPr>
          <w:rFonts w:hint="eastAsia"/>
        </w:rPr>
        <w:t>关键流程体系结构</w:t>
      </w:r>
    </w:p>
    <w:p w14:paraId="7A0B19EB">
      <w:pPr>
        <w:pStyle w:val="165"/>
        <w:spacing w:line="360" w:lineRule="auto"/>
      </w:pPr>
      <w:r>
        <w:rPr>
          <w:rFonts w:hint="eastAsia"/>
        </w:rPr>
        <w:t>关键流程体系宜按策划类流程、执行类流程、控制类流程与交付类流程组织。策划类流程包括目标分解、计划编制与资源策划。执行类流程包括采购、施工、验收与计量支付。控制类流程包括变更签证、风险预警、问题闭环与统计分析。交付类流程包括竣工资料归档、数字化交付与运营移交。</w:t>
      </w:r>
    </w:p>
    <w:p w14:paraId="4BE318D8">
      <w:pPr>
        <w:pStyle w:val="165"/>
        <w:spacing w:line="360" w:lineRule="auto"/>
      </w:pPr>
      <w:r>
        <w:rPr>
          <w:rFonts w:hint="eastAsia"/>
        </w:rPr>
        <w:t>关键流程应明确输入、输出与闭环条件。输入应包括触发条件与必要的主数据，输出应包括形成的业务记录、审批结论与附件证据，闭环条件应包括完成标准、复核要求与销项规则。</w:t>
      </w:r>
    </w:p>
    <w:p w14:paraId="55D08466">
      <w:pPr>
        <w:pStyle w:val="165"/>
        <w:spacing w:line="360" w:lineRule="auto"/>
      </w:pPr>
      <w:r>
        <w:rPr>
          <w:rFonts w:hint="eastAsia"/>
        </w:rPr>
        <w:t>关键流程应支持跨业务域联动。流程中形成的数据应自动回写关联对象并更新状态，例如质量验收通过应更新检验批状态并触发资料归档任务，变更签证通过应同步影响合同清单与成本预测，隐患销项应形成复查记录并回写风险统计。</w:t>
      </w:r>
    </w:p>
    <w:p w14:paraId="6F7F8249">
      <w:pPr>
        <w:pStyle w:val="105"/>
        <w:spacing w:before="120" w:after="120" w:line="360" w:lineRule="auto"/>
      </w:pPr>
      <w:r>
        <w:rPr>
          <w:rFonts w:hint="eastAsia"/>
        </w:rPr>
        <w:t>业务域与关键流程清单</w:t>
      </w:r>
    </w:p>
    <w:p w14:paraId="27CC23FE">
      <w:pPr>
        <w:pStyle w:val="56"/>
        <w:spacing w:line="360" w:lineRule="auto"/>
        <w:ind w:firstLine="420"/>
      </w:pPr>
      <w:r>
        <w:rPr>
          <w:rFonts w:hint="eastAsia"/>
        </w:rPr>
        <w:t>施工管理系统业务域与关键流程清单见表1。</w:t>
      </w:r>
    </w:p>
    <w:p w14:paraId="2A62EE40">
      <w:pPr>
        <w:pStyle w:val="112"/>
        <w:spacing w:before="120" w:after="120" w:line="360" w:lineRule="auto"/>
      </w:pPr>
      <w:r>
        <w:rPr>
          <w:rFonts w:hint="eastAsia"/>
        </w:rPr>
        <w:t>系统业务域与关键流程清单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843"/>
        <w:gridCol w:w="2126"/>
        <w:gridCol w:w="1985"/>
        <w:gridCol w:w="2256"/>
      </w:tblGrid>
      <w:tr w14:paraId="15373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52748C87">
            <w:pPr>
              <w:pStyle w:val="178"/>
            </w:pPr>
            <w:r>
              <w:rPr>
                <w:rFonts w:hint="eastAsia"/>
              </w:rPr>
              <w:t>业务域</w:t>
            </w:r>
          </w:p>
        </w:tc>
        <w:tc>
          <w:tcPr>
            <w:tcW w:w="1843" w:type="dxa"/>
            <w:tcBorders>
              <w:top w:val="single" w:color="auto" w:sz="8" w:space="0"/>
              <w:bottom w:val="single" w:color="auto" w:sz="8" w:space="0"/>
            </w:tcBorders>
            <w:vAlign w:val="center"/>
          </w:tcPr>
          <w:p w14:paraId="5C3FE8B7">
            <w:pPr>
              <w:pStyle w:val="178"/>
            </w:pPr>
            <w:r>
              <w:rPr>
                <w:rFonts w:hint="eastAsia"/>
              </w:rPr>
              <w:t>关键流程名称</w:t>
            </w:r>
          </w:p>
        </w:tc>
        <w:tc>
          <w:tcPr>
            <w:tcW w:w="2126" w:type="dxa"/>
            <w:tcBorders>
              <w:top w:val="single" w:color="auto" w:sz="8" w:space="0"/>
              <w:bottom w:val="single" w:color="auto" w:sz="8" w:space="0"/>
            </w:tcBorders>
            <w:vAlign w:val="center"/>
          </w:tcPr>
          <w:p w14:paraId="1ACF8DDF">
            <w:pPr>
              <w:pStyle w:val="178"/>
            </w:pPr>
            <w:r>
              <w:rPr>
                <w:rFonts w:hint="eastAsia"/>
              </w:rPr>
              <w:t>主要输入</w:t>
            </w:r>
          </w:p>
        </w:tc>
        <w:tc>
          <w:tcPr>
            <w:tcW w:w="1985" w:type="dxa"/>
            <w:tcBorders>
              <w:top w:val="single" w:color="auto" w:sz="8" w:space="0"/>
              <w:bottom w:val="single" w:color="auto" w:sz="8" w:space="0"/>
            </w:tcBorders>
            <w:vAlign w:val="center"/>
          </w:tcPr>
          <w:p w14:paraId="2782723D">
            <w:pPr>
              <w:pStyle w:val="178"/>
            </w:pPr>
            <w:r>
              <w:rPr>
                <w:rFonts w:hint="eastAsia"/>
              </w:rPr>
              <w:t>主要输出</w:t>
            </w:r>
          </w:p>
        </w:tc>
        <w:tc>
          <w:tcPr>
            <w:tcW w:w="2256" w:type="dxa"/>
            <w:tcBorders>
              <w:top w:val="single" w:color="auto" w:sz="8" w:space="0"/>
              <w:bottom w:val="single" w:color="auto" w:sz="8" w:space="0"/>
            </w:tcBorders>
            <w:vAlign w:val="center"/>
          </w:tcPr>
          <w:p w14:paraId="526559E9">
            <w:pPr>
              <w:pStyle w:val="178"/>
            </w:pPr>
            <w:r>
              <w:rPr>
                <w:rFonts w:hint="eastAsia"/>
              </w:rPr>
              <w:t>关键控制点</w:t>
            </w:r>
          </w:p>
        </w:tc>
      </w:tr>
      <w:tr w14:paraId="0C78D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0185716F">
            <w:pPr>
              <w:pStyle w:val="178"/>
            </w:pPr>
            <w:r>
              <w:rPr>
                <w:rFonts w:hint="eastAsia"/>
              </w:rPr>
              <w:t>项目基础管理</w:t>
            </w:r>
          </w:p>
        </w:tc>
        <w:tc>
          <w:tcPr>
            <w:tcW w:w="1843" w:type="dxa"/>
            <w:tcBorders>
              <w:top w:val="single" w:color="auto" w:sz="8" w:space="0"/>
            </w:tcBorders>
            <w:vAlign w:val="center"/>
          </w:tcPr>
          <w:p w14:paraId="775D5D7A">
            <w:pPr>
              <w:pStyle w:val="178"/>
            </w:pPr>
            <w:r>
              <w:rPr>
                <w:rFonts w:hint="eastAsia"/>
              </w:rPr>
              <w:t>项目立项与组织配置</w:t>
            </w:r>
          </w:p>
        </w:tc>
        <w:tc>
          <w:tcPr>
            <w:tcW w:w="2126" w:type="dxa"/>
            <w:tcBorders>
              <w:top w:val="single" w:color="auto" w:sz="8" w:space="0"/>
            </w:tcBorders>
            <w:vAlign w:val="center"/>
          </w:tcPr>
          <w:p w14:paraId="53D80D54">
            <w:pPr>
              <w:pStyle w:val="178"/>
            </w:pPr>
            <w:r>
              <w:rPr>
                <w:rFonts w:hint="eastAsia"/>
              </w:rPr>
              <w:t>项目信息、组织结构、岗位角色</w:t>
            </w:r>
          </w:p>
        </w:tc>
        <w:tc>
          <w:tcPr>
            <w:tcW w:w="1985" w:type="dxa"/>
            <w:tcBorders>
              <w:top w:val="single" w:color="auto" w:sz="8" w:space="0"/>
            </w:tcBorders>
            <w:vAlign w:val="center"/>
          </w:tcPr>
          <w:p w14:paraId="22842636">
            <w:pPr>
              <w:pStyle w:val="178"/>
            </w:pPr>
            <w:r>
              <w:rPr>
                <w:rFonts w:hint="eastAsia"/>
              </w:rPr>
              <w:t>项目主数据、角色权限、任务模板</w:t>
            </w:r>
          </w:p>
        </w:tc>
        <w:tc>
          <w:tcPr>
            <w:tcW w:w="2256" w:type="dxa"/>
            <w:tcBorders>
              <w:top w:val="single" w:color="auto" w:sz="8" w:space="0"/>
            </w:tcBorders>
            <w:vAlign w:val="center"/>
          </w:tcPr>
          <w:p w14:paraId="42BA9F2A">
            <w:pPr>
              <w:pStyle w:val="178"/>
            </w:pPr>
            <w:r>
              <w:rPr>
                <w:rFonts w:hint="eastAsia"/>
              </w:rPr>
              <w:t>主数据受控、权限审批</w:t>
            </w:r>
          </w:p>
        </w:tc>
      </w:tr>
      <w:tr w14:paraId="0C72D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28CF9DD">
            <w:pPr>
              <w:pStyle w:val="178"/>
            </w:pPr>
            <w:r>
              <w:rPr>
                <w:rFonts w:hint="eastAsia"/>
              </w:rPr>
              <w:t>进度管理</w:t>
            </w:r>
          </w:p>
        </w:tc>
        <w:tc>
          <w:tcPr>
            <w:tcW w:w="1843" w:type="dxa"/>
            <w:vAlign w:val="center"/>
          </w:tcPr>
          <w:p w14:paraId="455A597E">
            <w:pPr>
              <w:pStyle w:val="178"/>
            </w:pPr>
            <w:r>
              <w:rPr>
                <w:rFonts w:hint="eastAsia"/>
              </w:rPr>
              <w:t>计划编制与审批</w:t>
            </w:r>
          </w:p>
        </w:tc>
        <w:tc>
          <w:tcPr>
            <w:tcW w:w="2126" w:type="dxa"/>
            <w:vAlign w:val="center"/>
          </w:tcPr>
          <w:p w14:paraId="3628182E">
            <w:pPr>
              <w:pStyle w:val="178"/>
            </w:pPr>
            <w:r>
              <w:rPr>
                <w:rFonts w:hint="eastAsia"/>
              </w:rPr>
              <w:t>工作分解结构、里程碑、资源计划</w:t>
            </w:r>
          </w:p>
        </w:tc>
        <w:tc>
          <w:tcPr>
            <w:tcW w:w="1985" w:type="dxa"/>
            <w:vAlign w:val="center"/>
          </w:tcPr>
          <w:p w14:paraId="3B347BA5">
            <w:pPr>
              <w:pStyle w:val="178"/>
            </w:pPr>
            <w:r>
              <w:rPr>
                <w:rFonts w:hint="eastAsia"/>
              </w:rPr>
              <w:t>基准计划、审批记录</w:t>
            </w:r>
          </w:p>
        </w:tc>
        <w:tc>
          <w:tcPr>
            <w:tcW w:w="2256" w:type="dxa"/>
            <w:vAlign w:val="center"/>
          </w:tcPr>
          <w:p w14:paraId="67784819">
            <w:pPr>
              <w:pStyle w:val="178"/>
            </w:pPr>
            <w:r>
              <w:rPr>
                <w:rFonts w:hint="eastAsia"/>
              </w:rPr>
              <w:t>版本控制、变更留痕</w:t>
            </w:r>
          </w:p>
        </w:tc>
      </w:tr>
      <w:tr w14:paraId="30C25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D4E0225">
            <w:pPr>
              <w:pStyle w:val="178"/>
            </w:pPr>
            <w:r>
              <w:rPr>
                <w:rFonts w:hint="eastAsia"/>
              </w:rPr>
              <w:t>进度管理</w:t>
            </w:r>
          </w:p>
        </w:tc>
        <w:tc>
          <w:tcPr>
            <w:tcW w:w="1843" w:type="dxa"/>
            <w:vAlign w:val="center"/>
          </w:tcPr>
          <w:p w14:paraId="24B507E8">
            <w:pPr>
              <w:pStyle w:val="178"/>
            </w:pPr>
            <w:r>
              <w:rPr>
                <w:rFonts w:hint="eastAsia"/>
              </w:rPr>
              <w:t>执行反馈与偏差管理</w:t>
            </w:r>
          </w:p>
        </w:tc>
        <w:tc>
          <w:tcPr>
            <w:tcW w:w="2126" w:type="dxa"/>
            <w:vAlign w:val="center"/>
          </w:tcPr>
          <w:p w14:paraId="4FFD072D">
            <w:pPr>
              <w:pStyle w:val="178"/>
            </w:pPr>
            <w:r>
              <w:rPr>
                <w:rFonts w:hint="eastAsia"/>
              </w:rPr>
              <w:t>日周月报、实测工程量</w:t>
            </w:r>
          </w:p>
        </w:tc>
        <w:tc>
          <w:tcPr>
            <w:tcW w:w="1985" w:type="dxa"/>
            <w:vAlign w:val="center"/>
          </w:tcPr>
          <w:p w14:paraId="39093685">
            <w:pPr>
              <w:pStyle w:val="178"/>
            </w:pPr>
            <w:r>
              <w:rPr>
                <w:rFonts w:hint="eastAsia"/>
              </w:rPr>
              <w:t>偏差分析、纠偏任务</w:t>
            </w:r>
          </w:p>
        </w:tc>
        <w:tc>
          <w:tcPr>
            <w:tcW w:w="2256" w:type="dxa"/>
            <w:vAlign w:val="center"/>
          </w:tcPr>
          <w:p w14:paraId="317D58BF">
            <w:pPr>
              <w:pStyle w:val="178"/>
            </w:pPr>
            <w:r>
              <w:rPr>
                <w:rFonts w:hint="eastAsia"/>
              </w:rPr>
              <w:t>预警阈值、时限闭环</w:t>
            </w:r>
          </w:p>
        </w:tc>
      </w:tr>
      <w:tr w14:paraId="1BCCD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A513FDA">
            <w:pPr>
              <w:pStyle w:val="178"/>
            </w:pPr>
            <w:r>
              <w:rPr>
                <w:rFonts w:hint="eastAsia"/>
              </w:rPr>
              <w:t>成本管理</w:t>
            </w:r>
          </w:p>
        </w:tc>
        <w:tc>
          <w:tcPr>
            <w:tcW w:w="1843" w:type="dxa"/>
            <w:vAlign w:val="center"/>
          </w:tcPr>
          <w:p w14:paraId="0A0B6617">
            <w:pPr>
              <w:pStyle w:val="178"/>
            </w:pPr>
            <w:r>
              <w:rPr>
                <w:rFonts w:hint="eastAsia"/>
              </w:rPr>
              <w:t>目标成本与动态控制</w:t>
            </w:r>
          </w:p>
        </w:tc>
        <w:tc>
          <w:tcPr>
            <w:tcW w:w="2126" w:type="dxa"/>
            <w:vAlign w:val="center"/>
          </w:tcPr>
          <w:p w14:paraId="7258364D">
            <w:pPr>
              <w:pStyle w:val="178"/>
            </w:pPr>
            <w:r>
              <w:rPr>
                <w:rFonts w:hint="eastAsia"/>
              </w:rPr>
              <w:t>清单、合同、资源价格</w:t>
            </w:r>
          </w:p>
        </w:tc>
        <w:tc>
          <w:tcPr>
            <w:tcW w:w="1985" w:type="dxa"/>
            <w:vAlign w:val="center"/>
          </w:tcPr>
          <w:p w14:paraId="3D281FC9">
            <w:pPr>
              <w:pStyle w:val="178"/>
            </w:pPr>
            <w:r>
              <w:rPr>
                <w:rFonts w:hint="eastAsia"/>
              </w:rPr>
              <w:t>目标成本、动态成本</w:t>
            </w:r>
          </w:p>
        </w:tc>
        <w:tc>
          <w:tcPr>
            <w:tcW w:w="2256" w:type="dxa"/>
            <w:vAlign w:val="center"/>
          </w:tcPr>
          <w:p w14:paraId="47582694">
            <w:pPr>
              <w:pStyle w:val="178"/>
            </w:pPr>
            <w:r>
              <w:rPr>
                <w:rFonts w:hint="eastAsia"/>
              </w:rPr>
              <w:t>数据口径统一、变更联动</w:t>
            </w:r>
          </w:p>
        </w:tc>
      </w:tr>
      <w:tr w14:paraId="53422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D537FAA">
            <w:pPr>
              <w:pStyle w:val="178"/>
            </w:pPr>
            <w:r>
              <w:rPr>
                <w:rFonts w:hint="eastAsia"/>
              </w:rPr>
              <w:t>合同管理</w:t>
            </w:r>
          </w:p>
        </w:tc>
        <w:tc>
          <w:tcPr>
            <w:tcW w:w="1843" w:type="dxa"/>
            <w:vAlign w:val="center"/>
          </w:tcPr>
          <w:p w14:paraId="27554D50">
            <w:pPr>
              <w:pStyle w:val="178"/>
            </w:pPr>
            <w:r>
              <w:rPr>
                <w:rFonts w:hint="eastAsia"/>
              </w:rPr>
              <w:t>合同签订与履约跟踪</w:t>
            </w:r>
          </w:p>
        </w:tc>
        <w:tc>
          <w:tcPr>
            <w:tcW w:w="2126" w:type="dxa"/>
            <w:vAlign w:val="center"/>
          </w:tcPr>
          <w:p w14:paraId="0E83C484">
            <w:pPr>
              <w:pStyle w:val="178"/>
            </w:pPr>
            <w:r>
              <w:rPr>
                <w:rFonts w:hint="eastAsia"/>
              </w:rPr>
              <w:t>合同文本、付款条款</w:t>
            </w:r>
          </w:p>
        </w:tc>
        <w:tc>
          <w:tcPr>
            <w:tcW w:w="1985" w:type="dxa"/>
            <w:vAlign w:val="center"/>
          </w:tcPr>
          <w:p w14:paraId="7016B63F">
            <w:pPr>
              <w:pStyle w:val="178"/>
            </w:pPr>
            <w:r>
              <w:rPr>
                <w:rFonts w:hint="eastAsia"/>
              </w:rPr>
              <w:t>合同台账、履约状态</w:t>
            </w:r>
          </w:p>
        </w:tc>
        <w:tc>
          <w:tcPr>
            <w:tcW w:w="2256" w:type="dxa"/>
            <w:vAlign w:val="center"/>
          </w:tcPr>
          <w:p w14:paraId="325A74DE">
            <w:pPr>
              <w:pStyle w:val="178"/>
            </w:pPr>
            <w:r>
              <w:rPr>
                <w:rFonts w:hint="eastAsia"/>
              </w:rPr>
              <w:t>审批受控、证据齐全</w:t>
            </w:r>
          </w:p>
        </w:tc>
      </w:tr>
      <w:tr w14:paraId="05642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B79FB13">
            <w:pPr>
              <w:pStyle w:val="178"/>
            </w:pPr>
            <w:r>
              <w:rPr>
                <w:rFonts w:hint="eastAsia"/>
              </w:rPr>
              <w:t>合同管理</w:t>
            </w:r>
          </w:p>
        </w:tc>
        <w:tc>
          <w:tcPr>
            <w:tcW w:w="1843" w:type="dxa"/>
            <w:vAlign w:val="center"/>
          </w:tcPr>
          <w:p w14:paraId="01A1C1FA">
            <w:pPr>
              <w:pStyle w:val="178"/>
            </w:pPr>
            <w:r>
              <w:rPr>
                <w:rFonts w:hint="eastAsia"/>
              </w:rPr>
              <w:t>计量与支付审批</w:t>
            </w:r>
          </w:p>
        </w:tc>
        <w:tc>
          <w:tcPr>
            <w:tcW w:w="2126" w:type="dxa"/>
            <w:vAlign w:val="center"/>
          </w:tcPr>
          <w:p w14:paraId="359B3E88">
            <w:pPr>
              <w:pStyle w:val="178"/>
            </w:pPr>
            <w:r>
              <w:rPr>
                <w:rFonts w:hint="eastAsia"/>
              </w:rPr>
              <w:t>工程量确认、发票资料</w:t>
            </w:r>
          </w:p>
        </w:tc>
        <w:tc>
          <w:tcPr>
            <w:tcW w:w="1985" w:type="dxa"/>
            <w:vAlign w:val="center"/>
          </w:tcPr>
          <w:p w14:paraId="1FBAAF6A">
            <w:pPr>
              <w:pStyle w:val="178"/>
            </w:pPr>
            <w:r>
              <w:rPr>
                <w:rFonts w:hint="eastAsia"/>
              </w:rPr>
              <w:t>支付申请、审批结论</w:t>
            </w:r>
          </w:p>
        </w:tc>
        <w:tc>
          <w:tcPr>
            <w:tcW w:w="2256" w:type="dxa"/>
            <w:vAlign w:val="center"/>
          </w:tcPr>
          <w:p w14:paraId="57E849CD">
            <w:pPr>
              <w:pStyle w:val="178"/>
            </w:pPr>
            <w:r>
              <w:rPr>
                <w:rFonts w:hint="eastAsia"/>
              </w:rPr>
              <w:t>工程量一致性、防重复支付</w:t>
            </w:r>
          </w:p>
        </w:tc>
      </w:tr>
      <w:tr w14:paraId="020BC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DDBF2D7">
            <w:pPr>
              <w:pStyle w:val="178"/>
            </w:pPr>
            <w:r>
              <w:rPr>
                <w:rFonts w:hint="eastAsia"/>
              </w:rPr>
              <w:t>变更签证</w:t>
            </w:r>
          </w:p>
        </w:tc>
        <w:tc>
          <w:tcPr>
            <w:tcW w:w="1843" w:type="dxa"/>
            <w:vAlign w:val="center"/>
          </w:tcPr>
          <w:p w14:paraId="2A002156">
            <w:pPr>
              <w:pStyle w:val="178"/>
            </w:pPr>
            <w:r>
              <w:rPr>
                <w:rFonts w:hint="eastAsia"/>
              </w:rPr>
              <w:t>变更发起与审批</w:t>
            </w:r>
          </w:p>
        </w:tc>
        <w:tc>
          <w:tcPr>
            <w:tcW w:w="2126" w:type="dxa"/>
            <w:vAlign w:val="center"/>
          </w:tcPr>
          <w:p w14:paraId="620BA433">
            <w:pPr>
              <w:pStyle w:val="178"/>
            </w:pPr>
            <w:r>
              <w:rPr>
                <w:rFonts w:hint="eastAsia"/>
              </w:rPr>
              <w:t>图纸变更、指令</w:t>
            </w:r>
          </w:p>
        </w:tc>
        <w:tc>
          <w:tcPr>
            <w:tcW w:w="1985" w:type="dxa"/>
            <w:vAlign w:val="center"/>
          </w:tcPr>
          <w:p w14:paraId="73A72F10">
            <w:pPr>
              <w:pStyle w:val="178"/>
            </w:pPr>
            <w:r>
              <w:rPr>
                <w:rFonts w:hint="eastAsia"/>
              </w:rPr>
              <w:t>变更单、签证单</w:t>
            </w:r>
          </w:p>
        </w:tc>
        <w:tc>
          <w:tcPr>
            <w:tcW w:w="2256" w:type="dxa"/>
            <w:vAlign w:val="center"/>
          </w:tcPr>
          <w:p w14:paraId="6FC56049">
            <w:pPr>
              <w:pStyle w:val="178"/>
            </w:pPr>
            <w:r>
              <w:rPr>
                <w:rFonts w:hint="eastAsia"/>
              </w:rPr>
              <w:t>影响评估、版本留痕</w:t>
            </w:r>
          </w:p>
        </w:tc>
      </w:tr>
      <w:tr w14:paraId="11459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972E50B">
            <w:pPr>
              <w:pStyle w:val="178"/>
            </w:pPr>
            <w:r>
              <w:rPr>
                <w:rFonts w:hint="eastAsia"/>
              </w:rPr>
              <w:t>质量管理</w:t>
            </w:r>
          </w:p>
        </w:tc>
        <w:tc>
          <w:tcPr>
            <w:tcW w:w="1843" w:type="dxa"/>
            <w:vAlign w:val="center"/>
          </w:tcPr>
          <w:p w14:paraId="67C99F87">
            <w:pPr>
              <w:pStyle w:val="178"/>
            </w:pPr>
            <w:r>
              <w:rPr>
                <w:rFonts w:hint="eastAsia"/>
              </w:rPr>
              <w:t>检验批验收</w:t>
            </w:r>
          </w:p>
        </w:tc>
        <w:tc>
          <w:tcPr>
            <w:tcW w:w="2126" w:type="dxa"/>
            <w:vAlign w:val="center"/>
          </w:tcPr>
          <w:p w14:paraId="3CF9E84B">
            <w:pPr>
              <w:pStyle w:val="178"/>
            </w:pPr>
            <w:r>
              <w:rPr>
                <w:rFonts w:hint="eastAsia"/>
              </w:rPr>
              <w:t>检验批清单、检测数据</w:t>
            </w:r>
          </w:p>
        </w:tc>
        <w:tc>
          <w:tcPr>
            <w:tcW w:w="1985" w:type="dxa"/>
            <w:vAlign w:val="center"/>
          </w:tcPr>
          <w:p w14:paraId="5A514E73">
            <w:pPr>
              <w:pStyle w:val="178"/>
            </w:pPr>
            <w:r>
              <w:rPr>
                <w:rFonts w:hint="eastAsia"/>
              </w:rPr>
              <w:t>验收记录、状态更新</w:t>
            </w:r>
          </w:p>
        </w:tc>
        <w:tc>
          <w:tcPr>
            <w:tcW w:w="2256" w:type="dxa"/>
            <w:vAlign w:val="center"/>
          </w:tcPr>
          <w:p w14:paraId="7C3B7D5F">
            <w:pPr>
              <w:pStyle w:val="178"/>
            </w:pPr>
            <w:r>
              <w:rPr>
                <w:rFonts w:hint="eastAsia"/>
              </w:rPr>
              <w:t>必填字段、影像取证</w:t>
            </w:r>
          </w:p>
        </w:tc>
      </w:tr>
      <w:tr w14:paraId="43EF1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701BA17">
            <w:pPr>
              <w:pStyle w:val="178"/>
            </w:pPr>
            <w:r>
              <w:rPr>
                <w:rFonts w:hint="eastAsia"/>
              </w:rPr>
              <w:t>安全管理</w:t>
            </w:r>
          </w:p>
        </w:tc>
        <w:tc>
          <w:tcPr>
            <w:tcW w:w="1843" w:type="dxa"/>
            <w:vAlign w:val="center"/>
          </w:tcPr>
          <w:p w14:paraId="584CE59C">
            <w:pPr>
              <w:pStyle w:val="178"/>
            </w:pPr>
            <w:r>
              <w:rPr>
                <w:rFonts w:hint="eastAsia"/>
              </w:rPr>
              <w:t>隐患排查与整改闭环</w:t>
            </w:r>
          </w:p>
        </w:tc>
        <w:tc>
          <w:tcPr>
            <w:tcW w:w="2126" w:type="dxa"/>
            <w:vAlign w:val="center"/>
          </w:tcPr>
          <w:p w14:paraId="19118909">
            <w:pPr>
              <w:pStyle w:val="178"/>
            </w:pPr>
            <w:r>
              <w:rPr>
                <w:rFonts w:hint="eastAsia"/>
              </w:rPr>
              <w:t>隐患记录、风险等级</w:t>
            </w:r>
          </w:p>
        </w:tc>
        <w:tc>
          <w:tcPr>
            <w:tcW w:w="1985" w:type="dxa"/>
            <w:vAlign w:val="center"/>
          </w:tcPr>
          <w:p w14:paraId="50C2DF4E">
            <w:pPr>
              <w:pStyle w:val="178"/>
            </w:pPr>
            <w:r>
              <w:rPr>
                <w:rFonts w:hint="eastAsia"/>
              </w:rPr>
              <w:t>整改任务、复查销项</w:t>
            </w:r>
          </w:p>
        </w:tc>
        <w:tc>
          <w:tcPr>
            <w:tcW w:w="2256" w:type="dxa"/>
            <w:vAlign w:val="center"/>
          </w:tcPr>
          <w:p w14:paraId="5EFDA6A6">
            <w:pPr>
              <w:pStyle w:val="178"/>
            </w:pPr>
            <w:r>
              <w:rPr>
                <w:rFonts w:hint="eastAsia"/>
              </w:rPr>
              <w:t>升级机制、时限控制</w:t>
            </w:r>
          </w:p>
        </w:tc>
      </w:tr>
      <w:tr w14:paraId="5FA50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73A4108">
            <w:pPr>
              <w:pStyle w:val="178"/>
            </w:pPr>
            <w:r>
              <w:rPr>
                <w:rFonts w:hint="eastAsia"/>
              </w:rPr>
              <w:t>物资管理</w:t>
            </w:r>
          </w:p>
        </w:tc>
        <w:tc>
          <w:tcPr>
            <w:tcW w:w="1843" w:type="dxa"/>
            <w:vAlign w:val="center"/>
          </w:tcPr>
          <w:p w14:paraId="20DDAA6C">
            <w:pPr>
              <w:pStyle w:val="178"/>
            </w:pPr>
            <w:r>
              <w:rPr>
                <w:rFonts w:hint="eastAsia"/>
              </w:rPr>
              <w:t>采购与到货验收</w:t>
            </w:r>
          </w:p>
        </w:tc>
        <w:tc>
          <w:tcPr>
            <w:tcW w:w="2126" w:type="dxa"/>
            <w:vAlign w:val="center"/>
          </w:tcPr>
          <w:p w14:paraId="72DFB4E4">
            <w:pPr>
              <w:pStyle w:val="178"/>
            </w:pPr>
            <w:r>
              <w:rPr>
                <w:rFonts w:hint="eastAsia"/>
              </w:rPr>
              <w:t>采购计划、供应商</w:t>
            </w:r>
          </w:p>
        </w:tc>
        <w:tc>
          <w:tcPr>
            <w:tcW w:w="1985" w:type="dxa"/>
            <w:vAlign w:val="center"/>
          </w:tcPr>
          <w:p w14:paraId="0B2B8FDC">
            <w:pPr>
              <w:pStyle w:val="178"/>
            </w:pPr>
            <w:r>
              <w:rPr>
                <w:rFonts w:hint="eastAsia"/>
              </w:rPr>
              <w:t>到货记录、复验记录</w:t>
            </w:r>
          </w:p>
        </w:tc>
        <w:tc>
          <w:tcPr>
            <w:tcW w:w="2256" w:type="dxa"/>
            <w:vAlign w:val="center"/>
          </w:tcPr>
          <w:p w14:paraId="213A964F">
            <w:pPr>
              <w:pStyle w:val="178"/>
            </w:pPr>
            <w:r>
              <w:rPr>
                <w:rFonts w:hint="eastAsia"/>
              </w:rPr>
              <w:t>批次追溯、复验合格</w:t>
            </w:r>
          </w:p>
        </w:tc>
      </w:tr>
      <w:tr w14:paraId="0903B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A318CC4">
            <w:pPr>
              <w:pStyle w:val="178"/>
            </w:pPr>
            <w:r>
              <w:rPr>
                <w:rFonts w:hint="eastAsia"/>
              </w:rPr>
              <w:t>设备管理</w:t>
            </w:r>
          </w:p>
        </w:tc>
        <w:tc>
          <w:tcPr>
            <w:tcW w:w="1843" w:type="dxa"/>
            <w:vAlign w:val="center"/>
          </w:tcPr>
          <w:p w14:paraId="39F22DB2">
            <w:pPr>
              <w:pStyle w:val="178"/>
            </w:pPr>
            <w:r>
              <w:rPr>
                <w:rFonts w:hint="eastAsia"/>
              </w:rPr>
              <w:t>设备进退场与点检</w:t>
            </w:r>
          </w:p>
        </w:tc>
        <w:tc>
          <w:tcPr>
            <w:tcW w:w="2126" w:type="dxa"/>
            <w:vAlign w:val="center"/>
          </w:tcPr>
          <w:p w14:paraId="1ACFCE1F">
            <w:pPr>
              <w:pStyle w:val="178"/>
            </w:pPr>
            <w:r>
              <w:rPr>
                <w:rFonts w:hint="eastAsia"/>
              </w:rPr>
              <w:t>设备台账、点检计划</w:t>
            </w:r>
          </w:p>
        </w:tc>
        <w:tc>
          <w:tcPr>
            <w:tcW w:w="1985" w:type="dxa"/>
            <w:vAlign w:val="center"/>
          </w:tcPr>
          <w:p w14:paraId="3123478A">
            <w:pPr>
              <w:pStyle w:val="178"/>
            </w:pPr>
            <w:r>
              <w:rPr>
                <w:rFonts w:hint="eastAsia"/>
              </w:rPr>
              <w:t>点检记录、维修工单</w:t>
            </w:r>
          </w:p>
        </w:tc>
        <w:tc>
          <w:tcPr>
            <w:tcW w:w="2256" w:type="dxa"/>
            <w:vAlign w:val="center"/>
          </w:tcPr>
          <w:p w14:paraId="317C4F87">
            <w:pPr>
              <w:pStyle w:val="178"/>
            </w:pPr>
            <w:r>
              <w:rPr>
                <w:rFonts w:hint="eastAsia"/>
              </w:rPr>
              <w:t>合规证照、维保闭环</w:t>
            </w:r>
          </w:p>
        </w:tc>
      </w:tr>
    </w:tbl>
    <w:p w14:paraId="50E7A90B">
      <w:pPr>
        <w:pStyle w:val="56"/>
        <w:spacing w:before="120" w:beforeLines="50" w:after="120" w:afterLines="50"/>
        <w:ind w:firstLine="0" w:firstLineChars="0"/>
        <w:jc w:val="center"/>
        <w:rPr>
          <w:rFonts w:ascii="黑体" w:hAnsi="黑体" w:eastAsia="黑体"/>
        </w:rPr>
      </w:pPr>
      <w:bookmarkStart w:id="53" w:name="_Toc219109514"/>
      <w:r>
        <w:rPr>
          <w:rFonts w:hint="eastAsia" w:ascii="黑体" w:hAnsi="黑体" w:eastAsia="黑体"/>
        </w:rPr>
        <w:t>表1  系统业务域与关键流程清单</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843"/>
        <w:gridCol w:w="2126"/>
        <w:gridCol w:w="1985"/>
        <w:gridCol w:w="2256"/>
      </w:tblGrid>
      <w:tr w14:paraId="03EF2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624CF4F1">
            <w:pPr>
              <w:pStyle w:val="178"/>
            </w:pPr>
            <w:r>
              <w:rPr>
                <w:rFonts w:hint="eastAsia"/>
              </w:rPr>
              <w:t>业务域</w:t>
            </w:r>
          </w:p>
        </w:tc>
        <w:tc>
          <w:tcPr>
            <w:tcW w:w="1843" w:type="dxa"/>
            <w:tcBorders>
              <w:top w:val="single" w:color="auto" w:sz="8" w:space="0"/>
              <w:bottom w:val="single" w:color="auto" w:sz="8" w:space="0"/>
            </w:tcBorders>
            <w:vAlign w:val="center"/>
          </w:tcPr>
          <w:p w14:paraId="3D5DBB9C">
            <w:pPr>
              <w:pStyle w:val="178"/>
            </w:pPr>
            <w:r>
              <w:rPr>
                <w:rFonts w:hint="eastAsia"/>
              </w:rPr>
              <w:t>关键流程名称</w:t>
            </w:r>
          </w:p>
        </w:tc>
        <w:tc>
          <w:tcPr>
            <w:tcW w:w="2126" w:type="dxa"/>
            <w:tcBorders>
              <w:top w:val="single" w:color="auto" w:sz="8" w:space="0"/>
              <w:bottom w:val="single" w:color="auto" w:sz="8" w:space="0"/>
            </w:tcBorders>
            <w:vAlign w:val="center"/>
          </w:tcPr>
          <w:p w14:paraId="4FF32564">
            <w:pPr>
              <w:pStyle w:val="178"/>
            </w:pPr>
            <w:r>
              <w:rPr>
                <w:rFonts w:hint="eastAsia"/>
              </w:rPr>
              <w:t>主要输入</w:t>
            </w:r>
          </w:p>
        </w:tc>
        <w:tc>
          <w:tcPr>
            <w:tcW w:w="1985" w:type="dxa"/>
            <w:tcBorders>
              <w:top w:val="single" w:color="auto" w:sz="8" w:space="0"/>
              <w:bottom w:val="single" w:color="auto" w:sz="8" w:space="0"/>
            </w:tcBorders>
            <w:vAlign w:val="center"/>
          </w:tcPr>
          <w:p w14:paraId="3DEE3F60">
            <w:pPr>
              <w:pStyle w:val="178"/>
            </w:pPr>
            <w:r>
              <w:rPr>
                <w:rFonts w:hint="eastAsia"/>
              </w:rPr>
              <w:t>主要输出</w:t>
            </w:r>
          </w:p>
        </w:tc>
        <w:tc>
          <w:tcPr>
            <w:tcW w:w="2256" w:type="dxa"/>
            <w:tcBorders>
              <w:top w:val="single" w:color="auto" w:sz="8" w:space="0"/>
              <w:bottom w:val="single" w:color="auto" w:sz="8" w:space="0"/>
            </w:tcBorders>
            <w:vAlign w:val="center"/>
          </w:tcPr>
          <w:p w14:paraId="78021BBD">
            <w:pPr>
              <w:pStyle w:val="178"/>
            </w:pPr>
            <w:r>
              <w:rPr>
                <w:rFonts w:hint="eastAsia"/>
              </w:rPr>
              <w:t>关键控制点</w:t>
            </w:r>
          </w:p>
        </w:tc>
      </w:tr>
      <w:tr w14:paraId="27AFA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7001AD60">
            <w:pPr>
              <w:pStyle w:val="178"/>
            </w:pPr>
            <w:r>
              <w:rPr>
                <w:rFonts w:hint="eastAsia"/>
              </w:rPr>
              <w:t>分包管理</w:t>
            </w:r>
          </w:p>
        </w:tc>
        <w:tc>
          <w:tcPr>
            <w:tcW w:w="1843" w:type="dxa"/>
            <w:vAlign w:val="center"/>
          </w:tcPr>
          <w:p w14:paraId="0B651F4F">
            <w:pPr>
              <w:pStyle w:val="178"/>
            </w:pPr>
            <w:r>
              <w:rPr>
                <w:rFonts w:hint="eastAsia"/>
              </w:rPr>
              <w:t>分包准入与过程评价</w:t>
            </w:r>
          </w:p>
        </w:tc>
        <w:tc>
          <w:tcPr>
            <w:tcW w:w="2126" w:type="dxa"/>
            <w:vAlign w:val="center"/>
          </w:tcPr>
          <w:p w14:paraId="416ECEAC">
            <w:pPr>
              <w:pStyle w:val="178"/>
            </w:pPr>
            <w:r>
              <w:rPr>
                <w:rFonts w:hint="eastAsia"/>
              </w:rPr>
              <w:t>资质信息、履约数据</w:t>
            </w:r>
          </w:p>
        </w:tc>
        <w:tc>
          <w:tcPr>
            <w:tcW w:w="1985" w:type="dxa"/>
            <w:vAlign w:val="center"/>
          </w:tcPr>
          <w:p w14:paraId="52FB866F">
            <w:pPr>
              <w:pStyle w:val="178"/>
            </w:pPr>
            <w:r>
              <w:rPr>
                <w:rFonts w:hint="eastAsia"/>
              </w:rPr>
              <w:t>准入记录、评价结果</w:t>
            </w:r>
          </w:p>
        </w:tc>
        <w:tc>
          <w:tcPr>
            <w:tcW w:w="2256" w:type="dxa"/>
            <w:vAlign w:val="center"/>
          </w:tcPr>
          <w:p w14:paraId="16612406">
            <w:pPr>
              <w:pStyle w:val="178"/>
            </w:pPr>
            <w:r>
              <w:rPr>
                <w:rFonts w:hint="eastAsia"/>
              </w:rPr>
              <w:t>黑名单机制、风险预警</w:t>
            </w:r>
          </w:p>
        </w:tc>
      </w:tr>
      <w:tr w14:paraId="6FE63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907BED2">
            <w:pPr>
              <w:pStyle w:val="178"/>
            </w:pPr>
            <w:r>
              <w:rPr>
                <w:rFonts w:hint="eastAsia"/>
              </w:rPr>
              <w:t>资料档案</w:t>
            </w:r>
          </w:p>
        </w:tc>
        <w:tc>
          <w:tcPr>
            <w:tcW w:w="1843" w:type="dxa"/>
            <w:vAlign w:val="center"/>
          </w:tcPr>
          <w:p w14:paraId="59302DCB">
            <w:pPr>
              <w:pStyle w:val="178"/>
            </w:pPr>
            <w:r>
              <w:rPr>
                <w:rFonts w:hint="eastAsia"/>
              </w:rPr>
              <w:t>资料归档与交付</w:t>
            </w:r>
          </w:p>
        </w:tc>
        <w:tc>
          <w:tcPr>
            <w:tcW w:w="2126" w:type="dxa"/>
            <w:vAlign w:val="center"/>
          </w:tcPr>
          <w:p w14:paraId="2859A4BB">
            <w:pPr>
              <w:pStyle w:val="178"/>
            </w:pPr>
            <w:r>
              <w:rPr>
                <w:rFonts w:hint="eastAsia"/>
              </w:rPr>
              <w:t>过程记录、验收记录</w:t>
            </w:r>
          </w:p>
        </w:tc>
        <w:tc>
          <w:tcPr>
            <w:tcW w:w="1985" w:type="dxa"/>
            <w:vAlign w:val="center"/>
          </w:tcPr>
          <w:p w14:paraId="12116790">
            <w:pPr>
              <w:pStyle w:val="178"/>
            </w:pPr>
            <w:r>
              <w:rPr>
                <w:rFonts w:hint="eastAsia"/>
              </w:rPr>
              <w:t>归档清单、交付包</w:t>
            </w:r>
          </w:p>
        </w:tc>
        <w:tc>
          <w:tcPr>
            <w:tcW w:w="2256" w:type="dxa"/>
            <w:vAlign w:val="center"/>
          </w:tcPr>
          <w:p w14:paraId="40BEB9AF">
            <w:pPr>
              <w:pStyle w:val="178"/>
            </w:pPr>
            <w:r>
              <w:rPr>
                <w:rFonts w:hint="eastAsia"/>
              </w:rPr>
              <w:t>完整性校验、可追溯索引</w:t>
            </w:r>
          </w:p>
        </w:tc>
      </w:tr>
      <w:tr w14:paraId="45507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vAlign w:val="center"/>
          </w:tcPr>
          <w:p w14:paraId="6D921D6A">
            <w:pPr>
              <w:pStyle w:val="178"/>
            </w:pPr>
            <w:r>
              <w:rPr>
                <w:rFonts w:hint="eastAsia"/>
              </w:rPr>
              <w:t>综合分析</w:t>
            </w:r>
          </w:p>
        </w:tc>
        <w:tc>
          <w:tcPr>
            <w:tcW w:w="1843" w:type="dxa"/>
            <w:vAlign w:val="center"/>
          </w:tcPr>
          <w:p w14:paraId="197F5C47">
            <w:pPr>
              <w:pStyle w:val="178"/>
            </w:pPr>
            <w:r>
              <w:rPr>
                <w:rFonts w:hint="eastAsia"/>
              </w:rPr>
              <w:t>指标看板与报告</w:t>
            </w:r>
          </w:p>
        </w:tc>
        <w:tc>
          <w:tcPr>
            <w:tcW w:w="2126" w:type="dxa"/>
            <w:vAlign w:val="center"/>
          </w:tcPr>
          <w:p w14:paraId="4603D181">
            <w:pPr>
              <w:pStyle w:val="178"/>
            </w:pPr>
            <w:r>
              <w:rPr>
                <w:rFonts w:hint="eastAsia"/>
              </w:rPr>
              <w:t>全域数据汇聚</w:t>
            </w:r>
          </w:p>
        </w:tc>
        <w:tc>
          <w:tcPr>
            <w:tcW w:w="1985" w:type="dxa"/>
            <w:vAlign w:val="center"/>
          </w:tcPr>
          <w:p w14:paraId="1B89272B">
            <w:pPr>
              <w:pStyle w:val="178"/>
            </w:pPr>
            <w:r>
              <w:rPr>
                <w:rFonts w:hint="eastAsia"/>
              </w:rPr>
              <w:t>看板、报告、预警清单</w:t>
            </w:r>
          </w:p>
        </w:tc>
        <w:tc>
          <w:tcPr>
            <w:tcW w:w="2256" w:type="dxa"/>
            <w:vAlign w:val="center"/>
          </w:tcPr>
          <w:p w14:paraId="77B06646">
            <w:pPr>
              <w:pStyle w:val="178"/>
            </w:pPr>
            <w:r>
              <w:rPr>
                <w:rFonts w:hint="eastAsia"/>
              </w:rPr>
              <w:t>数据质量校验、权限隔离</w:t>
            </w:r>
          </w:p>
        </w:tc>
      </w:tr>
    </w:tbl>
    <w:p w14:paraId="0B4DD615">
      <w:pPr>
        <w:pStyle w:val="104"/>
        <w:spacing w:before="240" w:after="240" w:line="360" w:lineRule="auto"/>
      </w:pPr>
      <w:r>
        <w:rPr>
          <w:rFonts w:hint="eastAsia"/>
        </w:rPr>
        <w:t>流程设计要求与节点控制规则</w:t>
      </w:r>
      <w:bookmarkEnd w:id="53"/>
    </w:p>
    <w:p w14:paraId="1D7346D2">
      <w:pPr>
        <w:pStyle w:val="105"/>
        <w:spacing w:before="120" w:after="120" w:line="360" w:lineRule="auto"/>
      </w:pPr>
      <w:r>
        <w:rPr>
          <w:rFonts w:hint="eastAsia"/>
        </w:rPr>
        <w:t>一般要求</w:t>
      </w:r>
    </w:p>
    <w:p w14:paraId="009BF9C7">
      <w:pPr>
        <w:pStyle w:val="165"/>
        <w:spacing w:line="360" w:lineRule="auto"/>
      </w:pPr>
      <w:r>
        <w:rPr>
          <w:rFonts w:hint="eastAsia"/>
        </w:rPr>
        <w:t>施工管理系统流程设计应以表1所列关键流程为基础，统一流程分层、节点设置、输入输出与状态流转规则，确保流程可执行、可监控、可追溯。</w:t>
      </w:r>
    </w:p>
    <w:p w14:paraId="33B43193">
      <w:pPr>
        <w:pStyle w:val="165"/>
        <w:spacing w:line="360" w:lineRule="auto"/>
      </w:pPr>
      <w:r>
        <w:rPr>
          <w:rFonts w:hint="eastAsia"/>
        </w:rPr>
        <w:t>流程设计应覆盖流程全生命周期管理，包含流程发布、流程版本控制、流程变更评估、流程停用与历史流程追溯要求。流程版本变更应保留变更原因、变更内容、批准信息与生效时间。</w:t>
      </w:r>
    </w:p>
    <w:p w14:paraId="51B2EA82">
      <w:pPr>
        <w:pStyle w:val="165"/>
        <w:spacing w:line="360" w:lineRule="auto"/>
      </w:pPr>
      <w:r>
        <w:rPr>
          <w:rFonts w:hint="eastAsia"/>
        </w:rPr>
        <w:t>流程节点应与责任角色绑定。每一节点应明确发起人、经办人、审核人、批准人、抄送范围与替代授权规则，并应与系统权限模型一致。</w:t>
      </w:r>
    </w:p>
    <w:p w14:paraId="15B62CB2">
      <w:pPr>
        <w:pStyle w:val="165"/>
        <w:spacing w:line="360" w:lineRule="auto"/>
      </w:pPr>
      <w:r>
        <w:rPr>
          <w:rFonts w:hint="eastAsia"/>
        </w:rPr>
        <w:t>流程节点应设置时限与预警。对需在规定时限内完成的节点，应设置到期提醒与超期预警机制，支持按项目、标段、责任人统计时效指标并纳入管理评价。</w:t>
      </w:r>
    </w:p>
    <w:p w14:paraId="2E83A9FE">
      <w:pPr>
        <w:pStyle w:val="105"/>
        <w:spacing w:before="120" w:after="120" w:line="360" w:lineRule="auto"/>
      </w:pPr>
      <w:r>
        <w:rPr>
          <w:rFonts w:hint="eastAsia"/>
        </w:rPr>
        <w:t>流程分层与编号规则</w:t>
      </w:r>
    </w:p>
    <w:p w14:paraId="5B769CF2">
      <w:pPr>
        <w:pStyle w:val="165"/>
        <w:spacing w:line="360" w:lineRule="auto"/>
      </w:pPr>
      <w:r>
        <w:rPr>
          <w:rFonts w:hint="eastAsia"/>
        </w:rPr>
        <w:t>流程体系宜按三级分层。一级流程为业务域流程，二级流程为关键流程，三级流程为可执行子流程或节点链路。流程分层应便于权限配置、统计分析与持续优化。</w:t>
      </w:r>
    </w:p>
    <w:p w14:paraId="100E0F93">
      <w:pPr>
        <w:pStyle w:val="165"/>
        <w:spacing w:line="360" w:lineRule="auto"/>
      </w:pPr>
      <w:r>
        <w:rPr>
          <w:rFonts w:hint="eastAsia"/>
        </w:rPr>
        <w:t>流程应设置统一编号。流程编号应包含业务域代码、流程类型代码与序号，并应形成流程目录清单。流程编号、流程名称、适用范围与版本号应在系统中受控展示。</w:t>
      </w:r>
    </w:p>
    <w:p w14:paraId="4E1FC468">
      <w:pPr>
        <w:pStyle w:val="105"/>
        <w:spacing w:before="120" w:after="120" w:line="360" w:lineRule="auto"/>
      </w:pPr>
      <w:r>
        <w:rPr>
          <w:rFonts w:hint="eastAsia"/>
        </w:rPr>
        <w:t>节点类型与控制要求</w:t>
      </w:r>
    </w:p>
    <w:p w14:paraId="33F9980A">
      <w:pPr>
        <w:pStyle w:val="165"/>
        <w:spacing w:line="360" w:lineRule="auto"/>
      </w:pPr>
      <w:r>
        <w:rPr>
          <w:rFonts w:hint="eastAsia"/>
        </w:rPr>
        <w:t>节点类型宜包括发起节点、经办节点、审核节点、批准节点、会签节点、复核节点、归档节点与关闭节点。不同节点类型应配置相应的权限、必填字段、附件要求与日志审计要求。</w:t>
      </w:r>
    </w:p>
    <w:p w14:paraId="08EA4C9A">
      <w:pPr>
        <w:pStyle w:val="165"/>
        <w:spacing w:line="360" w:lineRule="auto"/>
      </w:pPr>
      <w:r>
        <w:rPr>
          <w:rFonts w:hint="eastAsia"/>
        </w:rPr>
        <w:t>审核与批准节点应设置意见字段与结论字段。结论字段应至少包括通过、退回、补充材料与驳回等选项，并应支持意见留痕与附件补充。</w:t>
      </w:r>
    </w:p>
    <w:p w14:paraId="77A91605">
      <w:pPr>
        <w:pStyle w:val="165"/>
        <w:spacing w:line="360" w:lineRule="auto"/>
      </w:pPr>
      <w:r>
        <w:rPr>
          <w:rFonts w:hint="eastAsia"/>
        </w:rPr>
        <w:t>会签节点应明确会签规则。会签规则宜包括并行会签与串行会签。并行会签应明确通过条件与超期处理规则。串行会签应明确顺序与节点跳转条件。</w:t>
      </w:r>
    </w:p>
    <w:p w14:paraId="2BA6A1E9">
      <w:pPr>
        <w:pStyle w:val="165"/>
        <w:spacing w:line="360" w:lineRule="auto"/>
      </w:pPr>
      <w:r>
        <w:rPr>
          <w:rFonts w:hint="eastAsia"/>
        </w:rPr>
        <w:t>复核节点应独立于经办节点。对计量支付、质量验收、隐患销项、变更签证等关键流程，复核节点应由不同岗位人员承担，并应具备抽查或复测依据字段。</w:t>
      </w:r>
    </w:p>
    <w:p w14:paraId="7AE7335D">
      <w:pPr>
        <w:pStyle w:val="165"/>
        <w:spacing w:line="360" w:lineRule="auto"/>
      </w:pPr>
      <w:r>
        <w:rPr>
          <w:rFonts w:hint="eastAsia"/>
        </w:rPr>
        <w:t>归档与关闭节点应设置闭环条件。闭环条件应明确必须满足的记录完整性、附件齐全性、状态一致性与必要的复核结论。未满足闭环条件不得关闭流程。</w:t>
      </w:r>
    </w:p>
    <w:p w14:paraId="33E2567A">
      <w:pPr>
        <w:pStyle w:val="165"/>
        <w:numPr>
          <w:ilvl w:val="0"/>
          <w:numId w:val="0"/>
        </w:numPr>
        <w:spacing w:line="360" w:lineRule="auto"/>
        <w:rPr>
          <w:rFonts w:hint="eastAsia"/>
        </w:rPr>
      </w:pPr>
    </w:p>
    <w:p w14:paraId="308F7A7D">
      <w:pPr>
        <w:pStyle w:val="105"/>
        <w:spacing w:before="120" w:after="120" w:line="360" w:lineRule="auto"/>
      </w:pPr>
      <w:r>
        <w:rPr>
          <w:rFonts w:hint="eastAsia"/>
        </w:rPr>
        <w:t>输入输出与证据要求</w:t>
      </w:r>
    </w:p>
    <w:p w14:paraId="37E8051F">
      <w:pPr>
        <w:pStyle w:val="165"/>
        <w:spacing w:line="360" w:lineRule="auto"/>
      </w:pPr>
      <w:r>
        <w:rPr>
          <w:rFonts w:hint="eastAsia"/>
        </w:rPr>
        <w:t>每一关键流程应定义输入清单与输出清单。输入清单应至少包含触发条件、引用主数据对象与必须提交的附件证据。输出清单应至少包含形成的业务单据、审批结论、状态更新与可追溯索引。</w:t>
      </w:r>
    </w:p>
    <w:p w14:paraId="76B814E1">
      <w:pPr>
        <w:pStyle w:val="165"/>
        <w:spacing w:line="360" w:lineRule="auto"/>
      </w:pPr>
      <w:r>
        <w:rPr>
          <w:rFonts w:hint="eastAsia"/>
        </w:rPr>
        <w:t>关键节点应设置证据要求。对质量验收节点应要求影像资料与检验批记录。对计量支付节点应要求工程量确认资料与合同条款引用。对变更签证节点应要求变更依据、影响评估与图纸版本信息。对隐患销项节点应要求整改前后对比证据与复查记录。</w:t>
      </w:r>
    </w:p>
    <w:p w14:paraId="72B648D8">
      <w:pPr>
        <w:pStyle w:val="165"/>
        <w:spacing w:line="360" w:lineRule="auto"/>
      </w:pPr>
      <w:r>
        <w:rPr>
          <w:rFonts w:hint="eastAsia"/>
        </w:rPr>
        <w:t>系统应支持证据文件的受控管理。附件应支持版本控制与权限控制，并支持按业务对象自动归档与索引，防止附件散落与重复上传导致的证据链断裂。</w:t>
      </w:r>
    </w:p>
    <w:p w14:paraId="1329E2D1">
      <w:pPr>
        <w:pStyle w:val="105"/>
        <w:spacing w:before="120" w:after="120" w:line="360" w:lineRule="auto"/>
      </w:pPr>
      <w:r>
        <w:rPr>
          <w:rFonts w:hint="eastAsia"/>
        </w:rPr>
        <w:t>状态机与流转规则</w:t>
      </w:r>
    </w:p>
    <w:p w14:paraId="1B2C8638">
      <w:pPr>
        <w:pStyle w:val="165"/>
        <w:spacing w:line="360" w:lineRule="auto"/>
      </w:pPr>
      <w:r>
        <w:rPr>
          <w:rFonts w:hint="eastAsia"/>
        </w:rPr>
        <w:t>系统应对关键对象建立状态机规则。合同、变更、支付申请、检验批、隐患、整改任务、资料交付包等对象应具备状态定义、允许流转路径与状态变更权限。</w:t>
      </w:r>
    </w:p>
    <w:p w14:paraId="4322AF73">
      <w:pPr>
        <w:pStyle w:val="165"/>
        <w:spacing w:line="360" w:lineRule="auto"/>
      </w:pPr>
      <w:r>
        <w:rPr>
          <w:rFonts w:hint="eastAsia"/>
        </w:rPr>
        <w:t>状态变更应由流程触发。除系统管理员按授权规则处理异常外，业务对象状态不应允许绕过流程直接修改。异常处理应形成审计记录并保留证据。</w:t>
      </w:r>
    </w:p>
    <w:p w14:paraId="51140ABF">
      <w:pPr>
        <w:pStyle w:val="165"/>
        <w:spacing w:line="360" w:lineRule="auto"/>
      </w:pPr>
      <w:r>
        <w:rPr>
          <w:rFonts w:hint="eastAsia"/>
        </w:rPr>
        <w:t>状态回退应受控。对退回或驳回情形，应明确回退到的节点、需补充的材料类型与再次提交规则，并保留回退原因与责任人信息。</w:t>
      </w:r>
    </w:p>
    <w:p w14:paraId="0DE39318">
      <w:pPr>
        <w:pStyle w:val="105"/>
        <w:spacing w:before="120" w:after="120" w:line="360" w:lineRule="auto"/>
      </w:pPr>
      <w:r>
        <w:rPr>
          <w:rFonts w:hint="eastAsia"/>
        </w:rPr>
        <w:t>异常处理与升级机制</w:t>
      </w:r>
    </w:p>
    <w:p w14:paraId="768853C9">
      <w:pPr>
        <w:pStyle w:val="165"/>
        <w:spacing w:line="360" w:lineRule="auto"/>
      </w:pPr>
      <w:r>
        <w:rPr>
          <w:rFonts w:hint="eastAsia"/>
        </w:rPr>
        <w:t>系统应提供异常处理机制。异常情形包括流程超期、人员离岗、权限不足、数据缺失、附件不合格、接口失败与重复提交等。异常处理应明确处置责任人与处置时限，并留存处置记录。</w:t>
      </w:r>
    </w:p>
    <w:p w14:paraId="02F7927A">
      <w:pPr>
        <w:pStyle w:val="165"/>
        <w:spacing w:line="360" w:lineRule="auto"/>
      </w:pPr>
      <w:r>
        <w:rPr>
          <w:rFonts w:hint="eastAsia"/>
        </w:rPr>
        <w:t>关键风险应设置升级机制。对重大质量安全问题、重大进度偏差、重大成本超支、重大合同争议等，应触发升级流程，自动通知项目负责人及相关管理层，并生成专项处置任务。</w:t>
      </w:r>
    </w:p>
    <w:p w14:paraId="16E0200A">
      <w:pPr>
        <w:pStyle w:val="165"/>
        <w:spacing w:line="360" w:lineRule="auto"/>
      </w:pPr>
      <w:r>
        <w:rPr>
          <w:rFonts w:hint="eastAsia"/>
        </w:rPr>
        <w:t>系统应支持暂停与恢复。对需暂停的流程，应记录暂停原因、暂停时间与批准信息。恢复时应记录恢复条件满足情况与恢复批准信息。</w:t>
      </w:r>
    </w:p>
    <w:p w14:paraId="422ACE53">
      <w:pPr>
        <w:pStyle w:val="104"/>
        <w:spacing w:before="240" w:after="240" w:line="360" w:lineRule="auto"/>
      </w:pPr>
      <w:bookmarkStart w:id="54" w:name="_Toc219109515"/>
      <w:r>
        <w:rPr>
          <w:rFonts w:hint="eastAsia"/>
        </w:rPr>
        <w:t>数据标准与编码体系</w:t>
      </w:r>
      <w:bookmarkEnd w:id="54"/>
    </w:p>
    <w:p w14:paraId="4F2D9441">
      <w:pPr>
        <w:pStyle w:val="105"/>
        <w:spacing w:before="120" w:after="120" w:line="360" w:lineRule="auto"/>
      </w:pPr>
      <w:r>
        <w:rPr>
          <w:rFonts w:hint="eastAsia"/>
        </w:rPr>
        <w:t>一般要求</w:t>
      </w:r>
    </w:p>
    <w:p w14:paraId="0860131C">
      <w:pPr>
        <w:pStyle w:val="165"/>
        <w:spacing w:line="360" w:lineRule="auto"/>
      </w:pPr>
      <w:r>
        <w:rPr>
          <w:rFonts w:hint="eastAsia"/>
        </w:rPr>
        <w:t>施工管理系统应建立覆盖全业务域的数据标准与编码体系，确保项目范围内数据口径统一、跨模块数据一致、跨系统数据可交换，并支撑全过程留痕与审计追溯。</w:t>
      </w:r>
    </w:p>
    <w:p w14:paraId="23BF2B52">
      <w:pPr>
        <w:pStyle w:val="165"/>
        <w:spacing w:line="360" w:lineRule="auto"/>
      </w:pPr>
      <w:r>
        <w:rPr>
          <w:rFonts w:hint="eastAsia"/>
        </w:rPr>
        <w:t>数据标准应包含数据分类体系、编码规则、字段定义、单位与有效位数规则、取值范围、必填项规则、校验规则、数据质量指标与数据变更控制要求。</w:t>
      </w:r>
    </w:p>
    <w:p w14:paraId="72B5E12E">
      <w:pPr>
        <w:pStyle w:val="165"/>
        <w:spacing w:line="360" w:lineRule="auto"/>
      </w:pPr>
      <w:r>
        <w:rPr>
          <w:rFonts w:hint="eastAsia"/>
        </w:rPr>
        <w:t>编码体系应以主数据对象为核心，建立项目编码、组织编码、人员角色编码、合同与清单编码、构件与位置编码、材料设备编码、流程与单据编码等编码字典，并由受控机制统一维护。</w:t>
      </w:r>
    </w:p>
    <w:p w14:paraId="1C5A5DB0">
      <w:pPr>
        <w:pStyle w:val="105"/>
        <w:spacing w:before="120" w:after="120" w:line="360" w:lineRule="auto"/>
      </w:pPr>
      <w:r>
        <w:rPr>
          <w:rFonts w:hint="eastAsia"/>
        </w:rPr>
        <w:t>主数据对象与管理要求</w:t>
      </w:r>
    </w:p>
    <w:p w14:paraId="2454A24F">
      <w:pPr>
        <w:pStyle w:val="165"/>
        <w:spacing w:line="360" w:lineRule="auto"/>
      </w:pPr>
      <w:r>
        <w:rPr>
          <w:rFonts w:hint="eastAsia"/>
        </w:rPr>
        <w:t>主数据对象应覆盖系统关键共享对象。主数据对象至少包括项目、标段与单位工程、组织与参建方、人员与角色、合同与付款条件、清单与工程量项、供应商、材料与设备、分包单位、构件与位置、检验批与验收单元等。</w:t>
      </w:r>
    </w:p>
    <w:p w14:paraId="7886B882">
      <w:pPr>
        <w:pStyle w:val="165"/>
        <w:spacing w:line="360" w:lineRule="auto"/>
      </w:pPr>
      <w:r>
        <w:rPr>
          <w:rFonts w:hint="eastAsia"/>
        </w:rPr>
        <w:t>主数据应实行统一维护与授权变更。主数据新增、修改、停用与合并应按变更流程审批，变更应记录变更原因、变更内容、生效时间与影响范围，并保留历史版本。</w:t>
      </w:r>
    </w:p>
    <w:p w14:paraId="24803AAD">
      <w:pPr>
        <w:pStyle w:val="165"/>
        <w:spacing w:line="360" w:lineRule="auto"/>
      </w:pPr>
      <w:r>
        <w:rPr>
          <w:rFonts w:hint="eastAsia"/>
        </w:rPr>
        <w:t>主数据应建立唯一标识。每一主数据对象应具备唯一编码，唯一编码应作为跨模块关联的主键字段，禁止在不同模块中对同一对象另行生成不一致编码。</w:t>
      </w:r>
    </w:p>
    <w:p w14:paraId="5220D51E">
      <w:pPr>
        <w:pStyle w:val="105"/>
        <w:spacing w:before="120" w:after="120" w:line="360" w:lineRule="auto"/>
      </w:pPr>
      <w:r>
        <w:rPr>
          <w:rFonts w:hint="eastAsia"/>
        </w:rPr>
        <w:t>编码字典要求</w:t>
      </w:r>
    </w:p>
    <w:p w14:paraId="2AB614FE">
      <w:pPr>
        <w:pStyle w:val="165"/>
        <w:spacing w:line="360" w:lineRule="auto"/>
      </w:pPr>
      <w:r>
        <w:rPr>
          <w:rFonts w:hint="eastAsia"/>
        </w:rPr>
        <w:t>应建立编码字典并受控发布。编码字典应包含编码结构、字段含义、取值范围、示例与编制规则，并明确维护责任部门与维护流程。</w:t>
      </w:r>
    </w:p>
    <w:p w14:paraId="6BE38D44">
      <w:pPr>
        <w:pStyle w:val="165"/>
        <w:spacing w:line="360" w:lineRule="auto"/>
      </w:pPr>
      <w:r>
        <w:rPr>
          <w:rFonts w:hint="eastAsia"/>
        </w:rPr>
        <w:t>编码结构应兼顾可读性与可扩展性。编码应能够支持按项目、标段、楼栋、楼层、分区或专业维度快速定位，同时预留扩展位以满足新增业务对象与新场景。</w:t>
      </w:r>
    </w:p>
    <w:p w14:paraId="4A9025B0">
      <w:pPr>
        <w:pStyle w:val="165"/>
        <w:spacing w:line="360" w:lineRule="auto"/>
      </w:pPr>
      <w:r>
        <w:rPr>
          <w:rFonts w:hint="eastAsia"/>
        </w:rPr>
        <w:t>编码应支持与外部标准衔接。涉及BIM分类与构件编码的，应与相关BIM分类编码标准保持一致或建立映射关系。涉及材料与设备分类的，应与企业物资编码体系或行业通用分类保持一致或建立映射关系。</w:t>
      </w:r>
    </w:p>
    <w:p w14:paraId="5BD18C4D">
      <w:pPr>
        <w:pStyle w:val="165"/>
        <w:spacing w:line="360" w:lineRule="auto"/>
      </w:pPr>
      <w:r>
        <w:rPr>
          <w:rFonts w:hint="eastAsia"/>
        </w:rPr>
        <w:t>编码冲突与重复应具备校验机制。系统应在编码生成与导入时进行唯一性校验，并提供冲突处理规则与审计记录。</w:t>
      </w:r>
    </w:p>
    <w:p w14:paraId="530FAF8D">
      <w:pPr>
        <w:pStyle w:val="105"/>
        <w:spacing w:before="120" w:after="120" w:line="360" w:lineRule="auto"/>
      </w:pPr>
      <w:r>
        <w:rPr>
          <w:rFonts w:hint="eastAsia"/>
        </w:rPr>
        <w:t>字段定义与口径统一要求</w:t>
      </w:r>
    </w:p>
    <w:p w14:paraId="5EED64D1">
      <w:pPr>
        <w:pStyle w:val="165"/>
        <w:spacing w:line="360" w:lineRule="auto"/>
      </w:pPr>
      <w:r>
        <w:rPr>
          <w:rFonts w:hint="eastAsia"/>
        </w:rPr>
        <w:t>系统应建立字段字典。字段字典应定义字段名称、字段含义、数据类型、单位、取值范围、是否必填、校验规则、默认值规则与来源字段。</w:t>
      </w:r>
    </w:p>
    <w:p w14:paraId="745B7F7F">
      <w:pPr>
        <w:pStyle w:val="165"/>
        <w:spacing w:line="360" w:lineRule="auto"/>
      </w:pPr>
      <w:r>
        <w:rPr>
          <w:rFonts w:hint="eastAsia"/>
        </w:rPr>
        <w:t>关键字段应统一口径。涉及工程量、计量支付、成本统计、进度完成量、质量合格率、隐患整改时效等关键指标的字段，应统一分母口径、统计周期、计量单位与汇总规则，避免不同模块产生不可比数据。</w:t>
      </w:r>
    </w:p>
    <w:p w14:paraId="5D8CBCB2">
      <w:pPr>
        <w:pStyle w:val="165"/>
        <w:spacing w:line="360" w:lineRule="auto"/>
      </w:pPr>
      <w:r>
        <w:rPr>
          <w:rFonts w:hint="eastAsia"/>
        </w:rPr>
        <w:t>状态字段应受控。对合同、变更、支付申请、检验批、隐患、整改任务、资料交付包等对象的状态字段，应与流程状态机一致，状态取值范围与允许流转路径应在字段字典中固定。</w:t>
      </w:r>
    </w:p>
    <w:p w14:paraId="7962BA37">
      <w:pPr>
        <w:pStyle w:val="105"/>
        <w:spacing w:before="120" w:after="120" w:line="360" w:lineRule="auto"/>
      </w:pPr>
      <w:r>
        <w:rPr>
          <w:rFonts w:hint="eastAsia"/>
        </w:rPr>
        <w:t>数据质量校验规则</w:t>
      </w:r>
    </w:p>
    <w:p w14:paraId="101D751A">
      <w:pPr>
        <w:pStyle w:val="165"/>
        <w:spacing w:line="360" w:lineRule="auto"/>
      </w:pPr>
      <w:r>
        <w:rPr>
          <w:rFonts w:hint="eastAsia"/>
        </w:rPr>
        <w:t>系统应配置数据完整性校验。对关键流程节点应设置必填字段与必备附件规则，缺失时不得提交或不得进入下一节点。</w:t>
      </w:r>
    </w:p>
    <w:p w14:paraId="188B616F">
      <w:pPr>
        <w:pStyle w:val="165"/>
        <w:spacing w:line="360" w:lineRule="auto"/>
      </w:pPr>
      <w:r>
        <w:rPr>
          <w:rFonts w:hint="eastAsia"/>
        </w:rPr>
        <w:t>系统应配置逻辑一致性校验。应对时序关系、数量关系与引用关系进行校验，例如计量支付不得超过合同累计比例上限，验收结论不得先于检验记录时间，隐患销项不得早于复查记录时间。</w:t>
      </w:r>
    </w:p>
    <w:p w14:paraId="5D7751DF">
      <w:pPr>
        <w:pStyle w:val="165"/>
        <w:spacing w:line="360" w:lineRule="auto"/>
      </w:pPr>
      <w:r>
        <w:rPr>
          <w:rFonts w:hint="eastAsia"/>
        </w:rPr>
        <w:t>系统应配置异常波动校验。对工程量、成本、材料消耗、质量缺陷率、安全隐患数量等关键指标的异常波动，应支持阈值预警与人工复核流程。</w:t>
      </w:r>
    </w:p>
    <w:p w14:paraId="448F4756">
      <w:pPr>
        <w:pStyle w:val="165"/>
        <w:spacing w:line="360" w:lineRule="auto"/>
      </w:pPr>
      <w:r>
        <w:rPr>
          <w:rFonts w:hint="eastAsia"/>
        </w:rPr>
        <w:t>数据质量问题应形成闭环。系统应将数据缺失、校验失败与异常波动转化为整改任务，明确责任人、整改期限与复核要求，并形成销项记录。</w:t>
      </w:r>
    </w:p>
    <w:p w14:paraId="5C24AAFF">
      <w:pPr>
        <w:pStyle w:val="105"/>
        <w:spacing w:before="120" w:after="120" w:line="360" w:lineRule="auto"/>
      </w:pPr>
      <w:r>
        <w:rPr>
          <w:rFonts w:hint="eastAsia"/>
        </w:rPr>
        <w:t>数据变更控制与版本管理</w:t>
      </w:r>
    </w:p>
    <w:p w14:paraId="520C7BD8">
      <w:pPr>
        <w:pStyle w:val="165"/>
        <w:spacing w:line="360" w:lineRule="auto"/>
      </w:pPr>
      <w:r>
        <w:rPr>
          <w:rFonts w:hint="eastAsia"/>
        </w:rPr>
        <w:t>数据标准与编码字典变更应受控。变更应进行影响评估，明确对历史数据、接口字段、报表口径与流程规则的影响，并制定切换方案。</w:t>
      </w:r>
    </w:p>
    <w:p w14:paraId="19B664C3">
      <w:pPr>
        <w:pStyle w:val="165"/>
        <w:spacing w:line="360" w:lineRule="auto"/>
      </w:pPr>
      <w:r>
        <w:rPr>
          <w:rFonts w:hint="eastAsia"/>
        </w:rPr>
        <w:t>关键对象变更应保留版本链。对合同、清单、计划、变更签证、图纸版本与方案版本等，应保留版本号、变更说明、审批记录与生效时间，并支持历史版本查询与审计导出。</w:t>
      </w:r>
    </w:p>
    <w:p w14:paraId="2586DF0F">
      <w:pPr>
        <w:pStyle w:val="165"/>
        <w:spacing w:line="360" w:lineRule="auto"/>
      </w:pPr>
      <w:r>
        <w:rPr>
          <w:rFonts w:hint="eastAsia"/>
        </w:rPr>
        <w:t>数据迁移与清洗应留痕。系统上线或升级过程中进行的数据迁移、编码映射与数据清洗，应形成迁移方案、校验记录、抽查结果与问题处置记录。</w:t>
      </w:r>
    </w:p>
    <w:p w14:paraId="1390A592">
      <w:pPr>
        <w:pStyle w:val="105"/>
        <w:spacing w:before="120" w:after="120" w:line="360" w:lineRule="auto"/>
      </w:pPr>
      <w:r>
        <w:rPr>
          <w:rFonts w:hint="eastAsia"/>
        </w:rPr>
        <w:t>主数据对象与关键字段示例</w:t>
      </w:r>
    </w:p>
    <w:p w14:paraId="5E12DC32">
      <w:pPr>
        <w:pStyle w:val="56"/>
        <w:spacing w:line="360" w:lineRule="auto"/>
        <w:ind w:firstLine="420"/>
      </w:pPr>
      <w:r>
        <w:rPr>
          <w:rFonts w:hint="eastAsia"/>
        </w:rPr>
        <w:t>主数据对象与关键字段要求示例见表2。</w:t>
      </w:r>
    </w:p>
    <w:p w14:paraId="6C297538">
      <w:pPr>
        <w:pStyle w:val="112"/>
        <w:spacing w:before="120" w:after="120" w:line="360" w:lineRule="auto"/>
      </w:pPr>
      <w:r>
        <w:rPr>
          <w:rFonts w:hint="eastAsia"/>
        </w:rPr>
        <w:t>主数据对象与关键字段要求示例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701"/>
        <w:gridCol w:w="2693"/>
        <w:gridCol w:w="1559"/>
        <w:gridCol w:w="1831"/>
      </w:tblGrid>
      <w:tr w14:paraId="70BED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14681A56">
            <w:pPr>
              <w:pStyle w:val="178"/>
            </w:pPr>
            <w:r>
              <w:rPr>
                <w:rFonts w:hint="eastAsia"/>
              </w:rPr>
              <w:t>主数据对象</w:t>
            </w:r>
          </w:p>
        </w:tc>
        <w:tc>
          <w:tcPr>
            <w:tcW w:w="1701" w:type="dxa"/>
            <w:tcBorders>
              <w:top w:val="single" w:color="auto" w:sz="8" w:space="0"/>
              <w:bottom w:val="single" w:color="auto" w:sz="8" w:space="0"/>
            </w:tcBorders>
            <w:vAlign w:val="center"/>
          </w:tcPr>
          <w:p w14:paraId="78C71FDE">
            <w:pPr>
              <w:pStyle w:val="178"/>
            </w:pPr>
            <w:r>
              <w:rPr>
                <w:rFonts w:hint="eastAsia"/>
              </w:rPr>
              <w:t>唯一编码要求</w:t>
            </w:r>
          </w:p>
        </w:tc>
        <w:tc>
          <w:tcPr>
            <w:tcW w:w="2693" w:type="dxa"/>
            <w:tcBorders>
              <w:top w:val="single" w:color="auto" w:sz="8" w:space="0"/>
              <w:bottom w:val="single" w:color="auto" w:sz="8" w:space="0"/>
            </w:tcBorders>
            <w:vAlign w:val="center"/>
          </w:tcPr>
          <w:p w14:paraId="0A1E848F">
            <w:pPr>
              <w:pStyle w:val="178"/>
            </w:pPr>
            <w:r>
              <w:rPr>
                <w:rFonts w:hint="eastAsia"/>
              </w:rPr>
              <w:t>关键字段</w:t>
            </w:r>
          </w:p>
        </w:tc>
        <w:tc>
          <w:tcPr>
            <w:tcW w:w="1559" w:type="dxa"/>
            <w:tcBorders>
              <w:top w:val="single" w:color="auto" w:sz="8" w:space="0"/>
              <w:bottom w:val="single" w:color="auto" w:sz="8" w:space="0"/>
            </w:tcBorders>
            <w:vAlign w:val="center"/>
          </w:tcPr>
          <w:p w14:paraId="4FD00DA2">
            <w:pPr>
              <w:pStyle w:val="178"/>
            </w:pPr>
            <w:r>
              <w:rPr>
                <w:rFonts w:hint="eastAsia"/>
              </w:rPr>
              <w:t>典型关联流程</w:t>
            </w:r>
          </w:p>
        </w:tc>
        <w:tc>
          <w:tcPr>
            <w:tcW w:w="1831" w:type="dxa"/>
            <w:tcBorders>
              <w:top w:val="single" w:color="auto" w:sz="8" w:space="0"/>
              <w:bottom w:val="single" w:color="auto" w:sz="8" w:space="0"/>
            </w:tcBorders>
            <w:vAlign w:val="center"/>
          </w:tcPr>
          <w:p w14:paraId="7BA7D5B7">
            <w:pPr>
              <w:pStyle w:val="178"/>
            </w:pPr>
            <w:r>
              <w:rPr>
                <w:rFonts w:hint="eastAsia"/>
              </w:rPr>
              <w:t>关键校验点</w:t>
            </w:r>
          </w:p>
        </w:tc>
      </w:tr>
      <w:tr w14:paraId="412AF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63D139B7">
            <w:pPr>
              <w:pStyle w:val="178"/>
            </w:pPr>
            <w:r>
              <w:rPr>
                <w:rFonts w:hint="eastAsia"/>
              </w:rPr>
              <w:t>项目与标段</w:t>
            </w:r>
          </w:p>
        </w:tc>
        <w:tc>
          <w:tcPr>
            <w:tcW w:w="1701" w:type="dxa"/>
            <w:tcBorders>
              <w:top w:val="single" w:color="auto" w:sz="8" w:space="0"/>
            </w:tcBorders>
            <w:vAlign w:val="center"/>
          </w:tcPr>
          <w:p w14:paraId="7F777CD2">
            <w:pPr>
              <w:pStyle w:val="178"/>
            </w:pPr>
            <w:r>
              <w:rPr>
                <w:rFonts w:hint="eastAsia"/>
              </w:rPr>
              <w:t>项目编码、</w:t>
            </w:r>
          </w:p>
          <w:p w14:paraId="6CA00941">
            <w:pPr>
              <w:pStyle w:val="178"/>
            </w:pPr>
            <w:r>
              <w:rPr>
                <w:rFonts w:hint="eastAsia"/>
              </w:rPr>
              <w:t>标段编码唯一</w:t>
            </w:r>
          </w:p>
        </w:tc>
        <w:tc>
          <w:tcPr>
            <w:tcW w:w="2693" w:type="dxa"/>
            <w:tcBorders>
              <w:top w:val="single" w:color="auto" w:sz="8" w:space="0"/>
            </w:tcBorders>
            <w:vAlign w:val="center"/>
          </w:tcPr>
          <w:p w14:paraId="384E4DC8">
            <w:pPr>
              <w:pStyle w:val="178"/>
            </w:pPr>
            <w:r>
              <w:rPr>
                <w:rFonts w:hint="eastAsia"/>
              </w:rPr>
              <w:t>项目名称、参建方、工期、</w:t>
            </w:r>
          </w:p>
          <w:p w14:paraId="528FF268">
            <w:pPr>
              <w:pStyle w:val="178"/>
            </w:pPr>
            <w:r>
              <w:rPr>
                <w:rFonts w:hint="eastAsia"/>
              </w:rPr>
              <w:t>里程碑</w:t>
            </w:r>
          </w:p>
        </w:tc>
        <w:tc>
          <w:tcPr>
            <w:tcW w:w="1559" w:type="dxa"/>
            <w:tcBorders>
              <w:top w:val="single" w:color="auto" w:sz="8" w:space="0"/>
            </w:tcBorders>
            <w:vAlign w:val="center"/>
          </w:tcPr>
          <w:p w14:paraId="775359EB">
            <w:pPr>
              <w:pStyle w:val="178"/>
            </w:pPr>
            <w:r>
              <w:rPr>
                <w:rFonts w:hint="eastAsia"/>
              </w:rPr>
              <w:t>立项、计划、合同</w:t>
            </w:r>
          </w:p>
        </w:tc>
        <w:tc>
          <w:tcPr>
            <w:tcW w:w="1831" w:type="dxa"/>
            <w:tcBorders>
              <w:top w:val="single" w:color="auto" w:sz="8" w:space="0"/>
            </w:tcBorders>
            <w:vAlign w:val="center"/>
          </w:tcPr>
          <w:p w14:paraId="53AD79EA">
            <w:pPr>
              <w:pStyle w:val="178"/>
            </w:pPr>
            <w:r>
              <w:rPr>
                <w:rFonts w:hint="eastAsia"/>
              </w:rPr>
              <w:t>编码唯一、权限隔离</w:t>
            </w:r>
          </w:p>
        </w:tc>
      </w:tr>
      <w:tr w14:paraId="0DFB4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28163443">
            <w:pPr>
              <w:pStyle w:val="178"/>
            </w:pPr>
            <w:r>
              <w:rPr>
                <w:rFonts w:hint="eastAsia"/>
              </w:rPr>
              <w:t>合同</w:t>
            </w:r>
          </w:p>
        </w:tc>
        <w:tc>
          <w:tcPr>
            <w:tcW w:w="1701" w:type="dxa"/>
            <w:vAlign w:val="center"/>
          </w:tcPr>
          <w:p w14:paraId="76DFA3C3">
            <w:pPr>
              <w:pStyle w:val="178"/>
            </w:pPr>
            <w:r>
              <w:rPr>
                <w:rFonts w:hint="eastAsia"/>
              </w:rPr>
              <w:t>合同编码唯一</w:t>
            </w:r>
          </w:p>
        </w:tc>
        <w:tc>
          <w:tcPr>
            <w:tcW w:w="2693" w:type="dxa"/>
            <w:vAlign w:val="center"/>
          </w:tcPr>
          <w:p w14:paraId="5B7B63ED">
            <w:pPr>
              <w:pStyle w:val="178"/>
            </w:pPr>
            <w:r>
              <w:rPr>
                <w:rFonts w:hint="eastAsia"/>
              </w:rPr>
              <w:t>合同额、条款、付款条件、</w:t>
            </w:r>
          </w:p>
          <w:p w14:paraId="7C9A5D3B">
            <w:pPr>
              <w:pStyle w:val="178"/>
            </w:pPr>
            <w:r>
              <w:rPr>
                <w:rFonts w:hint="eastAsia"/>
              </w:rPr>
              <w:t>变更累计</w:t>
            </w:r>
          </w:p>
        </w:tc>
        <w:tc>
          <w:tcPr>
            <w:tcW w:w="1559" w:type="dxa"/>
            <w:vAlign w:val="center"/>
          </w:tcPr>
          <w:p w14:paraId="48F7A821">
            <w:pPr>
              <w:pStyle w:val="178"/>
            </w:pPr>
            <w:r>
              <w:rPr>
                <w:rFonts w:hint="eastAsia"/>
              </w:rPr>
              <w:t>合同审批、支付、变更</w:t>
            </w:r>
          </w:p>
        </w:tc>
        <w:tc>
          <w:tcPr>
            <w:tcW w:w="1831" w:type="dxa"/>
            <w:vAlign w:val="center"/>
          </w:tcPr>
          <w:p w14:paraId="5FF9D207">
            <w:pPr>
              <w:pStyle w:val="178"/>
            </w:pPr>
            <w:r>
              <w:rPr>
                <w:rFonts w:hint="eastAsia"/>
              </w:rPr>
              <w:t>累计控制、版本留痕</w:t>
            </w:r>
          </w:p>
        </w:tc>
      </w:tr>
      <w:tr w14:paraId="2654C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AF174F3">
            <w:pPr>
              <w:pStyle w:val="178"/>
            </w:pPr>
            <w:r>
              <w:rPr>
                <w:rFonts w:hint="eastAsia"/>
              </w:rPr>
              <w:t>清单与工程量项</w:t>
            </w:r>
          </w:p>
        </w:tc>
        <w:tc>
          <w:tcPr>
            <w:tcW w:w="1701" w:type="dxa"/>
            <w:vAlign w:val="center"/>
          </w:tcPr>
          <w:p w14:paraId="1C2079E0">
            <w:pPr>
              <w:pStyle w:val="178"/>
            </w:pPr>
            <w:r>
              <w:rPr>
                <w:rFonts w:hint="eastAsia"/>
              </w:rPr>
              <w:t>清单项编码唯一</w:t>
            </w:r>
          </w:p>
        </w:tc>
        <w:tc>
          <w:tcPr>
            <w:tcW w:w="2693" w:type="dxa"/>
            <w:vAlign w:val="center"/>
          </w:tcPr>
          <w:p w14:paraId="24F059EC">
            <w:pPr>
              <w:pStyle w:val="178"/>
            </w:pPr>
            <w:r>
              <w:rPr>
                <w:rFonts w:hint="eastAsia"/>
              </w:rPr>
              <w:t>单位、综合单价、计量规则</w:t>
            </w:r>
          </w:p>
        </w:tc>
        <w:tc>
          <w:tcPr>
            <w:tcW w:w="1559" w:type="dxa"/>
            <w:vAlign w:val="center"/>
          </w:tcPr>
          <w:p w14:paraId="33B67A84">
            <w:pPr>
              <w:pStyle w:val="178"/>
            </w:pPr>
            <w:r>
              <w:rPr>
                <w:rFonts w:hint="eastAsia"/>
              </w:rPr>
              <w:t>成本、计量、支付</w:t>
            </w:r>
          </w:p>
        </w:tc>
        <w:tc>
          <w:tcPr>
            <w:tcW w:w="1831" w:type="dxa"/>
            <w:vAlign w:val="center"/>
          </w:tcPr>
          <w:p w14:paraId="7A86F43D">
            <w:pPr>
              <w:pStyle w:val="178"/>
            </w:pPr>
            <w:r>
              <w:rPr>
                <w:rFonts w:hint="eastAsia"/>
              </w:rPr>
              <w:t>单位口径、汇总规则</w:t>
            </w:r>
          </w:p>
        </w:tc>
      </w:tr>
      <w:tr w14:paraId="371BF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1CE2519B">
            <w:pPr>
              <w:pStyle w:val="178"/>
            </w:pPr>
            <w:r>
              <w:rPr>
                <w:rFonts w:hint="eastAsia"/>
              </w:rPr>
              <w:t>检验批与验收单元</w:t>
            </w:r>
          </w:p>
        </w:tc>
        <w:tc>
          <w:tcPr>
            <w:tcW w:w="1701" w:type="dxa"/>
            <w:vAlign w:val="center"/>
          </w:tcPr>
          <w:p w14:paraId="316177C8">
            <w:pPr>
              <w:pStyle w:val="178"/>
            </w:pPr>
            <w:r>
              <w:rPr>
                <w:rFonts w:hint="eastAsia"/>
              </w:rPr>
              <w:t>检验批编码唯一</w:t>
            </w:r>
          </w:p>
        </w:tc>
        <w:tc>
          <w:tcPr>
            <w:tcW w:w="2693" w:type="dxa"/>
            <w:vAlign w:val="center"/>
          </w:tcPr>
          <w:p w14:paraId="033D10A5">
            <w:pPr>
              <w:pStyle w:val="178"/>
            </w:pPr>
            <w:r>
              <w:rPr>
                <w:rFonts w:hint="eastAsia"/>
              </w:rPr>
              <w:t>部位、标准、结论、时间</w:t>
            </w:r>
          </w:p>
        </w:tc>
        <w:tc>
          <w:tcPr>
            <w:tcW w:w="1559" w:type="dxa"/>
            <w:vAlign w:val="center"/>
          </w:tcPr>
          <w:p w14:paraId="03FFC6EA">
            <w:pPr>
              <w:pStyle w:val="178"/>
            </w:pPr>
            <w:r>
              <w:rPr>
                <w:rFonts w:hint="eastAsia"/>
              </w:rPr>
              <w:t>质量验收、</w:t>
            </w:r>
          </w:p>
          <w:p w14:paraId="58B44D60">
            <w:pPr>
              <w:pStyle w:val="178"/>
            </w:pPr>
            <w:r>
              <w:rPr>
                <w:rFonts w:hint="eastAsia"/>
              </w:rPr>
              <w:t>资料归档</w:t>
            </w:r>
          </w:p>
        </w:tc>
        <w:tc>
          <w:tcPr>
            <w:tcW w:w="1831" w:type="dxa"/>
            <w:vAlign w:val="center"/>
          </w:tcPr>
          <w:p w14:paraId="18094800">
            <w:pPr>
              <w:pStyle w:val="178"/>
            </w:pPr>
            <w:r>
              <w:rPr>
                <w:rFonts w:hint="eastAsia"/>
              </w:rPr>
              <w:t>时序逻辑、附件齐全</w:t>
            </w:r>
          </w:p>
        </w:tc>
      </w:tr>
      <w:tr w14:paraId="799B2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6D03A2D">
            <w:pPr>
              <w:pStyle w:val="178"/>
            </w:pPr>
            <w:r>
              <w:rPr>
                <w:rFonts w:hint="eastAsia"/>
              </w:rPr>
              <w:t>隐患与整改任务</w:t>
            </w:r>
          </w:p>
        </w:tc>
        <w:tc>
          <w:tcPr>
            <w:tcW w:w="1701" w:type="dxa"/>
            <w:vAlign w:val="center"/>
          </w:tcPr>
          <w:p w14:paraId="3D54AE15">
            <w:pPr>
              <w:pStyle w:val="178"/>
            </w:pPr>
            <w:r>
              <w:rPr>
                <w:rFonts w:hint="eastAsia"/>
              </w:rPr>
              <w:t>隐患编号唯一</w:t>
            </w:r>
          </w:p>
        </w:tc>
        <w:tc>
          <w:tcPr>
            <w:tcW w:w="2693" w:type="dxa"/>
            <w:vAlign w:val="center"/>
          </w:tcPr>
          <w:p w14:paraId="74A73E62">
            <w:pPr>
              <w:pStyle w:val="178"/>
            </w:pPr>
            <w:r>
              <w:rPr>
                <w:rFonts w:hint="eastAsia"/>
              </w:rPr>
              <w:t>风险等级、时限、复查结论</w:t>
            </w:r>
          </w:p>
        </w:tc>
        <w:tc>
          <w:tcPr>
            <w:tcW w:w="1559" w:type="dxa"/>
            <w:vAlign w:val="center"/>
          </w:tcPr>
          <w:p w14:paraId="4F111EE0">
            <w:pPr>
              <w:pStyle w:val="178"/>
            </w:pPr>
            <w:r>
              <w:rPr>
                <w:rFonts w:hint="eastAsia"/>
              </w:rPr>
              <w:t>隐患排查、闭环</w:t>
            </w:r>
          </w:p>
        </w:tc>
        <w:tc>
          <w:tcPr>
            <w:tcW w:w="1831" w:type="dxa"/>
            <w:vAlign w:val="center"/>
          </w:tcPr>
          <w:p w14:paraId="5EDA5928">
            <w:pPr>
              <w:pStyle w:val="178"/>
            </w:pPr>
            <w:r>
              <w:rPr>
                <w:rFonts w:hint="eastAsia"/>
              </w:rPr>
              <w:t>超期预警、销项条件</w:t>
            </w:r>
          </w:p>
        </w:tc>
      </w:tr>
      <w:tr w14:paraId="06874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5164C478">
            <w:pPr>
              <w:pStyle w:val="178"/>
            </w:pPr>
            <w:r>
              <w:rPr>
                <w:rFonts w:hint="eastAsia"/>
              </w:rPr>
              <w:t>供应商与材料设备</w:t>
            </w:r>
          </w:p>
        </w:tc>
        <w:tc>
          <w:tcPr>
            <w:tcW w:w="1701" w:type="dxa"/>
            <w:vAlign w:val="center"/>
          </w:tcPr>
          <w:p w14:paraId="7E016CE5">
            <w:pPr>
              <w:pStyle w:val="178"/>
            </w:pPr>
            <w:r>
              <w:rPr>
                <w:rFonts w:hint="eastAsia"/>
              </w:rPr>
              <w:t>供应商编码、</w:t>
            </w:r>
          </w:p>
          <w:p w14:paraId="21D1FF3F">
            <w:pPr>
              <w:pStyle w:val="178"/>
            </w:pPr>
            <w:r>
              <w:rPr>
                <w:rFonts w:hint="eastAsia"/>
              </w:rPr>
              <w:t>物资编码唯一</w:t>
            </w:r>
          </w:p>
        </w:tc>
        <w:tc>
          <w:tcPr>
            <w:tcW w:w="2693" w:type="dxa"/>
            <w:vAlign w:val="center"/>
          </w:tcPr>
          <w:p w14:paraId="1039CA96">
            <w:pPr>
              <w:pStyle w:val="178"/>
            </w:pPr>
            <w:r>
              <w:rPr>
                <w:rFonts w:hint="eastAsia"/>
              </w:rPr>
              <w:t>批次、规格、复验结果</w:t>
            </w:r>
          </w:p>
        </w:tc>
        <w:tc>
          <w:tcPr>
            <w:tcW w:w="1559" w:type="dxa"/>
            <w:vAlign w:val="center"/>
          </w:tcPr>
          <w:p w14:paraId="141DA6E6">
            <w:pPr>
              <w:pStyle w:val="178"/>
            </w:pPr>
            <w:r>
              <w:rPr>
                <w:rFonts w:hint="eastAsia"/>
              </w:rPr>
              <w:t>采购、验收、复验</w:t>
            </w:r>
          </w:p>
        </w:tc>
        <w:tc>
          <w:tcPr>
            <w:tcW w:w="1831" w:type="dxa"/>
            <w:vAlign w:val="center"/>
          </w:tcPr>
          <w:p w14:paraId="50988731">
            <w:pPr>
              <w:pStyle w:val="178"/>
            </w:pPr>
            <w:r>
              <w:rPr>
                <w:rFonts w:hint="eastAsia"/>
              </w:rPr>
              <w:t>批次追溯、合格控制</w:t>
            </w:r>
          </w:p>
        </w:tc>
      </w:tr>
    </w:tbl>
    <w:p w14:paraId="06716EB0">
      <w:pPr>
        <w:pStyle w:val="104"/>
        <w:spacing w:before="240" w:after="240" w:line="360" w:lineRule="auto"/>
      </w:pPr>
      <w:bookmarkStart w:id="55" w:name="_Toc219109516"/>
      <w:r>
        <w:rPr>
          <w:rFonts w:hint="eastAsia"/>
        </w:rPr>
        <w:t>角色权限与协同机制</w:t>
      </w:r>
      <w:bookmarkEnd w:id="55"/>
    </w:p>
    <w:p w14:paraId="662B6FF8">
      <w:pPr>
        <w:pStyle w:val="105"/>
        <w:spacing w:before="120" w:after="120" w:line="360" w:lineRule="auto"/>
      </w:pPr>
      <w:r>
        <w:rPr>
          <w:rFonts w:hint="eastAsia"/>
        </w:rPr>
        <w:t>一般要求</w:t>
      </w:r>
    </w:p>
    <w:p w14:paraId="06C053A0">
      <w:pPr>
        <w:pStyle w:val="165"/>
        <w:spacing w:line="360" w:lineRule="auto"/>
      </w:pPr>
      <w:r>
        <w:rPr>
          <w:rFonts w:hint="eastAsia"/>
        </w:rPr>
        <w:t>施工管理系统应建立与项目组织结构相匹配的角色权限体系，确保岗位职责与系统权限一致，确保流程节点责任清晰、数据访问受控、关键操作可审计。</w:t>
      </w:r>
    </w:p>
    <w:p w14:paraId="1EC65CA1">
      <w:pPr>
        <w:pStyle w:val="165"/>
        <w:spacing w:line="360" w:lineRule="auto"/>
      </w:pPr>
      <w:r>
        <w:rPr>
          <w:rFonts w:hint="eastAsia"/>
        </w:rPr>
        <w:t>角色权限配置应满足最小授权原则与职责分离要求。对合同审批、计量支付、变更签证、质量验收、隐患销项、资料交付等关键流程，应设置经办、复核与批准的分离控制，避免单人闭环导致风险失控。</w:t>
      </w:r>
    </w:p>
    <w:p w14:paraId="3309A4CD">
      <w:pPr>
        <w:pStyle w:val="165"/>
        <w:spacing w:line="360" w:lineRule="auto"/>
      </w:pPr>
      <w:r>
        <w:rPr>
          <w:rFonts w:hint="eastAsia"/>
        </w:rPr>
        <w:t>跨组织协同应在权限受控前提下实现。系统应支持建设单位、监理单位、施工总包、专业分包、供应商与检测单位等多方协同，但应确保数据隔离、范围授权、证据留痕与责任可追溯。</w:t>
      </w:r>
    </w:p>
    <w:p w14:paraId="7EF97453">
      <w:pPr>
        <w:pStyle w:val="105"/>
        <w:spacing w:before="120" w:after="120" w:line="360" w:lineRule="auto"/>
      </w:pPr>
      <w:r>
        <w:rPr>
          <w:rFonts w:hint="eastAsia"/>
        </w:rPr>
        <w:t>角色体系设置</w:t>
      </w:r>
    </w:p>
    <w:p w14:paraId="2280D87F">
      <w:pPr>
        <w:pStyle w:val="165"/>
        <w:spacing w:line="360" w:lineRule="auto"/>
      </w:pPr>
      <w:r>
        <w:rPr>
          <w:rFonts w:hint="eastAsia"/>
        </w:rPr>
        <w:t>系统角色宜分为平台级角色、组织级角色与项目级角色。平台级角色用于系统参数配置与安全运维管理，组织级角色用于企业管理与监督，项目级角色用于现场业务执行与审批。</w:t>
      </w:r>
    </w:p>
    <w:p w14:paraId="0A39FDC5">
      <w:pPr>
        <w:pStyle w:val="165"/>
        <w:spacing w:line="360" w:lineRule="auto"/>
      </w:pPr>
      <w:r>
        <w:rPr>
          <w:rFonts w:hint="eastAsia"/>
        </w:rPr>
        <w:t>项目级角色宜至少包括项目负责人、项目总工、商务负责人、计划工程师、质量负责人、安全负责人、物资负责人、设备负责人、资料负责人、专业工程师、分包负责人、监理工程师与建设单位代表等。</w:t>
      </w:r>
    </w:p>
    <w:p w14:paraId="5A5698B5">
      <w:pPr>
        <w:pStyle w:val="165"/>
        <w:spacing w:line="360" w:lineRule="auto"/>
      </w:pPr>
      <w:r>
        <w:rPr>
          <w:rFonts w:hint="eastAsia"/>
        </w:rPr>
        <w:t>角色应支持细分与组合。对大型项目或工程总承包项目，宜按标段、专业或工区进一步细分角色，并支持一人多角色但应符合职责分离要求。</w:t>
      </w:r>
    </w:p>
    <w:p w14:paraId="2D4FD4D2">
      <w:pPr>
        <w:pStyle w:val="105"/>
        <w:spacing w:before="120" w:after="120" w:line="360" w:lineRule="auto"/>
      </w:pPr>
      <w:r>
        <w:rPr>
          <w:rFonts w:hint="eastAsia"/>
        </w:rPr>
        <w:t>权限边界与数据可见性</w:t>
      </w:r>
    </w:p>
    <w:p w14:paraId="3C6F4E56">
      <w:pPr>
        <w:pStyle w:val="165"/>
        <w:spacing w:line="360" w:lineRule="auto"/>
      </w:pPr>
      <w:r>
        <w:rPr>
          <w:rFonts w:hint="eastAsia"/>
        </w:rPr>
        <w:t>系统权限应至少包括功能权限、流程权限与数据权限。功能权限控制菜单与模块访问，流程权限控制节点操作权限，数据权限控制数据可见范围与可操作范围。</w:t>
      </w:r>
    </w:p>
    <w:p w14:paraId="14A8FE60">
      <w:pPr>
        <w:pStyle w:val="165"/>
        <w:spacing w:line="360" w:lineRule="auto"/>
      </w:pPr>
      <w:r>
        <w:rPr>
          <w:rFonts w:hint="eastAsia"/>
        </w:rPr>
        <w:t>数据可见性应按组织边界与项目边界控制。参建方用户默认仅可访问授权范围内的项目数据、标段数据与业务对象数据。对涉及商业敏感信息的合同、价格与支付数据，应设置更严格的数据隔离与最小可见策略。</w:t>
      </w:r>
    </w:p>
    <w:p w14:paraId="7B0850B9">
      <w:pPr>
        <w:pStyle w:val="165"/>
        <w:spacing w:line="360" w:lineRule="auto"/>
      </w:pPr>
      <w:r>
        <w:rPr>
          <w:rFonts w:hint="eastAsia"/>
        </w:rPr>
        <w:t>权限应支持对象级控制。对合同、变更、支付申请、检验批、隐患、整改任务、资料交付包等关键对象，应支持按对象授权、按状态授权与按节点授权，避免跨范围越权操作。</w:t>
      </w:r>
    </w:p>
    <w:p w14:paraId="6D7F3AB9">
      <w:pPr>
        <w:pStyle w:val="105"/>
        <w:spacing w:before="120" w:after="120" w:line="360" w:lineRule="auto"/>
      </w:pPr>
      <w:r>
        <w:rPr>
          <w:rFonts w:hint="eastAsia"/>
        </w:rPr>
        <w:t>授权审批与权限生命周期管理</w:t>
      </w:r>
    </w:p>
    <w:p w14:paraId="2CCD1E3E">
      <w:pPr>
        <w:pStyle w:val="165"/>
        <w:spacing w:line="360" w:lineRule="auto"/>
      </w:pPr>
      <w:r>
        <w:rPr>
          <w:rFonts w:hint="eastAsia"/>
        </w:rPr>
        <w:t>用户新增、授权、变更与注销应受控。应明确申请、审批、配置、验证与生效流程，并记录申请原因、审批意见与生效时间。</w:t>
      </w:r>
    </w:p>
    <w:p w14:paraId="358BB32E">
      <w:pPr>
        <w:pStyle w:val="165"/>
        <w:spacing w:line="360" w:lineRule="auto"/>
      </w:pPr>
      <w:r>
        <w:rPr>
          <w:rFonts w:hint="eastAsia"/>
        </w:rPr>
        <w:t>关键权限变更应实施双人复核或授权审批。涉及审批人角色、财务支付相关权限、合同数据导出权限、系统配置权限等关键权限，应设定更高审批等级并纳入审计重点。</w:t>
      </w:r>
    </w:p>
    <w:p w14:paraId="18337C99">
      <w:pPr>
        <w:pStyle w:val="165"/>
        <w:spacing w:line="360" w:lineRule="auto"/>
      </w:pPr>
      <w:r>
        <w:rPr>
          <w:rFonts w:hint="eastAsia"/>
        </w:rPr>
        <w:t>权限回收应及时。人员离岗、岗位调整、参建方退出或合同终止时，应及时回收权限并冻结或归档账户，避免遗留账户风险。</w:t>
      </w:r>
    </w:p>
    <w:p w14:paraId="4AC768A0">
      <w:pPr>
        <w:pStyle w:val="105"/>
        <w:spacing w:before="120" w:after="120" w:line="360" w:lineRule="auto"/>
      </w:pPr>
      <w:r>
        <w:rPr>
          <w:rFonts w:hint="eastAsia"/>
        </w:rPr>
        <w:t>跨组织协同机制</w:t>
      </w:r>
    </w:p>
    <w:p w14:paraId="76317968">
      <w:pPr>
        <w:pStyle w:val="165"/>
        <w:spacing w:line="360" w:lineRule="auto"/>
      </w:pPr>
      <w:r>
        <w:rPr>
          <w:rFonts w:hint="eastAsia"/>
        </w:rPr>
        <w:t>系统应支持跨组织流程协作。对变更签证、计量确认、质量验收、隐患整改与资料签认等流程，应支持多方在线会签与意见留痕，并支持按角色自动通知与催办。</w:t>
      </w:r>
    </w:p>
    <w:p w14:paraId="4C0DE0CF">
      <w:pPr>
        <w:pStyle w:val="165"/>
        <w:spacing w:line="360" w:lineRule="auto"/>
      </w:pPr>
      <w:r>
        <w:rPr>
          <w:rFonts w:hint="eastAsia"/>
        </w:rPr>
        <w:t>协同应明确责任界面。跨组织节点应明确发起方、确认方与审批方，明确必备附件与确认口径，避免因口径不一致造成反复退回与争议。</w:t>
      </w:r>
    </w:p>
    <w:p w14:paraId="1379C781">
      <w:pPr>
        <w:pStyle w:val="165"/>
        <w:spacing w:line="360" w:lineRule="auto"/>
      </w:pPr>
      <w:r>
        <w:rPr>
          <w:rFonts w:hint="eastAsia"/>
        </w:rPr>
        <w:t>协同应支持外部参与的受控方式。对供应商、检测单位等外部单位参与的业务，应采用限定范围的外部协作账户或接口方式，并限制其仅能访问与其业务相关的对象与字段。</w:t>
      </w:r>
    </w:p>
    <w:p w14:paraId="647D4ADE">
      <w:pPr>
        <w:pStyle w:val="105"/>
        <w:spacing w:before="120" w:after="120" w:line="360" w:lineRule="auto"/>
      </w:pPr>
      <w:r>
        <w:rPr>
          <w:rFonts w:hint="eastAsia"/>
        </w:rPr>
        <w:t>审计与合规要求</w:t>
      </w:r>
    </w:p>
    <w:p w14:paraId="727788FF">
      <w:pPr>
        <w:pStyle w:val="165"/>
        <w:spacing w:line="360" w:lineRule="auto"/>
      </w:pPr>
      <w:r>
        <w:rPr>
          <w:rFonts w:hint="eastAsia"/>
        </w:rPr>
        <w:t>系统应记录权限相关审计日志。审计日志应包含登录信息、权限变更、审批操作、导出下载、删除作废、接口调用等关键事件，并支持按项目、用户、时间与对象检索。</w:t>
      </w:r>
    </w:p>
    <w:p w14:paraId="2E274E9D">
      <w:pPr>
        <w:pStyle w:val="165"/>
        <w:spacing w:line="360" w:lineRule="auto"/>
      </w:pPr>
      <w:r>
        <w:rPr>
          <w:rFonts w:hint="eastAsia"/>
        </w:rPr>
        <w:t>审计日志应满足留存期限要求。应按企业制度与相关法规要求设置留存期限，并确保日志不可篡改、可备份、可恢复。</w:t>
      </w:r>
    </w:p>
    <w:p w14:paraId="5139FF7F">
      <w:pPr>
        <w:pStyle w:val="165"/>
        <w:spacing w:line="360" w:lineRule="auto"/>
      </w:pPr>
      <w:r>
        <w:rPr>
          <w:rFonts w:hint="eastAsia"/>
        </w:rPr>
        <w:t>对异常访问与异常操作应具备告警机制。对频繁登录失败、越权访问尝试、异常批量导出、关键对象异常状态变更等情形，应触发告警并形成处置记录。</w:t>
      </w:r>
    </w:p>
    <w:p w14:paraId="083E9069">
      <w:pPr>
        <w:pStyle w:val="105"/>
        <w:spacing w:before="120" w:after="120" w:line="360" w:lineRule="auto"/>
      </w:pPr>
      <w:r>
        <w:rPr>
          <w:rFonts w:hint="eastAsia"/>
        </w:rPr>
        <w:t>协同效率与持续优化</w:t>
      </w:r>
    </w:p>
    <w:p w14:paraId="496FE542">
      <w:pPr>
        <w:pStyle w:val="165"/>
        <w:spacing w:line="360" w:lineRule="auto"/>
      </w:pPr>
      <w:r>
        <w:rPr>
          <w:rFonts w:hint="eastAsia"/>
        </w:rPr>
        <w:t>系统应提供协同效率指标。宜统计流程平均耗时、退回次数、超期次数、待办积压量、问题闭环时效等指标，为管理改进提供依据。</w:t>
      </w:r>
    </w:p>
    <w:p w14:paraId="285226B2">
      <w:pPr>
        <w:pStyle w:val="165"/>
        <w:spacing w:line="360" w:lineRule="auto"/>
      </w:pPr>
      <w:r>
        <w:rPr>
          <w:rFonts w:hint="eastAsia"/>
        </w:rPr>
        <w:t>应建立协同规则优化机制。对高频退回、口径争议与重复审批的流程，应基于数据分析优化节点设置、表单字段与证据要求，并形成版本迭代记录。</w:t>
      </w:r>
    </w:p>
    <w:p w14:paraId="1D95905D">
      <w:pPr>
        <w:pStyle w:val="104"/>
        <w:spacing w:before="240" w:after="240" w:line="360" w:lineRule="auto"/>
      </w:pPr>
      <w:bookmarkStart w:id="56" w:name="_Toc219109517"/>
      <w:r>
        <w:rPr>
          <w:rFonts w:hint="eastAsia"/>
        </w:rPr>
        <w:t>接口集成与数据治理</w:t>
      </w:r>
      <w:bookmarkEnd w:id="56"/>
    </w:p>
    <w:p w14:paraId="711568DB">
      <w:pPr>
        <w:pStyle w:val="105"/>
        <w:spacing w:before="120" w:after="120" w:line="360" w:lineRule="auto"/>
      </w:pPr>
      <w:r>
        <w:rPr>
          <w:rFonts w:hint="eastAsia"/>
        </w:rPr>
        <w:t>一般要求</w:t>
      </w:r>
    </w:p>
    <w:p w14:paraId="757D35D4">
      <w:pPr>
        <w:pStyle w:val="165"/>
        <w:spacing w:line="360" w:lineRule="auto"/>
      </w:pPr>
      <w:r>
        <w:rPr>
          <w:rFonts w:hint="eastAsia"/>
        </w:rPr>
        <w:t>施工管理系统应具备接口集成能力，支持与项目相关业务系统进行数据交换与流程协同，避免信息孤岛，形成统一数据口径与统一审计链路。</w:t>
      </w:r>
    </w:p>
    <w:p w14:paraId="57FE1B93">
      <w:pPr>
        <w:pStyle w:val="165"/>
        <w:spacing w:line="360" w:lineRule="auto"/>
      </w:pPr>
      <w:r>
        <w:rPr>
          <w:rFonts w:hint="eastAsia"/>
        </w:rPr>
        <w:t>接口集成应遵循统一标准原则。接口应基于第7章数据标准与编码体系进行字段对齐与编码映射，确保主数据一致、业务数据可追溯、状态流转一致。</w:t>
      </w:r>
    </w:p>
    <w:p w14:paraId="786C39C5">
      <w:pPr>
        <w:pStyle w:val="165"/>
        <w:spacing w:line="360" w:lineRule="auto"/>
      </w:pPr>
      <w:r>
        <w:rPr>
          <w:rFonts w:hint="eastAsia"/>
        </w:rPr>
        <w:t>数据治理应覆盖数据全生命周期。应对数据标准制定、数据质量控制、数据安全与权限、数据共享与开放、数据备份与恢复、数据审计与合规进行统一管理。</w:t>
      </w:r>
    </w:p>
    <w:p w14:paraId="44F23785">
      <w:pPr>
        <w:pStyle w:val="105"/>
        <w:spacing w:before="120" w:after="120" w:line="360" w:lineRule="auto"/>
      </w:pPr>
      <w:r>
        <w:rPr>
          <w:rFonts w:hint="eastAsia"/>
        </w:rPr>
        <w:t>集成范围与优先级</w:t>
      </w:r>
    </w:p>
    <w:p w14:paraId="53061519">
      <w:pPr>
        <w:pStyle w:val="165"/>
      </w:pPr>
      <w:r>
        <w:rPr>
          <w:rFonts w:hint="eastAsia"/>
        </w:rPr>
        <w:t>接口集成范围宜包括BIM平台、进度计划软件、成本计量支付系统、物资采购与仓储系统、设备管理系统、财务系统、检测监测系统、电子签章与CA（</w:t>
      </w:r>
      <w:r>
        <w:t>Certificate Authority</w:t>
      </w:r>
      <w:r>
        <w:rPr>
          <w:rFonts w:hint="eastAsia"/>
        </w:rPr>
        <w:t>）系统、OA（</w:t>
      </w:r>
      <w:r>
        <w:t>Office Automation System</w:t>
      </w:r>
      <w:r>
        <w:rPr>
          <w:rFonts w:hint="eastAsia"/>
        </w:rPr>
        <w:t>）或消息协同系统以及档案系统。</w:t>
      </w:r>
    </w:p>
    <w:p w14:paraId="3EC427C5">
      <w:pPr>
        <w:pStyle w:val="165"/>
        <w:spacing w:line="360" w:lineRule="auto"/>
      </w:pPr>
      <w:r>
        <w:rPr>
          <w:rFonts w:hint="eastAsia"/>
        </w:rPr>
        <w:t>集成优先级应基于项目目标与风险确定。优先集成对进度、成本、质量安全与支付合规影响最大的系统，优先打通主数据与关键流程数据，优先保障审计链路完整。</w:t>
      </w:r>
    </w:p>
    <w:p w14:paraId="742697EF">
      <w:pPr>
        <w:pStyle w:val="165"/>
        <w:spacing w:line="360" w:lineRule="auto"/>
      </w:pPr>
      <w:r>
        <w:rPr>
          <w:rFonts w:hint="eastAsia"/>
        </w:rPr>
        <w:t>对暂不具备系统对接条件的外部单位，应提供受控的数据导入导出机制与模板，并纳入数据质量校验与审计范围。</w:t>
      </w:r>
    </w:p>
    <w:p w14:paraId="13B41900">
      <w:pPr>
        <w:pStyle w:val="105"/>
        <w:spacing w:before="120" w:after="120" w:line="360" w:lineRule="auto"/>
      </w:pPr>
      <w:r>
        <w:rPr>
          <w:rFonts w:hint="eastAsia"/>
        </w:rPr>
        <w:t>接口数据对象与同步策略</w:t>
      </w:r>
    </w:p>
    <w:p w14:paraId="67B79BA7">
      <w:pPr>
        <w:pStyle w:val="165"/>
        <w:spacing w:line="360" w:lineRule="auto"/>
      </w:pPr>
      <w:r>
        <w:rPr>
          <w:rFonts w:hint="eastAsia"/>
        </w:rPr>
        <w:t>接口数据对象应至少包括主数据对象与关键业务对象。主数据对象包括项目、组织、人员角色、供应商、合同、清单、材料设备与构件位置等。关键业务对象包括计划基线与进度反馈、变更签证、计量支付、检验批验收、隐患整改闭环、物资验收与复验、资料归档与交付包等。</w:t>
      </w:r>
    </w:p>
    <w:p w14:paraId="3CE7AFCA">
      <w:pPr>
        <w:pStyle w:val="165"/>
        <w:spacing w:line="360" w:lineRule="auto"/>
      </w:pPr>
      <w:r>
        <w:rPr>
          <w:rFonts w:hint="eastAsia"/>
        </w:rPr>
        <w:t>同步策略应明确单向或双向同步、主从系统、同步频率与冲突处理规则。对合同、清单、支付等高敏感对象宜采用主从控制与受控写入机制，避免多源写入造成数据冲突。</w:t>
      </w:r>
    </w:p>
    <w:p w14:paraId="4F9D4491">
      <w:pPr>
        <w:pStyle w:val="165"/>
        <w:spacing w:line="360" w:lineRule="auto"/>
      </w:pPr>
      <w:r>
        <w:rPr>
          <w:rFonts w:hint="eastAsia"/>
        </w:rPr>
        <w:t>同步应支持增量与全量机制。应明确首次全量初始化规则、后续增量同步规则、失败重试与补偿机制，并保留同步日志以支持问题追溯。</w:t>
      </w:r>
    </w:p>
    <w:p w14:paraId="751FA18D">
      <w:pPr>
        <w:pStyle w:val="165"/>
        <w:spacing w:line="360" w:lineRule="auto"/>
      </w:pPr>
      <w:r>
        <w:rPr>
          <w:rFonts w:hint="eastAsia"/>
        </w:rPr>
        <w:t>同步应支持状态一致性。对存在状态机的对象，应同步状态字段与关键状态变更事件，确保跨系统状态一致并可审计。</w:t>
      </w:r>
    </w:p>
    <w:p w14:paraId="725B7889">
      <w:pPr>
        <w:pStyle w:val="105"/>
        <w:spacing w:before="120" w:after="120" w:line="360" w:lineRule="auto"/>
      </w:pPr>
      <w:r>
        <w:rPr>
          <w:rFonts w:hint="eastAsia"/>
        </w:rPr>
        <w:t>接口规范与异常处理</w:t>
      </w:r>
    </w:p>
    <w:p w14:paraId="4A1B41E5">
      <w:pPr>
        <w:pStyle w:val="165"/>
        <w:spacing w:line="360" w:lineRule="auto"/>
      </w:pPr>
      <w:r>
        <w:rPr>
          <w:rFonts w:hint="eastAsia"/>
        </w:rPr>
        <w:t>接口应定义接口规范文档。规范文档应包含接口名称、数据对象、字段定义、编码映射、请求响应规则、鉴权方式、错误码、重试策略与幂等要求。</w:t>
      </w:r>
    </w:p>
    <w:p w14:paraId="4AB33888">
      <w:pPr>
        <w:pStyle w:val="165"/>
        <w:spacing w:line="360" w:lineRule="auto"/>
      </w:pPr>
      <w:r>
        <w:rPr>
          <w:rFonts w:hint="eastAsia"/>
        </w:rPr>
        <w:t>接口应实施幂等控制。对可能重复提交的业务事件，应配置幂等键或唯一事件编号，避免重复写入导致计量支付重复、变更重复或验收状态错乱。</w:t>
      </w:r>
    </w:p>
    <w:p w14:paraId="25EAF330">
      <w:pPr>
        <w:pStyle w:val="165"/>
        <w:spacing w:line="360" w:lineRule="auto"/>
      </w:pPr>
      <w:r>
        <w:rPr>
          <w:rFonts w:hint="eastAsia"/>
        </w:rPr>
        <w:t>接口异常应可感知可处置。接口调用失败、字段缺失、编码冲突、数据校验失败等异常应触发告警并生成处置任务，处置过程应留痕并可审计。</w:t>
      </w:r>
    </w:p>
    <w:p w14:paraId="6F7486E8">
      <w:pPr>
        <w:pStyle w:val="165"/>
        <w:spacing w:line="360" w:lineRule="auto"/>
      </w:pPr>
      <w:r>
        <w:rPr>
          <w:rFonts w:hint="eastAsia"/>
        </w:rPr>
        <w:t>接口变更应受控。接口字段调整、编码映射调整与同步策略调整应进行影响评估与联调验证，并保留变更记录与版本号。</w:t>
      </w:r>
    </w:p>
    <w:p w14:paraId="148FC125">
      <w:pPr>
        <w:pStyle w:val="105"/>
        <w:spacing w:before="120" w:after="120" w:line="360" w:lineRule="auto"/>
      </w:pPr>
      <w:r>
        <w:rPr>
          <w:rFonts w:hint="eastAsia"/>
        </w:rPr>
        <w:t>数据治理组织与职责</w:t>
      </w:r>
    </w:p>
    <w:p w14:paraId="6F008E45">
      <w:pPr>
        <w:pStyle w:val="165"/>
        <w:spacing w:line="360" w:lineRule="auto"/>
      </w:pPr>
      <w:r>
        <w:rPr>
          <w:rFonts w:hint="eastAsia"/>
        </w:rPr>
        <w:t>应建立数据治理职责体系。宜明确数据所有者、数据管理员、数据使用者与系统运维角色，明确各自职责边界与审批权限。</w:t>
      </w:r>
    </w:p>
    <w:p w14:paraId="67ADD0AE">
      <w:pPr>
        <w:pStyle w:val="165"/>
        <w:spacing w:line="360" w:lineRule="auto"/>
      </w:pPr>
      <w:r>
        <w:rPr>
          <w:rFonts w:hint="eastAsia"/>
        </w:rPr>
        <w:t>数据标准与字典维护应设定归口。编码字典与字段字典应由归口部门统一维护，项目级可提出变更需求但不得私自修改标准口径。</w:t>
      </w:r>
    </w:p>
    <w:p w14:paraId="2F0F0C58">
      <w:pPr>
        <w:pStyle w:val="165"/>
        <w:spacing w:line="360" w:lineRule="auto"/>
      </w:pPr>
      <w:r>
        <w:rPr>
          <w:rFonts w:hint="eastAsia"/>
        </w:rPr>
        <w:t>数据质量问题应形成治理闭环。数据质量问题应可被发现、分派、整改、复核与关闭，并形成统计分析用于持续改进。</w:t>
      </w:r>
    </w:p>
    <w:p w14:paraId="53616AD8">
      <w:pPr>
        <w:pStyle w:val="105"/>
        <w:spacing w:before="120" w:after="120" w:line="360" w:lineRule="auto"/>
      </w:pPr>
      <w:r>
        <w:rPr>
          <w:rFonts w:hint="eastAsia"/>
        </w:rPr>
        <w:t>数据安全与合规要求</w:t>
      </w:r>
    </w:p>
    <w:p w14:paraId="2C3A9BDA">
      <w:pPr>
        <w:pStyle w:val="165"/>
        <w:spacing w:line="360" w:lineRule="auto"/>
      </w:pPr>
      <w:r>
        <w:rPr>
          <w:rFonts w:hint="eastAsia"/>
        </w:rPr>
        <w:t>接口通信应采取安全措施。应采用身份认证、访问控制、传输加密与接口调用审计机制，防止数据泄露与未授权访问。</w:t>
      </w:r>
    </w:p>
    <w:p w14:paraId="5DB186FF">
      <w:pPr>
        <w:pStyle w:val="165"/>
        <w:spacing w:line="360" w:lineRule="auto"/>
      </w:pPr>
      <w:r>
        <w:rPr>
          <w:rFonts w:hint="eastAsia"/>
        </w:rPr>
        <w:t>数据分类分级应落地实施。对合同价格、支付信息、人员信息与安全隐患信息等敏感数据，应实施更严格的访问控制与脱敏策略，并限制导出范围。</w:t>
      </w:r>
    </w:p>
    <w:p w14:paraId="2B2E2210">
      <w:pPr>
        <w:pStyle w:val="165"/>
        <w:spacing w:line="360" w:lineRule="auto"/>
      </w:pPr>
      <w:r>
        <w:rPr>
          <w:rFonts w:hint="eastAsia"/>
        </w:rPr>
        <w:t>应实施日志审计与留存。接口调用日志与数据变更日志应纳入审计范围，满足留存期限要求并具备防篡改机制。</w:t>
      </w:r>
    </w:p>
    <w:p w14:paraId="05B3007C">
      <w:pPr>
        <w:pStyle w:val="165"/>
        <w:spacing w:line="360" w:lineRule="auto"/>
      </w:pPr>
      <w:r>
        <w:rPr>
          <w:rFonts w:hint="eastAsia"/>
        </w:rPr>
        <w:t>应实施备份与恢复。应明确关键数据的备份策略与恢复演练要求，确保接口故障或系统故障后数据可恢复且一致。</w:t>
      </w:r>
    </w:p>
    <w:p w14:paraId="3A1255DA">
      <w:pPr>
        <w:pStyle w:val="105"/>
        <w:spacing w:before="120" w:after="120" w:line="360" w:lineRule="auto"/>
      </w:pPr>
      <w:r>
        <w:rPr>
          <w:rFonts w:hint="eastAsia"/>
        </w:rPr>
        <w:t>数据共享与报表口径管理</w:t>
      </w:r>
    </w:p>
    <w:p w14:paraId="49BD2A75">
      <w:pPr>
        <w:pStyle w:val="165"/>
        <w:spacing w:line="360" w:lineRule="auto"/>
      </w:pPr>
      <w:r>
        <w:rPr>
          <w:rFonts w:hint="eastAsia"/>
        </w:rPr>
        <w:t>数据共享应基于统一口径。跨系统报表、指标看板与管理报表应引用统一数据源或统一口径的数据视图，避免多版本口径导致管理决策偏差。</w:t>
      </w:r>
    </w:p>
    <w:p w14:paraId="5AFE183A">
      <w:pPr>
        <w:pStyle w:val="165"/>
        <w:spacing w:line="360" w:lineRule="auto"/>
      </w:pPr>
      <w:r>
        <w:rPr>
          <w:rFonts w:hint="eastAsia"/>
        </w:rPr>
        <w:t>报表口径变更应受控。报表指标定义、统计周期、分母口径、汇总规则调整应形成变更记录，并同步更新相关数据字典与报表说明。</w:t>
      </w:r>
    </w:p>
    <w:p w14:paraId="73069262">
      <w:pPr>
        <w:pStyle w:val="165"/>
        <w:spacing w:line="360" w:lineRule="auto"/>
      </w:pPr>
      <w:r>
        <w:rPr>
          <w:rFonts w:hint="eastAsia"/>
        </w:rPr>
        <w:t>应支持数据追溯。管理报表应支持钻取到明细对象与原始流程记录，确保指标可解释、可复核。</w:t>
      </w:r>
    </w:p>
    <w:p w14:paraId="44A6BE46">
      <w:pPr>
        <w:pStyle w:val="104"/>
        <w:spacing w:before="240" w:after="240" w:line="360" w:lineRule="auto"/>
      </w:pPr>
      <w:bookmarkStart w:id="57" w:name="_Toc219109518"/>
      <w:r>
        <w:rPr>
          <w:rFonts w:hint="eastAsia"/>
        </w:rPr>
        <w:t>运行维护与验收评价</w:t>
      </w:r>
      <w:bookmarkEnd w:id="57"/>
    </w:p>
    <w:p w14:paraId="1686AD02">
      <w:pPr>
        <w:pStyle w:val="105"/>
        <w:spacing w:before="120" w:after="120" w:line="360" w:lineRule="auto"/>
      </w:pPr>
      <w:r>
        <w:rPr>
          <w:rFonts w:hint="eastAsia"/>
        </w:rPr>
        <w:t>一般要求</w:t>
      </w:r>
    </w:p>
    <w:p w14:paraId="0EBA20C1">
      <w:pPr>
        <w:pStyle w:val="165"/>
        <w:spacing w:line="360" w:lineRule="auto"/>
      </w:pPr>
      <w:r>
        <w:rPr>
          <w:rFonts w:hint="eastAsia"/>
        </w:rPr>
        <w:t>施工管理系统运行维护与验收评价应覆盖上线前验收、上线后运行监测与持续改进，确保系统功能可用、流程可执行、数据可用、接口可用与安全合规。</w:t>
      </w:r>
    </w:p>
    <w:p w14:paraId="00C1D3FB">
      <w:pPr>
        <w:pStyle w:val="165"/>
        <w:spacing w:line="360" w:lineRule="auto"/>
      </w:pPr>
      <w:r>
        <w:rPr>
          <w:rFonts w:hint="eastAsia"/>
        </w:rPr>
        <w:t>验收评价应坚持可核验原则。验收结论应有测试记录、抽样核验记录与问题整改闭环记录支撑，形成可追溯证据链。</w:t>
      </w:r>
    </w:p>
    <w:p w14:paraId="108833FD">
      <w:pPr>
        <w:pStyle w:val="105"/>
        <w:spacing w:before="120" w:after="120" w:line="360" w:lineRule="auto"/>
      </w:pPr>
      <w:r>
        <w:rPr>
          <w:rFonts w:hint="eastAsia"/>
        </w:rPr>
        <w:t>上线验收内容</w:t>
      </w:r>
    </w:p>
    <w:p w14:paraId="146B16D4">
      <w:pPr>
        <w:pStyle w:val="165"/>
        <w:spacing w:line="360" w:lineRule="auto"/>
      </w:pPr>
      <w:r>
        <w:rPr>
          <w:rFonts w:hint="eastAsia"/>
        </w:rPr>
        <w:t>功能验收应覆盖关键业务域与关键功能，重点验证合同管理、计量支付、变更签证、质量验收、隐患闭环、资料归档等关键流程的可用性与完整性。</w:t>
      </w:r>
    </w:p>
    <w:p w14:paraId="1424C010">
      <w:pPr>
        <w:pStyle w:val="165"/>
        <w:spacing w:line="360" w:lineRule="auto"/>
      </w:pPr>
      <w:r>
        <w:rPr>
          <w:rFonts w:hint="eastAsia"/>
        </w:rPr>
        <w:t>流程验收应验证流程节点、审批链、时限控制、退回机制与闭环条件，确保流程按设计执行且留痕完整。</w:t>
      </w:r>
    </w:p>
    <w:p w14:paraId="60A27504">
      <w:pPr>
        <w:pStyle w:val="165"/>
        <w:spacing w:line="360" w:lineRule="auto"/>
      </w:pPr>
      <w:r>
        <w:rPr>
          <w:rFonts w:hint="eastAsia"/>
        </w:rPr>
        <w:t>数据验收应验证主数据完整性、编码唯一性、字段口径一致性、数据校验规则有效性与历史数据迁移一致性。</w:t>
      </w:r>
    </w:p>
    <w:p w14:paraId="0E25F76E">
      <w:pPr>
        <w:pStyle w:val="165"/>
        <w:spacing w:line="360" w:lineRule="auto"/>
      </w:pPr>
      <w:r>
        <w:rPr>
          <w:rFonts w:hint="eastAsia"/>
        </w:rPr>
        <w:t>接口验收应验证与外部系统的对接范围、同步策略、异常重试机制与同步日志审计，确保关键数据可稳定同步。</w:t>
      </w:r>
    </w:p>
    <w:p w14:paraId="3928B657">
      <w:pPr>
        <w:pStyle w:val="165"/>
        <w:spacing w:line="360" w:lineRule="auto"/>
      </w:pPr>
      <w:r>
        <w:rPr>
          <w:rFonts w:hint="eastAsia"/>
        </w:rPr>
        <w:t>安全验收应验证身份认证、权限控制、日志审计、数据加密、备份恢复与安全策略配置的有效性，满足相关合规要求。</w:t>
      </w:r>
    </w:p>
    <w:p w14:paraId="01226B68">
      <w:pPr>
        <w:pStyle w:val="105"/>
        <w:spacing w:before="120" w:after="120" w:line="360" w:lineRule="auto"/>
      </w:pPr>
      <w:r>
        <w:rPr>
          <w:rFonts w:hint="eastAsia"/>
        </w:rPr>
        <w:t>运行维护要求</w:t>
      </w:r>
    </w:p>
    <w:p w14:paraId="472D1530">
      <w:pPr>
        <w:pStyle w:val="165"/>
        <w:spacing w:line="360" w:lineRule="auto"/>
      </w:pPr>
      <w:r>
        <w:rPr>
          <w:rFonts w:hint="eastAsia"/>
        </w:rPr>
        <w:t>应建立运维机制，明确运维责任人、响应时限、故障分级与处置流程，并保留运维记录。</w:t>
      </w:r>
    </w:p>
    <w:p w14:paraId="3FFACC2C">
      <w:pPr>
        <w:pStyle w:val="165"/>
        <w:spacing w:line="360" w:lineRule="auto"/>
      </w:pPr>
      <w:r>
        <w:rPr>
          <w:rFonts w:hint="eastAsia"/>
        </w:rPr>
        <w:t>应实施运行监控，监控系统可用性、关键接口状态、审批待办积压与关键任务队列状态，出现异常应及时告警处置。</w:t>
      </w:r>
    </w:p>
    <w:p w14:paraId="6C326D34">
      <w:pPr>
        <w:pStyle w:val="165"/>
        <w:spacing w:line="360" w:lineRule="auto"/>
      </w:pPr>
      <w:r>
        <w:rPr>
          <w:rFonts w:hint="eastAsia"/>
        </w:rPr>
        <w:t>应实施备份与恢复，按制度进行备份并开展恢复演练，确保关键数据可恢复且一致。</w:t>
      </w:r>
    </w:p>
    <w:p w14:paraId="044772B8">
      <w:pPr>
        <w:pStyle w:val="105"/>
        <w:spacing w:before="120" w:after="120" w:line="360" w:lineRule="auto"/>
      </w:pPr>
      <w:r>
        <w:rPr>
          <w:rFonts w:hint="eastAsia"/>
        </w:rPr>
        <w:t>运行评价与持续改进</w:t>
      </w:r>
    </w:p>
    <w:p w14:paraId="19E5C80B">
      <w:pPr>
        <w:pStyle w:val="165"/>
        <w:spacing w:line="360" w:lineRule="auto"/>
      </w:pPr>
      <w:r>
        <w:rPr>
          <w:rFonts w:hint="eastAsia"/>
        </w:rPr>
        <w:t>运行评价宜从流程时效、数据质量、协同效率与风险预警有效性等方面开展，并形成改进清单。</w:t>
      </w:r>
    </w:p>
    <w:p w14:paraId="0C91DBEC">
      <w:pPr>
        <w:pStyle w:val="165"/>
        <w:spacing w:line="360" w:lineRule="auto"/>
      </w:pPr>
      <w:r>
        <w:rPr>
          <w:rFonts w:hint="eastAsia"/>
        </w:rPr>
        <w:t>版本迭代应受控。应记录版本变更内容、影响范围、上线时间与回滚方案，并对关键流程变更进行验证。</w:t>
      </w:r>
    </w:p>
    <w:bookmarkEnd w:id="26"/>
    <w:p w14:paraId="38059D3F">
      <w:pPr>
        <w:pStyle w:val="56"/>
        <w:ind w:firstLine="0" w:firstLineChars="0"/>
        <w:jc w:val="center"/>
      </w:pPr>
      <w:bookmarkStart w:id="58" w:name="BookMark8"/>
      <w:r>
        <w:drawing>
          <wp:inline distT="0" distB="0" distL="0" distR="0">
            <wp:extent cx="1485900" cy="317500"/>
            <wp:effectExtent l="0" t="0" r="0" b="6350"/>
            <wp:docPr id="940369518" name="图片 3"/>
            <wp:cNvGraphicFramePr/>
            <a:graphic xmlns:a="http://schemas.openxmlformats.org/drawingml/2006/main">
              <a:graphicData uri="http://schemas.openxmlformats.org/drawingml/2006/picture">
                <pic:pic xmlns:pic="http://schemas.openxmlformats.org/drawingml/2006/picture">
                  <pic:nvPicPr>
                    <pic:cNvPr id="940369518"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5F204">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4104">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DFEE">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8360">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035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0B51">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30C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BBD3">
    <w:pPr>
      <w:pStyle w:val="61"/>
    </w:pPr>
    <w:r>
      <w:fldChar w:fldCharType="begin"/>
    </w:r>
    <w:r>
      <w:instrText xml:space="preserve"> STYLEREF  标准文件_文件编号  \* MERGEFORMAT </w:instrText>
    </w:r>
    <w:r>
      <w:fldChar w:fldCharType="separate"/>
    </w:r>
    <w:r>
      <w:t>T/XJBX 0187—2026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EF0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0187—2026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0187—2026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0187—2026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3744">
    <w:pPr>
      <w:pStyle w:val="61"/>
    </w:pPr>
    <w:r>
      <w:fldChar w:fldCharType="begin"/>
    </w:r>
    <w:r>
      <w:instrText xml:space="preserve"> STYLEREF  标准文件_文件编号  \* MERGEFORMAT </w:instrText>
    </w:r>
    <w:r>
      <w:fldChar w:fldCharType="separate"/>
    </w:r>
    <w:r>
      <w:t>T/XJBX 0187—2026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648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0187—2026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29B6">
    <w:pPr>
      <w:pStyle w:val="61"/>
    </w:pPr>
    <w:r>
      <w:fldChar w:fldCharType="begin"/>
    </w:r>
    <w:r>
      <w:instrText xml:space="preserve"> STYLEREF  标准文件_文件编号  \* MERGEFORMAT </w:instrText>
    </w:r>
    <w:r>
      <w:fldChar w:fldCharType="separate"/>
    </w:r>
    <w:r>
      <w:t>T/XJBX 0187—2026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952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0187—2026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3"/>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254"/>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D9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332"/>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5588"/>
    <w:rsid w:val="004467FB"/>
    <w:rsid w:val="00452D6B"/>
    <w:rsid w:val="00454484"/>
    <w:rsid w:val="0045517B"/>
    <w:rsid w:val="00463B77"/>
    <w:rsid w:val="00463C7B"/>
    <w:rsid w:val="004644A6"/>
    <w:rsid w:val="004659BD"/>
    <w:rsid w:val="00470775"/>
    <w:rsid w:val="004746B1"/>
    <w:rsid w:val="0047583F"/>
    <w:rsid w:val="00475DE8"/>
    <w:rsid w:val="00481C44"/>
    <w:rsid w:val="00483573"/>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0722"/>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A8"/>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756"/>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602"/>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552"/>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4E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2E04"/>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6A5"/>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E1D"/>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9CC"/>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1FE"/>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012"/>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2655CC4"/>
    <w:rsid w:val="14025795"/>
    <w:rsid w:val="23B332D3"/>
    <w:rsid w:val="2859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DCB3F39">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858D9C4">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29A082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C1483"/>
    <w:rsid w:val="00232C79"/>
    <w:rsid w:val="005E6634"/>
    <w:rsid w:val="007146E1"/>
    <w:rsid w:val="007A1830"/>
    <w:rsid w:val="008C65FC"/>
    <w:rsid w:val="00900756"/>
    <w:rsid w:val="009D1AA1"/>
    <w:rsid w:val="00AE1DC6"/>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22</Pages>
  <Words>11877</Words>
  <Characters>12199</Characters>
  <Lines>99</Lines>
  <Paragraphs>27</Paragraphs>
  <TotalTime>0</TotalTime>
  <ScaleCrop>false</ScaleCrop>
  <LinksUpToDate>false</LinksUpToDate>
  <CharactersWithSpaces>12293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2025-08-08T03:30:00Z</dcterms:created>
  <dc:creator>Jianyi Huang</dc:creator>
  <dc:description>&lt;config cover="true" show_menu="true" version="1.0.0" doctype="SDKXY"&gt;_x000d_
&lt;/config&gt;</dc:description>
  <cp:lastModifiedBy>WPS_1602478251</cp:lastModifiedBy>
  <cp:lastPrinted>2021-02-02T09:22:00Z</cp:lastPrinted>
  <dcterms:modified xsi:type="dcterms:W3CDTF">2026-01-15T02:11:01Z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BBFD400EC3184825B953E38A8546628B_12</vt:lpwstr>
  </property>
</Properties>
</file>