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12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03.120.20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0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00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5"/>
            </w:textInput>
          </w:ffData>
        </w:fldChar>
      </w:r>
      <w:bookmarkStart w:id="6" w:name="NSTD_CODE_F"/>
      <w:r>
        <w:instrText xml:space="preserve"> FORMTEXT </w:instrText>
      </w:r>
      <w:r>
        <w:fldChar w:fldCharType="separate"/>
      </w:r>
      <w:r>
        <w:t>0185</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3703F6D">
      <w:pPr>
        <w:pStyle w:val="197"/>
        <w:framePr w:h="6974" w:hRule="exact" w:wrap="around" w:x="1419" w:anchorLock="1"/>
      </w:pPr>
      <w:r>
        <w:fldChar w:fldCharType="begin">
          <w:ffData>
            <w:name w:val="CSTD_NAME"/>
            <w:enabled/>
            <w:calcOnExit w:val="0"/>
            <w:textInput>
              <w:default w:val="食药化微生物检验实验室跨领域能力验证实施指引"/>
            </w:textInput>
          </w:ffData>
        </w:fldChar>
      </w:r>
      <w:bookmarkStart w:id="9" w:name="CSTD_NAME"/>
      <w:r>
        <w:instrText xml:space="preserve"> FORMTEXT </w:instrText>
      </w:r>
      <w:r>
        <w:fldChar w:fldCharType="separate"/>
      </w:r>
      <w:r>
        <w:t>食药化微生物检验实验室跨领域</w:t>
      </w:r>
    </w:p>
    <w:p w14:paraId="73594FE6">
      <w:pPr>
        <w:pStyle w:val="197"/>
        <w:framePr w:h="6974" w:hRule="exact" w:wrap="around" w:x="1419" w:anchorLock="1"/>
      </w:pPr>
      <w:r>
        <w:t>能力验证实施指引</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implementation of cross-domain proficiency testing in food, pharmaceutical and chemical microbiology laboratori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implementation of cross-domain proficiency testing in food, pharmaceutical and chemical microbiology laboratories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bookmarkStart w:id="58" w:name="_GoBack"/>
      <w:bookmarkEnd w:id="58"/>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FA3D6E3">
      <w:pPr>
        <w:pStyle w:val="91"/>
        <w:spacing w:after="360"/>
      </w:pPr>
      <w:bookmarkStart w:id="21" w:name="BookMark1"/>
      <w:r>
        <w:rPr>
          <w:rFonts w:hint="eastAsia"/>
          <w:spacing w:val="320"/>
        </w:rPr>
        <w:t>目</w:t>
      </w:r>
      <w:r>
        <w:rPr>
          <w:rFonts w:hint="eastAsia"/>
        </w:rPr>
        <w:t>次</w:t>
      </w:r>
    </w:p>
    <w:p w14:paraId="7D6DC16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"_Toc219106288"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_Toc219106288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6A290C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"_Toc219106289"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_Toc219106289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598C07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_Toc219106290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01D5D0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_Toc219106291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1873C7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_Toc219106292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27C0C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"_Toc219106293"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_Toc219106293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C1A7A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"_Toc219106294" </w:instrText>
      </w:r>
      <w:r>
        <w:fldChar w:fldCharType="separate"/>
      </w:r>
      <w:r>
        <w:rPr>
          <w:rStyle w:val="32"/>
          <w:rFonts w:hint="eastAsia"/>
        </w:rPr>
        <w:t>5</w:t>
      </w:r>
      <w:r>
        <w:rPr>
          <w:rStyle w:val="32"/>
        </w:rPr>
        <w:t xml:space="preserve"> </w:t>
      </w:r>
      <w:r>
        <w:rPr>
          <w:rStyle w:val="32"/>
          <w:rFonts w:hint="eastAsia"/>
        </w:rPr>
        <w:t xml:space="preserve"> 跨领域项目组合设计与样品设计</w:t>
      </w:r>
      <w:r>
        <w:rPr>
          <w:rFonts w:hint="eastAsia"/>
        </w:rPr>
        <w:tab/>
      </w:r>
      <w:r>
        <w:rPr>
          <w:rFonts w:hint="eastAsia"/>
        </w:rPr>
        <w:fldChar w:fldCharType="begin"/>
      </w:r>
      <w:r>
        <w:rPr>
          <w:rFonts w:hint="eastAsia"/>
        </w:rPr>
        <w:instrText xml:space="preserve"> </w:instrText>
      </w:r>
      <w:r>
        <w:instrText xml:space="preserve">PAGEREF _Toc219106294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EEB265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"_Toc219106295" </w:instrText>
      </w:r>
      <w:r>
        <w:fldChar w:fldCharType="separate"/>
      </w:r>
      <w:r>
        <w:rPr>
          <w:rStyle w:val="32"/>
          <w:rFonts w:hint="eastAsia"/>
        </w:rPr>
        <w:t>6</w:t>
      </w:r>
      <w:r>
        <w:rPr>
          <w:rStyle w:val="32"/>
        </w:rPr>
        <w:t xml:space="preserve"> </w:t>
      </w:r>
      <w:r>
        <w:rPr>
          <w:rStyle w:val="32"/>
          <w:rFonts w:hint="eastAsia"/>
        </w:rPr>
        <w:t xml:space="preserve"> 统计评价与结果判定</w:t>
      </w:r>
      <w:r>
        <w:rPr>
          <w:rFonts w:hint="eastAsia"/>
        </w:rPr>
        <w:tab/>
      </w:r>
      <w:r>
        <w:rPr>
          <w:rFonts w:hint="eastAsia"/>
        </w:rPr>
        <w:fldChar w:fldCharType="begin"/>
      </w:r>
      <w:r>
        <w:rPr>
          <w:rFonts w:hint="eastAsia"/>
        </w:rPr>
        <w:instrText xml:space="preserve"> </w:instrText>
      </w:r>
      <w:r>
        <w:instrText xml:space="preserve">PAGEREF _Toc219106295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E2A0F8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"_Toc219106296" </w:instrText>
      </w:r>
      <w:r>
        <w:fldChar w:fldCharType="separate"/>
      </w:r>
      <w:r>
        <w:rPr>
          <w:rStyle w:val="32"/>
          <w:rFonts w:hint="eastAsia"/>
        </w:rPr>
        <w:t>7</w:t>
      </w:r>
      <w:r>
        <w:rPr>
          <w:rStyle w:val="32"/>
        </w:rPr>
        <w:t xml:space="preserve"> </w:t>
      </w:r>
      <w:r>
        <w:rPr>
          <w:rStyle w:val="32"/>
          <w:rFonts w:hint="eastAsia"/>
        </w:rPr>
        <w:t xml:space="preserve"> 偏差调查与纠正措施闭环管理</w:t>
      </w:r>
      <w:r>
        <w:rPr>
          <w:rFonts w:hint="eastAsia"/>
        </w:rPr>
        <w:tab/>
      </w:r>
      <w:r>
        <w:rPr>
          <w:rFonts w:hint="eastAsia"/>
        </w:rPr>
        <w:fldChar w:fldCharType="begin"/>
      </w:r>
      <w:r>
        <w:rPr>
          <w:rFonts w:hint="eastAsia"/>
        </w:rPr>
        <w:instrText xml:space="preserve"> </w:instrText>
      </w:r>
      <w:r>
        <w:instrText xml:space="preserve">PAGEREF _Toc219106296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EA26B8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"_Toc219106297" </w:instrText>
      </w:r>
      <w:r>
        <w:fldChar w:fldCharType="separate"/>
      </w:r>
      <w:r>
        <w:rPr>
          <w:rStyle w:val="32"/>
          <w:rFonts w:hint="eastAsia"/>
        </w:rPr>
        <w:t>8</w:t>
      </w:r>
      <w:r>
        <w:rPr>
          <w:rStyle w:val="32"/>
        </w:rPr>
        <w:t xml:space="preserve"> </w:t>
      </w:r>
      <w:r>
        <w:rPr>
          <w:rStyle w:val="32"/>
          <w:rFonts w:hint="eastAsia"/>
        </w:rPr>
        <w:t xml:space="preserve"> 能力保持与持续改进</w:t>
      </w:r>
      <w:r>
        <w:rPr>
          <w:rFonts w:hint="eastAsia"/>
        </w:rPr>
        <w:tab/>
      </w:r>
      <w:r>
        <w:rPr>
          <w:rFonts w:hint="eastAsia"/>
        </w:rPr>
        <w:fldChar w:fldCharType="begin"/>
      </w:r>
      <w:r>
        <w:rPr>
          <w:rFonts w:hint="eastAsia"/>
        </w:rPr>
        <w:instrText xml:space="preserve"> </w:instrText>
      </w:r>
      <w:r>
        <w:instrText xml:space="preserve">PAGEREF _Toc219106297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8052B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"_Toc219106298" </w:instrText>
      </w:r>
      <w:r>
        <w:fldChar w:fldCharType="separate"/>
      </w:r>
      <w:r>
        <w:rPr>
          <w:rStyle w:val="32"/>
          <w:rFonts w:hint="eastAsia"/>
        </w:rPr>
        <w:t>9</w:t>
      </w:r>
      <w:r>
        <w:rPr>
          <w:rStyle w:val="32"/>
        </w:rPr>
        <w:t xml:space="preserve"> </w:t>
      </w:r>
      <w:r>
        <w:rPr>
          <w:rStyle w:val="32"/>
          <w:rFonts w:hint="eastAsia"/>
        </w:rPr>
        <w:t xml:space="preserve"> 文件记录与报告管理</w:t>
      </w:r>
      <w:r>
        <w:rPr>
          <w:rFonts w:hint="eastAsia"/>
        </w:rPr>
        <w:tab/>
      </w:r>
      <w:r>
        <w:rPr>
          <w:rFonts w:hint="eastAsia"/>
        </w:rPr>
        <w:fldChar w:fldCharType="begin"/>
      </w:r>
      <w:r>
        <w:rPr>
          <w:rFonts w:hint="eastAsia"/>
        </w:rPr>
        <w:instrText xml:space="preserve"> </w:instrText>
      </w:r>
      <w:r>
        <w:instrText xml:space="preserve">PAGEREF _Toc219106298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BDB1CD0">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06288"/>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77EBDC45">
      <w:pPr>
        <w:pStyle w:val="56"/>
        <w:spacing w:line="360" w:lineRule="auto"/>
        <w:ind w:firstLine="420"/>
      </w:pPr>
      <w:r>
        <w:rPr>
          <w:rFonts w:hint="eastAsia"/>
        </w:rPr>
        <w:t>本文件起草单位：常德职业技术学院。</w:t>
      </w:r>
    </w:p>
    <w:p w14:paraId="55F4A5D1">
      <w:pPr>
        <w:pStyle w:val="56"/>
        <w:spacing w:line="360" w:lineRule="auto"/>
        <w:ind w:firstLine="420"/>
      </w:pPr>
      <w:r>
        <w:rPr>
          <w:rFonts w:hint="eastAsia"/>
        </w:rPr>
        <w:t>本文件主要起草人：王振涛。</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06289"/>
      <w:bookmarkStart w:id="25" w:name="BookMark3"/>
      <w:r>
        <w:rPr>
          <w:spacing w:val="320"/>
        </w:rPr>
        <w:t>引</w:t>
      </w:r>
      <w:r>
        <w:t>言</w:t>
      </w:r>
      <w:bookmarkEnd w:id="24"/>
    </w:p>
    <w:p w14:paraId="508388CA">
      <w:pPr>
        <w:pStyle w:val="56"/>
        <w:spacing w:line="360" w:lineRule="auto"/>
        <w:ind w:firstLine="420"/>
      </w:pPr>
      <w:r>
        <w:rPr>
          <w:rFonts w:hint="eastAsia"/>
        </w:rPr>
        <w:t>食药化微生物检验实验室承担食品安全、药品质量、化学品合规与公共卫生监测等多领域检测任务，检验对象类型多、方法体系差异大、样品基体复杂、质量控制链条长，且常涉及跨学科交叉项目，例如食品中污染物与微生物协同风险评价、药品无菌与内毒素控制、化学品限用物质与微生物污染联控、环境介质中食源微生物与化学暴露联动监测等。在此背景下，实验室除需要在单一领域保持稳定的检测能力，还需要具备跨领域方法迁移、样品前处理适配、计量溯源一致、数据可比与结果判定一致等综合能力。</w:t>
      </w:r>
    </w:p>
    <w:p w14:paraId="29E51471">
      <w:pPr>
        <w:pStyle w:val="56"/>
        <w:spacing w:line="360" w:lineRule="auto"/>
        <w:ind w:firstLine="420"/>
      </w:pPr>
      <w:r>
        <w:rPr>
          <w:rFonts w:hint="eastAsia"/>
        </w:rPr>
        <w:t>能力验证是评价实验室检测能力、发现系统性偏差、验证质量控制有效性的重要技术手段。传统能力验证多以单一领域或单一项目为主，难以覆盖跨领域业务中常见的基体差异、方法差异、数据处理口径差异与判定规则差异。若跨领域能力验证实施缺乏统一框架，易出现方案设计不匹配、样品均匀性与稳定性控制不足、统计评价方法不适配、结果解释不可比、纠正措施难以闭环等问题，进而影响能力评价的有效性与公信力。</w:t>
      </w:r>
    </w:p>
    <w:p w14:paraId="7F4A69FE">
      <w:pPr>
        <w:pStyle w:val="56"/>
        <w:spacing w:line="360" w:lineRule="auto"/>
        <w:ind w:firstLine="420"/>
      </w:pPr>
      <w:r>
        <w:rPr>
          <w:rFonts w:hint="eastAsia"/>
        </w:rPr>
        <w:t>为规范食药化微生物检验实验室跨领域能力验证的组织实施，本文件提出跨领域能力验证的策划原则、方案设计、样品制备与质量控制、数据提交与统计评价、结果判定与报告、问题整改与持续改进等技术要求，旨在建立覆盖多领域共性质量要素的实施路径，提升实验室在跨领域检测场景下的结果一致性与风险识别能力。</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4E987EF3">
          <w:pPr>
            <w:pStyle w:val="177"/>
            <w:spacing w:after="0"/>
          </w:pPr>
          <w:bookmarkStart w:id="27" w:name="NEW_STAND_NAME"/>
          <w:r>
            <w:rPr>
              <w:rFonts w:hint="eastAsia"/>
            </w:rPr>
            <w:t>食药化微生物检验实验室跨领域</w:t>
          </w:r>
        </w:p>
        <w:p w14:paraId="7D4E3E1F">
          <w:pPr>
            <w:pStyle w:val="177"/>
            <w:spacing w:before="0"/>
          </w:pPr>
          <w:r>
            <w:rPr>
              <w:rFonts w:hint="eastAsia"/>
            </w:rPr>
            <w:t>能力验证实施指引</w:t>
          </w:r>
        </w:p>
      </w:sdtContent>
    </w:sdt>
    <w:bookmarkEnd w:id="27"/>
    <w:p w14:paraId="3DB22445">
      <w:pPr>
        <w:pStyle w:val="104"/>
        <w:spacing w:before="240" w:after="240" w:line="360" w:lineRule="auto"/>
      </w:pPr>
      <w:bookmarkStart w:id="28" w:name="_Toc17233333"/>
      <w:bookmarkStart w:id="29" w:name="_Toc24884211"/>
      <w:bookmarkStart w:id="30" w:name="_Toc26986530"/>
      <w:bookmarkStart w:id="31" w:name="_Toc26986771"/>
      <w:bookmarkStart w:id="32" w:name="_Toc26648465"/>
      <w:bookmarkStart w:id="33" w:name="_Toc26718930"/>
      <w:bookmarkStart w:id="34" w:name="_Toc97192964"/>
      <w:bookmarkStart w:id="35" w:name="_Toc24884218"/>
      <w:bookmarkStart w:id="36" w:name="_Toc219106290"/>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2A76E6D0">
      <w:pPr>
        <w:pStyle w:val="56"/>
        <w:spacing w:line="360" w:lineRule="auto"/>
        <w:ind w:firstLine="420"/>
      </w:pPr>
      <w:bookmarkStart w:id="38" w:name="_Toc17233334"/>
      <w:bookmarkStart w:id="39" w:name="_Toc26648466"/>
      <w:bookmarkStart w:id="40" w:name="_Toc17233326"/>
      <w:bookmarkStart w:id="41" w:name="_Toc24884219"/>
      <w:bookmarkStart w:id="42" w:name="_Toc24884212"/>
      <w:r>
        <w:rPr>
          <w:rFonts w:hint="eastAsia"/>
        </w:rPr>
        <w:t>本文件规定了食药化微生物检验实验室跨领域能力验证的总体要求、跨领域项目组合设计与样品设计、统计评价与结果判定、偏差调查与纠正措施闭环管理、能力保持与持续改进、文件记录与报告管理等内容。</w:t>
      </w:r>
    </w:p>
    <w:p w14:paraId="76265264">
      <w:pPr>
        <w:pStyle w:val="56"/>
        <w:spacing w:line="360" w:lineRule="auto"/>
        <w:ind w:firstLine="420"/>
      </w:pPr>
      <w:r>
        <w:rPr>
          <w:rFonts w:hint="eastAsia"/>
        </w:rPr>
        <w:t>本文件适用于承担食品检验、药品检验、化学品检验与微生物检验等业务的实验室参加或组织跨领域能力验证活动，也适用于第三方能力验证提供者、质量管理部门和认可评审相关的能力评价工作。对仅在单一领域开展能力验证的，可参照本文件的共性要求执行。</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1910629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5594849">
      <w:pPr>
        <w:pStyle w:val="56"/>
        <w:spacing w:line="360" w:lineRule="auto"/>
        <w:ind w:firstLine="420"/>
      </w:pPr>
      <w:r>
        <w:rPr>
          <w:rFonts w:hint="eastAsia"/>
        </w:rPr>
        <w:t>GB/T 1.1—2020 标准化工作导则  第1部分：标准化文件的结构和起草规则</w:t>
      </w:r>
    </w:p>
    <w:p w14:paraId="482748A1">
      <w:pPr>
        <w:pStyle w:val="56"/>
        <w:spacing w:line="360" w:lineRule="auto"/>
        <w:ind w:firstLine="420"/>
      </w:pPr>
      <w:r>
        <w:rPr>
          <w:rFonts w:hint="eastAsia"/>
        </w:rPr>
        <w:t>GB/T 27025 检测和校准实验室能力的通用要求</w:t>
      </w:r>
    </w:p>
    <w:p w14:paraId="07A7F860">
      <w:pPr>
        <w:pStyle w:val="56"/>
        <w:spacing w:line="360" w:lineRule="auto"/>
        <w:ind w:firstLine="420"/>
      </w:pPr>
      <w:r>
        <w:t>GB/T 27043</w:t>
      </w:r>
      <w:r>
        <w:rPr>
          <w:rFonts w:hint="eastAsia"/>
        </w:rPr>
        <w:t>—</w:t>
      </w:r>
      <w:r>
        <w:t>2025</w:t>
      </w:r>
      <w:r>
        <w:rPr>
          <w:rFonts w:hint="eastAsia"/>
        </w:rPr>
        <w:t xml:space="preserve"> 合格评定  能力验证提供者能力的通用要求</w:t>
      </w:r>
    </w:p>
    <w:p w14:paraId="7BFA7068">
      <w:pPr>
        <w:pStyle w:val="56"/>
        <w:spacing w:line="360" w:lineRule="auto"/>
        <w:ind w:firstLine="420"/>
        <w:rPr>
          <w:rFonts w:hint="eastAsia"/>
        </w:rPr>
      </w:pPr>
      <w:r>
        <w:t xml:space="preserve">ISO 13528:2022 </w:t>
      </w:r>
      <w:r>
        <w:rPr>
          <w:rFonts w:hint="eastAsia"/>
        </w:rPr>
        <w:t>实验室间比较能力验证中使用的统计方法 （</w:t>
      </w:r>
      <w:r>
        <w:t>Statistical methods for use in proficiency testing by interlaboratory comparison</w:t>
      </w:r>
      <w:r>
        <w:rPr>
          <w:rFonts w:hint="eastAsia"/>
        </w:rPr>
        <w:t>）</w:t>
      </w:r>
    </w:p>
    <w:p w14:paraId="51F02A4E">
      <w:pPr>
        <w:pStyle w:val="104"/>
        <w:spacing w:before="240" w:after="240" w:line="360" w:lineRule="auto"/>
      </w:pPr>
      <w:bookmarkStart w:id="48" w:name="_Toc97192966"/>
      <w:bookmarkStart w:id="49" w:name="_Toc219106292"/>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7FD38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能力验证 proficiency testing</w:t>
      </w:r>
    </w:p>
    <w:p w14:paraId="61644DCE">
      <w:pPr>
        <w:pStyle w:val="56"/>
        <w:spacing w:line="360" w:lineRule="auto"/>
        <w:ind w:firstLine="420"/>
      </w:pPr>
      <w:r>
        <w:rPr>
          <w:rFonts w:hint="eastAsia"/>
        </w:rPr>
        <w:t>按照预先制定的规则，对参加方实验室开展的检测或测量结果进行比较评价，以确定其能力的活动。</w:t>
      </w:r>
    </w:p>
    <w:p w14:paraId="740CF14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跨领域能力验证 cross domain proficiency testing</w:t>
      </w:r>
    </w:p>
    <w:p w14:paraId="6F200973">
      <w:pPr>
        <w:pStyle w:val="56"/>
        <w:spacing w:line="360" w:lineRule="auto"/>
        <w:ind w:firstLine="420"/>
      </w:pPr>
      <w:r>
        <w:rPr>
          <w:rFonts w:hint="eastAsia"/>
        </w:rPr>
        <w:t>针对食品药品化学品微生物等不同领域的检测任务，采用具有跨基体或跨方法特征的项目组合与样品设计，对实验室在样品前处理、方法选择、计量溯源、质量控制、结果判定与报告表达等共性能力进行综合评价的能力验证活动。</w:t>
      </w:r>
    </w:p>
    <w:p w14:paraId="79C3BB2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能力验证提供者 proficiency testing provider</w:t>
      </w:r>
    </w:p>
    <w:p w14:paraId="0B88DF4D">
      <w:pPr>
        <w:pStyle w:val="56"/>
        <w:spacing w:line="360" w:lineRule="auto"/>
        <w:ind w:firstLine="420"/>
      </w:pPr>
      <w:r>
        <w:rPr>
          <w:rFonts w:hint="eastAsia"/>
        </w:rPr>
        <w:t>负责能力验证方案策划、样品制备与分发、数据收集与统计评价、结果报告发布的组织或机构。</w:t>
      </w:r>
    </w:p>
    <w:p w14:paraId="7AE2E70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参加方 participant</w:t>
      </w:r>
    </w:p>
    <w:p w14:paraId="0A111690">
      <w:pPr>
        <w:pStyle w:val="56"/>
        <w:spacing w:line="360" w:lineRule="auto"/>
        <w:ind w:firstLine="420"/>
      </w:pPr>
      <w:r>
        <w:rPr>
          <w:rFonts w:hint="eastAsia"/>
        </w:rPr>
        <w:t>参加能力验证并按要求提交结果的实验室或其所属组织单元。</w:t>
      </w:r>
    </w:p>
    <w:p w14:paraId="1E4B8CB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指定值 assigned value</w:t>
      </w:r>
    </w:p>
    <w:p w14:paraId="7BABC9BC">
      <w:pPr>
        <w:pStyle w:val="56"/>
        <w:spacing w:line="360" w:lineRule="auto"/>
        <w:ind w:firstLine="420"/>
      </w:pPr>
      <w:r>
        <w:rPr>
          <w:rFonts w:hint="eastAsia"/>
        </w:rPr>
        <w:t>用于能力评价的参考值，可由参考方法测定、参考实验室联合确定、稳健统计方法计算或由具备溯源依据的制备值确定。</w:t>
      </w:r>
    </w:p>
    <w:p w14:paraId="31C3EC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评价标准偏差 standard deviation for proficiency assessment</w:t>
      </w:r>
    </w:p>
    <w:p w14:paraId="765955E8">
      <w:pPr>
        <w:pStyle w:val="56"/>
        <w:spacing w:line="360" w:lineRule="auto"/>
        <w:ind w:firstLine="420"/>
      </w:pPr>
      <w:r>
        <w:rPr>
          <w:rFonts w:hint="eastAsia"/>
        </w:rPr>
        <w:t>用于计算能力评价统计量的标准偏差，可来源于适用法规或标准规定、既往数据、专家判断或统计模型。</w:t>
      </w:r>
    </w:p>
    <w:p w14:paraId="4CC844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稳健统计 robust statistics</w:t>
      </w:r>
    </w:p>
    <w:p w14:paraId="5C768361">
      <w:pPr>
        <w:pStyle w:val="56"/>
        <w:spacing w:line="360" w:lineRule="auto"/>
        <w:ind w:firstLine="420"/>
      </w:pPr>
      <w:r>
        <w:rPr>
          <w:rFonts w:hint="eastAsia"/>
        </w:rPr>
        <w:t>对异常值不敏感或不易受异常值影响的统计方法，用于能力验证数据处理与指定值计算等环节。</w:t>
      </w:r>
    </w:p>
    <w:p w14:paraId="58C6ED2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结果判定 result interpretation</w:t>
      </w:r>
    </w:p>
    <w:p w14:paraId="58F748C2">
      <w:pPr>
        <w:pStyle w:val="56"/>
        <w:spacing w:line="360" w:lineRule="auto"/>
        <w:ind w:firstLine="420"/>
      </w:pPr>
      <w:r>
        <w:rPr>
          <w:rFonts w:hint="eastAsia"/>
        </w:rPr>
        <w:t>依据能力验证方案规定的统计量和判定准则，对参加方提交结果进行满意、可疑或不满意等分类结论的过程。</w:t>
      </w:r>
    </w:p>
    <w:p w14:paraId="32A78E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协同试验 collaborative trial</w:t>
      </w:r>
    </w:p>
    <w:p w14:paraId="53A5A4DE">
      <w:pPr>
        <w:pStyle w:val="56"/>
        <w:spacing w:line="360" w:lineRule="auto"/>
        <w:ind w:firstLine="420"/>
      </w:pPr>
      <w:r>
        <w:rPr>
          <w:rFonts w:hint="eastAsia"/>
        </w:rPr>
        <w:t>多个实验室按统一方法对同一对象开展试验并进行统计分析的活动，可用于方法性能确认或为能力验证评价参数提供依据。</w:t>
      </w:r>
    </w:p>
    <w:p w14:paraId="51547DD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纠正措施 corrective action</w:t>
      </w:r>
    </w:p>
    <w:p w14:paraId="11ED0D72">
      <w:pPr>
        <w:pStyle w:val="56"/>
        <w:spacing w:line="360" w:lineRule="auto"/>
        <w:ind w:firstLine="420"/>
      </w:pPr>
      <w:r>
        <w:rPr>
          <w:rFonts w:hint="eastAsia"/>
        </w:rPr>
        <w:t>针对能力验证结果不满意或出现系统性偏差，识别原因并实施的措施，旨在消除已发现不符合并防止再次发生。</w:t>
      </w:r>
    </w:p>
    <w:p w14:paraId="31DFA46A">
      <w:pPr>
        <w:pStyle w:val="104"/>
        <w:spacing w:before="240" w:after="240" w:line="360" w:lineRule="auto"/>
      </w:pPr>
      <w:bookmarkStart w:id="51" w:name="_Toc219106293"/>
      <w:r>
        <w:rPr>
          <w:rFonts w:hint="eastAsia"/>
        </w:rPr>
        <w:t>总体要求</w:t>
      </w:r>
      <w:bookmarkEnd w:id="51"/>
    </w:p>
    <w:p w14:paraId="251A66BB">
      <w:pPr>
        <w:pStyle w:val="105"/>
        <w:spacing w:before="120" w:after="120" w:line="360" w:lineRule="auto"/>
      </w:pPr>
      <w:r>
        <w:rPr>
          <w:rFonts w:hint="eastAsia"/>
        </w:rPr>
        <w:t>管理目标</w:t>
      </w:r>
    </w:p>
    <w:p w14:paraId="43117782">
      <w:pPr>
        <w:pStyle w:val="165"/>
        <w:spacing w:line="360" w:lineRule="auto"/>
      </w:pPr>
      <w:r>
        <w:rPr>
          <w:rFonts w:hint="eastAsia"/>
        </w:rPr>
        <w:t>跨领域能力验证应以评价实验室在不同领域方法体系下的结果一致性与质量控制有效性为目标，重点识别样品基体变化、方法迁移、计量溯源差异、微生物与化学指标并行控制等因素对结果的影响。</w:t>
      </w:r>
    </w:p>
    <w:p w14:paraId="177F6A84">
      <w:pPr>
        <w:pStyle w:val="165"/>
        <w:spacing w:line="360" w:lineRule="auto"/>
      </w:pPr>
      <w:r>
        <w:rPr>
          <w:rFonts w:hint="eastAsia"/>
        </w:rPr>
        <w:t>跨领域能力验证应实现可比性、可解释性与可改进性。方案设计应确保不同参加方在合理差异范围内具备可比对的输出，统计评价与判定准则应明确，结果处置应形成闭环并推动能力提升。</w:t>
      </w:r>
    </w:p>
    <w:p w14:paraId="62D9F23C">
      <w:pPr>
        <w:pStyle w:val="105"/>
        <w:spacing w:before="120" w:after="120" w:line="360" w:lineRule="auto"/>
      </w:pPr>
      <w:r>
        <w:rPr>
          <w:rFonts w:hint="eastAsia"/>
        </w:rPr>
        <w:t>组织职责</w:t>
      </w:r>
    </w:p>
    <w:p w14:paraId="44B5C5A5">
      <w:pPr>
        <w:pStyle w:val="165"/>
        <w:spacing w:line="360" w:lineRule="auto"/>
      </w:pPr>
      <w:r>
        <w:rPr>
          <w:rFonts w:hint="eastAsia"/>
        </w:rPr>
        <w:t>能力验证提供者应具备实施能力验证的组织管理与技术能力，建立方案受控、样品制备受控、数据处理受控与保密管理受控机制，并保证活动公正性。</w:t>
      </w:r>
    </w:p>
    <w:p w14:paraId="28FD3EA9">
      <w:pPr>
        <w:pStyle w:val="165"/>
        <w:spacing w:line="360" w:lineRule="auto"/>
      </w:pPr>
      <w:r>
        <w:rPr>
          <w:rFonts w:hint="eastAsia"/>
        </w:rPr>
        <w:t>参加方应确保样品接收、保存、检测与结果提交全过程受控，按要求使用适用方法并记录关键过程信息，按时提交完整结果与必要的支撑信息。</w:t>
      </w:r>
    </w:p>
    <w:p w14:paraId="0957E0D2">
      <w:pPr>
        <w:pStyle w:val="165"/>
        <w:spacing w:line="360" w:lineRule="auto"/>
      </w:pPr>
      <w:r>
        <w:rPr>
          <w:rFonts w:hint="eastAsia"/>
        </w:rPr>
        <w:t>参加方质量负责人应对结果复核、异常说明、原因分析与纠正措施组织实施负责，确保能力验证结果转化为质量改进。</w:t>
      </w:r>
    </w:p>
    <w:p w14:paraId="5C8F8B8D">
      <w:pPr>
        <w:pStyle w:val="105"/>
        <w:spacing w:before="120" w:after="120" w:line="360" w:lineRule="auto"/>
      </w:pPr>
      <w:r>
        <w:rPr>
          <w:rFonts w:hint="eastAsia"/>
        </w:rPr>
        <w:t>方案策划要求</w:t>
      </w:r>
    </w:p>
    <w:p w14:paraId="5CDA0B09">
      <w:pPr>
        <w:pStyle w:val="165"/>
        <w:spacing w:line="360" w:lineRule="auto"/>
      </w:pPr>
      <w:r>
        <w:rPr>
          <w:rFonts w:hint="eastAsia"/>
        </w:rPr>
        <w:t>方案策划应明确验证目的、覆盖领域、项目组合、基体类型、方法学特征与评价参数。跨领域能力验证宜优先覆盖实验室实际业务中高频交叉场景与高风险项目。</w:t>
      </w:r>
    </w:p>
    <w:p w14:paraId="22B55B7B">
      <w:pPr>
        <w:pStyle w:val="165"/>
        <w:spacing w:line="360" w:lineRule="auto"/>
      </w:pPr>
      <w:r>
        <w:rPr>
          <w:rFonts w:hint="eastAsia"/>
        </w:rPr>
        <w:t>方案策划应识别关键变异来源。关键变异来源包括样品基体差异、前处理差异、微生物培养条件差异、仪器平台差异、校准曲线与标准物质差异、结果表达与判定口径差异等。</w:t>
      </w:r>
    </w:p>
    <w:p w14:paraId="223A92F1">
      <w:pPr>
        <w:pStyle w:val="165"/>
        <w:spacing w:line="360" w:lineRule="auto"/>
      </w:pPr>
      <w:r>
        <w:rPr>
          <w:rFonts w:hint="eastAsia"/>
        </w:rPr>
        <w:t>方案策划应明确参加方信息收集要求。除检测结果外，宜收集方法标准号、仪器平台、培养条件或分析条件、使用的标准物质信息、关键前处理步骤与数据处理方式，用于后续原因分析。</w:t>
      </w:r>
    </w:p>
    <w:p w14:paraId="4A0605A4">
      <w:pPr>
        <w:pStyle w:val="105"/>
        <w:spacing w:before="120" w:after="120" w:line="360" w:lineRule="auto"/>
      </w:pPr>
      <w:r>
        <w:rPr>
          <w:rFonts w:hint="eastAsia"/>
        </w:rPr>
        <w:t>样品制备与质量控制要求</w:t>
      </w:r>
    </w:p>
    <w:p w14:paraId="51FAD8C8">
      <w:pPr>
        <w:pStyle w:val="165"/>
        <w:spacing w:line="360" w:lineRule="auto"/>
      </w:pPr>
      <w:r>
        <w:rPr>
          <w:rFonts w:hint="eastAsia"/>
        </w:rPr>
        <w:t>样品设计应满足跨领域特征。可采用同一基体包含化学指标与微生物指标的复合样品，或采用多基体对应同一指标的矩阵设计，或采用同一指标跨方法平台的对比设计。</w:t>
      </w:r>
    </w:p>
    <w:p w14:paraId="0F64D7DC">
      <w:pPr>
        <w:pStyle w:val="165"/>
        <w:spacing w:line="360" w:lineRule="auto"/>
      </w:pPr>
      <w:r>
        <w:rPr>
          <w:rFonts w:hint="eastAsia"/>
        </w:rPr>
        <w:t>样品应满足均匀性与稳定性要求。提供者应按相关要求开展均匀性检验与稳定性评估，并在方案中说明样品保存条件、运输条件、有效期与失效判定规则。</w:t>
      </w:r>
    </w:p>
    <w:p w14:paraId="34B50073">
      <w:pPr>
        <w:pStyle w:val="165"/>
        <w:spacing w:line="360" w:lineRule="auto"/>
      </w:pPr>
      <w:r>
        <w:rPr>
          <w:rFonts w:hint="eastAsia"/>
        </w:rPr>
        <w:t>对含微生物成分的样品，应控制活性与安全性。应明确是否为活菌样品、冻干菌粉、模拟样品或核酸样品，明确生物安全要求与废弃物处置要求。</w:t>
      </w:r>
    </w:p>
    <w:p w14:paraId="6FF3D891">
      <w:pPr>
        <w:pStyle w:val="165"/>
        <w:spacing w:line="360" w:lineRule="auto"/>
      </w:pPr>
      <w:r>
        <w:rPr>
          <w:rFonts w:hint="eastAsia"/>
        </w:rPr>
        <w:t>对含化学成分的样品，应控制浓度水平与可溯源性。指定值的确定应有明确依据，必要时采用参考方法或参考实验室联合定值。</w:t>
      </w:r>
    </w:p>
    <w:p w14:paraId="61FEB90D">
      <w:pPr>
        <w:pStyle w:val="165"/>
        <w:numPr>
          <w:ilvl w:val="0"/>
          <w:numId w:val="0"/>
        </w:numPr>
        <w:spacing w:line="360" w:lineRule="auto"/>
        <w:rPr>
          <w:rFonts w:hint="eastAsia"/>
        </w:rPr>
      </w:pPr>
    </w:p>
    <w:p w14:paraId="31F04386">
      <w:pPr>
        <w:pStyle w:val="105"/>
        <w:spacing w:before="120" w:after="120" w:line="360" w:lineRule="auto"/>
      </w:pPr>
      <w:r>
        <w:rPr>
          <w:rFonts w:hint="eastAsia"/>
        </w:rPr>
        <w:t>实施流程要求</w:t>
      </w:r>
    </w:p>
    <w:p w14:paraId="6A9B729C">
      <w:pPr>
        <w:pStyle w:val="165"/>
        <w:spacing w:line="360" w:lineRule="auto"/>
      </w:pPr>
      <w:r>
        <w:rPr>
          <w:rFonts w:hint="eastAsia"/>
        </w:rPr>
        <w:t>实施流程应至少包括发布通知与报名、样品制备与分发、样品接收确认、检测实施与内部复核、结果提交、统计评价与结果判定、报告发布、偏差调查与纠正措施、后评估与持续改进。</w:t>
      </w:r>
    </w:p>
    <w:p w14:paraId="62630A7A">
      <w:pPr>
        <w:pStyle w:val="165"/>
        <w:spacing w:line="360" w:lineRule="auto"/>
      </w:pPr>
      <w:r>
        <w:rPr>
          <w:rFonts w:hint="eastAsia"/>
        </w:rPr>
        <w:t>关键节点应设定时限。应明确样品接收确认时限、检测完成时限、结果提交时限与报告发布时限，并在活动通知中明示。</w:t>
      </w:r>
    </w:p>
    <w:p w14:paraId="6B730975">
      <w:pPr>
        <w:pStyle w:val="165"/>
        <w:spacing w:line="360" w:lineRule="auto"/>
      </w:pPr>
      <w:r>
        <w:rPr>
          <w:rFonts w:hint="eastAsia"/>
        </w:rPr>
        <w:t>过程保密与公正性应受控。提供者应对参加方身份信息与结果数据实施保密管理，避免在报告发布前泄露指定值或评价参数。</w:t>
      </w:r>
    </w:p>
    <w:p w14:paraId="7C754C61">
      <w:pPr>
        <w:pStyle w:val="165"/>
        <w:spacing w:line="360" w:lineRule="auto"/>
      </w:pPr>
      <w:r>
        <w:rPr>
          <w:rFonts w:hint="eastAsia"/>
        </w:rPr>
        <w:t>异常情况处理应明确。包括样品破损、温控失效、污染风险、结果无法出具、方法偏离与超期提交等情形，应在方案中明确处置规则与可接受的替代措施。</w:t>
      </w:r>
    </w:p>
    <w:p w14:paraId="1177FCE8">
      <w:pPr>
        <w:pStyle w:val="105"/>
        <w:spacing w:before="120" w:after="120" w:line="360" w:lineRule="auto"/>
      </w:pPr>
      <w:r>
        <w:rPr>
          <w:rFonts w:hint="eastAsia"/>
        </w:rPr>
        <w:t>数据质量与记录要求</w:t>
      </w:r>
    </w:p>
    <w:p w14:paraId="558FAF74">
      <w:pPr>
        <w:pStyle w:val="165"/>
        <w:spacing w:line="360" w:lineRule="auto"/>
      </w:pPr>
      <w:r>
        <w:rPr>
          <w:rFonts w:hint="eastAsia"/>
        </w:rPr>
        <w:t>参加方应确保数据可追溯。应保留原始记录、计算过程、质量控制记录、仪器原始输出、培养与计数记录、鉴定记录与图谱或色谱数据等。</w:t>
      </w:r>
    </w:p>
    <w:p w14:paraId="441BAE8E">
      <w:pPr>
        <w:pStyle w:val="165"/>
        <w:spacing w:line="360" w:lineRule="auto"/>
      </w:pPr>
      <w:r>
        <w:rPr>
          <w:rFonts w:hint="eastAsia"/>
        </w:rPr>
        <w:t>结果提交应结构化。提交内容应至少包括检测结果、单位、检出限或定量限信息、测量不确定度或重复性信息、方法信息与判定口径信息。</w:t>
      </w:r>
    </w:p>
    <w:p w14:paraId="42DCDF4C">
      <w:pPr>
        <w:pStyle w:val="165"/>
        <w:spacing w:line="360" w:lineRule="auto"/>
      </w:pPr>
      <w:r>
        <w:rPr>
          <w:rFonts w:hint="eastAsia"/>
        </w:rPr>
        <w:t>结果复核应在提交前完成。参加方应实施技术复核与质量复核，避免录入错误、单位错误、换算错误或结果转抄错误。</w:t>
      </w:r>
    </w:p>
    <w:p w14:paraId="7A452D43">
      <w:pPr>
        <w:pStyle w:val="105"/>
        <w:spacing w:before="120" w:after="120" w:line="360" w:lineRule="auto"/>
      </w:pPr>
      <w:r>
        <w:rPr>
          <w:rFonts w:hint="eastAsia"/>
        </w:rPr>
        <w:t>结果处置与持续改进要求</w:t>
      </w:r>
    </w:p>
    <w:p w14:paraId="0027440B">
      <w:pPr>
        <w:pStyle w:val="165"/>
        <w:spacing w:line="360" w:lineRule="auto"/>
      </w:pPr>
      <w:r>
        <w:rPr>
          <w:rFonts w:hint="eastAsia"/>
        </w:rPr>
        <w:t>能力验证结果应纳入管理评审与内部质量改进。对不满意结果应开展原因分析并实施纠正措施，对可疑结果应开展趋势监测与预防措施。</w:t>
      </w:r>
    </w:p>
    <w:p w14:paraId="6ADB3260">
      <w:pPr>
        <w:pStyle w:val="165"/>
        <w:spacing w:line="360" w:lineRule="auto"/>
      </w:pPr>
      <w:r>
        <w:rPr>
          <w:rFonts w:hint="eastAsia"/>
        </w:rPr>
        <w:t>提供者应在报告中提供可操作的改进提示。对共性问题应给出技术提示，例如基体效应控制、培养条件一致性、计量溯源一致性与数据处理口径统一建议。</w:t>
      </w:r>
    </w:p>
    <w:p w14:paraId="4E298868">
      <w:pPr>
        <w:pStyle w:val="165"/>
        <w:spacing w:line="360" w:lineRule="auto"/>
      </w:pPr>
      <w:r>
        <w:rPr>
          <w:rFonts w:hint="eastAsia"/>
        </w:rPr>
        <w:t>参加方应建立闭环机制。应对整改完成情况进行验证，必要时参加后续能力验证或组织内部比对确认改进有效性。</w:t>
      </w:r>
    </w:p>
    <w:p w14:paraId="43BB25B4">
      <w:pPr>
        <w:pStyle w:val="104"/>
        <w:spacing w:before="240" w:after="240" w:line="360" w:lineRule="auto"/>
      </w:pPr>
      <w:bookmarkStart w:id="52" w:name="_Toc219106294"/>
      <w:r>
        <w:rPr>
          <w:rFonts w:hint="eastAsia"/>
        </w:rPr>
        <w:t>跨领域项目组合设计与样品设计</w:t>
      </w:r>
      <w:bookmarkEnd w:id="52"/>
    </w:p>
    <w:p w14:paraId="0A2F673E">
      <w:pPr>
        <w:pStyle w:val="105"/>
        <w:spacing w:before="120" w:after="120" w:line="360" w:lineRule="auto"/>
      </w:pPr>
      <w:r>
        <w:rPr>
          <w:rFonts w:hint="eastAsia"/>
        </w:rPr>
        <w:t>设计原则</w:t>
      </w:r>
    </w:p>
    <w:p w14:paraId="0F9618EE">
      <w:pPr>
        <w:pStyle w:val="165"/>
        <w:spacing w:line="360" w:lineRule="auto"/>
      </w:pPr>
      <w:r>
        <w:rPr>
          <w:rFonts w:hint="eastAsia"/>
        </w:rPr>
        <w:t>跨领域能力验证项目组合设计应以实际业务场景为牵引，优先覆盖食品药品化学品微生物检验中高频交叉项目、高风险项目和监管关注项目，确保评价结果对能力提升具有直接指导意义。</w:t>
      </w:r>
    </w:p>
    <w:p w14:paraId="1FBF573D">
      <w:pPr>
        <w:pStyle w:val="165"/>
        <w:spacing w:line="360" w:lineRule="auto"/>
      </w:pPr>
      <w:r>
        <w:rPr>
          <w:rFonts w:hint="eastAsia"/>
        </w:rPr>
        <w:t>项目组合设计应兼顾可比性与差异性。应在允许不同实验室采用不同等效方法的前提下，保持结果表达口径与统计评价口径可比，同时通过基体差异与方法差异暴露系统性偏差。</w:t>
      </w:r>
    </w:p>
    <w:p w14:paraId="4C71467C">
      <w:pPr>
        <w:pStyle w:val="165"/>
        <w:spacing w:line="360" w:lineRule="auto"/>
      </w:pPr>
      <w:r>
        <w:rPr>
          <w:rFonts w:hint="eastAsia"/>
        </w:rPr>
        <w:t>项目组合设计应以质量要素为主线，重点覆盖样品前处理适配能力、计量溯源与校准能力、微生物培养与鉴定一致性能力、数据处理与结果判定一致性能力，以及报告表达与可追溯能力。</w:t>
      </w:r>
    </w:p>
    <w:p w14:paraId="31BC2880">
      <w:pPr>
        <w:pStyle w:val="165"/>
        <w:spacing w:line="360" w:lineRule="auto"/>
      </w:pPr>
      <w:r>
        <w:rPr>
          <w:rFonts w:hint="eastAsia"/>
        </w:rPr>
        <w:t>项目组合设计应设置难度梯度。宜在同一次活动中同时设置常规水平与挑战水平，挑战水平应具有代表性但不应超出参加方在法规与方法允许范围内的可实现能力。跨领域能力验证项目与样品设计的总体流程见图1。</w:t>
      </w:r>
    </w:p>
    <w:p w14:paraId="519BDC50">
      <w:pPr>
        <w:pStyle w:val="56"/>
        <w:ind w:firstLine="0" w:firstLineChars="0"/>
        <w:jc w:val="center"/>
      </w:pPr>
      <w:r>
        <w:drawing>
          <wp:inline distT="0" distB="0" distL="0" distR="0">
            <wp:extent cx="1543050" cy="4732655"/>
            <wp:effectExtent l="0" t="0" r="0" b="0"/>
            <wp:docPr id="11962365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36543" name="图片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46726" cy="4742420"/>
                    </a:xfrm>
                    <a:prstGeom prst="rect">
                      <a:avLst/>
                    </a:prstGeom>
                    <a:noFill/>
                    <a:ln>
                      <a:noFill/>
                    </a:ln>
                  </pic:spPr>
                </pic:pic>
              </a:graphicData>
            </a:graphic>
          </wp:inline>
        </w:drawing>
      </w:r>
    </w:p>
    <w:p w14:paraId="01ED26B9">
      <w:pPr>
        <w:pStyle w:val="114"/>
        <w:spacing w:before="120" w:after="120"/>
      </w:pPr>
      <w:r>
        <w:rPr>
          <w:rFonts w:hint="eastAsia"/>
        </w:rPr>
        <w:t>跨领域能力验证项目与样品设计流程</w:t>
      </w:r>
    </w:p>
    <w:p w14:paraId="6C5B4F05">
      <w:pPr>
        <w:pStyle w:val="105"/>
        <w:spacing w:before="120" w:after="120" w:line="360" w:lineRule="auto"/>
      </w:pPr>
      <w:r>
        <w:rPr>
          <w:rFonts w:hint="eastAsia"/>
        </w:rPr>
        <w:t>组合模式</w:t>
      </w:r>
    </w:p>
    <w:p w14:paraId="683C4A1C">
      <w:pPr>
        <w:pStyle w:val="65"/>
        <w:spacing w:before="120" w:after="120" w:line="360" w:lineRule="auto"/>
      </w:pPr>
      <w:r>
        <w:rPr>
          <w:rFonts w:hint="eastAsia"/>
        </w:rPr>
        <w:t>复合指标组合</w:t>
      </w:r>
    </w:p>
    <w:p w14:paraId="663FD9C3">
      <w:pPr>
        <w:pStyle w:val="56"/>
        <w:spacing w:line="360" w:lineRule="auto"/>
        <w:ind w:firstLine="420"/>
      </w:pPr>
      <w:r>
        <w:rPr>
          <w:rFonts w:hint="eastAsia"/>
        </w:rPr>
        <w:t>同一基体样品中同时设置化学指标与微生物指标，用于评价同一批样品在不同学科方法体系下的协同质量控制能力，重点关注样品均匀性控制、交叉污染控制、平行检测组织与结果一致性。</w:t>
      </w:r>
    </w:p>
    <w:p w14:paraId="7CE1EC46">
      <w:pPr>
        <w:pStyle w:val="65"/>
        <w:spacing w:before="120" w:after="120" w:line="360" w:lineRule="auto"/>
      </w:pPr>
      <w:r>
        <w:rPr>
          <w:rFonts w:hint="eastAsia"/>
        </w:rPr>
        <w:t>跨基体同指标组合</w:t>
      </w:r>
    </w:p>
    <w:p w14:paraId="0CB395E4">
      <w:pPr>
        <w:pStyle w:val="56"/>
        <w:spacing w:line="360" w:lineRule="auto"/>
        <w:ind w:firstLine="420"/>
      </w:pPr>
      <w:r>
        <w:rPr>
          <w:rFonts w:hint="eastAsia"/>
        </w:rPr>
        <w:t>针对同一指标设置不同基体样品，例如高脂高糖基体、水基基体、复杂配方基体或高盐基体，用于评价基体效应识别、前处理方案选择与方法适配能力。</w:t>
      </w:r>
    </w:p>
    <w:p w14:paraId="49AE5C2D">
      <w:pPr>
        <w:pStyle w:val="56"/>
        <w:spacing w:line="360" w:lineRule="auto"/>
        <w:ind w:firstLine="420"/>
        <w:rPr>
          <w:rFonts w:hint="eastAsia"/>
        </w:rPr>
      </w:pPr>
    </w:p>
    <w:p w14:paraId="2A9E51EB">
      <w:pPr>
        <w:pStyle w:val="65"/>
        <w:spacing w:before="120" w:after="120" w:line="360" w:lineRule="auto"/>
      </w:pPr>
      <w:r>
        <w:rPr>
          <w:rFonts w:hint="eastAsia"/>
        </w:rPr>
        <w:t>跨方法平台同指标组合</w:t>
      </w:r>
    </w:p>
    <w:p w14:paraId="2B5BAAC2">
      <w:pPr>
        <w:pStyle w:val="56"/>
        <w:spacing w:line="360" w:lineRule="auto"/>
        <w:ind w:firstLine="420"/>
      </w:pPr>
      <w:r>
        <w:rPr>
          <w:rFonts w:hint="eastAsia"/>
        </w:rPr>
        <w:t>针对同一指标允许不同分析平台或不同等效标准方法提交结果，用于评价方法迁移、校准策略与测量不确定度控制能力，同时为差异溯源提供依据。</w:t>
      </w:r>
    </w:p>
    <w:p w14:paraId="4CE48236">
      <w:pPr>
        <w:pStyle w:val="65"/>
        <w:spacing w:before="120" w:after="120" w:line="360" w:lineRule="auto"/>
      </w:pPr>
      <w:r>
        <w:rPr>
          <w:rFonts w:hint="eastAsia"/>
        </w:rPr>
        <w:t>多环节链式组合</w:t>
      </w:r>
    </w:p>
    <w:p w14:paraId="3B21C149">
      <w:pPr>
        <w:pStyle w:val="56"/>
        <w:spacing w:line="360" w:lineRule="auto"/>
        <w:ind w:firstLine="420"/>
      </w:pPr>
      <w:r>
        <w:rPr>
          <w:rFonts w:hint="eastAsia"/>
        </w:rPr>
        <w:t>围绕同一风险主题设置链式任务，例如化学污染物定量加微生物指标定性或半定量加结果判定与风险分级表达，用于评价从检测到判读的端到端能力。</w:t>
      </w:r>
    </w:p>
    <w:p w14:paraId="52B88618">
      <w:pPr>
        <w:pStyle w:val="105"/>
        <w:spacing w:before="120" w:after="120" w:line="360" w:lineRule="auto"/>
      </w:pPr>
      <w:r>
        <w:rPr>
          <w:rFonts w:hint="eastAsia"/>
        </w:rPr>
        <w:t>样品基体与水平设置</w:t>
      </w:r>
    </w:p>
    <w:p w14:paraId="08C5A067">
      <w:pPr>
        <w:pStyle w:val="165"/>
        <w:spacing w:line="360" w:lineRule="auto"/>
      </w:pPr>
      <w:r>
        <w:rPr>
          <w:rFonts w:hint="eastAsia"/>
        </w:rPr>
        <w:t>样品基体应具备代表性并可稳定制备。基体选择应避免不可控变异过大导致统计评价失真，同时应能体现跨领域检测中常见干扰因素。</w:t>
      </w:r>
    </w:p>
    <w:p w14:paraId="49A1B52D">
      <w:pPr>
        <w:pStyle w:val="165"/>
        <w:spacing w:line="360" w:lineRule="auto"/>
      </w:pPr>
      <w:r>
        <w:rPr>
          <w:rFonts w:hint="eastAsia"/>
        </w:rPr>
        <w:t>浓度水平设置应覆盖法规限值附近水平与常规水平。对定量项目宜至少设置一个接近限值或关键控制点的水平，以检验方法灵敏度与判定一致性。</w:t>
      </w:r>
    </w:p>
    <w:p w14:paraId="18688BF5">
      <w:pPr>
        <w:pStyle w:val="165"/>
        <w:spacing w:line="360" w:lineRule="auto"/>
      </w:pPr>
      <w:r>
        <w:rPr>
          <w:rFonts w:hint="eastAsia"/>
        </w:rPr>
        <w:t>微生物项目应明确目标状态。应明确采用活菌样品、灭活样品、冻干菌粉、模拟基体或核酸样品，并明确计数或鉴定目标、预期数量级及生物安全要求。</w:t>
      </w:r>
    </w:p>
    <w:p w14:paraId="5EE1EC99">
      <w:pPr>
        <w:pStyle w:val="165"/>
        <w:spacing w:line="360" w:lineRule="auto"/>
      </w:pPr>
      <w:r>
        <w:rPr>
          <w:rFonts w:hint="eastAsia"/>
        </w:rPr>
        <w:t>化学项目应明确赋值基础。应明确是否采用标准溶液加标、标准物质赋值、参考方法定值或参考实验室联合定值，并明确溯源链条与不确定度来源。</w:t>
      </w:r>
    </w:p>
    <w:p w14:paraId="25501764">
      <w:pPr>
        <w:pStyle w:val="105"/>
        <w:spacing w:before="120" w:after="120" w:line="360" w:lineRule="auto"/>
      </w:pPr>
      <w:r>
        <w:rPr>
          <w:rFonts w:hint="eastAsia"/>
        </w:rPr>
        <w:t>指定值与评价参数策划</w:t>
      </w:r>
    </w:p>
    <w:p w14:paraId="29476D86">
      <w:pPr>
        <w:pStyle w:val="165"/>
        <w:spacing w:line="360" w:lineRule="auto"/>
      </w:pPr>
      <w:r>
        <w:rPr>
          <w:rFonts w:hint="eastAsia"/>
        </w:rPr>
        <w:t>指定值确定方式应在方案中明确，并与项目性质匹配。对可溯源项目宜优先采用参考方法或参考实验室联合定值，对参加方数量较多且数据分布合理的项目可采用稳健统计确定指定值。</w:t>
      </w:r>
    </w:p>
    <w:p w14:paraId="4CBFFB9D">
      <w:pPr>
        <w:pStyle w:val="165"/>
        <w:spacing w:line="360" w:lineRule="auto"/>
      </w:pPr>
      <w:r>
        <w:rPr>
          <w:rFonts w:hint="eastAsia"/>
        </w:rPr>
        <w:t>评价标准偏差应具备合理依据。宜优先采用法规标准规定值或基于既往能力验证数据的经验值，缺乏依据时可采用专家论证并在报告中说明。</w:t>
      </w:r>
    </w:p>
    <w:p w14:paraId="23DDFCF6">
      <w:pPr>
        <w:pStyle w:val="165"/>
        <w:spacing w:line="360" w:lineRule="auto"/>
      </w:pPr>
      <w:r>
        <w:rPr>
          <w:rFonts w:hint="eastAsia"/>
        </w:rPr>
        <w:t>评价统计量选择应与数据类型匹配。定量项目宜采用 z 类统计量或等效统计量，定性项目宜采用一致性评价或正确率评价，半定量项目宜采用等级一致性评价，并明确判定边界。</w:t>
      </w:r>
    </w:p>
    <w:p w14:paraId="68BFD24F">
      <w:pPr>
        <w:pStyle w:val="105"/>
        <w:spacing w:before="120" w:after="120" w:line="360" w:lineRule="auto"/>
      </w:pPr>
      <w:r>
        <w:rPr>
          <w:rFonts w:hint="eastAsia"/>
        </w:rPr>
        <w:t>均匀性稳定性与运输控制</w:t>
      </w:r>
    </w:p>
    <w:p w14:paraId="2C9C5B3B">
      <w:pPr>
        <w:pStyle w:val="165"/>
        <w:spacing w:line="360" w:lineRule="auto"/>
      </w:pPr>
      <w:r>
        <w:rPr>
          <w:rFonts w:hint="eastAsia"/>
        </w:rPr>
        <w:t>提供者应对样品开展均匀性检验与稳定性评估，并在方案中明确保存温度、避光要求、运输条件、有效期与异常处置规则。</w:t>
      </w:r>
    </w:p>
    <w:p w14:paraId="033725DE">
      <w:pPr>
        <w:pStyle w:val="165"/>
        <w:spacing w:line="360" w:lineRule="auto"/>
      </w:pPr>
      <w:r>
        <w:rPr>
          <w:rFonts w:hint="eastAsia"/>
        </w:rPr>
        <w:t>含微生物成分样品应明确温控策略与防交叉污染策略。应明确冷链或常温条件、包装防漏措施与外包装污染风险控制要求。</w:t>
      </w:r>
    </w:p>
    <w:p w14:paraId="24968949">
      <w:pPr>
        <w:pStyle w:val="165"/>
        <w:spacing w:line="360" w:lineRule="auto"/>
      </w:pPr>
      <w:r>
        <w:rPr>
          <w:rFonts w:hint="eastAsia"/>
        </w:rPr>
        <w:t>参加方应按规定进行样品接收确认并记录温度条件。发生温控失效、破损泄漏或污染风险时应按方案要求及时报告并按规则处置。</w:t>
      </w:r>
    </w:p>
    <w:p w14:paraId="6E2E9368">
      <w:pPr>
        <w:pStyle w:val="165"/>
        <w:numPr>
          <w:ilvl w:val="0"/>
          <w:numId w:val="0"/>
        </w:numPr>
        <w:spacing w:line="360" w:lineRule="auto"/>
        <w:rPr>
          <w:rFonts w:hint="eastAsia"/>
        </w:rPr>
      </w:pPr>
    </w:p>
    <w:p w14:paraId="0B90B672">
      <w:pPr>
        <w:pStyle w:val="105"/>
        <w:spacing w:before="120" w:after="120" w:line="360" w:lineRule="auto"/>
      </w:pPr>
      <w:r>
        <w:rPr>
          <w:rFonts w:hint="eastAsia"/>
        </w:rPr>
        <w:t>方法信息收集与结果提交字段</w:t>
      </w:r>
    </w:p>
    <w:p w14:paraId="18932923">
      <w:pPr>
        <w:pStyle w:val="165"/>
        <w:spacing w:line="360" w:lineRule="auto"/>
      </w:pPr>
      <w:r>
        <w:rPr>
          <w:rFonts w:hint="eastAsia"/>
        </w:rPr>
        <w:t>为支撑跨领域差异溯源与改进建议形成，方案应要求参加方同步提交关键过程信息，包括方法标准号与版本、关键前处理步骤、仪器平台与关键参数、培养条件或鉴定策略、校准与溯源信息、质量控制结果摘要与结果表达口径。</w:t>
      </w:r>
    </w:p>
    <w:p w14:paraId="2A62EE40">
      <w:pPr>
        <w:pStyle w:val="165"/>
        <w:spacing w:line="360" w:lineRule="auto"/>
      </w:pPr>
      <w:r>
        <w:rPr>
          <w:rFonts w:hint="eastAsia"/>
        </w:rPr>
        <w:t>结果提交字段应结构化并统一单位与有效位数规则。涉及换算关系的，应要求提交原始测定值与换算后报告值，并明确换算依据。跨领域项目组合设计的主要要素与控制点见表1。</w:t>
      </w:r>
    </w:p>
    <w:p w14:paraId="00465BB0">
      <w:pPr>
        <w:pStyle w:val="112"/>
        <w:spacing w:before="120" w:after="120" w:line="360" w:lineRule="auto"/>
      </w:pPr>
      <w:r>
        <w:rPr>
          <w:rFonts w:hint="eastAsia"/>
        </w:rPr>
        <w:t>跨领域项目组合设计要素与控制点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042"/>
        <w:gridCol w:w="1644"/>
        <w:gridCol w:w="2090"/>
        <w:gridCol w:w="1867"/>
      </w:tblGrid>
      <w:tr w14:paraId="09A78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17489A90">
            <w:pPr>
              <w:pStyle w:val="178"/>
            </w:pPr>
            <w:r>
              <w:rPr>
                <w:rFonts w:hint="eastAsia"/>
              </w:rPr>
              <w:t>设计要素</w:t>
            </w:r>
          </w:p>
        </w:tc>
        <w:tc>
          <w:tcPr>
            <w:tcW w:w="2042" w:type="dxa"/>
            <w:tcBorders>
              <w:top w:val="single" w:color="auto" w:sz="8" w:space="0"/>
              <w:bottom w:val="single" w:color="auto" w:sz="8" w:space="0"/>
            </w:tcBorders>
            <w:vAlign w:val="center"/>
          </w:tcPr>
          <w:p w14:paraId="575E45B3">
            <w:pPr>
              <w:pStyle w:val="178"/>
            </w:pPr>
            <w:r>
              <w:rPr>
                <w:rFonts w:hint="eastAsia"/>
              </w:rPr>
              <w:t>主要关注点</w:t>
            </w:r>
          </w:p>
        </w:tc>
        <w:tc>
          <w:tcPr>
            <w:tcW w:w="1644" w:type="dxa"/>
            <w:tcBorders>
              <w:top w:val="single" w:color="auto" w:sz="8" w:space="0"/>
              <w:bottom w:val="single" w:color="auto" w:sz="8" w:space="0"/>
            </w:tcBorders>
            <w:vAlign w:val="center"/>
          </w:tcPr>
          <w:p w14:paraId="56A4D77E">
            <w:pPr>
              <w:pStyle w:val="178"/>
            </w:pPr>
            <w:r>
              <w:rPr>
                <w:rFonts w:hint="eastAsia"/>
              </w:rPr>
              <w:t>关键控制点</w:t>
            </w:r>
          </w:p>
        </w:tc>
        <w:tc>
          <w:tcPr>
            <w:tcW w:w="2090" w:type="dxa"/>
            <w:tcBorders>
              <w:top w:val="single" w:color="auto" w:sz="8" w:space="0"/>
              <w:bottom w:val="single" w:color="auto" w:sz="8" w:space="0"/>
            </w:tcBorders>
            <w:vAlign w:val="center"/>
          </w:tcPr>
          <w:p w14:paraId="0CEBD318">
            <w:pPr>
              <w:pStyle w:val="178"/>
            </w:pPr>
            <w:r>
              <w:rPr>
                <w:rFonts w:hint="eastAsia"/>
              </w:rPr>
              <w:t>典型风险</w:t>
            </w:r>
          </w:p>
        </w:tc>
        <w:tc>
          <w:tcPr>
            <w:tcW w:w="1867" w:type="dxa"/>
            <w:tcBorders>
              <w:top w:val="single" w:color="auto" w:sz="8" w:space="0"/>
              <w:bottom w:val="single" w:color="auto" w:sz="8" w:space="0"/>
            </w:tcBorders>
            <w:vAlign w:val="center"/>
          </w:tcPr>
          <w:p w14:paraId="4E0DFCC9">
            <w:pPr>
              <w:pStyle w:val="178"/>
            </w:pPr>
            <w:r>
              <w:rPr>
                <w:rFonts w:hint="eastAsia"/>
              </w:rPr>
              <w:t>建议控制措施</w:t>
            </w:r>
          </w:p>
        </w:tc>
      </w:tr>
      <w:tr w14:paraId="31FDC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7AD75B22">
            <w:pPr>
              <w:pStyle w:val="178"/>
            </w:pPr>
            <w:r>
              <w:rPr>
                <w:rFonts w:hint="eastAsia"/>
              </w:rPr>
              <w:t>覆盖领域与项目目标</w:t>
            </w:r>
          </w:p>
        </w:tc>
        <w:tc>
          <w:tcPr>
            <w:tcW w:w="2042" w:type="dxa"/>
            <w:tcBorders>
              <w:top w:val="single" w:color="auto" w:sz="8" w:space="0"/>
            </w:tcBorders>
            <w:vAlign w:val="center"/>
          </w:tcPr>
          <w:p w14:paraId="32D02588">
            <w:pPr>
              <w:pStyle w:val="178"/>
            </w:pPr>
            <w:r>
              <w:rPr>
                <w:rFonts w:hint="eastAsia"/>
              </w:rPr>
              <w:t>食品药品化学品微生物交叉场景代表性</w:t>
            </w:r>
          </w:p>
        </w:tc>
        <w:tc>
          <w:tcPr>
            <w:tcW w:w="1644" w:type="dxa"/>
            <w:tcBorders>
              <w:top w:val="single" w:color="auto" w:sz="8" w:space="0"/>
            </w:tcBorders>
            <w:vAlign w:val="center"/>
          </w:tcPr>
          <w:p w14:paraId="763CA7BF">
            <w:pPr>
              <w:pStyle w:val="178"/>
            </w:pPr>
            <w:r>
              <w:rPr>
                <w:rFonts w:hint="eastAsia"/>
              </w:rPr>
              <w:t>目标明确并可评价</w:t>
            </w:r>
          </w:p>
        </w:tc>
        <w:tc>
          <w:tcPr>
            <w:tcW w:w="2090" w:type="dxa"/>
            <w:tcBorders>
              <w:top w:val="single" w:color="auto" w:sz="8" w:space="0"/>
            </w:tcBorders>
            <w:vAlign w:val="center"/>
          </w:tcPr>
          <w:p w14:paraId="0FFC4652">
            <w:pPr>
              <w:pStyle w:val="178"/>
            </w:pPr>
            <w:r>
              <w:rPr>
                <w:rFonts w:hint="eastAsia"/>
              </w:rPr>
              <w:t>目标泛化导致评价结论不可用</w:t>
            </w:r>
          </w:p>
        </w:tc>
        <w:tc>
          <w:tcPr>
            <w:tcW w:w="1867" w:type="dxa"/>
            <w:tcBorders>
              <w:top w:val="single" w:color="auto" w:sz="8" w:space="0"/>
            </w:tcBorders>
            <w:vAlign w:val="center"/>
          </w:tcPr>
          <w:p w14:paraId="5C227C0C">
            <w:pPr>
              <w:pStyle w:val="178"/>
            </w:pPr>
            <w:r>
              <w:rPr>
                <w:rFonts w:hint="eastAsia"/>
              </w:rPr>
              <w:t>用风险主题牵引并设定可量化输出</w:t>
            </w:r>
          </w:p>
        </w:tc>
      </w:tr>
      <w:tr w14:paraId="3F06B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F64A0C5">
            <w:pPr>
              <w:pStyle w:val="178"/>
            </w:pPr>
            <w:r>
              <w:rPr>
                <w:rFonts w:hint="eastAsia"/>
              </w:rPr>
              <w:t>组合模式选择</w:t>
            </w:r>
          </w:p>
        </w:tc>
        <w:tc>
          <w:tcPr>
            <w:tcW w:w="2042" w:type="dxa"/>
            <w:vAlign w:val="center"/>
          </w:tcPr>
          <w:p w14:paraId="0278A15A">
            <w:pPr>
              <w:pStyle w:val="178"/>
            </w:pPr>
            <w:r>
              <w:rPr>
                <w:rFonts w:hint="eastAsia"/>
              </w:rPr>
              <w:t>复合指标 跨基体同指标 跨平台同指标</w:t>
            </w:r>
          </w:p>
        </w:tc>
        <w:tc>
          <w:tcPr>
            <w:tcW w:w="1644" w:type="dxa"/>
            <w:vAlign w:val="center"/>
          </w:tcPr>
          <w:p w14:paraId="68D2AFDE">
            <w:pPr>
              <w:pStyle w:val="178"/>
            </w:pPr>
            <w:r>
              <w:rPr>
                <w:rFonts w:hint="eastAsia"/>
              </w:rPr>
              <w:t>可比性与差异性平衡</w:t>
            </w:r>
          </w:p>
        </w:tc>
        <w:tc>
          <w:tcPr>
            <w:tcW w:w="2090" w:type="dxa"/>
            <w:vAlign w:val="center"/>
          </w:tcPr>
          <w:p w14:paraId="75B1BE00">
            <w:pPr>
              <w:pStyle w:val="178"/>
            </w:pPr>
            <w:r>
              <w:rPr>
                <w:rFonts w:hint="eastAsia"/>
              </w:rPr>
              <w:t>组合过复杂导致参与负担过高</w:t>
            </w:r>
          </w:p>
        </w:tc>
        <w:tc>
          <w:tcPr>
            <w:tcW w:w="1867" w:type="dxa"/>
            <w:vAlign w:val="center"/>
          </w:tcPr>
          <w:p w14:paraId="3ED2FB7D">
            <w:pPr>
              <w:pStyle w:val="178"/>
            </w:pPr>
            <w:r>
              <w:rPr>
                <w:rFonts w:hint="eastAsia"/>
              </w:rPr>
              <w:t>以共性质量要素为主线控制复杂度</w:t>
            </w:r>
          </w:p>
        </w:tc>
      </w:tr>
      <w:tr w14:paraId="3FA21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008FA957">
            <w:pPr>
              <w:pStyle w:val="178"/>
            </w:pPr>
            <w:r>
              <w:rPr>
                <w:rFonts w:hint="eastAsia"/>
              </w:rPr>
              <w:t>基体与前处理特征</w:t>
            </w:r>
          </w:p>
        </w:tc>
        <w:tc>
          <w:tcPr>
            <w:tcW w:w="2042" w:type="dxa"/>
            <w:vAlign w:val="center"/>
          </w:tcPr>
          <w:p w14:paraId="22602D9F">
            <w:pPr>
              <w:pStyle w:val="178"/>
            </w:pPr>
            <w:r>
              <w:rPr>
                <w:rFonts w:hint="eastAsia"/>
              </w:rPr>
              <w:t>基体效应 干扰物 高脂高盐等</w:t>
            </w:r>
          </w:p>
        </w:tc>
        <w:tc>
          <w:tcPr>
            <w:tcW w:w="1644" w:type="dxa"/>
            <w:vAlign w:val="center"/>
          </w:tcPr>
          <w:p w14:paraId="5EC2FD62">
            <w:pPr>
              <w:pStyle w:val="178"/>
            </w:pPr>
            <w:r>
              <w:rPr>
                <w:rFonts w:hint="eastAsia"/>
              </w:rPr>
              <w:t>基体稳定可制备</w:t>
            </w:r>
          </w:p>
        </w:tc>
        <w:tc>
          <w:tcPr>
            <w:tcW w:w="2090" w:type="dxa"/>
            <w:vAlign w:val="center"/>
          </w:tcPr>
          <w:p w14:paraId="797F8F06">
            <w:pPr>
              <w:pStyle w:val="178"/>
            </w:pPr>
            <w:r>
              <w:rPr>
                <w:rFonts w:hint="eastAsia"/>
              </w:rPr>
              <w:t>基体不可控变异导致统计失真</w:t>
            </w:r>
          </w:p>
        </w:tc>
        <w:tc>
          <w:tcPr>
            <w:tcW w:w="1867" w:type="dxa"/>
            <w:vAlign w:val="center"/>
          </w:tcPr>
          <w:p w14:paraId="2D9EC96C">
            <w:pPr>
              <w:pStyle w:val="178"/>
            </w:pPr>
            <w:r>
              <w:rPr>
                <w:rFonts w:hint="eastAsia"/>
              </w:rPr>
              <w:t>预试验验证基体可控性并设定限制条件</w:t>
            </w:r>
          </w:p>
        </w:tc>
      </w:tr>
      <w:tr w14:paraId="022BE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479839D9">
            <w:pPr>
              <w:pStyle w:val="178"/>
            </w:pPr>
            <w:r>
              <w:rPr>
                <w:rFonts w:hint="eastAsia"/>
              </w:rPr>
              <w:t>水平与难度梯度</w:t>
            </w:r>
          </w:p>
        </w:tc>
        <w:tc>
          <w:tcPr>
            <w:tcW w:w="2042" w:type="dxa"/>
            <w:vAlign w:val="center"/>
          </w:tcPr>
          <w:p w14:paraId="35F0231B">
            <w:pPr>
              <w:pStyle w:val="178"/>
            </w:pPr>
            <w:r>
              <w:rPr>
                <w:rFonts w:hint="eastAsia"/>
              </w:rPr>
              <w:t>限值附近水平 挑战水平</w:t>
            </w:r>
          </w:p>
        </w:tc>
        <w:tc>
          <w:tcPr>
            <w:tcW w:w="1644" w:type="dxa"/>
            <w:vAlign w:val="center"/>
          </w:tcPr>
          <w:p w14:paraId="587FA484">
            <w:pPr>
              <w:pStyle w:val="178"/>
            </w:pPr>
            <w:r>
              <w:rPr>
                <w:rFonts w:hint="eastAsia"/>
              </w:rPr>
              <w:t>水平设置可实现</w:t>
            </w:r>
          </w:p>
        </w:tc>
        <w:tc>
          <w:tcPr>
            <w:tcW w:w="2090" w:type="dxa"/>
            <w:vAlign w:val="center"/>
          </w:tcPr>
          <w:p w14:paraId="33D73066">
            <w:pPr>
              <w:pStyle w:val="178"/>
            </w:pPr>
            <w:r>
              <w:rPr>
                <w:rFonts w:hint="eastAsia"/>
              </w:rPr>
              <w:t>难度过高导致大量无结果</w:t>
            </w:r>
          </w:p>
        </w:tc>
        <w:tc>
          <w:tcPr>
            <w:tcW w:w="1867" w:type="dxa"/>
            <w:vAlign w:val="center"/>
          </w:tcPr>
          <w:p w14:paraId="616887BA">
            <w:pPr>
              <w:pStyle w:val="178"/>
            </w:pPr>
            <w:r>
              <w:rPr>
                <w:rFonts w:hint="eastAsia"/>
              </w:rPr>
              <w:t>设定常规水平与挑战水平并明确适用方法</w:t>
            </w:r>
          </w:p>
        </w:tc>
      </w:tr>
      <w:tr w14:paraId="00BD6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84251F7">
            <w:pPr>
              <w:pStyle w:val="178"/>
            </w:pPr>
            <w:r>
              <w:rPr>
                <w:rFonts w:hint="eastAsia"/>
              </w:rPr>
              <w:t>指定值策略</w:t>
            </w:r>
          </w:p>
        </w:tc>
        <w:tc>
          <w:tcPr>
            <w:tcW w:w="2042" w:type="dxa"/>
            <w:vAlign w:val="center"/>
          </w:tcPr>
          <w:p w14:paraId="534F53DD">
            <w:pPr>
              <w:pStyle w:val="178"/>
            </w:pPr>
            <w:r>
              <w:rPr>
                <w:rFonts w:hint="eastAsia"/>
              </w:rPr>
              <w:t>参考方法 参考实验室 稳健统计</w:t>
            </w:r>
          </w:p>
        </w:tc>
        <w:tc>
          <w:tcPr>
            <w:tcW w:w="1644" w:type="dxa"/>
            <w:vAlign w:val="center"/>
          </w:tcPr>
          <w:p w14:paraId="25511BAE">
            <w:pPr>
              <w:pStyle w:val="178"/>
            </w:pPr>
            <w:r>
              <w:rPr>
                <w:rFonts w:hint="eastAsia"/>
              </w:rPr>
              <w:t>溯源与不确定度说明</w:t>
            </w:r>
          </w:p>
        </w:tc>
        <w:tc>
          <w:tcPr>
            <w:tcW w:w="2090" w:type="dxa"/>
            <w:vAlign w:val="center"/>
          </w:tcPr>
          <w:p w14:paraId="339FA63F">
            <w:pPr>
              <w:pStyle w:val="178"/>
            </w:pPr>
            <w:r>
              <w:rPr>
                <w:rFonts w:hint="eastAsia"/>
              </w:rPr>
              <w:t>指定值缺乏依据引发争议</w:t>
            </w:r>
          </w:p>
        </w:tc>
        <w:tc>
          <w:tcPr>
            <w:tcW w:w="1867" w:type="dxa"/>
            <w:vAlign w:val="center"/>
          </w:tcPr>
          <w:p w14:paraId="0EB99608">
            <w:pPr>
              <w:pStyle w:val="178"/>
            </w:pPr>
            <w:r>
              <w:rPr>
                <w:rFonts w:hint="eastAsia"/>
              </w:rPr>
              <w:t>方案中固定策略并在报告中披露依据</w:t>
            </w:r>
          </w:p>
        </w:tc>
      </w:tr>
      <w:tr w14:paraId="69FF0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E2DE4D8">
            <w:pPr>
              <w:pStyle w:val="178"/>
            </w:pPr>
            <w:r>
              <w:rPr>
                <w:rFonts w:hint="eastAsia"/>
              </w:rPr>
              <w:t>评价参数与统计量</w:t>
            </w:r>
          </w:p>
        </w:tc>
        <w:tc>
          <w:tcPr>
            <w:tcW w:w="2042" w:type="dxa"/>
            <w:vAlign w:val="center"/>
          </w:tcPr>
          <w:p w14:paraId="41B13FEF">
            <w:pPr>
              <w:pStyle w:val="178"/>
            </w:pPr>
            <w:r>
              <w:rPr>
                <w:rFonts w:hint="eastAsia"/>
              </w:rPr>
              <w:t>定量 定性 半定量差异</w:t>
            </w:r>
          </w:p>
        </w:tc>
        <w:tc>
          <w:tcPr>
            <w:tcW w:w="1644" w:type="dxa"/>
            <w:vAlign w:val="center"/>
          </w:tcPr>
          <w:p w14:paraId="47EE96CE">
            <w:pPr>
              <w:pStyle w:val="178"/>
            </w:pPr>
            <w:r>
              <w:rPr>
                <w:rFonts w:hint="eastAsia"/>
              </w:rPr>
              <w:t>统计方法匹配数据类型</w:t>
            </w:r>
          </w:p>
        </w:tc>
        <w:tc>
          <w:tcPr>
            <w:tcW w:w="2090" w:type="dxa"/>
            <w:vAlign w:val="center"/>
          </w:tcPr>
          <w:p w14:paraId="271C34A7">
            <w:pPr>
              <w:pStyle w:val="178"/>
            </w:pPr>
            <w:r>
              <w:rPr>
                <w:rFonts w:hint="eastAsia"/>
              </w:rPr>
              <w:t>评价方法不适配导致误判</w:t>
            </w:r>
          </w:p>
        </w:tc>
        <w:tc>
          <w:tcPr>
            <w:tcW w:w="1867" w:type="dxa"/>
            <w:vAlign w:val="center"/>
          </w:tcPr>
          <w:p w14:paraId="001CC004">
            <w:pPr>
              <w:pStyle w:val="178"/>
            </w:pPr>
            <w:r>
              <w:rPr>
                <w:rFonts w:hint="eastAsia"/>
              </w:rPr>
              <w:t>依据 ISO 13528 等确定并预先声明</w:t>
            </w:r>
          </w:p>
        </w:tc>
      </w:tr>
      <w:tr w14:paraId="30E56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7FBFF81">
            <w:pPr>
              <w:pStyle w:val="178"/>
            </w:pPr>
            <w:r>
              <w:rPr>
                <w:rFonts w:hint="eastAsia"/>
              </w:rPr>
              <w:t>样品均匀性稳定性</w:t>
            </w:r>
          </w:p>
        </w:tc>
        <w:tc>
          <w:tcPr>
            <w:tcW w:w="2042" w:type="dxa"/>
            <w:vAlign w:val="center"/>
          </w:tcPr>
          <w:p w14:paraId="1985E45D">
            <w:pPr>
              <w:pStyle w:val="178"/>
            </w:pPr>
            <w:r>
              <w:rPr>
                <w:rFonts w:hint="eastAsia"/>
              </w:rPr>
              <w:t>微生物活性 化学稳定性</w:t>
            </w:r>
          </w:p>
        </w:tc>
        <w:tc>
          <w:tcPr>
            <w:tcW w:w="1644" w:type="dxa"/>
            <w:vAlign w:val="center"/>
          </w:tcPr>
          <w:p w14:paraId="409677DC">
            <w:pPr>
              <w:pStyle w:val="178"/>
            </w:pPr>
            <w:r>
              <w:rPr>
                <w:rFonts w:hint="eastAsia"/>
              </w:rPr>
              <w:t>均匀性稳定性验证</w:t>
            </w:r>
          </w:p>
        </w:tc>
        <w:tc>
          <w:tcPr>
            <w:tcW w:w="2090" w:type="dxa"/>
            <w:vAlign w:val="center"/>
          </w:tcPr>
          <w:p w14:paraId="678115FA">
            <w:pPr>
              <w:pStyle w:val="178"/>
            </w:pPr>
            <w:r>
              <w:rPr>
                <w:rFonts w:hint="eastAsia"/>
              </w:rPr>
              <w:t>运输温控失效导致偏差</w:t>
            </w:r>
          </w:p>
        </w:tc>
        <w:tc>
          <w:tcPr>
            <w:tcW w:w="1867" w:type="dxa"/>
            <w:vAlign w:val="center"/>
          </w:tcPr>
          <w:p w14:paraId="5E34F69A">
            <w:pPr>
              <w:pStyle w:val="178"/>
            </w:pPr>
            <w:r>
              <w:rPr>
                <w:rFonts w:hint="eastAsia"/>
              </w:rPr>
              <w:t>设定温控与异常处置规则并要求接收确认</w:t>
            </w:r>
          </w:p>
        </w:tc>
      </w:tr>
      <w:tr w14:paraId="1F47A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C0E5C59">
            <w:pPr>
              <w:pStyle w:val="178"/>
            </w:pPr>
            <w:r>
              <w:rPr>
                <w:rFonts w:hint="eastAsia"/>
              </w:rPr>
              <w:t>信息收集与提交口径</w:t>
            </w:r>
          </w:p>
        </w:tc>
        <w:tc>
          <w:tcPr>
            <w:tcW w:w="2042" w:type="dxa"/>
            <w:vAlign w:val="center"/>
          </w:tcPr>
          <w:p w14:paraId="7DF9A948">
            <w:pPr>
              <w:pStyle w:val="178"/>
            </w:pPr>
            <w:r>
              <w:rPr>
                <w:rFonts w:hint="eastAsia"/>
              </w:rPr>
              <w:t>方法版本 仪器平台 培养条件</w:t>
            </w:r>
          </w:p>
        </w:tc>
        <w:tc>
          <w:tcPr>
            <w:tcW w:w="1644" w:type="dxa"/>
            <w:vAlign w:val="center"/>
          </w:tcPr>
          <w:p w14:paraId="6DE01F2C">
            <w:pPr>
              <w:pStyle w:val="178"/>
            </w:pPr>
            <w:r>
              <w:rPr>
                <w:rFonts w:hint="eastAsia"/>
              </w:rPr>
              <w:t>字段结构化统一</w:t>
            </w:r>
          </w:p>
        </w:tc>
        <w:tc>
          <w:tcPr>
            <w:tcW w:w="2090" w:type="dxa"/>
            <w:vAlign w:val="center"/>
          </w:tcPr>
          <w:p w14:paraId="4A18CA1A">
            <w:pPr>
              <w:pStyle w:val="178"/>
            </w:pPr>
            <w:r>
              <w:rPr>
                <w:rFonts w:hint="eastAsia"/>
              </w:rPr>
              <w:t>单位换算与口径差异</w:t>
            </w:r>
          </w:p>
        </w:tc>
        <w:tc>
          <w:tcPr>
            <w:tcW w:w="1867" w:type="dxa"/>
            <w:vAlign w:val="center"/>
          </w:tcPr>
          <w:p w14:paraId="340E2FAC">
            <w:pPr>
              <w:pStyle w:val="178"/>
            </w:pPr>
            <w:r>
              <w:rPr>
                <w:rFonts w:hint="eastAsia"/>
              </w:rPr>
              <w:t>固定字段与单位规则并要求原始值与报告值</w:t>
            </w:r>
          </w:p>
        </w:tc>
      </w:tr>
    </w:tbl>
    <w:p w14:paraId="031AF4EE">
      <w:pPr>
        <w:pStyle w:val="104"/>
        <w:spacing w:before="240" w:after="240" w:line="360" w:lineRule="auto"/>
      </w:pPr>
      <w:bookmarkStart w:id="53" w:name="_Toc219106295"/>
      <w:r>
        <w:rPr>
          <w:rFonts w:hint="eastAsia"/>
        </w:rPr>
        <w:t>统计评价与结果判定</w:t>
      </w:r>
      <w:bookmarkEnd w:id="53"/>
    </w:p>
    <w:p w14:paraId="23E7B25E">
      <w:pPr>
        <w:pStyle w:val="105"/>
        <w:spacing w:before="120" w:after="120" w:line="360" w:lineRule="auto"/>
      </w:pPr>
      <w:r>
        <w:rPr>
          <w:rFonts w:hint="eastAsia"/>
        </w:rPr>
        <w:t>一般要求</w:t>
      </w:r>
    </w:p>
    <w:p w14:paraId="007F93F3">
      <w:pPr>
        <w:pStyle w:val="165"/>
        <w:spacing w:line="360" w:lineRule="auto"/>
      </w:pPr>
      <w:r>
        <w:rPr>
          <w:rFonts w:hint="eastAsia"/>
        </w:rPr>
        <w:t>统计评价与结果判定应与能力验证方案一致，并在活动开始前受控发布。统计方法、指定值确定方式、评价标准偏差来源、异常值处理规则与判定准则不得在结果收集后随意调整。</w:t>
      </w:r>
    </w:p>
    <w:p w14:paraId="05BEC046">
      <w:pPr>
        <w:pStyle w:val="165"/>
        <w:spacing w:line="360" w:lineRule="auto"/>
      </w:pPr>
      <w:r>
        <w:rPr>
          <w:rFonts w:hint="eastAsia"/>
        </w:rPr>
        <w:t>统计评价应兼顾跨领域数据差异。对不同基体、不同方法平台或不同数据类型的项目，应采用匹配的数据处理与评价方法，确保评价结果可比且可解释。</w:t>
      </w:r>
    </w:p>
    <w:p w14:paraId="7C1550DF">
      <w:pPr>
        <w:pStyle w:val="165"/>
        <w:spacing w:line="360" w:lineRule="auto"/>
      </w:pPr>
      <w:r>
        <w:rPr>
          <w:rFonts w:hint="eastAsia"/>
        </w:rPr>
        <w:t>结果判定应以透明可复核为原则。报告中应说明指定值、评价参数、统计量计算方法与判定边界，并提供必要的解释信息，支持参加方开展差异溯源与改进。</w:t>
      </w:r>
    </w:p>
    <w:p w14:paraId="34A05843">
      <w:pPr>
        <w:pStyle w:val="105"/>
        <w:spacing w:before="120" w:after="120" w:line="360" w:lineRule="auto"/>
      </w:pPr>
      <w:r>
        <w:rPr>
          <w:rFonts w:hint="eastAsia"/>
        </w:rPr>
        <w:t>数据预处理与有效性检查</w:t>
      </w:r>
    </w:p>
    <w:p w14:paraId="30E35BDC">
      <w:pPr>
        <w:pStyle w:val="165"/>
        <w:spacing w:line="360" w:lineRule="auto"/>
      </w:pPr>
      <w:r>
        <w:rPr>
          <w:rFonts w:hint="eastAsia"/>
        </w:rPr>
        <w:t>数据有效性检查应至少覆盖字段完整性、单位一致性、有效位数规则一致性、检出限或定量限逻辑一致性以及方法信息完整性。</w:t>
      </w:r>
    </w:p>
    <w:p w14:paraId="6A63C08D">
      <w:pPr>
        <w:pStyle w:val="165"/>
        <w:spacing w:line="360" w:lineRule="auto"/>
      </w:pPr>
      <w:r>
        <w:rPr>
          <w:rFonts w:hint="eastAsia"/>
        </w:rPr>
        <w:t>对明显录入错误或单位错误的数据，应按方案规定退回更正或标记为无效数据。更正过程应留痕并记录更正理由与证据。</w:t>
      </w:r>
    </w:p>
    <w:p w14:paraId="72DA1705">
      <w:pPr>
        <w:pStyle w:val="165"/>
        <w:spacing w:line="360" w:lineRule="auto"/>
      </w:pPr>
      <w:r>
        <w:rPr>
          <w:rFonts w:hint="eastAsia"/>
        </w:rPr>
        <w:t>对超期提交或未按方案要求提供必要支撑信息的数据，应按方案规则处理，可标记为无效或仅作参考统计，并在报告中说明。</w:t>
      </w:r>
    </w:p>
    <w:p w14:paraId="50425D54">
      <w:pPr>
        <w:pStyle w:val="105"/>
        <w:spacing w:before="120" w:after="120" w:line="360" w:lineRule="auto"/>
      </w:pPr>
      <w:r>
        <w:rPr>
          <w:rFonts w:hint="eastAsia"/>
        </w:rPr>
        <w:t>指定值确定</w:t>
      </w:r>
    </w:p>
    <w:p w14:paraId="521965F9">
      <w:pPr>
        <w:pStyle w:val="165"/>
        <w:spacing w:line="360" w:lineRule="auto"/>
      </w:pPr>
      <w:r>
        <w:rPr>
          <w:rFonts w:hint="eastAsia"/>
        </w:rPr>
        <w:t>指定值确定应优先保证溯源性与公正性。可采用以下方式之一或组合方式确定指定值，并在方案中预先明确：</w:t>
      </w:r>
    </w:p>
    <w:p w14:paraId="3369D886">
      <w:pPr>
        <w:pStyle w:val="56"/>
        <w:spacing w:line="360" w:lineRule="auto"/>
        <w:ind w:firstLine="420"/>
      </w:pPr>
      <w:r>
        <w:rPr>
          <w:rFonts w:hint="eastAsia"/>
        </w:rPr>
        <w:t>a) 参考方法或参考实验室定值；</w:t>
      </w:r>
    </w:p>
    <w:p w14:paraId="7EA46910">
      <w:pPr>
        <w:pStyle w:val="56"/>
        <w:spacing w:line="360" w:lineRule="auto"/>
        <w:ind w:firstLine="420"/>
      </w:pPr>
      <w:r>
        <w:rPr>
          <w:rFonts w:hint="eastAsia"/>
        </w:rPr>
        <w:t>b) 多参考实验室联合定值；</w:t>
      </w:r>
    </w:p>
    <w:p w14:paraId="045F8998">
      <w:pPr>
        <w:pStyle w:val="56"/>
        <w:spacing w:line="360" w:lineRule="auto"/>
        <w:ind w:firstLine="420"/>
      </w:pPr>
      <w:r>
        <w:rPr>
          <w:rFonts w:hint="eastAsia"/>
        </w:rPr>
        <w:t>c) 制备值加溯源证明与不确定度评估；</w:t>
      </w:r>
    </w:p>
    <w:p w14:paraId="1F68CD7C">
      <w:pPr>
        <w:pStyle w:val="56"/>
        <w:spacing w:line="360" w:lineRule="auto"/>
        <w:ind w:firstLine="420"/>
      </w:pPr>
      <w:r>
        <w:rPr>
          <w:rFonts w:hint="eastAsia"/>
        </w:rPr>
        <w:t>d) 参加方结果稳健统计确定指定值。</w:t>
      </w:r>
    </w:p>
    <w:p w14:paraId="16685C80">
      <w:pPr>
        <w:pStyle w:val="165"/>
        <w:spacing w:line="360" w:lineRule="auto"/>
      </w:pPr>
      <w:r>
        <w:rPr>
          <w:rFonts w:hint="eastAsia"/>
        </w:rPr>
        <w:t>采用稳健统计确定指定值时，应满足参加方数量与数据分布合理性要求，并存在必要的异常值处理与稳健估计程序，避免少量极端值对指定值产生不当影响。</w:t>
      </w:r>
    </w:p>
    <w:p w14:paraId="7ABB4DF6">
      <w:pPr>
        <w:pStyle w:val="165"/>
        <w:spacing w:line="360" w:lineRule="auto"/>
      </w:pPr>
      <w:r>
        <w:rPr>
          <w:rFonts w:hint="eastAsia"/>
        </w:rPr>
        <w:t>对定性项目，指定值通常为预期类别或预期结论，需明确依据来源，例如靶标菌株确认结果、核酸序列确认结果或参考实验室一致结论。</w:t>
      </w:r>
    </w:p>
    <w:p w14:paraId="79A06019">
      <w:pPr>
        <w:pStyle w:val="105"/>
        <w:spacing w:before="120" w:after="120" w:line="360" w:lineRule="auto"/>
      </w:pPr>
      <w:r>
        <w:rPr>
          <w:rFonts w:hint="eastAsia"/>
        </w:rPr>
        <w:t>评价标准偏差确定</w:t>
      </w:r>
    </w:p>
    <w:p w14:paraId="71051444">
      <w:pPr>
        <w:pStyle w:val="165"/>
        <w:spacing w:line="360" w:lineRule="auto"/>
      </w:pPr>
      <w:r>
        <w:rPr>
          <w:rFonts w:hint="eastAsia"/>
        </w:rPr>
        <w:t>评价标准偏差应基于合理依据确定。优先采用法规标准规定值或已建立的行业经验值。缺乏规定值时，可基于既往能力验证数据、协同试验数据或专家论证确定，并在报告中说明依据与适用范围。</w:t>
      </w:r>
    </w:p>
    <w:p w14:paraId="4A5D728C">
      <w:pPr>
        <w:pStyle w:val="165"/>
        <w:spacing w:line="360" w:lineRule="auto"/>
      </w:pPr>
      <w:r>
        <w:rPr>
          <w:rFonts w:hint="eastAsia"/>
        </w:rPr>
        <w:t>对不同基体或不同方法平台，若预期变异水平显著不同，应分别设定评价标准偏差或采用分层评价参数，避免因参数不适配导致误判。</w:t>
      </w:r>
    </w:p>
    <w:p w14:paraId="68784175">
      <w:pPr>
        <w:pStyle w:val="165"/>
        <w:spacing w:line="360" w:lineRule="auto"/>
      </w:pPr>
      <w:r>
        <w:rPr>
          <w:rFonts w:hint="eastAsia"/>
        </w:rPr>
        <w:t>对定性与半定量项目，应采用适配的评价参数，例如一致性比例、正确率、加权一致性指标或等级差异指标，不应强行套用定量项目参数。</w:t>
      </w:r>
    </w:p>
    <w:p w14:paraId="4A41E926">
      <w:pPr>
        <w:pStyle w:val="105"/>
        <w:spacing w:before="120" w:after="120" w:line="360" w:lineRule="auto"/>
      </w:pPr>
      <w:r>
        <w:rPr>
          <w:rFonts w:hint="eastAsia"/>
        </w:rPr>
        <w:t>定量项目评价统计量与判定</w:t>
      </w:r>
    </w:p>
    <w:p w14:paraId="02961598">
      <w:pPr>
        <w:pStyle w:val="165"/>
        <w:spacing w:line="360" w:lineRule="auto"/>
      </w:pPr>
      <w:r>
        <w:rPr>
          <w:rFonts w:hint="eastAsia"/>
        </w:rPr>
        <w:t>定量项目宜采用 z 类统计量或等效统计量进行评价。评价统计量的选择应与方案一致，并在报告中披露。</w:t>
      </w:r>
    </w:p>
    <w:p w14:paraId="3DD43270">
      <w:pPr>
        <w:pStyle w:val="165"/>
        <w:spacing w:line="360" w:lineRule="auto"/>
      </w:pPr>
      <w:r>
        <w:rPr>
          <w:rFonts w:hint="eastAsia"/>
        </w:rPr>
        <w:t>判定规则宜采用三分类或二分类。三分类可采用满意、可疑、不满意。二分类可采用满意与不满意。判定边界应在方案中明确，并与认可或监管要求保持一致。</w:t>
      </w:r>
    </w:p>
    <w:p w14:paraId="5EDD788C">
      <w:pPr>
        <w:pStyle w:val="165"/>
        <w:spacing w:line="360" w:lineRule="auto"/>
      </w:pPr>
      <w:r>
        <w:rPr>
          <w:rFonts w:hint="eastAsia"/>
        </w:rPr>
        <w:t>对提供测量不确定度的项目，可在方案中规定是否采用包含不确定度的评价方式，例如 En 类统计量。采用不确定度评价时，应明确不确定度的提交口径与置信水平要求。</w:t>
      </w:r>
    </w:p>
    <w:p w14:paraId="324FD348">
      <w:pPr>
        <w:pStyle w:val="165"/>
        <w:spacing w:line="360" w:lineRule="auto"/>
      </w:pPr>
      <w:r>
        <w:rPr>
          <w:rFonts w:hint="eastAsia"/>
        </w:rPr>
        <w:t>对结果低于检出限或定量限的提交，方案应明确处理规则。可采用替代值规则或按定性结果处理，但不得在事后临时更改口径。</w:t>
      </w:r>
    </w:p>
    <w:p w14:paraId="049DDB96">
      <w:pPr>
        <w:pStyle w:val="105"/>
        <w:spacing w:before="120" w:after="120" w:line="360" w:lineRule="auto"/>
      </w:pPr>
      <w:r>
        <w:rPr>
          <w:rFonts w:hint="eastAsia"/>
        </w:rPr>
        <w:t>定性项目与半定量项目评价</w:t>
      </w:r>
    </w:p>
    <w:p w14:paraId="4032FD29">
      <w:pPr>
        <w:pStyle w:val="165"/>
        <w:spacing w:line="360" w:lineRule="auto"/>
      </w:pPr>
      <w:r>
        <w:rPr>
          <w:rFonts w:hint="eastAsia"/>
        </w:rPr>
        <w:t>定性项目应采用一致性评价。评价应明确正确与错误定义，并说明误报与漏报的判定边界与后果提示。</w:t>
      </w:r>
    </w:p>
    <w:p w14:paraId="139D5D13">
      <w:pPr>
        <w:pStyle w:val="165"/>
        <w:spacing w:line="360" w:lineRule="auto"/>
      </w:pPr>
      <w:r>
        <w:rPr>
          <w:rFonts w:hint="eastAsia"/>
        </w:rPr>
        <w:t>半定量项目应采用等级一致性评价。等级划分应预先声明，例如按数量级、等级区间或风险等级。评价可采用等级差异规则或加权一致性方法，并明确可接受差异范围。</w:t>
      </w:r>
    </w:p>
    <w:p w14:paraId="366134AB">
      <w:pPr>
        <w:pStyle w:val="165"/>
        <w:spacing w:line="360" w:lineRule="auto"/>
      </w:pPr>
      <w:r>
        <w:rPr>
          <w:rFonts w:hint="eastAsia"/>
        </w:rPr>
        <w:t>对微生物计数类项目如采用计数值提交，应明确计数方法差异的可接受范围，并说明计数单位与换算方式，避免因表达口径不同造成不必要差异。</w:t>
      </w:r>
    </w:p>
    <w:p w14:paraId="6FAF39D9">
      <w:pPr>
        <w:pStyle w:val="105"/>
        <w:spacing w:before="120" w:after="120" w:line="360" w:lineRule="auto"/>
      </w:pPr>
      <w:r>
        <w:rPr>
          <w:rFonts w:hint="eastAsia"/>
        </w:rPr>
        <w:t>异常值处理与稳健性要求</w:t>
      </w:r>
    </w:p>
    <w:p w14:paraId="4E12DEA4">
      <w:pPr>
        <w:pStyle w:val="165"/>
        <w:spacing w:line="360" w:lineRule="auto"/>
      </w:pPr>
      <w:r>
        <w:rPr>
          <w:rFonts w:hint="eastAsia"/>
        </w:rPr>
        <w:t>异常值处理应遵循方案规定，不得以人为方式剔除不利结果。采用稳健统计的项目应优先通过稳健估计降低异常值影响，而非直接删除。</w:t>
      </w:r>
    </w:p>
    <w:p w14:paraId="632C5AF2">
      <w:pPr>
        <w:pStyle w:val="165"/>
        <w:spacing w:line="360" w:lineRule="auto"/>
      </w:pPr>
      <w:r>
        <w:rPr>
          <w:rFonts w:hint="eastAsia"/>
        </w:rPr>
        <w:t>若方案允许剔除异常值，应明确剔除条件、剔除数量限制与剔除后对指定值与评价参数的影响评估要求，并在报告中披露剔除信息。</w:t>
      </w:r>
    </w:p>
    <w:p w14:paraId="0B822F09">
      <w:pPr>
        <w:pStyle w:val="165"/>
        <w:spacing w:line="360" w:lineRule="auto"/>
      </w:pPr>
      <w:r>
        <w:rPr>
          <w:rFonts w:hint="eastAsia"/>
        </w:rPr>
        <w:t>当结果分布出现明显多峰或分层时，应考虑方法平台差异或基体效应导致的系统性偏差，宜采用分层统计或分组报告方式，并在报告中提出针对性改进建议。</w:t>
      </w:r>
    </w:p>
    <w:p w14:paraId="3BADD74B">
      <w:pPr>
        <w:pStyle w:val="105"/>
        <w:spacing w:before="120" w:after="120" w:line="360" w:lineRule="auto"/>
      </w:pPr>
      <w:r>
        <w:rPr>
          <w:rFonts w:hint="eastAsia"/>
        </w:rPr>
        <w:t>结果报告与判定输出</w:t>
      </w:r>
    </w:p>
    <w:p w14:paraId="20933D44">
      <w:pPr>
        <w:pStyle w:val="165"/>
        <w:spacing w:line="360" w:lineRule="auto"/>
      </w:pPr>
      <w:r>
        <w:rPr>
          <w:rFonts w:hint="eastAsia"/>
        </w:rPr>
        <w:t>提供者应输出每一参加方的项目判定结果与总体结论，并提供必要的解释信息，包括指定值、评价标准偏差、统计量、判定边界与数据有效性说明。</w:t>
      </w:r>
    </w:p>
    <w:p w14:paraId="2276142C">
      <w:pPr>
        <w:pStyle w:val="165"/>
        <w:spacing w:line="360" w:lineRule="auto"/>
      </w:pPr>
      <w:r>
        <w:rPr>
          <w:rFonts w:hint="eastAsia"/>
        </w:rPr>
        <w:t>报告应支持差异溯源。宜在报告中按方法平台、基体类型或关键过程信息对结果进行分组统计，识别系统性偏差来源。</w:t>
      </w:r>
    </w:p>
    <w:p w14:paraId="7585D5FE">
      <w:pPr>
        <w:pStyle w:val="165"/>
        <w:spacing w:line="360" w:lineRule="auto"/>
      </w:pPr>
      <w:r>
        <w:rPr>
          <w:rFonts w:hint="eastAsia"/>
        </w:rPr>
        <w:t>报告应保护参加方信息。参加方身份应采用编码表示，除非方案另有约定不得公开对应关系。</w:t>
      </w:r>
    </w:p>
    <w:p w14:paraId="108C4535">
      <w:pPr>
        <w:pStyle w:val="105"/>
        <w:spacing w:before="120" w:after="120" w:line="360" w:lineRule="auto"/>
      </w:pPr>
      <w:r>
        <w:rPr>
          <w:rFonts w:hint="eastAsia"/>
        </w:rPr>
        <w:t>结果处置要求</w:t>
      </w:r>
    </w:p>
    <w:p w14:paraId="089549CF">
      <w:pPr>
        <w:pStyle w:val="165"/>
        <w:spacing w:line="360" w:lineRule="auto"/>
      </w:pPr>
      <w:r>
        <w:rPr>
          <w:rFonts w:hint="eastAsia"/>
        </w:rPr>
        <w:t>参加方对不满意结果应开展原因分析与纠正措施。原因分析宜围绕样品接收与保存、前处理、培养或分析条件、标准物质与校准、仪器性能、人员操作、数据处理与单位换算、判定口径与报告表达等环节开展。</w:t>
      </w:r>
    </w:p>
    <w:p w14:paraId="640C1527">
      <w:pPr>
        <w:pStyle w:val="165"/>
        <w:spacing w:line="360" w:lineRule="auto"/>
      </w:pPr>
      <w:r>
        <w:rPr>
          <w:rFonts w:hint="eastAsia"/>
        </w:rPr>
        <w:t>提供者可对共性问题发布技术提示。技术提示应聚焦可操作措施，例如基体效应控制、污染控制、培养条件一致性、计量溯源一致性与数据处理规则统一。</w:t>
      </w:r>
    </w:p>
    <w:p w14:paraId="2FBCF7BC">
      <w:pPr>
        <w:pStyle w:val="165"/>
        <w:spacing w:line="360" w:lineRule="auto"/>
      </w:pPr>
      <w:r>
        <w:rPr>
          <w:rFonts w:hint="eastAsia"/>
        </w:rPr>
        <w:t>纠正措施完成后应进行有效性验证。验证方式可包括内部比对、重复试验、方法确认、人员再培训或参加后续能力验证。</w:t>
      </w:r>
    </w:p>
    <w:p w14:paraId="5C05B4D8">
      <w:pPr>
        <w:pStyle w:val="104"/>
        <w:spacing w:before="240" w:after="240" w:line="360" w:lineRule="auto"/>
      </w:pPr>
      <w:bookmarkStart w:id="54" w:name="_Toc219106296"/>
      <w:r>
        <w:rPr>
          <w:rFonts w:hint="eastAsia"/>
        </w:rPr>
        <w:t>偏差调查与纠正措施闭环管理</w:t>
      </w:r>
      <w:bookmarkEnd w:id="54"/>
    </w:p>
    <w:p w14:paraId="5F7A14C5">
      <w:pPr>
        <w:pStyle w:val="105"/>
        <w:spacing w:before="120" w:after="120" w:line="360" w:lineRule="auto"/>
      </w:pPr>
      <w:r>
        <w:rPr>
          <w:rFonts w:hint="eastAsia"/>
        </w:rPr>
        <w:t>一般要求</w:t>
      </w:r>
    </w:p>
    <w:p w14:paraId="4AA836E1">
      <w:pPr>
        <w:pStyle w:val="165"/>
        <w:spacing w:line="360" w:lineRule="auto"/>
      </w:pPr>
      <w:r>
        <w:rPr>
          <w:rFonts w:hint="eastAsia"/>
        </w:rPr>
        <w:t>当能力验证结果出现不满意或可疑情形时，参加方应启动偏差调查与纠正措施闭环管理，确保原因分析有依据、措施可实施、验证可量化、记录可追溯。</w:t>
      </w:r>
    </w:p>
    <w:p w14:paraId="7D308AAD">
      <w:pPr>
        <w:pStyle w:val="165"/>
        <w:spacing w:line="360" w:lineRule="auto"/>
      </w:pPr>
      <w:r>
        <w:rPr>
          <w:rFonts w:hint="eastAsia"/>
        </w:rPr>
        <w:t>偏差调查应遵循证据优先原则。应基于原始记录、仪器原始输出、质控记录、样品接收与保存记录、培养与鉴定记录、校准与溯源记录等证据开展，不应仅凭经验推断结论。</w:t>
      </w:r>
    </w:p>
    <w:p w14:paraId="53BE95BB">
      <w:pPr>
        <w:pStyle w:val="165"/>
        <w:spacing w:line="360" w:lineRule="auto"/>
      </w:pPr>
      <w:r>
        <w:rPr>
          <w:rFonts w:hint="eastAsia"/>
        </w:rPr>
        <w:t>纠正措施应与偏差原因对应。对同类偏差反复出现或存在系统性趋势的，应同时制定预防措施并纳入管理评审。</w:t>
      </w:r>
    </w:p>
    <w:p w14:paraId="2B84C94D">
      <w:pPr>
        <w:pStyle w:val="105"/>
        <w:spacing w:before="120" w:after="120" w:line="360" w:lineRule="auto"/>
      </w:pPr>
      <w:r>
        <w:rPr>
          <w:rFonts w:hint="eastAsia"/>
        </w:rPr>
        <w:t>触发条件与分级处置</w:t>
      </w:r>
    </w:p>
    <w:p w14:paraId="37561F4D">
      <w:pPr>
        <w:pStyle w:val="165"/>
        <w:spacing w:line="360" w:lineRule="auto"/>
      </w:pPr>
      <w:r>
        <w:rPr>
          <w:rFonts w:hint="eastAsia"/>
        </w:rPr>
        <w:t>触发条件应至少包括不满意结果、可疑结果、结果未提交或无效、结果与历史表现显著偏离、同类项目连续出现异常等情形。</w:t>
      </w:r>
    </w:p>
    <w:p w14:paraId="3B801C9F">
      <w:pPr>
        <w:pStyle w:val="165"/>
        <w:spacing w:line="360" w:lineRule="auto"/>
      </w:pPr>
      <w:r>
        <w:rPr>
          <w:rFonts w:hint="eastAsia"/>
        </w:rPr>
        <w:t>对不满意结果应开展完整偏差调查并形成纠正措施。对可疑结果宜开展简化调查或趋势分析，并根据风险评估决定是否实施纠正措施。</w:t>
      </w:r>
    </w:p>
    <w:p w14:paraId="188C4473">
      <w:pPr>
        <w:pStyle w:val="165"/>
        <w:spacing w:line="360" w:lineRule="auto"/>
      </w:pPr>
      <w:r>
        <w:rPr>
          <w:rFonts w:hint="eastAsia"/>
        </w:rPr>
        <w:t>对涉及监管关注或高风险项目的异常结果，应提高处置等级，必要时实施暂停报告、扩大复核、加密内控或临时能力确认等措施。</w:t>
      </w:r>
    </w:p>
    <w:p w14:paraId="77A5FC32">
      <w:pPr>
        <w:pStyle w:val="105"/>
        <w:spacing w:before="120" w:after="120" w:line="360" w:lineRule="auto"/>
      </w:pPr>
      <w:r>
        <w:rPr>
          <w:rFonts w:hint="eastAsia"/>
        </w:rPr>
        <w:t>偏差调查流程</w:t>
      </w:r>
    </w:p>
    <w:p w14:paraId="0669401B">
      <w:pPr>
        <w:pStyle w:val="65"/>
        <w:spacing w:before="120" w:after="120" w:line="360" w:lineRule="auto"/>
      </w:pPr>
      <w:r>
        <w:rPr>
          <w:rFonts w:hint="eastAsia"/>
        </w:rPr>
        <w:t>问题定义</w:t>
      </w:r>
    </w:p>
    <w:p w14:paraId="7A60A3C2">
      <w:pPr>
        <w:pStyle w:val="56"/>
        <w:spacing w:line="360" w:lineRule="auto"/>
        <w:ind w:firstLine="420"/>
      </w:pPr>
      <w:r>
        <w:rPr>
          <w:rFonts w:hint="eastAsia"/>
        </w:rPr>
        <w:t>应明确偏差对象、偏差幅度或偏差类型、涉及项目与基体、发生时间范围、影响范围与风险等级。</w:t>
      </w:r>
    </w:p>
    <w:p w14:paraId="52C8B5EB">
      <w:pPr>
        <w:pStyle w:val="65"/>
        <w:spacing w:before="120" w:after="120" w:line="360" w:lineRule="auto"/>
      </w:pPr>
      <w:r>
        <w:rPr>
          <w:rFonts w:hint="eastAsia"/>
        </w:rPr>
        <w:t>信息收集</w:t>
      </w:r>
    </w:p>
    <w:p w14:paraId="4155A0EC">
      <w:pPr>
        <w:pStyle w:val="56"/>
        <w:spacing w:line="360" w:lineRule="auto"/>
        <w:ind w:firstLine="420"/>
      </w:pPr>
      <w:r>
        <w:rPr>
          <w:rFonts w:hint="eastAsia"/>
        </w:rPr>
        <w:t>应收集并整理以下信息：样品接收与保存条件、检测方法与版本、关键前处理步骤、培养与鉴定条件、仪器平台与关键参数、标准物质与校准信息、质控结果摘要、数据处理与换算规则、结果判定口径与报告表达。</w:t>
      </w:r>
    </w:p>
    <w:p w14:paraId="603056DB">
      <w:pPr>
        <w:pStyle w:val="65"/>
        <w:spacing w:before="120" w:after="120" w:line="360" w:lineRule="auto"/>
      </w:pPr>
      <w:r>
        <w:rPr>
          <w:rFonts w:hint="eastAsia"/>
        </w:rPr>
        <w:t>原因分析</w:t>
      </w:r>
    </w:p>
    <w:p w14:paraId="0944FBE5">
      <w:pPr>
        <w:pStyle w:val="56"/>
        <w:spacing w:line="360" w:lineRule="auto"/>
        <w:ind w:firstLine="420"/>
      </w:pPr>
      <w:r>
        <w:rPr>
          <w:rFonts w:hint="eastAsia"/>
        </w:rPr>
        <w:t>原因分析宜覆盖人机料法环测和管理要素，重点关注跨领域特征环节，包括基体效应、方法迁移、微生物活性与污染控制、计量溯源一致性、数据口径一致性等。原因分析应形成可验证假设，并与证据对应。</w:t>
      </w:r>
    </w:p>
    <w:p w14:paraId="3B4C13C4">
      <w:pPr>
        <w:pStyle w:val="65"/>
        <w:spacing w:before="120" w:after="120" w:line="360" w:lineRule="auto"/>
      </w:pPr>
      <w:r>
        <w:rPr>
          <w:rFonts w:hint="eastAsia"/>
        </w:rPr>
        <w:t>影响评估</w:t>
      </w:r>
    </w:p>
    <w:p w14:paraId="6EB85F63">
      <w:pPr>
        <w:pStyle w:val="56"/>
        <w:spacing w:line="360" w:lineRule="auto"/>
        <w:ind w:firstLine="420"/>
      </w:pPr>
      <w:r>
        <w:rPr>
          <w:rFonts w:hint="eastAsia"/>
        </w:rPr>
        <w:t>应评估偏差对既往检测结果、在检样品与客户报告的潜在影响，必要时启动风险沟通、结果复核或报告更正程序。</w:t>
      </w:r>
    </w:p>
    <w:p w14:paraId="3785FE98">
      <w:pPr>
        <w:pStyle w:val="65"/>
        <w:spacing w:before="120" w:after="120" w:line="360" w:lineRule="auto"/>
      </w:pPr>
      <w:r>
        <w:rPr>
          <w:rFonts w:hint="eastAsia"/>
        </w:rPr>
        <w:t>纠正措施制定</w:t>
      </w:r>
    </w:p>
    <w:p w14:paraId="00C8DBC1">
      <w:pPr>
        <w:pStyle w:val="56"/>
        <w:spacing w:line="360" w:lineRule="auto"/>
        <w:ind w:firstLine="420"/>
      </w:pPr>
      <w:r>
        <w:rPr>
          <w:rFonts w:hint="eastAsia"/>
        </w:rPr>
        <w:t>应明确纠正措施内容、责任人、完成时限、资源需求与预期效果指标。对高风险偏差应优先采取立即措施保障质量控制。</w:t>
      </w:r>
    </w:p>
    <w:p w14:paraId="619E493F">
      <w:pPr>
        <w:pStyle w:val="56"/>
        <w:spacing w:line="360" w:lineRule="auto"/>
        <w:ind w:firstLine="199" w:firstLineChars="95"/>
        <w:jc w:val="center"/>
        <w:rPr>
          <w:rFonts w:hint="eastAsia"/>
        </w:rPr>
      </w:pPr>
    </w:p>
    <w:p w14:paraId="33C476F0">
      <w:pPr>
        <w:pStyle w:val="65"/>
        <w:spacing w:before="120" w:after="120" w:line="360" w:lineRule="auto"/>
      </w:pPr>
      <w:r>
        <w:rPr>
          <w:rFonts w:hint="eastAsia"/>
        </w:rPr>
        <w:t>有效性验证</w:t>
      </w:r>
    </w:p>
    <w:p w14:paraId="7164DDDD">
      <w:pPr>
        <w:pStyle w:val="56"/>
        <w:spacing w:line="360" w:lineRule="auto"/>
        <w:ind w:firstLine="420"/>
      </w:pPr>
      <w:r>
        <w:rPr>
          <w:rFonts w:hint="eastAsia"/>
        </w:rPr>
        <w:t>应通过复测比对、加标回收、重复性验证、方法确认、内部比对、人员考核或参加后续能力验证等方式验证措施有效性，并形成结论记录。</w:t>
      </w:r>
    </w:p>
    <w:p w14:paraId="58A07CCE">
      <w:pPr>
        <w:pStyle w:val="65"/>
        <w:spacing w:before="120" w:after="120" w:line="360" w:lineRule="auto"/>
      </w:pPr>
      <w:r>
        <w:rPr>
          <w:rFonts w:hint="eastAsia"/>
        </w:rPr>
        <w:t>关闭与归档</w:t>
      </w:r>
    </w:p>
    <w:p w14:paraId="35C1A748">
      <w:pPr>
        <w:pStyle w:val="56"/>
        <w:spacing w:line="360" w:lineRule="auto"/>
        <w:ind w:firstLine="420"/>
      </w:pPr>
      <w:r>
        <w:rPr>
          <w:rFonts w:hint="eastAsia"/>
        </w:rPr>
        <w:t>当纠正措施实施完成且验证有效，且相关风险已处置或可控时，可关闭偏差并归档。关闭应由质量负责人或授权人员批准。</w:t>
      </w:r>
    </w:p>
    <w:p w14:paraId="37C3274E">
      <w:pPr>
        <w:pStyle w:val="105"/>
        <w:spacing w:before="120" w:after="120" w:line="360" w:lineRule="auto"/>
      </w:pPr>
      <w:r>
        <w:rPr>
          <w:rFonts w:hint="eastAsia"/>
        </w:rPr>
        <w:t>纠正措施类型</w:t>
      </w:r>
    </w:p>
    <w:p w14:paraId="7A72D5A7">
      <w:pPr>
        <w:pStyle w:val="65"/>
        <w:spacing w:before="120" w:after="120" w:line="360" w:lineRule="auto"/>
      </w:pPr>
      <w:r>
        <w:rPr>
          <w:rFonts w:hint="eastAsia"/>
        </w:rPr>
        <w:t>技术类措施</w:t>
      </w:r>
    </w:p>
    <w:p w14:paraId="0CBAAE4F">
      <w:pPr>
        <w:pStyle w:val="56"/>
        <w:spacing w:line="360" w:lineRule="auto"/>
        <w:ind w:firstLine="420"/>
      </w:pPr>
      <w:r>
        <w:rPr>
          <w:rFonts w:hint="eastAsia"/>
        </w:rPr>
        <w:t>包括优化前处理流程、调整培养条件或鉴定策略、更新或校准仪器、改进校准曲线与标准物质管理、完善基体效应修正、优化数据处理与换算规则等。</w:t>
      </w:r>
    </w:p>
    <w:p w14:paraId="7A44029A">
      <w:pPr>
        <w:pStyle w:val="65"/>
        <w:spacing w:before="120" w:after="120" w:line="360" w:lineRule="auto"/>
      </w:pPr>
      <w:r>
        <w:rPr>
          <w:rFonts w:hint="eastAsia"/>
        </w:rPr>
        <w:t>管理类措施</w:t>
      </w:r>
    </w:p>
    <w:p w14:paraId="38F881BD">
      <w:pPr>
        <w:pStyle w:val="56"/>
        <w:spacing w:line="360" w:lineRule="auto"/>
        <w:ind w:firstLine="420"/>
      </w:pPr>
      <w:r>
        <w:rPr>
          <w:rFonts w:hint="eastAsia"/>
        </w:rPr>
        <w:t>包括完善作业指导书、强化记录与复核、优化人员授权与培训、加强样品流转与污染控制、完善方法变更控制与版本管理、加强外部供应品控制等。</w:t>
      </w:r>
    </w:p>
    <w:p w14:paraId="5A976485">
      <w:pPr>
        <w:pStyle w:val="65"/>
        <w:spacing w:before="120" w:after="120" w:line="360" w:lineRule="auto"/>
      </w:pPr>
      <w:r>
        <w:rPr>
          <w:rFonts w:hint="eastAsia"/>
        </w:rPr>
        <w:t>预防类措施</w:t>
      </w:r>
    </w:p>
    <w:p w14:paraId="05481893">
      <w:pPr>
        <w:pStyle w:val="56"/>
        <w:spacing w:line="360" w:lineRule="auto"/>
        <w:ind w:firstLine="420"/>
      </w:pPr>
      <w:r>
        <w:rPr>
          <w:rFonts w:hint="eastAsia"/>
        </w:rPr>
        <w:t>包括建立趋势分析规则、设置关键过程控制点、提高内控样覆盖率、增加交叉复核与二人复核、对高风险项目设置复核门槛等。</w:t>
      </w:r>
    </w:p>
    <w:p w14:paraId="66506CAF">
      <w:pPr>
        <w:pStyle w:val="105"/>
        <w:spacing w:before="120" w:after="120" w:line="360" w:lineRule="auto"/>
      </w:pPr>
      <w:r>
        <w:rPr>
          <w:rFonts w:hint="eastAsia"/>
        </w:rPr>
        <w:t>记录与报告要求</w:t>
      </w:r>
    </w:p>
    <w:p w14:paraId="10518C8B">
      <w:pPr>
        <w:pStyle w:val="165"/>
        <w:spacing w:line="360" w:lineRule="auto"/>
      </w:pPr>
      <w:r>
        <w:rPr>
          <w:rFonts w:hint="eastAsia"/>
        </w:rPr>
        <w:t>参加方应形成偏差调查报告或等效记录。记录应包含问题定义、证据清单、原因分析过程、纠正措施计划、实施记录、验证结果与关闭结论。</w:t>
      </w:r>
    </w:p>
    <w:p w14:paraId="69B3AEB5">
      <w:pPr>
        <w:pStyle w:val="165"/>
        <w:spacing w:line="360" w:lineRule="auto"/>
      </w:pPr>
      <w:r>
        <w:rPr>
          <w:rFonts w:hint="eastAsia"/>
        </w:rPr>
        <w:t>提供者可在能力验证报告后组织结果交流与技术答疑。参加方在不泄露敏感信息前提下，可共享改进要点与经验，用于行业共性提升。</w:t>
      </w:r>
    </w:p>
    <w:p w14:paraId="67FE2270">
      <w:pPr>
        <w:pStyle w:val="105"/>
        <w:spacing w:before="120" w:after="120" w:line="360" w:lineRule="auto"/>
      </w:pPr>
      <w:r>
        <w:rPr>
          <w:rFonts w:hint="eastAsia"/>
        </w:rPr>
        <w:t>偏差闭环管理表格</w:t>
      </w:r>
    </w:p>
    <w:p w14:paraId="4D17581F">
      <w:pPr>
        <w:pStyle w:val="112"/>
        <w:spacing w:before="120" w:after="120" w:line="360" w:lineRule="auto"/>
      </w:pPr>
      <w:r>
        <w:rPr>
          <w:rFonts w:hint="eastAsia"/>
        </w:rPr>
        <w:t>偏差调查与纠正措施闭环要素与记录要求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701"/>
        <w:gridCol w:w="2126"/>
        <w:gridCol w:w="1134"/>
        <w:gridCol w:w="1843"/>
        <w:gridCol w:w="1547"/>
      </w:tblGrid>
      <w:tr w14:paraId="34941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588F03A1">
            <w:pPr>
              <w:pStyle w:val="178"/>
            </w:pPr>
            <w:r>
              <w:rPr>
                <w:rFonts w:hint="eastAsia"/>
              </w:rPr>
              <w:t>闭环环节</w:t>
            </w:r>
          </w:p>
        </w:tc>
        <w:tc>
          <w:tcPr>
            <w:tcW w:w="1701" w:type="dxa"/>
            <w:tcBorders>
              <w:top w:val="single" w:color="auto" w:sz="8" w:space="0"/>
              <w:bottom w:val="single" w:color="auto" w:sz="8" w:space="0"/>
            </w:tcBorders>
            <w:vAlign w:val="center"/>
          </w:tcPr>
          <w:p w14:paraId="018B1561">
            <w:pPr>
              <w:pStyle w:val="178"/>
            </w:pPr>
            <w:r>
              <w:rPr>
                <w:rFonts w:hint="eastAsia"/>
              </w:rPr>
              <w:t>主要输出</w:t>
            </w:r>
          </w:p>
        </w:tc>
        <w:tc>
          <w:tcPr>
            <w:tcW w:w="2126" w:type="dxa"/>
            <w:tcBorders>
              <w:top w:val="single" w:color="auto" w:sz="8" w:space="0"/>
              <w:bottom w:val="single" w:color="auto" w:sz="8" w:space="0"/>
            </w:tcBorders>
            <w:vAlign w:val="center"/>
          </w:tcPr>
          <w:p w14:paraId="4FBFCE34">
            <w:pPr>
              <w:pStyle w:val="178"/>
            </w:pPr>
            <w:r>
              <w:rPr>
                <w:rFonts w:hint="eastAsia"/>
              </w:rPr>
              <w:t>关键证据与记录</w:t>
            </w:r>
          </w:p>
        </w:tc>
        <w:tc>
          <w:tcPr>
            <w:tcW w:w="1134" w:type="dxa"/>
            <w:tcBorders>
              <w:top w:val="single" w:color="auto" w:sz="8" w:space="0"/>
              <w:bottom w:val="single" w:color="auto" w:sz="8" w:space="0"/>
            </w:tcBorders>
            <w:vAlign w:val="center"/>
          </w:tcPr>
          <w:p w14:paraId="0C5681ED">
            <w:pPr>
              <w:pStyle w:val="178"/>
            </w:pPr>
            <w:r>
              <w:rPr>
                <w:rFonts w:hint="eastAsia"/>
              </w:rPr>
              <w:t>责任角色</w:t>
            </w:r>
          </w:p>
        </w:tc>
        <w:tc>
          <w:tcPr>
            <w:tcW w:w="1843" w:type="dxa"/>
            <w:tcBorders>
              <w:top w:val="single" w:color="auto" w:sz="8" w:space="0"/>
              <w:bottom w:val="single" w:color="auto" w:sz="8" w:space="0"/>
            </w:tcBorders>
            <w:vAlign w:val="center"/>
          </w:tcPr>
          <w:p w14:paraId="6DC328A7">
            <w:pPr>
              <w:pStyle w:val="178"/>
            </w:pPr>
            <w:r>
              <w:rPr>
                <w:rFonts w:hint="eastAsia"/>
              </w:rPr>
              <w:t>完成时限要求</w:t>
            </w:r>
          </w:p>
        </w:tc>
        <w:tc>
          <w:tcPr>
            <w:tcW w:w="1547" w:type="dxa"/>
            <w:tcBorders>
              <w:top w:val="single" w:color="auto" w:sz="8" w:space="0"/>
              <w:bottom w:val="single" w:color="auto" w:sz="8" w:space="0"/>
            </w:tcBorders>
            <w:vAlign w:val="center"/>
          </w:tcPr>
          <w:p w14:paraId="72FB7A69">
            <w:pPr>
              <w:pStyle w:val="178"/>
            </w:pPr>
            <w:r>
              <w:rPr>
                <w:rFonts w:hint="eastAsia"/>
              </w:rPr>
              <w:t>验证方式要点</w:t>
            </w:r>
          </w:p>
        </w:tc>
      </w:tr>
      <w:tr w14:paraId="4175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302230A1">
            <w:pPr>
              <w:pStyle w:val="178"/>
            </w:pPr>
            <w:r>
              <w:rPr>
                <w:rFonts w:hint="eastAsia"/>
              </w:rPr>
              <w:t>触发与立项</w:t>
            </w:r>
          </w:p>
        </w:tc>
        <w:tc>
          <w:tcPr>
            <w:tcW w:w="1701" w:type="dxa"/>
            <w:tcBorders>
              <w:top w:val="single" w:color="auto" w:sz="8" w:space="0"/>
            </w:tcBorders>
            <w:vAlign w:val="center"/>
          </w:tcPr>
          <w:p w14:paraId="2AB06A41">
            <w:pPr>
              <w:pStyle w:val="178"/>
            </w:pPr>
            <w:r>
              <w:rPr>
                <w:rFonts w:hint="eastAsia"/>
              </w:rPr>
              <w:t>偏差编号、风险分级</w:t>
            </w:r>
          </w:p>
        </w:tc>
        <w:tc>
          <w:tcPr>
            <w:tcW w:w="2126" w:type="dxa"/>
            <w:tcBorders>
              <w:top w:val="single" w:color="auto" w:sz="8" w:space="0"/>
            </w:tcBorders>
            <w:vAlign w:val="center"/>
          </w:tcPr>
          <w:p w14:paraId="4CE90A51">
            <w:pPr>
              <w:pStyle w:val="178"/>
            </w:pPr>
            <w:r>
              <w:rPr>
                <w:rFonts w:hint="eastAsia"/>
              </w:rPr>
              <w:t>能力验证结果页面，内部复核记录</w:t>
            </w:r>
          </w:p>
        </w:tc>
        <w:tc>
          <w:tcPr>
            <w:tcW w:w="1134" w:type="dxa"/>
            <w:tcBorders>
              <w:top w:val="single" w:color="auto" w:sz="8" w:space="0"/>
            </w:tcBorders>
            <w:vAlign w:val="center"/>
          </w:tcPr>
          <w:p w14:paraId="233DA2F0">
            <w:pPr>
              <w:pStyle w:val="178"/>
            </w:pPr>
            <w:r>
              <w:rPr>
                <w:rFonts w:hint="eastAsia"/>
              </w:rPr>
              <w:t>质量负责人、技术负责人</w:t>
            </w:r>
          </w:p>
        </w:tc>
        <w:tc>
          <w:tcPr>
            <w:tcW w:w="1843" w:type="dxa"/>
            <w:tcBorders>
              <w:top w:val="single" w:color="auto" w:sz="8" w:space="0"/>
            </w:tcBorders>
            <w:vAlign w:val="center"/>
          </w:tcPr>
          <w:p w14:paraId="0EA09F0B">
            <w:pPr>
              <w:pStyle w:val="178"/>
            </w:pPr>
            <w:r>
              <w:rPr>
                <w:rFonts w:hint="eastAsia"/>
              </w:rPr>
              <w:t>结果发布后尽快启动</w:t>
            </w:r>
          </w:p>
        </w:tc>
        <w:tc>
          <w:tcPr>
            <w:tcW w:w="1547" w:type="dxa"/>
            <w:tcBorders>
              <w:top w:val="single" w:color="auto" w:sz="8" w:space="0"/>
            </w:tcBorders>
            <w:vAlign w:val="center"/>
          </w:tcPr>
          <w:p w14:paraId="430211E8">
            <w:pPr>
              <w:pStyle w:val="178"/>
            </w:pPr>
            <w:r>
              <w:rPr>
                <w:rFonts w:hint="eastAsia"/>
              </w:rPr>
              <w:t>明确偏差类型与影响范围</w:t>
            </w:r>
          </w:p>
        </w:tc>
      </w:tr>
      <w:tr w14:paraId="7C4B3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000EA4B">
            <w:pPr>
              <w:pStyle w:val="178"/>
            </w:pPr>
            <w:r>
              <w:rPr>
                <w:rFonts w:hint="eastAsia"/>
              </w:rPr>
              <w:t>问题定义</w:t>
            </w:r>
          </w:p>
        </w:tc>
        <w:tc>
          <w:tcPr>
            <w:tcW w:w="1701" w:type="dxa"/>
            <w:vAlign w:val="center"/>
          </w:tcPr>
          <w:p w14:paraId="1E292560">
            <w:pPr>
              <w:pStyle w:val="178"/>
            </w:pPr>
            <w:r>
              <w:rPr>
                <w:rFonts w:hint="eastAsia"/>
              </w:rPr>
              <w:t>偏差描述与范围</w:t>
            </w:r>
          </w:p>
        </w:tc>
        <w:tc>
          <w:tcPr>
            <w:tcW w:w="2126" w:type="dxa"/>
            <w:vAlign w:val="center"/>
          </w:tcPr>
          <w:p w14:paraId="2B8B9D75">
            <w:pPr>
              <w:pStyle w:val="178"/>
            </w:pPr>
            <w:r>
              <w:rPr>
                <w:rFonts w:hint="eastAsia"/>
              </w:rPr>
              <w:t>偏差幅度，数据类型，判定口径</w:t>
            </w:r>
          </w:p>
        </w:tc>
        <w:tc>
          <w:tcPr>
            <w:tcW w:w="1134" w:type="dxa"/>
            <w:vAlign w:val="center"/>
          </w:tcPr>
          <w:p w14:paraId="26245338">
            <w:pPr>
              <w:pStyle w:val="178"/>
            </w:pPr>
            <w:r>
              <w:rPr>
                <w:rFonts w:hint="eastAsia"/>
              </w:rPr>
              <w:t>项目负责人</w:t>
            </w:r>
          </w:p>
        </w:tc>
        <w:tc>
          <w:tcPr>
            <w:tcW w:w="1843" w:type="dxa"/>
            <w:vAlign w:val="center"/>
          </w:tcPr>
          <w:p w14:paraId="5A994A48">
            <w:pPr>
              <w:pStyle w:val="178"/>
            </w:pPr>
            <w:r>
              <w:rPr>
                <w:rFonts w:hint="eastAsia"/>
              </w:rPr>
              <w:t>立项后及时完成</w:t>
            </w:r>
          </w:p>
        </w:tc>
        <w:tc>
          <w:tcPr>
            <w:tcW w:w="1547" w:type="dxa"/>
            <w:vAlign w:val="center"/>
          </w:tcPr>
          <w:p w14:paraId="45C39C2D">
            <w:pPr>
              <w:pStyle w:val="178"/>
            </w:pPr>
            <w:r>
              <w:rPr>
                <w:rFonts w:hint="eastAsia"/>
              </w:rPr>
              <w:t>可量化表述避免模糊</w:t>
            </w:r>
          </w:p>
        </w:tc>
      </w:tr>
      <w:tr w14:paraId="38290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BF174B9">
            <w:pPr>
              <w:pStyle w:val="178"/>
            </w:pPr>
            <w:r>
              <w:rPr>
                <w:rFonts w:hint="eastAsia"/>
              </w:rPr>
              <w:t>信息收集</w:t>
            </w:r>
          </w:p>
        </w:tc>
        <w:tc>
          <w:tcPr>
            <w:tcW w:w="1701" w:type="dxa"/>
            <w:vAlign w:val="center"/>
          </w:tcPr>
          <w:p w14:paraId="2917CDAD">
            <w:pPr>
              <w:pStyle w:val="178"/>
            </w:pPr>
            <w:r>
              <w:rPr>
                <w:rFonts w:hint="eastAsia"/>
              </w:rPr>
              <w:t>证据清单与过程还原</w:t>
            </w:r>
          </w:p>
        </w:tc>
        <w:tc>
          <w:tcPr>
            <w:tcW w:w="2126" w:type="dxa"/>
            <w:vAlign w:val="center"/>
          </w:tcPr>
          <w:p w14:paraId="113A320E">
            <w:pPr>
              <w:pStyle w:val="178"/>
            </w:pPr>
            <w:r>
              <w:rPr>
                <w:rFonts w:hint="eastAsia"/>
              </w:rPr>
              <w:t>样品接收保存，原始记录，仪器输出，质控记录，方法版本</w:t>
            </w:r>
          </w:p>
        </w:tc>
        <w:tc>
          <w:tcPr>
            <w:tcW w:w="1134" w:type="dxa"/>
            <w:vAlign w:val="center"/>
          </w:tcPr>
          <w:p w14:paraId="009EEC27">
            <w:pPr>
              <w:pStyle w:val="178"/>
            </w:pPr>
            <w:r>
              <w:rPr>
                <w:rFonts w:hint="eastAsia"/>
              </w:rPr>
              <w:t>执行人员、复核人员</w:t>
            </w:r>
          </w:p>
        </w:tc>
        <w:tc>
          <w:tcPr>
            <w:tcW w:w="1843" w:type="dxa"/>
            <w:vAlign w:val="center"/>
          </w:tcPr>
          <w:p w14:paraId="6BD635F5">
            <w:pPr>
              <w:pStyle w:val="178"/>
            </w:pPr>
            <w:r>
              <w:rPr>
                <w:rFonts w:hint="eastAsia"/>
              </w:rPr>
              <w:t>与原因分析同步</w:t>
            </w:r>
          </w:p>
        </w:tc>
        <w:tc>
          <w:tcPr>
            <w:tcW w:w="1547" w:type="dxa"/>
            <w:vAlign w:val="center"/>
          </w:tcPr>
          <w:p w14:paraId="13E0F523">
            <w:pPr>
              <w:pStyle w:val="178"/>
            </w:pPr>
            <w:r>
              <w:rPr>
                <w:rFonts w:hint="eastAsia"/>
              </w:rPr>
              <w:t>确保可追溯到批次与人员</w:t>
            </w:r>
          </w:p>
        </w:tc>
      </w:tr>
    </w:tbl>
    <w:p w14:paraId="257010CB">
      <w:pPr>
        <w:pStyle w:val="56"/>
        <w:spacing w:before="120" w:beforeLines="50" w:after="120" w:afterLines="50"/>
        <w:ind w:firstLine="0" w:firstLineChars="0"/>
        <w:rPr>
          <w:rFonts w:ascii="黑体" w:hAnsi="黑体" w:eastAsia="黑体"/>
        </w:rPr>
      </w:pPr>
      <w:bookmarkStart w:id="55" w:name="_Toc219106297"/>
    </w:p>
    <w:p w14:paraId="6BC2D8B4">
      <w:pPr>
        <w:pStyle w:val="56"/>
        <w:spacing w:before="120" w:beforeLines="50" w:after="120" w:afterLines="50"/>
        <w:ind w:firstLine="0" w:firstLineChars="0"/>
        <w:jc w:val="center"/>
        <w:rPr>
          <w:rFonts w:ascii="黑体" w:hAnsi="黑体" w:eastAsia="黑体"/>
        </w:rPr>
      </w:pPr>
      <w:r>
        <w:rPr>
          <w:rFonts w:hint="eastAsia" w:ascii="黑体" w:hAnsi="黑体" w:eastAsia="黑体"/>
        </w:rPr>
        <w:t>表2  偏差调查与纠正措施闭环要素与记录要求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701"/>
        <w:gridCol w:w="2126"/>
        <w:gridCol w:w="1134"/>
        <w:gridCol w:w="1843"/>
        <w:gridCol w:w="1547"/>
      </w:tblGrid>
      <w:tr w14:paraId="0989E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983" w:type="dxa"/>
            <w:tcBorders>
              <w:top w:val="single" w:color="auto" w:sz="8" w:space="0"/>
              <w:bottom w:val="single" w:color="auto" w:sz="8" w:space="0"/>
            </w:tcBorders>
            <w:vAlign w:val="center"/>
          </w:tcPr>
          <w:p w14:paraId="2D0065E8">
            <w:pPr>
              <w:pStyle w:val="178"/>
            </w:pPr>
            <w:r>
              <w:rPr>
                <w:rFonts w:hint="eastAsia"/>
              </w:rPr>
              <w:t>闭环环节</w:t>
            </w:r>
          </w:p>
        </w:tc>
        <w:tc>
          <w:tcPr>
            <w:tcW w:w="1701" w:type="dxa"/>
            <w:tcBorders>
              <w:top w:val="single" w:color="auto" w:sz="8" w:space="0"/>
              <w:bottom w:val="single" w:color="auto" w:sz="8" w:space="0"/>
            </w:tcBorders>
            <w:vAlign w:val="center"/>
          </w:tcPr>
          <w:p w14:paraId="03523A25">
            <w:pPr>
              <w:pStyle w:val="178"/>
            </w:pPr>
            <w:r>
              <w:rPr>
                <w:rFonts w:hint="eastAsia"/>
              </w:rPr>
              <w:t>主要输出</w:t>
            </w:r>
          </w:p>
        </w:tc>
        <w:tc>
          <w:tcPr>
            <w:tcW w:w="2126" w:type="dxa"/>
            <w:tcBorders>
              <w:top w:val="single" w:color="auto" w:sz="8" w:space="0"/>
              <w:bottom w:val="single" w:color="auto" w:sz="8" w:space="0"/>
            </w:tcBorders>
            <w:vAlign w:val="center"/>
          </w:tcPr>
          <w:p w14:paraId="048D4E26">
            <w:pPr>
              <w:pStyle w:val="178"/>
            </w:pPr>
            <w:r>
              <w:rPr>
                <w:rFonts w:hint="eastAsia"/>
              </w:rPr>
              <w:t>关键证据与记录</w:t>
            </w:r>
          </w:p>
        </w:tc>
        <w:tc>
          <w:tcPr>
            <w:tcW w:w="1134" w:type="dxa"/>
            <w:tcBorders>
              <w:top w:val="single" w:color="auto" w:sz="8" w:space="0"/>
              <w:bottom w:val="single" w:color="auto" w:sz="8" w:space="0"/>
            </w:tcBorders>
            <w:vAlign w:val="center"/>
          </w:tcPr>
          <w:p w14:paraId="3BFBBDD5">
            <w:pPr>
              <w:pStyle w:val="178"/>
            </w:pPr>
            <w:r>
              <w:rPr>
                <w:rFonts w:hint="eastAsia"/>
              </w:rPr>
              <w:t>责任角色</w:t>
            </w:r>
          </w:p>
        </w:tc>
        <w:tc>
          <w:tcPr>
            <w:tcW w:w="1843" w:type="dxa"/>
            <w:tcBorders>
              <w:top w:val="single" w:color="auto" w:sz="8" w:space="0"/>
              <w:bottom w:val="single" w:color="auto" w:sz="8" w:space="0"/>
            </w:tcBorders>
            <w:vAlign w:val="center"/>
          </w:tcPr>
          <w:p w14:paraId="43AE5D6D">
            <w:pPr>
              <w:pStyle w:val="178"/>
            </w:pPr>
            <w:r>
              <w:rPr>
                <w:rFonts w:hint="eastAsia"/>
              </w:rPr>
              <w:t>完成时限要求</w:t>
            </w:r>
          </w:p>
        </w:tc>
        <w:tc>
          <w:tcPr>
            <w:tcW w:w="1547" w:type="dxa"/>
            <w:tcBorders>
              <w:top w:val="single" w:color="auto" w:sz="8" w:space="0"/>
              <w:bottom w:val="single" w:color="auto" w:sz="8" w:space="0"/>
            </w:tcBorders>
            <w:vAlign w:val="center"/>
          </w:tcPr>
          <w:p w14:paraId="1342ECFA">
            <w:pPr>
              <w:pStyle w:val="178"/>
            </w:pPr>
            <w:r>
              <w:rPr>
                <w:rFonts w:hint="eastAsia"/>
              </w:rPr>
              <w:t>验证方式要点</w:t>
            </w:r>
          </w:p>
        </w:tc>
      </w:tr>
      <w:tr w14:paraId="2CE7D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2E2E6D7D">
            <w:pPr>
              <w:pStyle w:val="178"/>
            </w:pPr>
            <w:r>
              <w:rPr>
                <w:rFonts w:hint="eastAsia"/>
              </w:rPr>
              <w:t>原因分析</w:t>
            </w:r>
          </w:p>
        </w:tc>
        <w:tc>
          <w:tcPr>
            <w:tcW w:w="1701" w:type="dxa"/>
            <w:vAlign w:val="center"/>
          </w:tcPr>
          <w:p w14:paraId="462B0E54">
            <w:pPr>
              <w:pStyle w:val="178"/>
            </w:pPr>
            <w:r>
              <w:rPr>
                <w:rFonts w:hint="eastAsia"/>
              </w:rPr>
              <w:t>根因结论与证据链</w:t>
            </w:r>
          </w:p>
        </w:tc>
        <w:tc>
          <w:tcPr>
            <w:tcW w:w="2126" w:type="dxa"/>
            <w:vAlign w:val="center"/>
          </w:tcPr>
          <w:p w14:paraId="7CD19603">
            <w:pPr>
              <w:pStyle w:val="178"/>
            </w:pPr>
            <w:r>
              <w:rPr>
                <w:rFonts w:hint="eastAsia"/>
              </w:rPr>
              <w:t>分析记录，假设验证记录</w:t>
            </w:r>
          </w:p>
        </w:tc>
        <w:tc>
          <w:tcPr>
            <w:tcW w:w="1134" w:type="dxa"/>
            <w:vAlign w:val="center"/>
          </w:tcPr>
          <w:p w14:paraId="0F74E7B4">
            <w:pPr>
              <w:pStyle w:val="178"/>
            </w:pPr>
            <w:r>
              <w:rPr>
                <w:rFonts w:hint="eastAsia"/>
              </w:rPr>
              <w:t>技术负责人</w:t>
            </w:r>
          </w:p>
        </w:tc>
        <w:tc>
          <w:tcPr>
            <w:tcW w:w="1843" w:type="dxa"/>
            <w:vAlign w:val="center"/>
          </w:tcPr>
          <w:p w14:paraId="12E9AC8D">
            <w:pPr>
              <w:pStyle w:val="178"/>
            </w:pPr>
            <w:r>
              <w:rPr>
                <w:rFonts w:hint="eastAsia"/>
              </w:rPr>
              <w:t>信息收集后开展</w:t>
            </w:r>
          </w:p>
        </w:tc>
        <w:tc>
          <w:tcPr>
            <w:tcW w:w="1547" w:type="dxa"/>
            <w:vAlign w:val="center"/>
          </w:tcPr>
          <w:p w14:paraId="298D4DA1">
            <w:pPr>
              <w:pStyle w:val="178"/>
            </w:pPr>
            <w:r>
              <w:rPr>
                <w:rFonts w:hint="eastAsia"/>
              </w:rPr>
              <w:t>覆盖人机料法环测与跨领域关键点</w:t>
            </w:r>
          </w:p>
        </w:tc>
      </w:tr>
      <w:tr w14:paraId="26F45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5A31AE6">
            <w:pPr>
              <w:pStyle w:val="178"/>
            </w:pPr>
            <w:r>
              <w:rPr>
                <w:rFonts w:hint="eastAsia"/>
              </w:rPr>
              <w:t>纠正措施</w:t>
            </w:r>
          </w:p>
        </w:tc>
        <w:tc>
          <w:tcPr>
            <w:tcW w:w="1701" w:type="dxa"/>
            <w:vAlign w:val="center"/>
          </w:tcPr>
          <w:p w14:paraId="6D4BCEC8">
            <w:pPr>
              <w:pStyle w:val="178"/>
            </w:pPr>
            <w:r>
              <w:rPr>
                <w:rFonts w:hint="eastAsia"/>
              </w:rPr>
              <w:t>措施计划与资源配置</w:t>
            </w:r>
          </w:p>
        </w:tc>
        <w:tc>
          <w:tcPr>
            <w:tcW w:w="2126" w:type="dxa"/>
            <w:vAlign w:val="center"/>
          </w:tcPr>
          <w:p w14:paraId="1048B7B5">
            <w:pPr>
              <w:pStyle w:val="178"/>
            </w:pPr>
            <w:r>
              <w:rPr>
                <w:rFonts w:hint="eastAsia"/>
              </w:rPr>
              <w:t>措施清单，责任人，时限，预期指标</w:t>
            </w:r>
          </w:p>
        </w:tc>
        <w:tc>
          <w:tcPr>
            <w:tcW w:w="1134" w:type="dxa"/>
            <w:vAlign w:val="center"/>
          </w:tcPr>
          <w:p w14:paraId="50BC67B4">
            <w:pPr>
              <w:pStyle w:val="178"/>
            </w:pPr>
            <w:r>
              <w:rPr>
                <w:rFonts w:hint="eastAsia"/>
              </w:rPr>
              <w:t>质量负责人</w:t>
            </w:r>
          </w:p>
        </w:tc>
        <w:tc>
          <w:tcPr>
            <w:tcW w:w="1843" w:type="dxa"/>
            <w:vAlign w:val="center"/>
          </w:tcPr>
          <w:p w14:paraId="66E35322">
            <w:pPr>
              <w:pStyle w:val="178"/>
            </w:pPr>
            <w:r>
              <w:rPr>
                <w:rFonts w:hint="eastAsia"/>
              </w:rPr>
              <w:t>原因确认后制定</w:t>
            </w:r>
          </w:p>
        </w:tc>
        <w:tc>
          <w:tcPr>
            <w:tcW w:w="1547" w:type="dxa"/>
            <w:vAlign w:val="center"/>
          </w:tcPr>
          <w:p w14:paraId="39F92B06">
            <w:pPr>
              <w:pStyle w:val="178"/>
            </w:pPr>
            <w:r>
              <w:rPr>
                <w:rFonts w:hint="eastAsia"/>
              </w:rPr>
              <w:t>措施与根因一一对应</w:t>
            </w:r>
          </w:p>
        </w:tc>
      </w:tr>
      <w:tr w14:paraId="685B9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0807F354">
            <w:pPr>
              <w:pStyle w:val="178"/>
            </w:pPr>
            <w:r>
              <w:rPr>
                <w:rFonts w:hint="eastAsia"/>
              </w:rPr>
              <w:t>实施与跟踪</w:t>
            </w:r>
          </w:p>
        </w:tc>
        <w:tc>
          <w:tcPr>
            <w:tcW w:w="1701" w:type="dxa"/>
            <w:vAlign w:val="center"/>
          </w:tcPr>
          <w:p w14:paraId="340E91D1">
            <w:pPr>
              <w:pStyle w:val="178"/>
            </w:pPr>
            <w:r>
              <w:rPr>
                <w:rFonts w:hint="eastAsia"/>
              </w:rPr>
              <w:t>实施记录与阶段结论</w:t>
            </w:r>
          </w:p>
        </w:tc>
        <w:tc>
          <w:tcPr>
            <w:tcW w:w="2126" w:type="dxa"/>
            <w:vAlign w:val="center"/>
          </w:tcPr>
          <w:p w14:paraId="2DFCD086">
            <w:pPr>
              <w:pStyle w:val="178"/>
            </w:pPr>
            <w:r>
              <w:rPr>
                <w:rFonts w:hint="eastAsia"/>
              </w:rPr>
              <w:t>培训记录，变更记录，维护校准记录，文件修订</w:t>
            </w:r>
          </w:p>
        </w:tc>
        <w:tc>
          <w:tcPr>
            <w:tcW w:w="1134" w:type="dxa"/>
            <w:vAlign w:val="center"/>
          </w:tcPr>
          <w:p w14:paraId="56D8771A">
            <w:pPr>
              <w:pStyle w:val="178"/>
            </w:pPr>
            <w:r>
              <w:rPr>
                <w:rFonts w:hint="eastAsia"/>
              </w:rPr>
              <w:t>执行人员</w:t>
            </w:r>
          </w:p>
        </w:tc>
        <w:tc>
          <w:tcPr>
            <w:tcW w:w="1843" w:type="dxa"/>
            <w:vAlign w:val="center"/>
          </w:tcPr>
          <w:p w14:paraId="495DF2CB">
            <w:pPr>
              <w:pStyle w:val="178"/>
            </w:pPr>
            <w:r>
              <w:rPr>
                <w:rFonts w:hint="eastAsia"/>
              </w:rPr>
              <w:t>按计划节点</w:t>
            </w:r>
          </w:p>
        </w:tc>
        <w:tc>
          <w:tcPr>
            <w:tcW w:w="1547" w:type="dxa"/>
            <w:vAlign w:val="center"/>
          </w:tcPr>
          <w:p w14:paraId="34382120">
            <w:pPr>
              <w:pStyle w:val="178"/>
            </w:pPr>
            <w:r>
              <w:rPr>
                <w:rFonts w:hint="eastAsia"/>
              </w:rPr>
              <w:t>关键措施设置里程碑检查</w:t>
            </w:r>
          </w:p>
        </w:tc>
      </w:tr>
      <w:tr w14:paraId="04A40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CE7D2C0">
            <w:pPr>
              <w:pStyle w:val="178"/>
            </w:pPr>
            <w:r>
              <w:rPr>
                <w:rFonts w:hint="eastAsia"/>
              </w:rPr>
              <w:t>有效性验证</w:t>
            </w:r>
          </w:p>
        </w:tc>
        <w:tc>
          <w:tcPr>
            <w:tcW w:w="1701" w:type="dxa"/>
            <w:vAlign w:val="center"/>
          </w:tcPr>
          <w:p w14:paraId="048CE266">
            <w:pPr>
              <w:pStyle w:val="178"/>
            </w:pPr>
            <w:r>
              <w:rPr>
                <w:rFonts w:hint="eastAsia"/>
              </w:rPr>
              <w:t>验证结论与证据</w:t>
            </w:r>
          </w:p>
        </w:tc>
        <w:tc>
          <w:tcPr>
            <w:tcW w:w="2126" w:type="dxa"/>
            <w:vAlign w:val="center"/>
          </w:tcPr>
          <w:p w14:paraId="2BD623F2">
            <w:pPr>
              <w:pStyle w:val="178"/>
            </w:pPr>
            <w:r>
              <w:rPr>
                <w:rFonts w:hint="eastAsia"/>
              </w:rPr>
              <w:t>复测比对，内控数据，方法确认，复参加记录</w:t>
            </w:r>
          </w:p>
        </w:tc>
        <w:tc>
          <w:tcPr>
            <w:tcW w:w="1134" w:type="dxa"/>
            <w:vAlign w:val="center"/>
          </w:tcPr>
          <w:p w14:paraId="512DB9EE">
            <w:pPr>
              <w:pStyle w:val="178"/>
            </w:pPr>
            <w:r>
              <w:rPr>
                <w:rFonts w:hint="eastAsia"/>
              </w:rPr>
              <w:t>质量负责人</w:t>
            </w:r>
          </w:p>
        </w:tc>
        <w:tc>
          <w:tcPr>
            <w:tcW w:w="1843" w:type="dxa"/>
            <w:vAlign w:val="center"/>
          </w:tcPr>
          <w:p w14:paraId="6242B015">
            <w:pPr>
              <w:pStyle w:val="178"/>
            </w:pPr>
            <w:r>
              <w:rPr>
                <w:rFonts w:hint="eastAsia"/>
              </w:rPr>
              <w:t>措施完成后实施</w:t>
            </w:r>
          </w:p>
        </w:tc>
        <w:tc>
          <w:tcPr>
            <w:tcW w:w="1547" w:type="dxa"/>
            <w:vAlign w:val="center"/>
          </w:tcPr>
          <w:p w14:paraId="336A008D">
            <w:pPr>
              <w:pStyle w:val="178"/>
            </w:pPr>
            <w:r>
              <w:rPr>
                <w:rFonts w:hint="eastAsia"/>
              </w:rPr>
              <w:t>验证指标可量化且与偏差相关</w:t>
            </w:r>
          </w:p>
        </w:tc>
      </w:tr>
      <w:tr w14:paraId="212F2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3" w:type="dxa"/>
            <w:vAlign w:val="center"/>
          </w:tcPr>
          <w:p w14:paraId="230B792A">
            <w:pPr>
              <w:pStyle w:val="178"/>
            </w:pPr>
            <w:r>
              <w:rPr>
                <w:rFonts w:hint="eastAsia"/>
              </w:rPr>
              <w:t>关闭与归档</w:t>
            </w:r>
          </w:p>
        </w:tc>
        <w:tc>
          <w:tcPr>
            <w:tcW w:w="1701" w:type="dxa"/>
            <w:vAlign w:val="center"/>
          </w:tcPr>
          <w:p w14:paraId="0A34172E">
            <w:pPr>
              <w:pStyle w:val="178"/>
            </w:pPr>
            <w:r>
              <w:rPr>
                <w:rFonts w:hint="eastAsia"/>
              </w:rPr>
              <w:t>关闭批准与归档索引</w:t>
            </w:r>
          </w:p>
        </w:tc>
        <w:tc>
          <w:tcPr>
            <w:tcW w:w="2126" w:type="dxa"/>
            <w:vAlign w:val="center"/>
          </w:tcPr>
          <w:p w14:paraId="0B69E7CD">
            <w:pPr>
              <w:pStyle w:val="178"/>
            </w:pPr>
            <w:r>
              <w:rPr>
                <w:rFonts w:hint="eastAsia"/>
              </w:rPr>
              <w:t>关闭审批，归档清单，管理评审输入</w:t>
            </w:r>
          </w:p>
        </w:tc>
        <w:tc>
          <w:tcPr>
            <w:tcW w:w="1134" w:type="dxa"/>
            <w:vAlign w:val="center"/>
          </w:tcPr>
          <w:p w14:paraId="78EE5DC4">
            <w:pPr>
              <w:pStyle w:val="178"/>
            </w:pPr>
            <w:r>
              <w:rPr>
                <w:rFonts w:hint="eastAsia"/>
              </w:rPr>
              <w:t>授权批准人</w:t>
            </w:r>
          </w:p>
        </w:tc>
        <w:tc>
          <w:tcPr>
            <w:tcW w:w="1843" w:type="dxa"/>
            <w:vAlign w:val="center"/>
          </w:tcPr>
          <w:p w14:paraId="6B900E2E">
            <w:pPr>
              <w:pStyle w:val="178"/>
            </w:pPr>
            <w:r>
              <w:rPr>
                <w:rFonts w:hint="eastAsia"/>
              </w:rPr>
              <w:t>验证通过后</w:t>
            </w:r>
          </w:p>
        </w:tc>
        <w:tc>
          <w:tcPr>
            <w:tcW w:w="1547" w:type="dxa"/>
            <w:vAlign w:val="center"/>
          </w:tcPr>
          <w:p w14:paraId="107CDCCC">
            <w:pPr>
              <w:pStyle w:val="178"/>
            </w:pPr>
            <w:r>
              <w:rPr>
                <w:rFonts w:hint="eastAsia"/>
              </w:rPr>
              <w:t>对系统性问题纳入预防措施</w:t>
            </w:r>
          </w:p>
        </w:tc>
      </w:tr>
    </w:tbl>
    <w:p w14:paraId="3EBC2552">
      <w:pPr>
        <w:pStyle w:val="104"/>
        <w:spacing w:before="240" w:after="240" w:line="360" w:lineRule="auto"/>
      </w:pPr>
      <w:r>
        <w:rPr>
          <w:rFonts w:hint="eastAsia"/>
        </w:rPr>
        <w:t>能力保持与持续改进</w:t>
      </w:r>
      <w:bookmarkEnd w:id="55"/>
    </w:p>
    <w:p w14:paraId="02BB28DE">
      <w:pPr>
        <w:pStyle w:val="105"/>
        <w:spacing w:before="120" w:after="120" w:line="360" w:lineRule="auto"/>
      </w:pPr>
      <w:r>
        <w:rPr>
          <w:rFonts w:hint="eastAsia"/>
        </w:rPr>
        <w:t>一般要求</w:t>
      </w:r>
    </w:p>
    <w:p w14:paraId="78738D42">
      <w:pPr>
        <w:pStyle w:val="165"/>
        <w:spacing w:line="360" w:lineRule="auto"/>
      </w:pPr>
      <w:r>
        <w:rPr>
          <w:rFonts w:hint="eastAsia"/>
        </w:rPr>
        <w:t>实验室应将跨领域能力验证作为能力保持与持续改进的重要输入，与内部质量控制、内部审核、管理评审、人员能力评价、方法确认与风险管理联动，形成持续提升机制。</w:t>
      </w:r>
    </w:p>
    <w:p w14:paraId="6E990DAA">
      <w:pPr>
        <w:pStyle w:val="165"/>
        <w:spacing w:line="360" w:lineRule="auto"/>
      </w:pPr>
      <w:r>
        <w:rPr>
          <w:rFonts w:hint="eastAsia"/>
        </w:rPr>
        <w:t>能力保持应以关键过程控制为主线，覆盖样品前处理、微生物培养与鉴定、化学分析与计量溯源、数据处理与结果判定、报告表达与复核等跨领域共性环节，避免仅对单次能力验证结果进行被动整改。</w:t>
      </w:r>
    </w:p>
    <w:p w14:paraId="31B5A96E">
      <w:pPr>
        <w:pStyle w:val="165"/>
        <w:spacing w:line="360" w:lineRule="auto"/>
      </w:pPr>
      <w:r>
        <w:rPr>
          <w:rFonts w:hint="eastAsia"/>
        </w:rPr>
        <w:t>持续改进应以数据驱动为原则。应建立跨领域项目的趋势监测指标体系，利用能力验证历史结果、内部比对结果、质控图与不符合项统计，识别系统性偏差与薄弱环节。</w:t>
      </w:r>
    </w:p>
    <w:p w14:paraId="08826E0F">
      <w:pPr>
        <w:pStyle w:val="105"/>
        <w:spacing w:before="120" w:after="120" w:line="360" w:lineRule="auto"/>
      </w:pPr>
      <w:r>
        <w:rPr>
          <w:rFonts w:hint="eastAsia"/>
        </w:rPr>
        <w:t>能力验证结果趋势分析</w:t>
      </w:r>
    </w:p>
    <w:p w14:paraId="34BC7B9A">
      <w:pPr>
        <w:pStyle w:val="165"/>
        <w:spacing w:line="360" w:lineRule="auto"/>
      </w:pPr>
      <w:r>
        <w:rPr>
          <w:rFonts w:hint="eastAsia"/>
        </w:rPr>
        <w:t>实验室应建立能力验证结果趋势分析机制。趋势分析宜按项目类别、基体类型、方法平台、人员组别与仪器平台维度进行，识别重复性问题与结构性问题。</w:t>
      </w:r>
    </w:p>
    <w:p w14:paraId="51DED9C1">
      <w:pPr>
        <w:pStyle w:val="165"/>
        <w:spacing w:line="360" w:lineRule="auto"/>
      </w:pPr>
      <w:r>
        <w:rPr>
          <w:rFonts w:hint="eastAsia"/>
        </w:rPr>
        <w:t>趋势分析应关注以下情形：</w:t>
      </w:r>
    </w:p>
    <w:p w14:paraId="6D54A870">
      <w:pPr>
        <w:pStyle w:val="56"/>
        <w:spacing w:line="360" w:lineRule="auto"/>
        <w:ind w:firstLine="420"/>
      </w:pPr>
      <w:r>
        <w:rPr>
          <w:rFonts w:hint="eastAsia"/>
        </w:rPr>
        <w:t>a) 同类项目连续出现可疑或不满意结果；</w:t>
      </w:r>
    </w:p>
    <w:p w14:paraId="63CEBD08">
      <w:pPr>
        <w:pStyle w:val="56"/>
        <w:spacing w:line="360" w:lineRule="auto"/>
        <w:ind w:firstLine="420"/>
      </w:pPr>
      <w:r>
        <w:rPr>
          <w:rFonts w:hint="eastAsia"/>
        </w:rPr>
        <w:t>b) 不同基体下同一指标表现差异显著；</w:t>
      </w:r>
    </w:p>
    <w:p w14:paraId="0D36CEED">
      <w:pPr>
        <w:pStyle w:val="56"/>
        <w:spacing w:line="360" w:lineRule="auto"/>
        <w:ind w:firstLine="420"/>
      </w:pPr>
      <w:r>
        <w:rPr>
          <w:rFonts w:hint="eastAsia"/>
        </w:rPr>
        <w:t>c) 同一指标在不同平台方法间出现系统性偏倚；</w:t>
      </w:r>
    </w:p>
    <w:p w14:paraId="0AAD069C">
      <w:pPr>
        <w:pStyle w:val="56"/>
        <w:spacing w:line="360" w:lineRule="auto"/>
        <w:ind w:firstLine="420"/>
      </w:pPr>
      <w:r>
        <w:rPr>
          <w:rFonts w:hint="eastAsia"/>
        </w:rPr>
        <w:t>d) 微生物定性项目误报或漏报具有方向性特征；</w:t>
      </w:r>
    </w:p>
    <w:p w14:paraId="1CB7F4B8">
      <w:pPr>
        <w:pStyle w:val="56"/>
        <w:spacing w:line="360" w:lineRule="auto"/>
        <w:ind w:firstLine="420"/>
      </w:pPr>
      <w:r>
        <w:rPr>
          <w:rFonts w:hint="eastAsia"/>
        </w:rPr>
        <w:t>e) 结果偏差与质控结果偏差呈相关性。</w:t>
      </w:r>
    </w:p>
    <w:p w14:paraId="5EECCCB4">
      <w:pPr>
        <w:pStyle w:val="165"/>
        <w:spacing w:line="360" w:lineRule="auto"/>
      </w:pPr>
      <w:r>
        <w:rPr>
          <w:rFonts w:hint="eastAsia"/>
        </w:rPr>
        <w:t>趋势分析结论应形成记录，并纳入管理评审输入。对趋势性风险应制定预防措施或能力提升计划。</w:t>
      </w:r>
    </w:p>
    <w:p w14:paraId="7338FBA4">
      <w:pPr>
        <w:pStyle w:val="105"/>
        <w:spacing w:before="120" w:after="120" w:line="360" w:lineRule="auto"/>
      </w:pPr>
      <w:r>
        <w:rPr>
          <w:rFonts w:hint="eastAsia"/>
        </w:rPr>
        <w:t>方法确认与方法迁移控制</w:t>
      </w:r>
    </w:p>
    <w:p w14:paraId="59D4A2A5">
      <w:pPr>
        <w:pStyle w:val="165"/>
        <w:spacing w:line="360" w:lineRule="auto"/>
      </w:pPr>
      <w:r>
        <w:rPr>
          <w:rFonts w:hint="eastAsia"/>
        </w:rPr>
        <w:t>实验室在开展跨领域检测或方法迁移时，应实施方法确认或方法验证。确认内容应与能力验证暴露的风险点一致，重点关注基体适配性、检出限或定量限、准确度、精密度、选择性与稳健性。</w:t>
      </w:r>
    </w:p>
    <w:p w14:paraId="709A3C03">
      <w:pPr>
        <w:pStyle w:val="165"/>
        <w:spacing w:line="360" w:lineRule="auto"/>
      </w:pPr>
      <w:r>
        <w:rPr>
          <w:rFonts w:hint="eastAsia"/>
        </w:rPr>
        <w:t>方法版本与变更应受控。方法标准更新、仪器平台更换、关键试剂耗材更换、培养基配方变更、鉴定数据库更新、数据处理脚本更新等应按变更控制程序实施，并评估对结果的影响。</w:t>
      </w:r>
    </w:p>
    <w:p w14:paraId="759ADE38">
      <w:pPr>
        <w:pStyle w:val="165"/>
        <w:spacing w:line="360" w:lineRule="auto"/>
      </w:pPr>
      <w:r>
        <w:rPr>
          <w:rFonts w:hint="eastAsia"/>
        </w:rPr>
        <w:t>对跨领域链式任务，应开展端到端确认。除单项指标确认外，应验证从样品接收到结果判读与报告表达的全过程一致性，避免局部优化导致整体偏差。</w:t>
      </w:r>
    </w:p>
    <w:p w14:paraId="6CB6549B">
      <w:pPr>
        <w:pStyle w:val="105"/>
        <w:spacing w:before="120" w:after="120" w:line="360" w:lineRule="auto"/>
      </w:pPr>
      <w:r>
        <w:rPr>
          <w:rFonts w:hint="eastAsia"/>
        </w:rPr>
        <w:t>计量溯源与质控体系强化</w:t>
      </w:r>
    </w:p>
    <w:p w14:paraId="7B4816F3">
      <w:pPr>
        <w:pStyle w:val="165"/>
        <w:spacing w:line="360" w:lineRule="auto"/>
      </w:pPr>
      <w:r>
        <w:rPr>
          <w:rFonts w:hint="eastAsia"/>
        </w:rPr>
        <w:t>化学定量项目应确保计量溯源链完整。应对标准物质、标准溶液配制、校准曲线建立与核查、仪器校准与期间核查实施受控管理，并保持可追溯记录。</w:t>
      </w:r>
    </w:p>
    <w:p w14:paraId="416F13F1">
      <w:pPr>
        <w:pStyle w:val="165"/>
        <w:spacing w:line="360" w:lineRule="auto"/>
      </w:pPr>
      <w:r>
        <w:rPr>
          <w:rFonts w:hint="eastAsia"/>
        </w:rPr>
        <w:t>微生物项目应强化过程质控。应对培养基质量、培养条件、菌种对照、阴性对照与阳性对照、污染控制、计数与鉴定一致性实施控制，并记录关键参数。</w:t>
      </w:r>
    </w:p>
    <w:p w14:paraId="505C0206">
      <w:pPr>
        <w:pStyle w:val="165"/>
        <w:spacing w:line="360" w:lineRule="auto"/>
      </w:pPr>
      <w:r>
        <w:rPr>
          <w:rFonts w:hint="eastAsia"/>
        </w:rPr>
        <w:t>跨领域活动宜设置综合质控点。例如同一批次样品并行设置化学加标回收与微生物过程对照，以验证平行组织与交叉污染控制有效性。</w:t>
      </w:r>
    </w:p>
    <w:p w14:paraId="7D973FBC">
      <w:pPr>
        <w:pStyle w:val="105"/>
        <w:spacing w:before="120" w:after="120" w:line="360" w:lineRule="auto"/>
      </w:pPr>
      <w:r>
        <w:rPr>
          <w:rFonts w:hint="eastAsia"/>
        </w:rPr>
        <w:t>人员能力与授权管理</w:t>
      </w:r>
    </w:p>
    <w:p w14:paraId="5B287B86">
      <w:pPr>
        <w:pStyle w:val="165"/>
        <w:spacing w:line="360" w:lineRule="auto"/>
      </w:pPr>
      <w:r>
        <w:rPr>
          <w:rFonts w:hint="eastAsia"/>
        </w:rPr>
        <w:t>实验室应建立跨领域人员能力矩阵。应明确人员在不同领域方法体系下的授权范围、培训记录、考核记录与持续能力保持要求。</w:t>
      </w:r>
    </w:p>
    <w:p w14:paraId="1444E604">
      <w:pPr>
        <w:pStyle w:val="165"/>
        <w:spacing w:line="360" w:lineRule="auto"/>
      </w:pPr>
      <w:r>
        <w:rPr>
          <w:rFonts w:hint="eastAsia"/>
        </w:rPr>
        <w:t>对能力验证暴露的人员差异，应采取针对性措施，包括再培训、岗位轮换、双人复核、关键步骤见证或限制授权范围，并在验证有效后再恢复授权。</w:t>
      </w:r>
    </w:p>
    <w:p w14:paraId="4D2D6BDC">
      <w:pPr>
        <w:pStyle w:val="165"/>
        <w:spacing w:line="360" w:lineRule="auto"/>
      </w:pPr>
      <w:r>
        <w:rPr>
          <w:rFonts w:hint="eastAsia"/>
        </w:rPr>
        <w:t>对关键项目应建立关键岗位备份机制，避免人员变动导致能力波动。</w:t>
      </w:r>
    </w:p>
    <w:p w14:paraId="407C77FB">
      <w:pPr>
        <w:pStyle w:val="105"/>
        <w:spacing w:before="120" w:after="120" w:line="360" w:lineRule="auto"/>
      </w:pPr>
      <w:r>
        <w:rPr>
          <w:rFonts w:hint="eastAsia"/>
        </w:rPr>
        <w:t>内部比对与外部质量活动结合</w:t>
      </w:r>
    </w:p>
    <w:p w14:paraId="4A64AD8C">
      <w:pPr>
        <w:pStyle w:val="165"/>
        <w:spacing w:line="360" w:lineRule="auto"/>
      </w:pPr>
      <w:r>
        <w:rPr>
          <w:rFonts w:hint="eastAsia"/>
        </w:rPr>
        <w:t>实验室应将跨领域能力验证与内部比对结合。对高风险或高频交叉项目，可定期开展内部比对或分支机构比对，作为外部能力验证之间的能力保持手段。</w:t>
      </w:r>
    </w:p>
    <w:p w14:paraId="4C63AC8E">
      <w:pPr>
        <w:pStyle w:val="165"/>
        <w:spacing w:line="360" w:lineRule="auto"/>
      </w:pPr>
      <w:r>
        <w:rPr>
          <w:rFonts w:hint="eastAsia"/>
        </w:rPr>
        <w:t>对具备条件的实验室，可参加多提供者或多方案的能力验证，或参加协同试验与方法比对，提升对系统性偏差的识别能力。</w:t>
      </w:r>
    </w:p>
    <w:p w14:paraId="6B90314D">
      <w:pPr>
        <w:pStyle w:val="165"/>
        <w:spacing w:line="360" w:lineRule="auto"/>
      </w:pPr>
      <w:r>
        <w:rPr>
          <w:rFonts w:hint="eastAsia"/>
        </w:rPr>
        <w:t>当外部能力验证覆盖不足时，应制定替代质量活动计划，并明确等效性论证与记录要求，确保满足认可与监管要求。</w:t>
      </w:r>
    </w:p>
    <w:p w14:paraId="0DFCF52F">
      <w:pPr>
        <w:pStyle w:val="105"/>
        <w:spacing w:before="120" w:after="120" w:line="360" w:lineRule="auto"/>
      </w:pPr>
      <w:r>
        <w:rPr>
          <w:rFonts w:hint="eastAsia"/>
        </w:rPr>
        <w:t>持续改进计划与绩效指标</w:t>
      </w:r>
    </w:p>
    <w:p w14:paraId="6A27118D">
      <w:pPr>
        <w:pStyle w:val="165"/>
        <w:spacing w:line="360" w:lineRule="auto"/>
      </w:pPr>
      <w:r>
        <w:rPr>
          <w:rFonts w:hint="eastAsia"/>
        </w:rPr>
        <w:t>实验室应形成年度或周期性能力提升计划。计划应明确改进目标、覆盖项目、责任人、资源配置、里程碑节点与预期指标。</w:t>
      </w:r>
    </w:p>
    <w:p w14:paraId="65802A54">
      <w:pPr>
        <w:pStyle w:val="165"/>
        <w:spacing w:line="360" w:lineRule="auto"/>
      </w:pPr>
      <w:r>
        <w:rPr>
          <w:rFonts w:hint="eastAsia"/>
        </w:rPr>
        <w:t>绩效指标宜包括满意率、可疑率、不满意率、复发率、纠正措施按期关闭率、验证有效率、关键质控点合格率、方法确认通过率等。</w:t>
      </w:r>
    </w:p>
    <w:p w14:paraId="5EAEFCA6">
      <w:pPr>
        <w:pStyle w:val="165"/>
        <w:spacing w:line="360" w:lineRule="auto"/>
      </w:pPr>
      <w:r>
        <w:rPr>
          <w:rFonts w:hint="eastAsia"/>
        </w:rPr>
        <w:t>持续改进应形成管理闭环。计划执行情况与指标达成情况应在管理评审中评价，并根据风险与资源调整下一周期计划。</w:t>
      </w:r>
    </w:p>
    <w:p w14:paraId="3AC5AB09">
      <w:pPr>
        <w:pStyle w:val="104"/>
        <w:spacing w:before="240" w:after="240" w:line="360" w:lineRule="auto"/>
      </w:pPr>
      <w:bookmarkStart w:id="56" w:name="_Toc219106298"/>
      <w:r>
        <w:rPr>
          <w:rFonts w:hint="eastAsia"/>
        </w:rPr>
        <w:t>文件记录与报告管理</w:t>
      </w:r>
      <w:bookmarkEnd w:id="56"/>
    </w:p>
    <w:p w14:paraId="656F271E">
      <w:pPr>
        <w:pStyle w:val="105"/>
        <w:spacing w:before="120" w:after="120" w:line="360" w:lineRule="auto"/>
      </w:pPr>
      <w:r>
        <w:rPr>
          <w:rFonts w:hint="eastAsia"/>
        </w:rPr>
        <w:t>一般要求</w:t>
      </w:r>
    </w:p>
    <w:p w14:paraId="552B9208">
      <w:pPr>
        <w:pStyle w:val="165"/>
        <w:spacing w:line="360" w:lineRule="auto"/>
      </w:pPr>
      <w:r>
        <w:rPr>
          <w:rFonts w:hint="eastAsia"/>
        </w:rPr>
        <w:t>跨领域能力验证相关文件与记录应满足可追溯、可复核与可审计要求。文件记录管理应覆盖策划、实施、统计评价、结果发布、偏差处置、纠正措施验证与能力保持等全过程。</w:t>
      </w:r>
    </w:p>
    <w:p w14:paraId="7CC67229">
      <w:pPr>
        <w:pStyle w:val="165"/>
        <w:spacing w:line="360" w:lineRule="auto"/>
      </w:pPr>
      <w:r>
        <w:rPr>
          <w:rFonts w:hint="eastAsia"/>
        </w:rPr>
        <w:t>记录形式可为纸质或电子形式。采用电子记录时应具备权限控制、日志审计、备份与防篡改措施，并确保电子签名或确认机制有效。</w:t>
      </w:r>
    </w:p>
    <w:p w14:paraId="4DFE608A">
      <w:pPr>
        <w:pStyle w:val="105"/>
        <w:spacing w:before="120" w:after="120" w:line="360" w:lineRule="auto"/>
      </w:pPr>
      <w:r>
        <w:rPr>
          <w:rFonts w:hint="eastAsia"/>
        </w:rPr>
        <w:t>文件体系构成</w:t>
      </w:r>
    </w:p>
    <w:p w14:paraId="14AC2950">
      <w:pPr>
        <w:pStyle w:val="65"/>
        <w:spacing w:before="120" w:after="120" w:line="360" w:lineRule="auto"/>
      </w:pPr>
      <w:r>
        <w:rPr>
          <w:rFonts w:hint="eastAsia"/>
        </w:rPr>
        <w:t>能力验证组织方文件</w:t>
      </w:r>
    </w:p>
    <w:p w14:paraId="1A1D6BF8">
      <w:pPr>
        <w:pStyle w:val="56"/>
        <w:spacing w:line="360" w:lineRule="auto"/>
        <w:ind w:firstLine="420"/>
      </w:pPr>
      <w:r>
        <w:rPr>
          <w:rFonts w:hint="eastAsia"/>
        </w:rPr>
        <w:t>组织方应形成并受控管理以下文件：活动通知或计划文件、方案文件、样品制备与质量控制记录、均匀性与稳定性验证记录、样品分发与物流记录、数据收集与预处理记录、统计评价记录、报告发布记录、沟通答疑记录与改进建议记录。</w:t>
      </w:r>
    </w:p>
    <w:p w14:paraId="2346D26D">
      <w:pPr>
        <w:pStyle w:val="65"/>
        <w:spacing w:before="120" w:after="120" w:line="360" w:lineRule="auto"/>
      </w:pPr>
      <w:r>
        <w:rPr>
          <w:rFonts w:hint="eastAsia"/>
        </w:rPr>
        <w:t>参加方文件</w:t>
      </w:r>
    </w:p>
    <w:p w14:paraId="71459D49">
      <w:pPr>
        <w:pStyle w:val="56"/>
        <w:spacing w:line="360" w:lineRule="auto"/>
        <w:ind w:firstLine="420"/>
      </w:pPr>
      <w:r>
        <w:rPr>
          <w:rFonts w:hint="eastAsia"/>
        </w:rPr>
        <w:t>参加方应形成并受控管理以下文件：报名与确认记录、样品接收与保存记录、检测原始记录、培养与鉴定记录或分析原始输出、质控记录、数据处理与换算记录、提交结果记录、结果复核记录、偏差调查与纠正措施记录、有效性验证记录与管理评审输入记录。</w:t>
      </w:r>
    </w:p>
    <w:p w14:paraId="19D323C8">
      <w:pPr>
        <w:pStyle w:val="65"/>
        <w:spacing w:before="120" w:after="120" w:line="360" w:lineRule="auto"/>
      </w:pPr>
      <w:r>
        <w:rPr>
          <w:rFonts w:hint="eastAsia"/>
        </w:rPr>
        <w:t>支撑性文件</w:t>
      </w:r>
    </w:p>
    <w:p w14:paraId="76F24CA0">
      <w:pPr>
        <w:pStyle w:val="56"/>
        <w:spacing w:line="360" w:lineRule="auto"/>
        <w:ind w:firstLine="420"/>
      </w:pPr>
      <w:r>
        <w:rPr>
          <w:rFonts w:hint="eastAsia"/>
        </w:rPr>
        <w:t>支撑性文件包括适用方法标准与作业指导书、仪器设备校准与期间核查记录、标准物质与试剂耗材管理记录、生物安全与废弃物处置记录、人员培训与授权记录以及数据管理与信息安全制度文件。</w:t>
      </w:r>
    </w:p>
    <w:p w14:paraId="6D405A3B">
      <w:pPr>
        <w:pStyle w:val="105"/>
        <w:spacing w:before="120" w:after="120" w:line="360" w:lineRule="auto"/>
      </w:pPr>
      <w:r>
        <w:rPr>
          <w:rFonts w:hint="eastAsia"/>
        </w:rPr>
        <w:t>记录要素与关联要求</w:t>
      </w:r>
    </w:p>
    <w:p w14:paraId="1DE33BF7">
      <w:pPr>
        <w:pStyle w:val="165"/>
        <w:spacing w:line="360" w:lineRule="auto"/>
      </w:pPr>
      <w:r>
        <w:rPr>
          <w:rFonts w:hint="eastAsia"/>
        </w:rPr>
        <w:t>记录应具备唯一标识与关联关系。应建立能力验证活动编号与样品编号体系，参加方内部记录应能关联到对应活动与样品批次，确保追溯链完整。</w:t>
      </w:r>
    </w:p>
    <w:p w14:paraId="1D91220E">
      <w:pPr>
        <w:pStyle w:val="165"/>
        <w:spacing w:line="360" w:lineRule="auto"/>
      </w:pPr>
      <w:r>
        <w:rPr>
          <w:rFonts w:hint="eastAsia"/>
        </w:rPr>
        <w:t>记录应包含关键元数据。关键元数据至少包括记录形成时间、责任人或操作者、方法版本、仪器平台、关键参数、质控结论、数据处理版本与复核人员信息。</w:t>
      </w:r>
    </w:p>
    <w:p w14:paraId="607E69F4">
      <w:pPr>
        <w:pStyle w:val="165"/>
        <w:spacing w:line="360" w:lineRule="auto"/>
      </w:pPr>
      <w:r>
        <w:rPr>
          <w:rFonts w:hint="eastAsia"/>
        </w:rPr>
        <w:t>对跨领域组合项目，应确保不同领域记录可联动检索。例如同一样品的化学检测记录与微生物检测记录应能按样品编号关联，支持交叉污染与流程一致性分析。</w:t>
      </w:r>
    </w:p>
    <w:p w14:paraId="692CF194">
      <w:pPr>
        <w:pStyle w:val="56"/>
        <w:ind w:firstLine="420"/>
      </w:pPr>
    </w:p>
    <w:p w14:paraId="2BAB2105">
      <w:pPr>
        <w:pStyle w:val="56"/>
        <w:ind w:firstLine="420"/>
      </w:pPr>
    </w:p>
    <w:p w14:paraId="67E88DA1">
      <w:pPr>
        <w:pStyle w:val="56"/>
        <w:ind w:firstLine="420"/>
        <w:rPr>
          <w:rFonts w:hint="eastAsia"/>
        </w:rPr>
      </w:pPr>
    </w:p>
    <w:p w14:paraId="2E6B9E56">
      <w:pPr>
        <w:pStyle w:val="56"/>
        <w:ind w:firstLine="420"/>
      </w:pPr>
    </w:p>
    <w:p w14:paraId="0F4150B1">
      <w:pPr>
        <w:pStyle w:val="56"/>
        <w:ind w:firstLine="420"/>
      </w:pPr>
    </w:p>
    <w:p w14:paraId="76AE6B2C">
      <w:pPr>
        <w:pStyle w:val="56"/>
        <w:ind w:firstLine="420"/>
        <w:rPr>
          <w:rFonts w:hint="eastAsia"/>
        </w:rPr>
      </w:pPr>
    </w:p>
    <w:p w14:paraId="40044E50">
      <w:pPr>
        <w:pStyle w:val="105"/>
        <w:spacing w:before="120" w:after="120" w:line="360" w:lineRule="auto"/>
      </w:pPr>
      <w:r>
        <w:rPr>
          <w:rFonts w:hint="eastAsia"/>
        </w:rPr>
        <w:t>结果报告管理</w:t>
      </w:r>
    </w:p>
    <w:p w14:paraId="4874ABF6">
      <w:pPr>
        <w:pStyle w:val="65"/>
        <w:spacing w:before="120" w:after="120" w:line="360" w:lineRule="auto"/>
      </w:pPr>
      <w:r>
        <w:rPr>
          <w:rFonts w:hint="eastAsia"/>
        </w:rPr>
        <w:t>组织方报告</w:t>
      </w:r>
    </w:p>
    <w:p w14:paraId="44CB38C8">
      <w:pPr>
        <w:pStyle w:val="56"/>
        <w:spacing w:line="360" w:lineRule="auto"/>
        <w:ind w:firstLine="420"/>
      </w:pPr>
      <w:r>
        <w:rPr>
          <w:rFonts w:hint="eastAsia"/>
        </w:rPr>
        <w:t>组织方应发布能力验证报告或结果通报文件。报告应至少包含活动概况、样品信息与保存条件、指定值与评价参数、统计方法、结果判定规则、参加方结果摘要、总体表现分析、异常情况说明与改进建议。</w:t>
      </w:r>
    </w:p>
    <w:p w14:paraId="61451679">
      <w:pPr>
        <w:pStyle w:val="65"/>
        <w:spacing w:before="120" w:after="120" w:line="360" w:lineRule="auto"/>
      </w:pPr>
      <w:r>
        <w:rPr>
          <w:rFonts w:hint="eastAsia"/>
        </w:rPr>
        <w:t>参加方内部报告</w:t>
      </w:r>
    </w:p>
    <w:p w14:paraId="2870ADD1">
      <w:pPr>
        <w:pStyle w:val="56"/>
        <w:spacing w:line="360" w:lineRule="auto"/>
        <w:ind w:firstLine="420"/>
      </w:pPr>
      <w:r>
        <w:rPr>
          <w:rFonts w:hint="eastAsia"/>
        </w:rPr>
        <w:t>参加方应形成内部评审记录或内部报告，至少包括结果判定结论、与历史表现对比、偏差调查与纠正措施摘要、有效性验证结论与能力保持计划输入。</w:t>
      </w:r>
    </w:p>
    <w:p w14:paraId="64D149F0">
      <w:pPr>
        <w:pStyle w:val="65"/>
        <w:spacing w:before="120" w:after="120" w:line="360" w:lineRule="auto"/>
      </w:pPr>
      <w:r>
        <w:rPr>
          <w:rFonts w:hint="eastAsia"/>
        </w:rPr>
        <w:t>报告发布与分发控制</w:t>
      </w:r>
    </w:p>
    <w:p w14:paraId="0B0AED6A">
      <w:pPr>
        <w:pStyle w:val="56"/>
        <w:spacing w:line="360" w:lineRule="auto"/>
        <w:ind w:firstLine="420"/>
      </w:pPr>
      <w:r>
        <w:rPr>
          <w:rFonts w:hint="eastAsia"/>
        </w:rPr>
        <w:t>组织方报告发布应执行保密与权限控制。参加方身份编码与结果数据应按方案约定披露，未经授权不得公开参加方对应关系。参加方内部传播应控制范围，避免敏感信息外泄。</w:t>
      </w:r>
    </w:p>
    <w:p w14:paraId="42B2C60C">
      <w:pPr>
        <w:pStyle w:val="105"/>
        <w:spacing w:before="120" w:after="120" w:line="360" w:lineRule="auto"/>
      </w:pPr>
      <w:r>
        <w:rPr>
          <w:rFonts w:hint="eastAsia"/>
        </w:rPr>
        <w:t>记录保存期限与备份要求</w:t>
      </w:r>
    </w:p>
    <w:p w14:paraId="2ED00EA2">
      <w:pPr>
        <w:pStyle w:val="165"/>
        <w:spacing w:line="360" w:lineRule="auto"/>
      </w:pPr>
      <w:r>
        <w:rPr>
          <w:rFonts w:hint="eastAsia"/>
        </w:rPr>
        <w:t>保存期限应符合认可机构、监管部门与实验室内部制度要求。未规定时，宜至少覆盖一个认可周期或满足可追溯需要的最短期限。</w:t>
      </w:r>
    </w:p>
    <w:p w14:paraId="47DB788F">
      <w:pPr>
        <w:pStyle w:val="165"/>
        <w:spacing w:line="360" w:lineRule="auto"/>
      </w:pPr>
      <w:r>
        <w:rPr>
          <w:rFonts w:hint="eastAsia"/>
        </w:rPr>
        <w:t>电子记录应建立备份机制。应设置定期备份、异地备份或云备份，并定期验证备份可恢复性。对关键原始数据文件应采用校验码或哈希方式进行完整性验证。</w:t>
      </w:r>
    </w:p>
    <w:p w14:paraId="08E110BF">
      <w:pPr>
        <w:pStyle w:val="165"/>
        <w:spacing w:line="360" w:lineRule="auto"/>
      </w:pPr>
      <w:r>
        <w:rPr>
          <w:rFonts w:hint="eastAsia"/>
        </w:rPr>
        <w:t>记录更改应受控。记录更改应保留更改前信息、更改原因、更改人和更改时间，禁止无痕覆盖修改。</w:t>
      </w:r>
    </w:p>
    <w:p w14:paraId="2E57F925">
      <w:pPr>
        <w:pStyle w:val="105"/>
        <w:spacing w:before="120" w:after="120" w:line="360" w:lineRule="auto"/>
      </w:pPr>
      <w:r>
        <w:rPr>
          <w:rFonts w:hint="eastAsia"/>
        </w:rPr>
        <w:t>信息安全与隐私保护</w:t>
      </w:r>
    </w:p>
    <w:p w14:paraId="48CE4C47">
      <w:pPr>
        <w:pStyle w:val="165"/>
        <w:spacing w:line="360" w:lineRule="auto"/>
      </w:pPr>
      <w:r>
        <w:rPr>
          <w:rFonts w:hint="eastAsia"/>
        </w:rPr>
        <w:t>能力验证数据应按敏感等级分类管理。指定值、评价参数与统计模型在报告发布前应作为受控信息管理，参加方身份信息应严格保密。</w:t>
      </w:r>
    </w:p>
    <w:p w14:paraId="199C412F">
      <w:pPr>
        <w:pStyle w:val="165"/>
        <w:spacing w:line="360" w:lineRule="auto"/>
      </w:pPr>
      <w:r>
        <w:rPr>
          <w:rFonts w:hint="eastAsia"/>
        </w:rPr>
        <w:t>电子系统应实施访问控制与日志审计。应对登录、下载、导出、修改与共享等操作记录审计日志，并对异常访问进行告警或处置。</w:t>
      </w:r>
    </w:p>
    <w:p w14:paraId="57FFACF1">
      <w:pPr>
        <w:pStyle w:val="165"/>
        <w:spacing w:line="360" w:lineRule="auto"/>
      </w:pPr>
      <w:r>
        <w:rPr>
          <w:rFonts w:hint="eastAsia"/>
        </w:rPr>
        <w:t>涉及客户样品或客户数据的内部比对记录，应遵循客户保密要求与数据最小化原则，必要时进行脱敏处理。</w:t>
      </w:r>
    </w:p>
    <w:p w14:paraId="71A7EE33">
      <w:pPr>
        <w:pStyle w:val="105"/>
        <w:spacing w:before="120" w:after="120" w:line="360" w:lineRule="auto"/>
      </w:pPr>
      <w:r>
        <w:rPr>
          <w:rFonts w:hint="eastAsia"/>
        </w:rPr>
        <w:t>归档与管理评审衔接</w:t>
      </w:r>
    </w:p>
    <w:p w14:paraId="4A319975">
      <w:pPr>
        <w:pStyle w:val="165"/>
        <w:spacing w:line="360" w:lineRule="auto"/>
      </w:pPr>
      <w:r>
        <w:rPr>
          <w:rFonts w:hint="eastAsia"/>
        </w:rPr>
        <w:t>能力验证文件记录应按活动完成后及时归档。归档应包含完整清单与索引，便于评审与追溯。</w:t>
      </w:r>
    </w:p>
    <w:p w14:paraId="7F2B0A67">
      <w:pPr>
        <w:pStyle w:val="165"/>
        <w:spacing w:line="360" w:lineRule="auto"/>
      </w:pPr>
      <w:r>
        <w:rPr>
          <w:rFonts w:hint="eastAsia"/>
        </w:rPr>
        <w:t>能力验证结果与纠正措施应作为管理评审输入。管理评审应评价能力验证目标达成情况、趋势性风险、纠正措施有效性与资源需求，并形成决议与行动项。</w:t>
      </w:r>
    </w:p>
    <w:p w14:paraId="29732547">
      <w:pPr>
        <w:pStyle w:val="165"/>
        <w:spacing w:line="360" w:lineRule="auto"/>
      </w:pPr>
      <w:r>
        <w:rPr>
          <w:rFonts w:hint="eastAsia"/>
        </w:rPr>
        <w:t>对连续异常或系统性偏差，应在管理评审中明确提升计划与责任分工，并纳入后续能力验证策划优先级。</w:t>
      </w:r>
    </w:p>
    <w:bookmarkEnd w:id="26"/>
    <w:p w14:paraId="285226B2">
      <w:pPr>
        <w:pStyle w:val="56"/>
        <w:ind w:firstLine="0" w:firstLineChars="0"/>
        <w:jc w:val="center"/>
      </w:pPr>
      <w:bookmarkStart w:id="57" w:name="BookMark8"/>
      <w:r>
        <w:drawing>
          <wp:inline distT="0" distB="0" distL="0" distR="0">
            <wp:extent cx="1485900" cy="317500"/>
            <wp:effectExtent l="0" t="0" r="0" b="6350"/>
            <wp:docPr id="1226007378" name="图片 4"/>
            <wp:cNvGraphicFramePr/>
            <a:graphic xmlns:a="http://schemas.openxmlformats.org/drawingml/2006/main">
              <a:graphicData uri="http://schemas.openxmlformats.org/drawingml/2006/picture">
                <pic:pic xmlns:pic="http://schemas.openxmlformats.org/drawingml/2006/picture">
                  <pic:nvPicPr>
                    <pic:cNvPr id="1226007378" name="图片 4"/>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1276">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CA0C">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A5FA">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CB9E">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ADE9">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92EB1">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1D0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F1C1">
    <w:pPr>
      <w:pStyle w:val="61"/>
    </w:pPr>
    <w:r>
      <w:fldChar w:fldCharType="begin"/>
    </w:r>
    <w:r>
      <w:instrText xml:space="preserve"> STYLEREF  标准文件_文件编号  \* MERGEFORMAT </w:instrText>
    </w:r>
    <w:r>
      <w:fldChar w:fldCharType="separate"/>
    </w:r>
    <w:r>
      <w:t>T/XJBX 0185—2026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DF5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0185—2026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0185—2026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0185—2026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053D">
    <w:pPr>
      <w:pStyle w:val="61"/>
    </w:pPr>
    <w:r>
      <w:fldChar w:fldCharType="begin"/>
    </w:r>
    <w:r>
      <w:instrText xml:space="preserve"> STYLEREF  标准文件_文件编号  \* MERGEFORMAT </w:instrText>
    </w:r>
    <w:r>
      <w:fldChar w:fldCharType="separate"/>
    </w:r>
    <w:r>
      <w:t>T/XJBX 0185—2026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78C5">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0185—2026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F6CB">
    <w:pPr>
      <w:pStyle w:val="61"/>
    </w:pPr>
    <w:r>
      <w:fldChar w:fldCharType="begin"/>
    </w:r>
    <w:r>
      <w:instrText xml:space="preserve"> STYLEREF  标准文件_文件编号  \* MERGEFORMAT </w:instrText>
    </w:r>
    <w:r>
      <w:fldChar w:fldCharType="separate"/>
    </w:r>
    <w:r>
      <w:t>T/XJBX 0185—2026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B2DE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0185—2026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2A7"/>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0261"/>
    <w:rsid w:val="00104926"/>
    <w:rsid w:val="00106EF9"/>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B80"/>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47B58"/>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0BE2"/>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24B"/>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3D4"/>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7FB"/>
    <w:rsid w:val="0078114B"/>
    <w:rsid w:val="00781DD2"/>
    <w:rsid w:val="007825DB"/>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33F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C17"/>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41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0AE1"/>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D960666"/>
    <w:rsid w:val="6212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jpe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8ED3E05">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757ACA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52F947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3E31"/>
    <w:rsid w:val="00073F92"/>
    <w:rsid w:val="00100261"/>
    <w:rsid w:val="00152265"/>
    <w:rsid w:val="00232C79"/>
    <w:rsid w:val="005E6634"/>
    <w:rsid w:val="006D32BE"/>
    <w:rsid w:val="007146E1"/>
    <w:rsid w:val="00AE1DC6"/>
    <w:rsid w:val="00E51851"/>
    <w:rsid w:val="00F35A8C"/>
    <w:rsid w:val="00FF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5070</Words>
  <Characters>5508</Characters>
  <Lines>99</Lines>
  <Paragraphs>28</Paragraphs>
  <TotalTime>133</TotalTime>
  <ScaleCrop>false</ScaleCrop>
  <LinksUpToDate>false</LinksUpToDate>
  <CharactersWithSpaces>5617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2025-08-08T01:30:00Z</dcterms:created>
  <dc:creator>Jianyi Huang</dc:creator>
  <dc:description>&lt;config cover="true" show_menu="true" version="1.0.0" doctype="SDKXY"&gt;_x000d_
&lt;/config&gt;</dc:description>
  <cp:lastModifiedBy>WPS_1602478251</cp:lastModifiedBy>
  <cp:lastPrinted>2021-02-02T07:22:00Z</cp:lastPrinted>
  <dcterms:modified xsi:type="dcterms:W3CDTF">2026-01-15T02:22:11Z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CCB7BC78265D4DF0B500B86B52EB9D9F_12</vt:lpwstr>
  </property>
</Properties>
</file>