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17.02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17.020</w:t>
            </w:r>
            <w:r>
              <w:rPr>
                <w:rFonts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N 13"/>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N 13</w:t>
            </w:r>
            <w:r>
              <w:rPr>
                <w:rFonts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83"/>
            </w:textInput>
          </w:ffData>
        </w:fldChar>
      </w:r>
      <w:bookmarkStart w:id="6" w:name="NSTD_CODE_F"/>
      <w:r>
        <w:instrText xml:space="preserve"> FORMTEXT </w:instrText>
      </w:r>
      <w:r>
        <w:fldChar w:fldCharType="separate"/>
      </w:r>
      <w:r>
        <w:t>0183</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fldChar w:fldCharType="begin">
          <w:ffData>
            <w:name w:val="CSTD_NAME"/>
            <w:enabled/>
            <w:calcOnExit w:val="0"/>
            <w:textInput>
              <w:default w:val="计量砝码检定溯源与量值传递技术指南"/>
            </w:textInput>
          </w:ffData>
        </w:fldChar>
      </w:r>
      <w:bookmarkStart w:id="9" w:name="CSTD_NAME"/>
      <w:r>
        <w:instrText xml:space="preserve"> FORMTEXT </w:instrText>
      </w:r>
      <w:r>
        <w:fldChar w:fldCharType="separate"/>
      </w:r>
      <w:r>
        <w:t>计量砝码检定溯源与量值传递技术指南</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Guideline for calibration traceability and value transfer technology of weight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Guideline for calibration traceability and value transfer technology of weights</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50269A5F">
      <w:pPr>
        <w:pStyle w:val="91"/>
        <w:spacing w:after="360"/>
      </w:pPr>
      <w:bookmarkStart w:id="21" w:name="BookMark1"/>
      <w:r>
        <w:rPr>
          <w:rFonts w:hint="eastAsia"/>
          <w:spacing w:val="320"/>
        </w:rPr>
        <w:t>目</w:t>
      </w:r>
      <w:r>
        <w:rPr>
          <w:rFonts w:hint="eastAsia"/>
        </w:rPr>
        <w:t>次</w:t>
      </w:r>
    </w:p>
    <w:p w14:paraId="50B596F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"_Toc219103400"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_Toc219103400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616C6DF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"_Toc219103401"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_Toc219103401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17C3BBC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"_Toc219103402"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_Toc219103402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B08993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"_Toc219103403"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_Toc219103403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3EAA27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"_Toc219103404"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_Toc219103404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B6817C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"_Toc219103405"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_Toc219103405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36632D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"_Toc219103406" </w:instrText>
      </w:r>
      <w:r>
        <w:fldChar w:fldCharType="separate"/>
      </w:r>
      <w:r>
        <w:rPr>
          <w:rStyle w:val="32"/>
          <w:rFonts w:hint="eastAsia"/>
        </w:rPr>
        <w:t>5</w:t>
      </w:r>
      <w:r>
        <w:rPr>
          <w:rStyle w:val="32"/>
        </w:rPr>
        <w:t xml:space="preserve"> </w:t>
      </w:r>
      <w:r>
        <w:rPr>
          <w:rStyle w:val="32"/>
          <w:rFonts w:hint="eastAsia"/>
        </w:rPr>
        <w:t xml:space="preserve"> 溯源体系与量值传递链设计</w:t>
      </w:r>
      <w:r>
        <w:rPr>
          <w:rFonts w:hint="eastAsia"/>
        </w:rPr>
        <w:tab/>
      </w:r>
      <w:r>
        <w:rPr>
          <w:rFonts w:hint="eastAsia"/>
        </w:rPr>
        <w:fldChar w:fldCharType="begin"/>
      </w:r>
      <w:r>
        <w:rPr>
          <w:rFonts w:hint="eastAsia"/>
        </w:rPr>
        <w:instrText xml:space="preserve"> </w:instrText>
      </w:r>
      <w:r>
        <w:instrText xml:space="preserve">PAGEREF _Toc219103406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2B96FC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"_Toc219103407" </w:instrText>
      </w:r>
      <w:r>
        <w:fldChar w:fldCharType="separate"/>
      </w:r>
      <w:r>
        <w:rPr>
          <w:rStyle w:val="32"/>
          <w:rFonts w:hint="eastAsia"/>
        </w:rPr>
        <w:t>6</w:t>
      </w:r>
      <w:r>
        <w:rPr>
          <w:rStyle w:val="32"/>
        </w:rPr>
        <w:t xml:space="preserve"> </w:t>
      </w:r>
      <w:r>
        <w:rPr>
          <w:rStyle w:val="32"/>
          <w:rFonts w:hint="eastAsia"/>
        </w:rPr>
        <w:t xml:space="preserve"> 检定校准方法与过程控制</w:t>
      </w:r>
      <w:r>
        <w:rPr>
          <w:rFonts w:hint="eastAsia"/>
        </w:rPr>
        <w:tab/>
      </w:r>
      <w:r>
        <w:rPr>
          <w:rFonts w:hint="eastAsia"/>
        </w:rPr>
        <w:fldChar w:fldCharType="begin"/>
      </w:r>
      <w:r>
        <w:rPr>
          <w:rFonts w:hint="eastAsia"/>
        </w:rPr>
        <w:instrText xml:space="preserve"> </w:instrText>
      </w:r>
      <w:r>
        <w:instrText xml:space="preserve">PAGEREF _Toc219103407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F02AB1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"_Toc219103408" </w:instrText>
      </w:r>
      <w:r>
        <w:fldChar w:fldCharType="separate"/>
      </w:r>
      <w:r>
        <w:rPr>
          <w:rStyle w:val="32"/>
          <w:rFonts w:hint="eastAsia"/>
        </w:rPr>
        <w:t>7</w:t>
      </w:r>
      <w:r>
        <w:rPr>
          <w:rStyle w:val="32"/>
        </w:rPr>
        <w:t xml:space="preserve"> </w:t>
      </w:r>
      <w:r>
        <w:rPr>
          <w:rStyle w:val="32"/>
          <w:rFonts w:hint="eastAsia"/>
        </w:rPr>
        <w:t xml:space="preserve"> 证书与标识管理</w:t>
      </w:r>
      <w:r>
        <w:rPr>
          <w:rFonts w:hint="eastAsia"/>
        </w:rPr>
        <w:tab/>
      </w:r>
      <w:r>
        <w:rPr>
          <w:rFonts w:hint="eastAsia"/>
        </w:rPr>
        <w:fldChar w:fldCharType="begin"/>
      </w:r>
      <w:r>
        <w:rPr>
          <w:rFonts w:hint="eastAsia"/>
        </w:rPr>
        <w:instrText xml:space="preserve"> </w:instrText>
      </w:r>
      <w:r>
        <w:instrText xml:space="preserve">PAGEREF _Toc219103408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246A843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"_Toc219103409" </w:instrText>
      </w:r>
      <w:r>
        <w:fldChar w:fldCharType="separate"/>
      </w:r>
      <w:r>
        <w:rPr>
          <w:rStyle w:val="32"/>
          <w:rFonts w:hint="eastAsia"/>
        </w:rPr>
        <w:t>8</w:t>
      </w:r>
      <w:r>
        <w:rPr>
          <w:rStyle w:val="32"/>
        </w:rPr>
        <w:t xml:space="preserve"> </w:t>
      </w:r>
      <w:r>
        <w:rPr>
          <w:rStyle w:val="32"/>
          <w:rFonts w:hint="eastAsia"/>
        </w:rPr>
        <w:t xml:space="preserve"> 期间核查与复检周期管理</w:t>
      </w:r>
      <w:r>
        <w:rPr>
          <w:rFonts w:hint="eastAsia"/>
        </w:rPr>
        <w:tab/>
      </w:r>
      <w:r>
        <w:rPr>
          <w:rFonts w:hint="eastAsia"/>
        </w:rPr>
        <w:fldChar w:fldCharType="begin"/>
      </w:r>
      <w:r>
        <w:rPr>
          <w:rFonts w:hint="eastAsia"/>
        </w:rPr>
        <w:instrText xml:space="preserve"> </w:instrText>
      </w:r>
      <w:r>
        <w:instrText xml:space="preserve">PAGEREF _Toc219103409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255F43B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"_Toc219103410" </w:instrText>
      </w:r>
      <w:r>
        <w:fldChar w:fldCharType="separate"/>
      </w:r>
      <w:r>
        <w:rPr>
          <w:rStyle w:val="32"/>
          <w:rFonts w:hint="eastAsia"/>
        </w:rPr>
        <w:t>9</w:t>
      </w:r>
      <w:r>
        <w:rPr>
          <w:rStyle w:val="32"/>
        </w:rPr>
        <w:t xml:space="preserve"> </w:t>
      </w:r>
      <w:r>
        <w:rPr>
          <w:rStyle w:val="32"/>
          <w:rFonts w:hint="eastAsia"/>
        </w:rPr>
        <w:t xml:space="preserve"> 运输贮存与维护管理</w:t>
      </w:r>
      <w:r>
        <w:rPr>
          <w:rFonts w:hint="eastAsia"/>
        </w:rPr>
        <w:tab/>
      </w:r>
      <w:r>
        <w:rPr>
          <w:rFonts w:hint="eastAsia"/>
        </w:rPr>
        <w:fldChar w:fldCharType="begin"/>
      </w:r>
      <w:r>
        <w:rPr>
          <w:rFonts w:hint="eastAsia"/>
        </w:rPr>
        <w:instrText xml:space="preserve"> </w:instrText>
      </w:r>
      <w:r>
        <w:instrText xml:space="preserve">PAGEREF _Toc219103410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52B5A87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"_Toc219103411" </w:instrText>
      </w:r>
      <w:r>
        <w:fldChar w:fldCharType="separate"/>
      </w:r>
      <w:r>
        <w:rPr>
          <w:rStyle w:val="32"/>
          <w:rFonts w:hint="eastAsia"/>
        </w:rPr>
        <w:t>10</w:t>
      </w:r>
      <w:r>
        <w:rPr>
          <w:rStyle w:val="32"/>
        </w:rPr>
        <w:t xml:space="preserve"> </w:t>
      </w:r>
      <w:r>
        <w:rPr>
          <w:rStyle w:val="32"/>
          <w:rFonts w:hint="eastAsia"/>
        </w:rPr>
        <w:t xml:space="preserve"> 数据与档案管理</w:t>
      </w:r>
      <w:r>
        <w:rPr>
          <w:rFonts w:hint="eastAsia"/>
        </w:rPr>
        <w:tab/>
      </w:r>
      <w:r>
        <w:rPr>
          <w:rFonts w:hint="eastAsia"/>
        </w:rPr>
        <w:fldChar w:fldCharType="begin"/>
      </w:r>
      <w:r>
        <w:rPr>
          <w:rFonts w:hint="eastAsia"/>
        </w:rPr>
        <w:instrText xml:space="preserve"> </w:instrText>
      </w:r>
      <w:r>
        <w:instrText xml:space="preserve">PAGEREF _Toc219103411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0A47B730">
      <w:pPr>
        <w:pStyle w:val="91"/>
        <w:spacing w:after="360"/>
        <w:sectPr>
          <w:headerReference r:id="rId11" w:type="first"/>
          <w:headerReference r:id="rId9" w:type="default"/>
          <w:footerReference r:id="rId12" w:type="default"/>
          <w:headerReference r:id="rId10"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19103400"/>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153B30BD">
      <w:pPr>
        <w:pStyle w:val="56"/>
        <w:spacing w:line="360" w:lineRule="auto"/>
        <w:ind w:firstLine="420"/>
      </w:pPr>
      <w:r>
        <w:rPr>
          <w:rFonts w:hint="eastAsia"/>
        </w:rPr>
        <w:t>本文件起草单位：沂水县四十里堡镇财经服务中心。</w:t>
      </w:r>
    </w:p>
    <w:p w14:paraId="55F4A5D1">
      <w:pPr>
        <w:pStyle w:val="56"/>
        <w:spacing w:line="360" w:lineRule="auto"/>
        <w:ind w:firstLine="420"/>
      </w:pPr>
      <w:r>
        <w:rPr>
          <w:rFonts w:hint="eastAsia"/>
        </w:rPr>
        <w:t>本文件主要起草人：孙德娟。</w:t>
      </w:r>
    </w:p>
    <w:p w14:paraId="1B3EB912">
      <w:pPr>
        <w:pStyle w:val="56"/>
        <w:ind w:firstLine="420"/>
      </w:pPr>
    </w:p>
    <w:p w14:paraId="784B3C9B">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19103401"/>
      <w:bookmarkStart w:id="25" w:name="BookMark3"/>
      <w:r>
        <w:rPr>
          <w:spacing w:val="320"/>
        </w:rPr>
        <w:t>引</w:t>
      </w:r>
      <w:r>
        <w:t>言</w:t>
      </w:r>
      <w:bookmarkEnd w:id="24"/>
    </w:p>
    <w:p w14:paraId="4274A145">
      <w:pPr>
        <w:pStyle w:val="56"/>
        <w:spacing w:line="360" w:lineRule="auto"/>
        <w:ind w:firstLine="420"/>
      </w:pPr>
      <w:r>
        <w:rPr>
          <w:rFonts w:hint="eastAsia"/>
        </w:rPr>
        <w:t>计量砝码作为质量量值的重要载体，是衡器检定校准、质量计量溯源体系和量值传递链中的基础标准器之一，广泛应用于贸易结算、工业生产、医药检验、科研计量与法制计量监督等场景。砝码量值的准确可靠直接影响计量结果的真实性与可比性，进而影响产品质量控制、计量监督执法与产业链计量一致性。随着高精度质量测量需求提升以及自动化衡器、精密天平和在线称量系统的广泛应用，砝码检定溯源与量值传递工作面临环境控制要求更严、测量不确定度控制更精细、证书信息化与可追溯性要求更高、不同等级砝码量值传递边界与接口不统一等问题，亟需形成系统化、可操作、可审计的技术指南。</w:t>
      </w:r>
    </w:p>
    <w:p w14:paraId="48656EE5">
      <w:pPr>
        <w:pStyle w:val="56"/>
        <w:spacing w:line="360" w:lineRule="auto"/>
        <w:ind w:firstLine="420"/>
      </w:pPr>
      <w:r>
        <w:rPr>
          <w:rFonts w:hint="eastAsia"/>
        </w:rPr>
        <w:t>为规范计量砝码检定溯源与量值传递工作，本文件在遵循国家计量法律法规与相关计量技术规范的基础上，提出砝码检定与校准的技术路线、溯源体系构建方法、量值传递链设计与管理要求，明确砝码等级与用途匹配原则、检定校准方法选择、环境与设备配置、测量过程控制、不确定度评定、证书与标识管理、期间核查与稳定性监测、运输与贮存防护以及数据与档案管理等内容，形成从上级质量基准到工作砝码的量值传递闭环，提升砝码量值传递的一致性与有效性。</w:t>
      </w:r>
    </w:p>
    <w:p w14:paraId="7F4A69FE">
      <w:pPr>
        <w:pStyle w:val="56"/>
        <w:spacing w:line="360" w:lineRule="auto"/>
        <w:ind w:firstLine="420"/>
      </w:pPr>
      <w:r>
        <w:rPr>
          <w:rFonts w:hint="eastAsia"/>
        </w:rPr>
        <w:t>本文件适用于计量机构、检定校准实验室、质量标准室以及用能用计单位开展砝码检定、校准、期间核查与量值传递管理工作，也适用于砝码采购验收、使用维护与复检周期制定等相关管理活动。</w:t>
      </w:r>
    </w:p>
    <w:p w14:paraId="41C59179">
      <w:pPr>
        <w:pStyle w:val="56"/>
        <w:ind w:firstLine="420"/>
      </w:pPr>
    </w:p>
    <w:p w14:paraId="3AC90217">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计量砝码检定溯源与量值传递技术指南</w:t>
          </w:r>
        </w:p>
      </w:sdtContent>
    </w:sdt>
    <w:bookmarkEnd w:id="27"/>
    <w:p w14:paraId="24CE77E5">
      <w:pPr>
        <w:pStyle w:val="104"/>
        <w:spacing w:before="240" w:after="240" w:line="360" w:lineRule="auto"/>
      </w:pPr>
      <w:bookmarkStart w:id="28" w:name="_Toc26718930"/>
      <w:bookmarkStart w:id="29" w:name="_Toc17233325"/>
      <w:bookmarkStart w:id="30" w:name="_Toc219103402"/>
      <w:bookmarkStart w:id="31" w:name="_Toc26986530"/>
      <w:bookmarkStart w:id="32" w:name="_Toc24884218"/>
      <w:bookmarkStart w:id="33" w:name="_Toc17233333"/>
      <w:bookmarkStart w:id="34" w:name="_Toc97192964"/>
      <w:bookmarkStart w:id="35" w:name="_Toc24884211"/>
      <w:bookmarkStart w:id="36" w:name="_Toc26986771"/>
      <w:bookmarkStart w:id="37" w:name="_Toc26648465"/>
      <w:r>
        <w:rPr>
          <w:rFonts w:hint="eastAsia"/>
        </w:rPr>
        <w:t>范围</w:t>
      </w:r>
      <w:bookmarkEnd w:id="28"/>
      <w:bookmarkEnd w:id="29"/>
      <w:bookmarkEnd w:id="30"/>
      <w:bookmarkEnd w:id="31"/>
      <w:bookmarkEnd w:id="32"/>
      <w:bookmarkEnd w:id="33"/>
      <w:bookmarkEnd w:id="34"/>
      <w:bookmarkEnd w:id="35"/>
      <w:bookmarkEnd w:id="36"/>
      <w:bookmarkEnd w:id="37"/>
    </w:p>
    <w:p w14:paraId="77CEEA31">
      <w:pPr>
        <w:pStyle w:val="56"/>
        <w:spacing w:line="360" w:lineRule="auto"/>
        <w:ind w:firstLine="420"/>
      </w:pPr>
      <w:r>
        <w:rPr>
          <w:rFonts w:hint="eastAsia"/>
        </w:rPr>
        <w:t>本文件规定了计量砝码检定溯源与量值传递的总体要求、溯源体系与量值传递链设计、检定校准方法与过程控制、证书与标识管理、期间核查与复检周期管理、运输贮存与维护管理、数据与档案管理等内容。</w:t>
      </w:r>
    </w:p>
    <w:p w14:paraId="057943A3">
      <w:pPr>
        <w:pStyle w:val="56"/>
        <w:spacing w:line="360" w:lineRule="auto"/>
        <w:ind w:firstLine="420"/>
      </w:pPr>
      <w:r>
        <w:rPr>
          <w:rFonts w:hint="eastAsia"/>
        </w:rPr>
        <w:t>本文件适用于各类计量砝码的检定与校准活动，包括用于质量量值传递的标准砝码与用于日常计量工作的工作砝码。涉及特殊用途砝码或自动化砝码装置的，可参照本文件并结合相关专用规范执行。</w:t>
      </w:r>
    </w:p>
    <w:p w14:paraId="3733B2AD">
      <w:pPr>
        <w:pStyle w:val="104"/>
        <w:spacing w:before="240" w:after="240" w:line="360" w:lineRule="auto"/>
      </w:pPr>
      <w:bookmarkStart w:id="38" w:name="_Toc26648466"/>
      <w:bookmarkStart w:id="39" w:name="_Toc26986531"/>
      <w:bookmarkStart w:id="40" w:name="_Toc24884212"/>
      <w:bookmarkStart w:id="41" w:name="_Toc26986772"/>
      <w:bookmarkStart w:id="42" w:name="_Toc97192965"/>
      <w:bookmarkStart w:id="43" w:name="_Toc17233334"/>
      <w:bookmarkStart w:id="44" w:name="_Toc24884219"/>
      <w:bookmarkStart w:id="45" w:name="_Toc17233326"/>
      <w:bookmarkStart w:id="46" w:name="_Toc219103403"/>
      <w:bookmarkStart w:id="47" w:name="_Toc267189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6F7A9B4">
      <w:pPr>
        <w:pStyle w:val="56"/>
        <w:spacing w:line="360" w:lineRule="auto"/>
        <w:ind w:firstLine="420"/>
      </w:pPr>
      <w:r>
        <w:rPr>
          <w:rFonts w:hint="eastAsia"/>
        </w:rPr>
        <w:t>GB/T 20485 质量计量相关标准  适用条款</w:t>
      </w:r>
    </w:p>
    <w:p w14:paraId="4776DE45">
      <w:pPr>
        <w:pStyle w:val="56"/>
        <w:spacing w:line="360" w:lineRule="auto"/>
        <w:ind w:firstLine="420"/>
      </w:pPr>
      <w:r>
        <w:rPr>
          <w:rFonts w:hint="eastAsia"/>
        </w:rPr>
        <w:t>JJF 1059.1 测量不确定度评定与表示</w:t>
      </w:r>
    </w:p>
    <w:p w14:paraId="3639CA18">
      <w:pPr>
        <w:pStyle w:val="56"/>
        <w:spacing w:line="360" w:lineRule="auto"/>
        <w:ind w:firstLine="420"/>
      </w:pPr>
      <w:r>
        <w:rPr>
          <w:rFonts w:hint="eastAsia"/>
        </w:rPr>
        <w:t>JJF 1033 计量标准考核规范</w:t>
      </w:r>
    </w:p>
    <w:p w14:paraId="51F02A4E">
      <w:pPr>
        <w:pStyle w:val="104"/>
        <w:spacing w:before="240" w:after="240" w:line="360" w:lineRule="auto"/>
      </w:pPr>
      <w:bookmarkStart w:id="48" w:name="_Toc97192966"/>
      <w:bookmarkStart w:id="49" w:name="_Toc219103404"/>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39558ED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计量砝码 mass standard</w:t>
      </w:r>
    </w:p>
    <w:p w14:paraId="32DDCC9D">
      <w:pPr>
        <w:pStyle w:val="56"/>
        <w:spacing w:line="360" w:lineRule="auto"/>
        <w:ind w:firstLine="420"/>
      </w:pPr>
      <w:r>
        <w:rPr>
          <w:rFonts w:hint="eastAsia"/>
        </w:rPr>
        <w:t>用于实现质量量值或用于称量设备检定校准的质量标准器具，通常以标称质量值表示，并具备规定的最大允许误差或不确定度要求。</w:t>
      </w:r>
    </w:p>
    <w:p w14:paraId="2545E36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检定 verification</w:t>
      </w:r>
    </w:p>
    <w:p w14:paraId="3E7830CD">
      <w:pPr>
        <w:pStyle w:val="56"/>
        <w:spacing w:line="360" w:lineRule="auto"/>
        <w:ind w:firstLine="420"/>
      </w:pPr>
      <w:r>
        <w:rPr>
          <w:rFonts w:hint="eastAsia"/>
        </w:rPr>
        <w:t>依据法定计量技术规范，对计量器具是否符合规定计量性能要求进行的检查活动，并给出合格与否结论。</w:t>
      </w:r>
    </w:p>
    <w:p w14:paraId="3CE9365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校准 calibration</w:t>
      </w:r>
    </w:p>
    <w:p w14:paraId="098BFE0F">
      <w:pPr>
        <w:pStyle w:val="56"/>
        <w:spacing w:line="360" w:lineRule="auto"/>
        <w:ind w:firstLine="420"/>
      </w:pPr>
      <w:r>
        <w:rPr>
          <w:rFonts w:hint="eastAsia"/>
        </w:rPr>
        <w:t>在规定条件下，为确定计量器具示值与对应量值之间关系而进行的活动，通常给出校准结果与测量不确定度，不直接给出合格与否结论。</w:t>
      </w:r>
    </w:p>
    <w:p w14:paraId="2384BEC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溯源 traceability</w:t>
      </w:r>
    </w:p>
    <w:p w14:paraId="0505D63C">
      <w:pPr>
        <w:pStyle w:val="56"/>
        <w:spacing w:line="360" w:lineRule="auto"/>
        <w:ind w:firstLine="420"/>
      </w:pPr>
      <w:r>
        <w:rPr>
          <w:rFonts w:hint="eastAsia"/>
        </w:rPr>
        <w:t>通过具有规定不确定度的连续比较链，将测量结果与国家基准或国际基准联系起来的特性。</w:t>
      </w:r>
    </w:p>
    <w:p w14:paraId="6C95995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量值传递 value transfer</w:t>
      </w:r>
    </w:p>
    <w:p w14:paraId="17558523">
      <w:pPr>
        <w:pStyle w:val="56"/>
        <w:spacing w:line="360" w:lineRule="auto"/>
        <w:ind w:firstLine="420"/>
      </w:pPr>
      <w:r>
        <w:rPr>
          <w:rFonts w:hint="eastAsia"/>
        </w:rPr>
        <w:t>从上一级质量基准或计量标准，通过检定或校准等比较活动，将质量量值传递到下一级计量标准或工作砝码的过程。</w:t>
      </w:r>
    </w:p>
    <w:p w14:paraId="0CC6B0A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标准砝码 reference standard weights</w:t>
      </w:r>
    </w:p>
    <w:p w14:paraId="4A6E4563">
      <w:pPr>
        <w:pStyle w:val="56"/>
        <w:spacing w:line="360" w:lineRule="auto"/>
        <w:ind w:firstLine="420"/>
      </w:pPr>
      <w:r>
        <w:rPr>
          <w:rFonts w:hint="eastAsia"/>
        </w:rPr>
        <w:t>用于建立或保持计量标准、承担量值传递任务的砝码集合，通常具有更高等级或更小不确定度。</w:t>
      </w:r>
    </w:p>
    <w:p w14:paraId="7F8E524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工作砝码 working standard weights</w:t>
      </w:r>
    </w:p>
    <w:p w14:paraId="6520EBDA">
      <w:pPr>
        <w:pStyle w:val="56"/>
        <w:spacing w:line="360" w:lineRule="auto"/>
        <w:ind w:firstLine="420"/>
      </w:pPr>
      <w:r>
        <w:rPr>
          <w:rFonts w:hint="eastAsia"/>
        </w:rPr>
        <w:t>用于现场检定校准、日常核查或生产计量控制的砝码集合，通常用于对衡器或天平实施检定校准或期间核查。</w:t>
      </w:r>
    </w:p>
    <w:p w14:paraId="51294AD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质量计量标准 mass measurement standard</w:t>
      </w:r>
    </w:p>
    <w:p w14:paraId="11ED0D72">
      <w:pPr>
        <w:pStyle w:val="56"/>
        <w:spacing w:line="360" w:lineRule="auto"/>
        <w:ind w:firstLine="420"/>
      </w:pPr>
      <w:r>
        <w:rPr>
          <w:rFonts w:hint="eastAsia"/>
        </w:rPr>
        <w:t>用于复现、保存和传递质量量值的计量标准装置或体系，通常由标准砝码、比较测量装置、环境控制与技术文件组成。</w:t>
      </w:r>
    </w:p>
    <w:p w14:paraId="22E3B5BC">
      <w:pPr>
        <w:pStyle w:val="104"/>
        <w:spacing w:before="240" w:after="240" w:line="360" w:lineRule="auto"/>
      </w:pPr>
      <w:bookmarkStart w:id="51" w:name="_Toc219103405"/>
      <w:r>
        <w:rPr>
          <w:rFonts w:hint="eastAsia"/>
        </w:rPr>
        <w:t>总体要求</w:t>
      </w:r>
      <w:bookmarkEnd w:id="51"/>
    </w:p>
    <w:p w14:paraId="465F36EC">
      <w:pPr>
        <w:pStyle w:val="105"/>
        <w:spacing w:before="120" w:after="120" w:line="360" w:lineRule="auto"/>
      </w:pPr>
      <w:r>
        <w:rPr>
          <w:rFonts w:hint="eastAsia"/>
        </w:rPr>
        <w:t>溯源与量值传递原则</w:t>
      </w:r>
    </w:p>
    <w:p w14:paraId="7B532458">
      <w:pPr>
        <w:pStyle w:val="165"/>
        <w:spacing w:line="360" w:lineRule="auto"/>
      </w:pPr>
      <w:r>
        <w:rPr>
          <w:rFonts w:hint="eastAsia"/>
        </w:rPr>
        <w:t>砝码检定溯源与量值传递应遵循量值统一、链路连续、层级清晰、不确定度受控、证据可追溯的原则，确保质量量值可通过连续比较链溯源至国家质量基准或认可的国际基准。</w:t>
      </w:r>
    </w:p>
    <w:p w14:paraId="683BE19C">
      <w:pPr>
        <w:pStyle w:val="165"/>
        <w:spacing w:line="360" w:lineRule="auto"/>
      </w:pPr>
      <w:r>
        <w:rPr>
          <w:rFonts w:hint="eastAsia"/>
        </w:rPr>
        <w:t>量值传递链应满足“上一级不确定度显著优于下一级”的要求。传递过程中应控制比较方法、环境条件、测量过程与数据处理，确保传递不确定度满足目标等级砝码的技术要求。</w:t>
      </w:r>
    </w:p>
    <w:p w14:paraId="4547F444">
      <w:pPr>
        <w:pStyle w:val="165"/>
        <w:spacing w:line="360" w:lineRule="auto"/>
      </w:pPr>
      <w:r>
        <w:rPr>
          <w:rFonts w:hint="eastAsia"/>
        </w:rPr>
        <w:t>砝码量值传递应与砝码用途匹配。用于法制计量检定或承担计量标准的砝码，应优先采用检定方式并满足规程要求；用于企业内部质量控制、科研计量或非强检场景的砝码，可采用校准方式并明确不确定度与适用范围。</w:t>
      </w:r>
    </w:p>
    <w:p w14:paraId="70E661EA">
      <w:pPr>
        <w:pStyle w:val="105"/>
        <w:spacing w:before="120" w:after="120" w:line="360" w:lineRule="auto"/>
      </w:pPr>
      <w:r>
        <w:rPr>
          <w:rFonts w:hint="eastAsia"/>
        </w:rPr>
        <w:t>管理体系与职责</w:t>
      </w:r>
    </w:p>
    <w:p w14:paraId="32DEB56C">
      <w:pPr>
        <w:pStyle w:val="165"/>
        <w:spacing w:line="360" w:lineRule="auto"/>
      </w:pPr>
      <w:r>
        <w:rPr>
          <w:rFonts w:hint="eastAsia"/>
        </w:rPr>
        <w:t>计量机构或实验室应建立砝码检定校准与量值传递管理体系，明确技术负责人、质量负责人、检定校准人员与设备管理员职责，并形成受控文件。</w:t>
      </w:r>
    </w:p>
    <w:p w14:paraId="2BD967CA">
      <w:pPr>
        <w:pStyle w:val="165"/>
        <w:spacing w:line="360" w:lineRule="auto"/>
      </w:pPr>
      <w:r>
        <w:rPr>
          <w:rFonts w:hint="eastAsia"/>
        </w:rPr>
        <w:t>开展砝码检定校准的实验室应具备相应资质或授权范围，使用的计量标准应通过考核或确认，量值溯源文件应齐全有效。</w:t>
      </w:r>
    </w:p>
    <w:p w14:paraId="282A9D7A">
      <w:pPr>
        <w:pStyle w:val="165"/>
        <w:spacing w:line="360" w:lineRule="auto"/>
      </w:pPr>
      <w:r>
        <w:rPr>
          <w:rFonts w:hint="eastAsia"/>
        </w:rPr>
        <w:t>委托检定校准时，应对承检机构资质、溯源能力、不确定度水平、证书内容与交付周期提出要求，并对证书与标识进行验收确认。</w:t>
      </w:r>
    </w:p>
    <w:p w14:paraId="3268A822">
      <w:pPr>
        <w:pStyle w:val="105"/>
        <w:spacing w:before="120" w:after="120" w:line="360" w:lineRule="auto"/>
      </w:pPr>
      <w:r>
        <w:rPr>
          <w:rFonts w:hint="eastAsia"/>
        </w:rPr>
        <w:t>计量标准与设备配置要求</w:t>
      </w:r>
    </w:p>
    <w:p w14:paraId="4AAA9C1E">
      <w:pPr>
        <w:pStyle w:val="165"/>
        <w:spacing w:line="360" w:lineRule="auto"/>
      </w:pPr>
      <w:r>
        <w:rPr>
          <w:rFonts w:hint="eastAsia"/>
        </w:rPr>
        <w:t>砝码检定校准应使用符合要求的质量计量标准与比较测量装置。计量标准应满足稳定性、重复性与分辨力要求，并具有有效的溯源证书与不确定度评定文件。</w:t>
      </w:r>
    </w:p>
    <w:p w14:paraId="7FAEB569">
      <w:pPr>
        <w:pStyle w:val="165"/>
        <w:spacing w:line="360" w:lineRule="auto"/>
      </w:pPr>
      <w:r>
        <w:rPr>
          <w:rFonts w:hint="eastAsia"/>
        </w:rPr>
        <w:t>质量比较测量装置应满足相应等级砝码比较的能力要求。应依据砝码等级与标称质量选择适配的质量比较仪或天平，并保证量程覆盖、分辨力匹配与线性良好。</w:t>
      </w:r>
    </w:p>
    <w:p w14:paraId="7F28921C">
      <w:pPr>
        <w:pStyle w:val="165"/>
        <w:spacing w:line="360" w:lineRule="auto"/>
      </w:pPr>
      <w:r>
        <w:rPr>
          <w:rFonts w:hint="eastAsia"/>
        </w:rPr>
        <w:t>辅助设备应满足过程控制需要。应配置防静电与去磁装置、温湿度监测装置、气压记录装置适用时、清洁工具与防护容器等，并保持在受控状态。</w:t>
      </w:r>
    </w:p>
    <w:p w14:paraId="3698FE8E">
      <w:pPr>
        <w:pStyle w:val="105"/>
        <w:spacing w:before="120" w:after="120" w:line="360" w:lineRule="auto"/>
      </w:pPr>
      <w:r>
        <w:rPr>
          <w:rFonts w:hint="eastAsia"/>
        </w:rPr>
        <w:t>环境条件要求</w:t>
      </w:r>
    </w:p>
    <w:p w14:paraId="57E6D69C">
      <w:pPr>
        <w:pStyle w:val="165"/>
        <w:spacing w:line="360" w:lineRule="auto"/>
      </w:pPr>
      <w:r>
        <w:rPr>
          <w:rFonts w:hint="eastAsia"/>
        </w:rPr>
        <w:t>砝码检定校准应在受控环境中进行。应控制温度、相对湿度、气流与振动，并避免强磁场、粉尘与腐蚀性气体影响。</w:t>
      </w:r>
    </w:p>
    <w:p w14:paraId="73215FC0">
      <w:pPr>
        <w:pStyle w:val="165"/>
        <w:spacing w:line="360" w:lineRule="auto"/>
      </w:pPr>
      <w:r>
        <w:rPr>
          <w:rFonts w:hint="eastAsia"/>
        </w:rPr>
        <w:t>环境监测应连续记录。测量期间应记录温度与相对湿度，必要时记录气压，用于空气浮力修正与不确定度评定。环境超限时应暂停测量或采取纠正措施。</w:t>
      </w:r>
    </w:p>
    <w:p w14:paraId="12A8505C">
      <w:pPr>
        <w:pStyle w:val="165"/>
        <w:spacing w:line="360" w:lineRule="auto"/>
      </w:pPr>
      <w:r>
        <w:rPr>
          <w:rFonts w:hint="eastAsia"/>
        </w:rPr>
        <w:t>砝码与测量装置应进行温度平衡。砝码从贮存环境转入测量环境后，应达到热平衡后方可开展测量，避免温差引起浮力变化与对流误差。</w:t>
      </w:r>
    </w:p>
    <w:p w14:paraId="7A6D50BC">
      <w:pPr>
        <w:pStyle w:val="105"/>
        <w:spacing w:before="120" w:after="120" w:line="360" w:lineRule="auto"/>
      </w:pPr>
      <w:r>
        <w:rPr>
          <w:rFonts w:hint="eastAsia"/>
        </w:rPr>
        <w:t>人员能力与操作规范</w:t>
      </w:r>
    </w:p>
    <w:p w14:paraId="16E8CA0D">
      <w:pPr>
        <w:pStyle w:val="165"/>
        <w:spacing w:line="360" w:lineRule="auto"/>
      </w:pPr>
      <w:r>
        <w:rPr>
          <w:rFonts w:hint="eastAsia"/>
        </w:rPr>
        <w:t>砝码检定校准人员应具备相应的专业能力并经培训考核合格，熟悉适用规程、操作要点与不确定度评定方法。</w:t>
      </w:r>
    </w:p>
    <w:p w14:paraId="2AD10B43">
      <w:pPr>
        <w:pStyle w:val="165"/>
        <w:spacing w:line="360" w:lineRule="auto"/>
      </w:pPr>
      <w:r>
        <w:rPr>
          <w:rFonts w:hint="eastAsia"/>
        </w:rPr>
        <w:t>操作应规范化。应使用专用镊子、手套或夹持工具，避免手触污染与温度传递；应避免砝码碰撞、跌落与摩擦，避免表面损伤与质量变化。</w:t>
      </w:r>
    </w:p>
    <w:p w14:paraId="4E298868">
      <w:pPr>
        <w:pStyle w:val="165"/>
        <w:spacing w:line="360" w:lineRule="auto"/>
      </w:pPr>
      <w:r>
        <w:rPr>
          <w:rFonts w:hint="eastAsia"/>
        </w:rPr>
        <w:t>砝码清洁与处理应受控。对需要清洁的砝码，应按规程允许的方法进行，清洁前后应记录处理方式与状态变化，避免因清洁造成质量改变不可控。</w:t>
      </w:r>
    </w:p>
    <w:p w14:paraId="7F9177FC">
      <w:pPr>
        <w:pStyle w:val="105"/>
        <w:spacing w:before="120" w:after="120" w:line="360" w:lineRule="auto"/>
      </w:pPr>
      <w:r>
        <w:rPr>
          <w:rFonts w:hint="eastAsia"/>
        </w:rPr>
        <w:t>检定校准过程控制要求</w:t>
      </w:r>
    </w:p>
    <w:p w14:paraId="5B72EAF2">
      <w:pPr>
        <w:pStyle w:val="165"/>
        <w:spacing w:line="360" w:lineRule="auto"/>
      </w:pPr>
      <w:r>
        <w:rPr>
          <w:rFonts w:hint="eastAsia"/>
        </w:rPr>
        <w:t>过程控制应覆盖测量准备、砝码识别、比较测量、数据记录、修正计算、不确定度评定与结果判定全过程，确保每一步均可追溯。</w:t>
      </w:r>
    </w:p>
    <w:p w14:paraId="02420A28">
      <w:pPr>
        <w:pStyle w:val="165"/>
        <w:spacing w:line="360" w:lineRule="auto"/>
      </w:pPr>
      <w:r>
        <w:rPr>
          <w:rFonts w:hint="eastAsia"/>
        </w:rPr>
        <w:t>砝码识别信息应完整。应核对砝码编号、等级、标称质量、材质与外观状态，并记录任何可能影响质量稳定性的缺陷，如锈蚀、划伤、污染或标记不清。</w:t>
      </w:r>
    </w:p>
    <w:p w14:paraId="359675DB">
      <w:pPr>
        <w:pStyle w:val="165"/>
        <w:spacing w:line="360" w:lineRule="auto"/>
      </w:pPr>
      <w:r>
        <w:rPr>
          <w:rFonts w:hint="eastAsia"/>
        </w:rPr>
        <w:t>数据记录应原始、真实、完整。应保留原始读数、比较序列、环境记录、修正参数与计算过程。记录应防篡改并可审计。</w:t>
      </w:r>
    </w:p>
    <w:p w14:paraId="358F4B9B">
      <w:pPr>
        <w:pStyle w:val="165"/>
        <w:spacing w:line="360" w:lineRule="auto"/>
      </w:pPr>
      <w:r>
        <w:rPr>
          <w:rFonts w:hint="eastAsia"/>
        </w:rPr>
        <w:t>结果计算应包含必要修正。应按规定进行空气浮力修正、重力加速度修正适用时、磁化与静电影响控制等，并在证书中说明采用的修正模型与参数来源。</w:t>
      </w:r>
    </w:p>
    <w:p w14:paraId="1D96BB08">
      <w:pPr>
        <w:pStyle w:val="105"/>
        <w:spacing w:before="120" w:after="120" w:line="360" w:lineRule="auto"/>
      </w:pPr>
      <w:r>
        <w:rPr>
          <w:rFonts w:hint="eastAsia"/>
        </w:rPr>
        <w:t>不确定度评定与符合性判定</w:t>
      </w:r>
    </w:p>
    <w:p w14:paraId="0BF27164">
      <w:pPr>
        <w:pStyle w:val="165"/>
        <w:spacing w:line="360" w:lineRule="auto"/>
      </w:pPr>
      <w:r>
        <w:rPr>
          <w:rFonts w:hint="eastAsia"/>
        </w:rPr>
        <w:t>校准结果应给出测量不确定度。不确定度评定应符合相关技术规范要求，并明确覆盖因子与置信水平。</w:t>
      </w:r>
    </w:p>
    <w:p w14:paraId="402F6329">
      <w:pPr>
        <w:pStyle w:val="165"/>
        <w:spacing w:line="360" w:lineRule="auto"/>
      </w:pPr>
      <w:r>
        <w:rPr>
          <w:rFonts w:hint="eastAsia"/>
        </w:rPr>
        <w:t>检定判定应依据最大允许误差等指标。检定应按相应规程规定进行判定并给出合格或不合格结论，必要时给出修正值或偏差。</w:t>
      </w:r>
    </w:p>
    <w:p w14:paraId="00B3031D">
      <w:pPr>
        <w:pStyle w:val="165"/>
        <w:spacing w:line="360" w:lineRule="auto"/>
      </w:pPr>
      <w:r>
        <w:rPr>
          <w:rFonts w:hint="eastAsia"/>
        </w:rPr>
        <w:t>符合性声明应明确规则。涉及校准后符合性判定的，应在技术文件或合同中明确判定规则与决策风险承担方式。</w:t>
      </w:r>
    </w:p>
    <w:p w14:paraId="6783A186">
      <w:pPr>
        <w:pStyle w:val="105"/>
        <w:spacing w:before="120" w:after="120" w:line="360" w:lineRule="auto"/>
      </w:pPr>
      <w:r>
        <w:rPr>
          <w:rFonts w:hint="eastAsia"/>
        </w:rPr>
        <w:t>证书与标识管理</w:t>
      </w:r>
    </w:p>
    <w:p w14:paraId="70677388">
      <w:pPr>
        <w:pStyle w:val="165"/>
        <w:spacing w:line="360" w:lineRule="auto"/>
      </w:pPr>
      <w:r>
        <w:rPr>
          <w:rFonts w:hint="eastAsia"/>
        </w:rPr>
        <w:t>检定证书或校准证书应包含砝码基本信息、溯源信息、测量结果、测量不确定度适用时、检定结论适用时、环境条件、方法依据、有效期或建议复检周期等要素。</w:t>
      </w:r>
    </w:p>
    <w:p w14:paraId="582F8167">
      <w:pPr>
        <w:pStyle w:val="165"/>
        <w:spacing w:line="360" w:lineRule="auto"/>
      </w:pPr>
      <w:r>
        <w:rPr>
          <w:rFonts w:hint="eastAsia"/>
        </w:rPr>
        <w:t>砝码应实施状态标识管理。标识应至少包含证书编号、检定校准日期、有效期或复检日期、状态结论。标识应牢固清晰且不影响砝码质量稳定性。</w:t>
      </w:r>
    </w:p>
    <w:p w14:paraId="35916597">
      <w:pPr>
        <w:pStyle w:val="165"/>
        <w:spacing w:line="360" w:lineRule="auto"/>
      </w:pPr>
      <w:r>
        <w:rPr>
          <w:rFonts w:hint="eastAsia"/>
        </w:rPr>
        <w:t>证书与记录应归档保存。应建立电子与纸质档案管理机制，确保可追溯性与长期可用性。</w:t>
      </w:r>
    </w:p>
    <w:p w14:paraId="7A92D7D8">
      <w:pPr>
        <w:pStyle w:val="105"/>
        <w:spacing w:before="120" w:after="120" w:line="360" w:lineRule="auto"/>
      </w:pPr>
      <w:r>
        <w:rPr>
          <w:rFonts w:hint="eastAsia"/>
        </w:rPr>
        <w:t>期间核查与复检周期</w:t>
      </w:r>
    </w:p>
    <w:p w14:paraId="45A9EC82">
      <w:pPr>
        <w:pStyle w:val="165"/>
        <w:spacing w:line="360" w:lineRule="auto"/>
      </w:pPr>
      <w:r>
        <w:rPr>
          <w:rFonts w:hint="eastAsia"/>
        </w:rPr>
        <w:t>应建立砝码期间核查制度。期间核查可采用比对上一级标准砝码、重复性检查或关键点核查等方式，核查结果应记录并用于复检周期调整。</w:t>
      </w:r>
    </w:p>
    <w:p w14:paraId="2A62EE40">
      <w:pPr>
        <w:pStyle w:val="165"/>
        <w:spacing w:line="360" w:lineRule="auto"/>
      </w:pPr>
      <w:r>
        <w:rPr>
          <w:rFonts w:hint="eastAsia"/>
        </w:rPr>
        <w:t>复检周期应基于风险确定。应综合考虑砝码等级、使用频次、运输次数、环境条件与历史稳定性数据确定复检周期，必要时采用缩短周期或加密核查策略。</w:t>
      </w:r>
    </w:p>
    <w:p w14:paraId="02F4AB55">
      <w:pPr>
        <w:pStyle w:val="104"/>
        <w:spacing w:before="240" w:after="240" w:line="360" w:lineRule="auto"/>
      </w:pPr>
      <w:bookmarkStart w:id="52" w:name="_Toc219103406"/>
      <w:r>
        <w:rPr>
          <w:rFonts w:hint="eastAsia"/>
        </w:rPr>
        <w:t>溯源体系与量值传递链设计</w:t>
      </w:r>
      <w:bookmarkEnd w:id="52"/>
    </w:p>
    <w:p w14:paraId="7EAD6CD7">
      <w:pPr>
        <w:pStyle w:val="105"/>
        <w:spacing w:before="120" w:after="120" w:line="360" w:lineRule="auto"/>
      </w:pPr>
      <w:r>
        <w:rPr>
          <w:rFonts w:hint="eastAsia"/>
        </w:rPr>
        <w:t>溯源体系构建要求</w:t>
      </w:r>
    </w:p>
    <w:p w14:paraId="441D880D">
      <w:pPr>
        <w:pStyle w:val="165"/>
        <w:spacing w:line="360" w:lineRule="auto"/>
      </w:pPr>
      <w:r>
        <w:rPr>
          <w:rFonts w:hint="eastAsia"/>
        </w:rPr>
        <w:t>砝码量值溯源体系应以国家质量基准或国家计量院所等上级计量标准为源头，建立覆盖标准砝码与工作砝码的分层级量值传递结构，确保量值传递链连续、接口清晰、证据完整。</w:t>
      </w:r>
    </w:p>
    <w:p w14:paraId="5F9C49ED">
      <w:pPr>
        <w:pStyle w:val="165"/>
        <w:spacing w:line="360" w:lineRule="auto"/>
      </w:pPr>
      <w:r>
        <w:rPr>
          <w:rFonts w:hint="eastAsia"/>
        </w:rPr>
        <w:t>溯源体系文件应受控管理。应形成并保持以下文件或等效资料：计量标准技术文件、溯源证书与不确定度评定报告、量值传递链图或说明、检定校准程序文件、期间核查计划与记录、设备维护与校准记录、人员能力证明与授权记录。</w:t>
      </w:r>
    </w:p>
    <w:p w14:paraId="172A6055">
      <w:pPr>
        <w:pStyle w:val="165"/>
        <w:spacing w:line="360" w:lineRule="auto"/>
      </w:pPr>
      <w:r>
        <w:rPr>
          <w:rFonts w:hint="eastAsia"/>
        </w:rPr>
        <w:t>溯源链应与业务范围匹配。实验室应依据拟开展砝码等级与标称质量范围，配置相应量程与分辨力的比较装置，并确保传递不确定度满足目标等级要求。超出能力范围的砝码应委托上级机构检定校准。</w:t>
      </w:r>
    </w:p>
    <w:p w14:paraId="54E0D06D">
      <w:pPr>
        <w:pStyle w:val="105"/>
        <w:spacing w:before="120" w:after="120" w:line="360" w:lineRule="auto"/>
      </w:pPr>
      <w:r>
        <w:rPr>
          <w:rFonts w:hint="eastAsia"/>
        </w:rPr>
        <w:t>量值传递链层级设计</w:t>
      </w:r>
    </w:p>
    <w:p w14:paraId="187A1537">
      <w:pPr>
        <w:pStyle w:val="165"/>
        <w:spacing w:line="360" w:lineRule="auto"/>
      </w:pPr>
      <w:r>
        <w:rPr>
          <w:rFonts w:hint="eastAsia"/>
        </w:rPr>
        <w:t>量值传递链宜采用自上而下的分级传递模式。上级标准用于校准或检定下一级标准，下一级标准用于校准或检定工作砝码，形成稳定的层级结构。</w:t>
      </w:r>
    </w:p>
    <w:p w14:paraId="13203591">
      <w:pPr>
        <w:pStyle w:val="165"/>
        <w:spacing w:line="360" w:lineRule="auto"/>
      </w:pPr>
      <w:r>
        <w:rPr>
          <w:rFonts w:hint="eastAsia"/>
        </w:rPr>
        <w:t>量值传递链层级应明确接口条件。每一层级应明确：上一级标准类型与不确定度水平、比较方法与测量装置能力、环境与修正模型要求、输出结果形式与证书要求、复检周期与期间核查策略。</w:t>
      </w:r>
    </w:p>
    <w:p w14:paraId="6875E6CC">
      <w:pPr>
        <w:pStyle w:val="165"/>
        <w:spacing w:line="360" w:lineRule="auto"/>
      </w:pPr>
      <w:r>
        <w:rPr>
          <w:rFonts w:hint="eastAsia"/>
        </w:rPr>
        <w:t>量值传递链应控制误差扩散。应通过合理的传递比、比较序列设计与重复性控制，降低传递不确定度累积。必要时对关键质量点位或关键等级砝码采用多次比较或交叉验证。</w:t>
      </w:r>
    </w:p>
    <w:p w14:paraId="16B6FFC0">
      <w:pPr>
        <w:pStyle w:val="105"/>
        <w:spacing w:before="120" w:after="120" w:line="360" w:lineRule="auto"/>
      </w:pPr>
      <w:r>
        <w:rPr>
          <w:rFonts w:hint="eastAsia"/>
        </w:rPr>
        <w:t>量值传递路径与接口控制</w:t>
      </w:r>
    </w:p>
    <w:p w14:paraId="2352F891">
      <w:pPr>
        <w:pStyle w:val="65"/>
        <w:spacing w:before="120" w:after="120" w:line="360" w:lineRule="auto"/>
      </w:pPr>
      <w:r>
        <w:rPr>
          <w:rFonts w:hint="eastAsia"/>
        </w:rPr>
        <w:t>标准砝码传递路径</w:t>
      </w:r>
    </w:p>
    <w:p w14:paraId="5615A050">
      <w:pPr>
        <w:pStyle w:val="56"/>
        <w:spacing w:line="360" w:lineRule="auto"/>
        <w:ind w:firstLine="420"/>
      </w:pPr>
      <w:r>
        <w:rPr>
          <w:rFonts w:hint="eastAsia"/>
        </w:rPr>
        <w:t>承担计量标准功能的标准砝码应优先溯源至更高等级标准或国家计量标准。标准砝码的传递应采用适配的质量比较装置，并执行更严格的环境控制与不确定度评定要求。</w:t>
      </w:r>
    </w:p>
    <w:p w14:paraId="2BC152C8">
      <w:pPr>
        <w:pStyle w:val="65"/>
        <w:spacing w:before="120" w:after="120" w:line="360" w:lineRule="auto"/>
      </w:pPr>
      <w:r>
        <w:rPr>
          <w:rFonts w:hint="eastAsia"/>
        </w:rPr>
        <w:t>工作砝码传递路径</w:t>
      </w:r>
    </w:p>
    <w:p w14:paraId="13839187">
      <w:pPr>
        <w:pStyle w:val="56"/>
        <w:spacing w:line="360" w:lineRule="auto"/>
        <w:ind w:firstLine="420"/>
      </w:pPr>
      <w:r>
        <w:rPr>
          <w:rFonts w:hint="eastAsia"/>
        </w:rPr>
        <w:t>工作砝码宜由标准砝码传递量值。工作砝码用于现场检定校准时，应确保其不确定度或误差限满足被检衡器或天平的要求，并在使用周期内实施期间核查。</w:t>
      </w:r>
    </w:p>
    <w:p w14:paraId="042E69DC">
      <w:pPr>
        <w:pStyle w:val="65"/>
        <w:spacing w:before="120" w:after="120" w:line="360" w:lineRule="auto"/>
      </w:pPr>
      <w:r>
        <w:rPr>
          <w:rFonts w:hint="eastAsia"/>
        </w:rPr>
        <w:t>接口控制要求</w:t>
      </w:r>
    </w:p>
    <w:p w14:paraId="00AA821E">
      <w:pPr>
        <w:pStyle w:val="56"/>
        <w:spacing w:line="360" w:lineRule="auto"/>
        <w:ind w:firstLine="420"/>
      </w:pPr>
      <w:r>
        <w:rPr>
          <w:rFonts w:hint="eastAsia"/>
        </w:rPr>
        <w:t>量值传递接口应受控，至少包括砝码身份信息一致性、比较装置能力确认、环境记录完整性、修正模型一致性、证书内容完整性与状态标识一致性。接口不满足时不得进行量值传递或不得出具结论。</w:t>
      </w:r>
    </w:p>
    <w:p w14:paraId="61F9E38F">
      <w:pPr>
        <w:pStyle w:val="105"/>
        <w:spacing w:before="120" w:after="120" w:line="360" w:lineRule="auto"/>
      </w:pPr>
      <w:r>
        <w:rPr>
          <w:rFonts w:hint="eastAsia"/>
        </w:rPr>
        <w:t>量值传递链层级与接口要求</w:t>
      </w:r>
    </w:p>
    <w:p w14:paraId="546787C7">
      <w:pPr>
        <w:pStyle w:val="56"/>
        <w:spacing w:line="360" w:lineRule="auto"/>
        <w:ind w:firstLine="420"/>
      </w:pPr>
      <w:r>
        <w:rPr>
          <w:rFonts w:hint="eastAsia"/>
        </w:rPr>
        <w:t>量值传递链的典型层级与接口要求见表1。表中层级可根据机构能力与业务范围调整，但应保持上级优于下级的基本原则。</w:t>
      </w:r>
    </w:p>
    <w:p w14:paraId="305AD961">
      <w:pPr>
        <w:pStyle w:val="112"/>
        <w:spacing w:before="120" w:after="120" w:line="360" w:lineRule="auto"/>
      </w:pPr>
      <w:r>
        <w:rPr>
          <w:rFonts w:hint="eastAsia"/>
        </w:rPr>
        <w:t>量值传递链层级与接口要求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16"/>
        <w:gridCol w:w="1559"/>
        <w:gridCol w:w="1417"/>
        <w:gridCol w:w="1276"/>
        <w:gridCol w:w="1701"/>
        <w:gridCol w:w="1418"/>
        <w:gridCol w:w="1547"/>
      </w:tblGrid>
      <w:tr w14:paraId="0F1ED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16" w:type="dxa"/>
            <w:tcBorders>
              <w:top w:val="single" w:color="auto" w:sz="8" w:space="0"/>
              <w:bottom w:val="single" w:color="auto" w:sz="8" w:space="0"/>
            </w:tcBorders>
            <w:vAlign w:val="center"/>
          </w:tcPr>
          <w:p w14:paraId="1A6B161E">
            <w:pPr>
              <w:pStyle w:val="178"/>
            </w:pPr>
            <w:r>
              <w:rPr>
                <w:rFonts w:hint="eastAsia"/>
              </w:rPr>
              <w:t>层级</w:t>
            </w:r>
          </w:p>
        </w:tc>
        <w:tc>
          <w:tcPr>
            <w:tcW w:w="1559" w:type="dxa"/>
            <w:tcBorders>
              <w:top w:val="single" w:color="auto" w:sz="8" w:space="0"/>
              <w:bottom w:val="single" w:color="auto" w:sz="8" w:space="0"/>
            </w:tcBorders>
            <w:vAlign w:val="center"/>
          </w:tcPr>
          <w:p w14:paraId="193C3E77">
            <w:pPr>
              <w:pStyle w:val="178"/>
            </w:pPr>
            <w:r>
              <w:rPr>
                <w:rFonts w:hint="eastAsia"/>
              </w:rPr>
              <w:t>标准类别</w:t>
            </w:r>
          </w:p>
        </w:tc>
        <w:tc>
          <w:tcPr>
            <w:tcW w:w="1417" w:type="dxa"/>
            <w:tcBorders>
              <w:top w:val="single" w:color="auto" w:sz="8" w:space="0"/>
              <w:bottom w:val="single" w:color="auto" w:sz="8" w:space="0"/>
            </w:tcBorders>
            <w:vAlign w:val="center"/>
          </w:tcPr>
          <w:p w14:paraId="37350C3C">
            <w:pPr>
              <w:pStyle w:val="178"/>
            </w:pPr>
            <w:r>
              <w:rPr>
                <w:rFonts w:hint="eastAsia"/>
              </w:rPr>
              <w:t>主要用途</w:t>
            </w:r>
          </w:p>
        </w:tc>
        <w:tc>
          <w:tcPr>
            <w:tcW w:w="1276" w:type="dxa"/>
            <w:tcBorders>
              <w:top w:val="single" w:color="auto" w:sz="8" w:space="0"/>
              <w:bottom w:val="single" w:color="auto" w:sz="8" w:space="0"/>
            </w:tcBorders>
            <w:vAlign w:val="center"/>
          </w:tcPr>
          <w:p w14:paraId="09232BB2">
            <w:pPr>
              <w:pStyle w:val="178"/>
            </w:pPr>
            <w:r>
              <w:rPr>
                <w:rFonts w:hint="eastAsia"/>
              </w:rPr>
              <w:t>上一级溯源来源</w:t>
            </w:r>
          </w:p>
        </w:tc>
        <w:tc>
          <w:tcPr>
            <w:tcW w:w="1701" w:type="dxa"/>
            <w:tcBorders>
              <w:top w:val="single" w:color="auto" w:sz="8" w:space="0"/>
              <w:bottom w:val="single" w:color="auto" w:sz="8" w:space="0"/>
            </w:tcBorders>
            <w:vAlign w:val="center"/>
          </w:tcPr>
          <w:p w14:paraId="25501399">
            <w:pPr>
              <w:pStyle w:val="178"/>
            </w:pPr>
            <w:r>
              <w:rPr>
                <w:rFonts w:hint="eastAsia"/>
              </w:rPr>
              <w:t>典型比较装置与方法</w:t>
            </w:r>
          </w:p>
        </w:tc>
        <w:tc>
          <w:tcPr>
            <w:tcW w:w="1418" w:type="dxa"/>
            <w:tcBorders>
              <w:top w:val="single" w:color="auto" w:sz="8" w:space="0"/>
              <w:bottom w:val="single" w:color="auto" w:sz="8" w:space="0"/>
            </w:tcBorders>
            <w:vAlign w:val="center"/>
          </w:tcPr>
          <w:p w14:paraId="0C0C9673">
            <w:pPr>
              <w:pStyle w:val="178"/>
            </w:pPr>
            <w:r>
              <w:rPr>
                <w:rFonts w:hint="eastAsia"/>
              </w:rPr>
              <w:t>输出结果要求</w:t>
            </w:r>
          </w:p>
        </w:tc>
        <w:tc>
          <w:tcPr>
            <w:tcW w:w="1547" w:type="dxa"/>
            <w:tcBorders>
              <w:top w:val="single" w:color="auto" w:sz="8" w:space="0"/>
              <w:bottom w:val="single" w:color="auto" w:sz="8" w:space="0"/>
            </w:tcBorders>
            <w:vAlign w:val="center"/>
          </w:tcPr>
          <w:p w14:paraId="59F4604A">
            <w:pPr>
              <w:pStyle w:val="178"/>
            </w:pPr>
            <w:r>
              <w:rPr>
                <w:rFonts w:hint="eastAsia"/>
              </w:rPr>
              <w:t>接口控制要点</w:t>
            </w:r>
          </w:p>
        </w:tc>
      </w:tr>
      <w:tr w14:paraId="05297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tcBorders>
              <w:top w:val="single" w:color="auto" w:sz="8" w:space="0"/>
            </w:tcBorders>
            <w:vAlign w:val="center"/>
          </w:tcPr>
          <w:p w14:paraId="2E50C2D3">
            <w:pPr>
              <w:pStyle w:val="178"/>
            </w:pPr>
            <w:r>
              <w:rPr>
                <w:rFonts w:hint="eastAsia"/>
              </w:rPr>
              <w:t>L1</w:t>
            </w:r>
          </w:p>
        </w:tc>
        <w:tc>
          <w:tcPr>
            <w:tcW w:w="1559" w:type="dxa"/>
            <w:tcBorders>
              <w:top w:val="single" w:color="auto" w:sz="8" w:space="0"/>
            </w:tcBorders>
            <w:vAlign w:val="center"/>
          </w:tcPr>
          <w:p w14:paraId="6B4EF2CA">
            <w:pPr>
              <w:pStyle w:val="178"/>
            </w:pPr>
            <w:r>
              <w:rPr>
                <w:rFonts w:hint="eastAsia"/>
              </w:rPr>
              <w:t>国家质量基准或最高等级质量标准</w:t>
            </w:r>
          </w:p>
        </w:tc>
        <w:tc>
          <w:tcPr>
            <w:tcW w:w="1417" w:type="dxa"/>
            <w:tcBorders>
              <w:top w:val="single" w:color="auto" w:sz="8" w:space="0"/>
            </w:tcBorders>
            <w:vAlign w:val="center"/>
          </w:tcPr>
          <w:p w14:paraId="4EC51CED">
            <w:pPr>
              <w:pStyle w:val="178"/>
            </w:pPr>
            <w:r>
              <w:rPr>
                <w:rFonts w:hint="eastAsia"/>
              </w:rPr>
              <w:t>复现保存质量量值,最高层级传递</w:t>
            </w:r>
          </w:p>
        </w:tc>
        <w:tc>
          <w:tcPr>
            <w:tcW w:w="1276" w:type="dxa"/>
            <w:tcBorders>
              <w:top w:val="single" w:color="auto" w:sz="8" w:space="0"/>
            </w:tcBorders>
            <w:vAlign w:val="center"/>
          </w:tcPr>
          <w:p w14:paraId="7AF39F83">
            <w:pPr>
              <w:pStyle w:val="178"/>
            </w:pPr>
            <w:r>
              <w:rPr>
                <w:rFonts w:hint="eastAsia"/>
              </w:rPr>
              <w:t>国家计量基准体系</w:t>
            </w:r>
          </w:p>
        </w:tc>
        <w:tc>
          <w:tcPr>
            <w:tcW w:w="1701" w:type="dxa"/>
            <w:tcBorders>
              <w:top w:val="single" w:color="auto" w:sz="8" w:space="0"/>
            </w:tcBorders>
            <w:vAlign w:val="center"/>
          </w:tcPr>
          <w:p w14:paraId="6F3B689C">
            <w:pPr>
              <w:pStyle w:val="178"/>
            </w:pPr>
            <w:r>
              <w:rPr>
                <w:rFonts w:hint="eastAsia"/>
              </w:rPr>
              <w:t>国家级质量比较装置,专用比较法</w:t>
            </w:r>
          </w:p>
        </w:tc>
        <w:tc>
          <w:tcPr>
            <w:tcW w:w="1418" w:type="dxa"/>
            <w:tcBorders>
              <w:top w:val="single" w:color="auto" w:sz="8" w:space="0"/>
            </w:tcBorders>
            <w:vAlign w:val="center"/>
          </w:tcPr>
          <w:p w14:paraId="55292AF9">
            <w:pPr>
              <w:pStyle w:val="178"/>
            </w:pPr>
            <w:r>
              <w:rPr>
                <w:rFonts w:hint="eastAsia"/>
              </w:rPr>
              <w:t>基准量值与不确定度文件</w:t>
            </w:r>
          </w:p>
        </w:tc>
        <w:tc>
          <w:tcPr>
            <w:tcW w:w="1547" w:type="dxa"/>
            <w:tcBorders>
              <w:top w:val="single" w:color="auto" w:sz="8" w:space="0"/>
            </w:tcBorders>
            <w:vAlign w:val="center"/>
          </w:tcPr>
          <w:p w14:paraId="27626781">
            <w:pPr>
              <w:pStyle w:val="178"/>
            </w:pPr>
            <w:r>
              <w:rPr>
                <w:rFonts w:hint="eastAsia"/>
              </w:rPr>
              <w:t>溯源证据完整,不确定度权威发布</w:t>
            </w:r>
          </w:p>
        </w:tc>
      </w:tr>
      <w:tr w14:paraId="356C0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Align w:val="center"/>
          </w:tcPr>
          <w:p w14:paraId="2329378C">
            <w:pPr>
              <w:pStyle w:val="178"/>
            </w:pPr>
            <w:r>
              <w:rPr>
                <w:rFonts w:hint="eastAsia"/>
              </w:rPr>
              <w:t>L2</w:t>
            </w:r>
          </w:p>
        </w:tc>
        <w:tc>
          <w:tcPr>
            <w:tcW w:w="1559" w:type="dxa"/>
            <w:vAlign w:val="center"/>
          </w:tcPr>
          <w:p w14:paraId="7F44AC1B">
            <w:pPr>
              <w:pStyle w:val="178"/>
            </w:pPr>
            <w:r>
              <w:rPr>
                <w:rFonts w:hint="eastAsia"/>
              </w:rPr>
              <w:t>上级计量标准砝码</w:t>
            </w:r>
          </w:p>
        </w:tc>
        <w:tc>
          <w:tcPr>
            <w:tcW w:w="1417" w:type="dxa"/>
            <w:vAlign w:val="center"/>
          </w:tcPr>
          <w:p w14:paraId="088B7522">
            <w:pPr>
              <w:pStyle w:val="178"/>
            </w:pPr>
            <w:r>
              <w:rPr>
                <w:rFonts w:hint="eastAsia"/>
              </w:rPr>
              <w:t>向下传递,计量标准维护</w:t>
            </w:r>
          </w:p>
        </w:tc>
        <w:tc>
          <w:tcPr>
            <w:tcW w:w="1276" w:type="dxa"/>
            <w:vAlign w:val="center"/>
          </w:tcPr>
          <w:p w14:paraId="69194D6D">
            <w:pPr>
              <w:pStyle w:val="178"/>
            </w:pPr>
            <w:r>
              <w:rPr>
                <w:rFonts w:hint="eastAsia"/>
              </w:rPr>
              <w:t>L1或国家授权机构</w:t>
            </w:r>
          </w:p>
        </w:tc>
        <w:tc>
          <w:tcPr>
            <w:tcW w:w="1701" w:type="dxa"/>
            <w:vAlign w:val="center"/>
          </w:tcPr>
          <w:p w14:paraId="0ABC31A8">
            <w:pPr>
              <w:pStyle w:val="178"/>
            </w:pPr>
            <w:r>
              <w:rPr>
                <w:rFonts w:hint="eastAsia"/>
              </w:rPr>
              <w:t>高精度质量比较仪,交替比较</w:t>
            </w:r>
          </w:p>
        </w:tc>
        <w:tc>
          <w:tcPr>
            <w:tcW w:w="1418" w:type="dxa"/>
            <w:vAlign w:val="center"/>
          </w:tcPr>
          <w:p w14:paraId="70C9B273">
            <w:pPr>
              <w:pStyle w:val="178"/>
            </w:pPr>
            <w:r>
              <w:rPr>
                <w:rFonts w:hint="eastAsia"/>
              </w:rPr>
              <w:t>校准结果与不确定度,或检定结论</w:t>
            </w:r>
          </w:p>
        </w:tc>
        <w:tc>
          <w:tcPr>
            <w:tcW w:w="1547" w:type="dxa"/>
            <w:vAlign w:val="center"/>
          </w:tcPr>
          <w:p w14:paraId="04CFDD5E">
            <w:pPr>
              <w:pStyle w:val="178"/>
            </w:pPr>
            <w:r>
              <w:rPr>
                <w:rFonts w:hint="eastAsia"/>
              </w:rPr>
              <w:t>环境控制严格,浮力修正参数可追溯</w:t>
            </w:r>
          </w:p>
        </w:tc>
      </w:tr>
      <w:tr w14:paraId="20C71D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Align w:val="center"/>
          </w:tcPr>
          <w:p w14:paraId="0D7DDC86">
            <w:pPr>
              <w:pStyle w:val="178"/>
            </w:pPr>
            <w:r>
              <w:rPr>
                <w:rFonts w:hint="eastAsia"/>
              </w:rPr>
              <w:t>L3</w:t>
            </w:r>
          </w:p>
        </w:tc>
        <w:tc>
          <w:tcPr>
            <w:tcW w:w="1559" w:type="dxa"/>
            <w:vAlign w:val="center"/>
          </w:tcPr>
          <w:p w14:paraId="3081CA30">
            <w:pPr>
              <w:pStyle w:val="178"/>
            </w:pPr>
            <w:r>
              <w:rPr>
                <w:rFonts w:hint="eastAsia"/>
              </w:rPr>
              <w:t>实验室计量标准砝码</w:t>
            </w:r>
          </w:p>
        </w:tc>
        <w:tc>
          <w:tcPr>
            <w:tcW w:w="1417" w:type="dxa"/>
            <w:vAlign w:val="center"/>
          </w:tcPr>
          <w:p w14:paraId="7E364E2E">
            <w:pPr>
              <w:pStyle w:val="178"/>
            </w:pPr>
            <w:r>
              <w:rPr>
                <w:rFonts w:hint="eastAsia"/>
              </w:rPr>
              <w:t>承担本实验室传递任务</w:t>
            </w:r>
          </w:p>
        </w:tc>
        <w:tc>
          <w:tcPr>
            <w:tcW w:w="1276" w:type="dxa"/>
            <w:vAlign w:val="center"/>
          </w:tcPr>
          <w:p w14:paraId="04622424">
            <w:pPr>
              <w:pStyle w:val="178"/>
            </w:pPr>
            <w:r>
              <w:rPr>
                <w:rFonts w:hint="eastAsia"/>
              </w:rPr>
              <w:t>L2或具备资质机构</w:t>
            </w:r>
          </w:p>
        </w:tc>
        <w:tc>
          <w:tcPr>
            <w:tcW w:w="1701" w:type="dxa"/>
            <w:vAlign w:val="center"/>
          </w:tcPr>
          <w:p w14:paraId="44111C12">
            <w:pPr>
              <w:pStyle w:val="178"/>
            </w:pPr>
            <w:r>
              <w:rPr>
                <w:rFonts w:hint="eastAsia"/>
              </w:rPr>
              <w:t>质量比较仪,ABBA或交替比较</w:t>
            </w:r>
          </w:p>
        </w:tc>
        <w:tc>
          <w:tcPr>
            <w:tcW w:w="1418" w:type="dxa"/>
            <w:vAlign w:val="center"/>
          </w:tcPr>
          <w:p w14:paraId="5F6EB1B5">
            <w:pPr>
              <w:pStyle w:val="178"/>
            </w:pPr>
            <w:r>
              <w:rPr>
                <w:rFonts w:hint="eastAsia"/>
              </w:rPr>
              <w:t>校准证书与不确定度</w:t>
            </w:r>
          </w:p>
        </w:tc>
        <w:tc>
          <w:tcPr>
            <w:tcW w:w="1547" w:type="dxa"/>
            <w:vAlign w:val="center"/>
          </w:tcPr>
          <w:p w14:paraId="34A45E6C">
            <w:pPr>
              <w:pStyle w:val="178"/>
            </w:pPr>
            <w:r>
              <w:rPr>
                <w:rFonts w:hint="eastAsia"/>
              </w:rPr>
              <w:t>比较装置能力确认,期间核查受控</w:t>
            </w:r>
          </w:p>
        </w:tc>
      </w:tr>
      <w:tr w14:paraId="49D4CB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Align w:val="center"/>
          </w:tcPr>
          <w:p w14:paraId="11CDBB74">
            <w:pPr>
              <w:pStyle w:val="178"/>
            </w:pPr>
            <w:r>
              <w:rPr>
                <w:rFonts w:hint="eastAsia"/>
              </w:rPr>
              <w:t>L4</w:t>
            </w:r>
          </w:p>
        </w:tc>
        <w:tc>
          <w:tcPr>
            <w:tcW w:w="1559" w:type="dxa"/>
            <w:vAlign w:val="center"/>
          </w:tcPr>
          <w:p w14:paraId="1C9CFD0D">
            <w:pPr>
              <w:pStyle w:val="178"/>
            </w:pPr>
            <w:r>
              <w:rPr>
                <w:rFonts w:hint="eastAsia"/>
              </w:rPr>
              <w:t>次级标准砝码</w:t>
            </w:r>
          </w:p>
        </w:tc>
        <w:tc>
          <w:tcPr>
            <w:tcW w:w="1417" w:type="dxa"/>
            <w:vAlign w:val="center"/>
          </w:tcPr>
          <w:p w14:paraId="4DA4A022">
            <w:pPr>
              <w:pStyle w:val="178"/>
            </w:pPr>
            <w:r>
              <w:rPr>
                <w:rFonts w:hint="eastAsia"/>
              </w:rPr>
              <w:t>支撑工作砝码检定校准</w:t>
            </w:r>
          </w:p>
        </w:tc>
        <w:tc>
          <w:tcPr>
            <w:tcW w:w="1276" w:type="dxa"/>
            <w:vAlign w:val="center"/>
          </w:tcPr>
          <w:p w14:paraId="3FA00BF9">
            <w:pPr>
              <w:pStyle w:val="178"/>
            </w:pPr>
            <w:r>
              <w:rPr>
                <w:rFonts w:hint="eastAsia"/>
              </w:rPr>
              <w:t>L3</w:t>
            </w:r>
          </w:p>
        </w:tc>
        <w:tc>
          <w:tcPr>
            <w:tcW w:w="1701" w:type="dxa"/>
            <w:vAlign w:val="center"/>
          </w:tcPr>
          <w:p w14:paraId="79F81E34">
            <w:pPr>
              <w:pStyle w:val="178"/>
            </w:pPr>
            <w:r>
              <w:rPr>
                <w:rFonts w:hint="eastAsia"/>
              </w:rPr>
              <w:t>精密天平或比较仪,比较法</w:t>
            </w:r>
          </w:p>
        </w:tc>
        <w:tc>
          <w:tcPr>
            <w:tcW w:w="1418" w:type="dxa"/>
            <w:vAlign w:val="center"/>
          </w:tcPr>
          <w:p w14:paraId="3EABAD6C">
            <w:pPr>
              <w:pStyle w:val="178"/>
            </w:pPr>
            <w:r>
              <w:rPr>
                <w:rFonts w:hint="eastAsia"/>
              </w:rPr>
              <w:t>校准证书或检定证书</w:t>
            </w:r>
          </w:p>
        </w:tc>
        <w:tc>
          <w:tcPr>
            <w:tcW w:w="1547" w:type="dxa"/>
            <w:vAlign w:val="center"/>
          </w:tcPr>
          <w:p w14:paraId="5B28DDE0">
            <w:pPr>
              <w:pStyle w:val="178"/>
            </w:pPr>
            <w:r>
              <w:rPr>
                <w:rFonts w:hint="eastAsia"/>
              </w:rPr>
              <w:t>传递比合理,记录完整,交叉核查</w:t>
            </w:r>
          </w:p>
        </w:tc>
      </w:tr>
    </w:tbl>
    <w:p w14:paraId="544876B4">
      <w:pPr>
        <w:pStyle w:val="56"/>
        <w:spacing w:before="120" w:beforeLines="50" w:after="120" w:afterLines="50"/>
        <w:ind w:firstLine="0" w:firstLineChars="0"/>
        <w:rPr>
          <w:rFonts w:ascii="黑体" w:hAnsi="黑体" w:eastAsia="黑体"/>
        </w:rPr>
      </w:pPr>
      <w:bookmarkStart w:id="53" w:name="_Toc219103407"/>
    </w:p>
    <w:p w14:paraId="3501C8A6">
      <w:pPr>
        <w:pStyle w:val="56"/>
        <w:spacing w:before="120" w:beforeLines="50" w:after="120" w:afterLines="50"/>
        <w:ind w:firstLine="0" w:firstLineChars="0"/>
        <w:jc w:val="center"/>
        <w:rPr>
          <w:rFonts w:ascii="黑体" w:hAnsi="黑体" w:eastAsia="黑体"/>
        </w:rPr>
      </w:pPr>
      <w:r>
        <w:rPr>
          <w:rFonts w:hint="eastAsia" w:ascii="黑体" w:hAnsi="黑体" w:eastAsia="黑体"/>
        </w:rPr>
        <w:t>表1  量值传递链层级与接口要求</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16"/>
        <w:gridCol w:w="1559"/>
        <w:gridCol w:w="1417"/>
        <w:gridCol w:w="1276"/>
        <w:gridCol w:w="1701"/>
        <w:gridCol w:w="1418"/>
        <w:gridCol w:w="1547"/>
      </w:tblGrid>
      <w:tr w14:paraId="066522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16" w:type="dxa"/>
            <w:tcBorders>
              <w:top w:val="single" w:color="auto" w:sz="8" w:space="0"/>
              <w:bottom w:val="single" w:color="auto" w:sz="8" w:space="0"/>
            </w:tcBorders>
            <w:vAlign w:val="center"/>
          </w:tcPr>
          <w:p w14:paraId="207B4CCB">
            <w:pPr>
              <w:pStyle w:val="178"/>
            </w:pPr>
            <w:r>
              <w:rPr>
                <w:rFonts w:hint="eastAsia"/>
              </w:rPr>
              <w:t>层级</w:t>
            </w:r>
          </w:p>
        </w:tc>
        <w:tc>
          <w:tcPr>
            <w:tcW w:w="1559" w:type="dxa"/>
            <w:tcBorders>
              <w:top w:val="single" w:color="auto" w:sz="8" w:space="0"/>
              <w:bottom w:val="single" w:color="auto" w:sz="8" w:space="0"/>
            </w:tcBorders>
            <w:vAlign w:val="center"/>
          </w:tcPr>
          <w:p w14:paraId="353DBBF9">
            <w:pPr>
              <w:pStyle w:val="178"/>
            </w:pPr>
            <w:r>
              <w:rPr>
                <w:rFonts w:hint="eastAsia"/>
              </w:rPr>
              <w:t>标准类别</w:t>
            </w:r>
          </w:p>
        </w:tc>
        <w:tc>
          <w:tcPr>
            <w:tcW w:w="1417" w:type="dxa"/>
            <w:tcBorders>
              <w:top w:val="single" w:color="auto" w:sz="8" w:space="0"/>
              <w:bottom w:val="single" w:color="auto" w:sz="8" w:space="0"/>
            </w:tcBorders>
            <w:vAlign w:val="center"/>
          </w:tcPr>
          <w:p w14:paraId="1C610A17">
            <w:pPr>
              <w:pStyle w:val="178"/>
            </w:pPr>
            <w:r>
              <w:rPr>
                <w:rFonts w:hint="eastAsia"/>
              </w:rPr>
              <w:t>主要用途</w:t>
            </w:r>
          </w:p>
        </w:tc>
        <w:tc>
          <w:tcPr>
            <w:tcW w:w="1276" w:type="dxa"/>
            <w:tcBorders>
              <w:top w:val="single" w:color="auto" w:sz="8" w:space="0"/>
              <w:bottom w:val="single" w:color="auto" w:sz="8" w:space="0"/>
            </w:tcBorders>
            <w:vAlign w:val="center"/>
          </w:tcPr>
          <w:p w14:paraId="51CCC489">
            <w:pPr>
              <w:pStyle w:val="178"/>
            </w:pPr>
            <w:r>
              <w:rPr>
                <w:rFonts w:hint="eastAsia"/>
              </w:rPr>
              <w:t>上一级溯源来源</w:t>
            </w:r>
          </w:p>
        </w:tc>
        <w:tc>
          <w:tcPr>
            <w:tcW w:w="1701" w:type="dxa"/>
            <w:tcBorders>
              <w:top w:val="single" w:color="auto" w:sz="8" w:space="0"/>
              <w:bottom w:val="single" w:color="auto" w:sz="8" w:space="0"/>
            </w:tcBorders>
            <w:vAlign w:val="center"/>
          </w:tcPr>
          <w:p w14:paraId="379C8DBE">
            <w:pPr>
              <w:pStyle w:val="178"/>
            </w:pPr>
            <w:r>
              <w:rPr>
                <w:rFonts w:hint="eastAsia"/>
              </w:rPr>
              <w:t>典型比较装置与方法</w:t>
            </w:r>
          </w:p>
        </w:tc>
        <w:tc>
          <w:tcPr>
            <w:tcW w:w="1418" w:type="dxa"/>
            <w:tcBorders>
              <w:top w:val="single" w:color="auto" w:sz="8" w:space="0"/>
              <w:bottom w:val="single" w:color="auto" w:sz="8" w:space="0"/>
            </w:tcBorders>
            <w:vAlign w:val="center"/>
          </w:tcPr>
          <w:p w14:paraId="0BF680ED">
            <w:pPr>
              <w:pStyle w:val="178"/>
            </w:pPr>
            <w:r>
              <w:rPr>
                <w:rFonts w:hint="eastAsia"/>
              </w:rPr>
              <w:t>输出结果要求</w:t>
            </w:r>
          </w:p>
        </w:tc>
        <w:tc>
          <w:tcPr>
            <w:tcW w:w="1547" w:type="dxa"/>
            <w:tcBorders>
              <w:top w:val="single" w:color="auto" w:sz="8" w:space="0"/>
              <w:bottom w:val="single" w:color="auto" w:sz="8" w:space="0"/>
            </w:tcBorders>
            <w:vAlign w:val="center"/>
          </w:tcPr>
          <w:p w14:paraId="0ABCC1D8">
            <w:pPr>
              <w:pStyle w:val="178"/>
            </w:pPr>
            <w:r>
              <w:rPr>
                <w:rFonts w:hint="eastAsia"/>
              </w:rPr>
              <w:t>接口控制要点</w:t>
            </w:r>
          </w:p>
        </w:tc>
      </w:tr>
      <w:tr w14:paraId="3C33C5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Align w:val="center"/>
          </w:tcPr>
          <w:p w14:paraId="4DD4F923">
            <w:pPr>
              <w:pStyle w:val="178"/>
            </w:pPr>
            <w:r>
              <w:rPr>
                <w:rFonts w:hint="eastAsia"/>
              </w:rPr>
              <w:t>L5</w:t>
            </w:r>
          </w:p>
        </w:tc>
        <w:tc>
          <w:tcPr>
            <w:tcW w:w="1559" w:type="dxa"/>
            <w:vAlign w:val="center"/>
          </w:tcPr>
          <w:p w14:paraId="7E668708">
            <w:pPr>
              <w:pStyle w:val="178"/>
            </w:pPr>
            <w:r>
              <w:rPr>
                <w:rFonts w:hint="eastAsia"/>
              </w:rPr>
              <w:t>工作砝码</w:t>
            </w:r>
          </w:p>
        </w:tc>
        <w:tc>
          <w:tcPr>
            <w:tcW w:w="1417" w:type="dxa"/>
            <w:vAlign w:val="center"/>
          </w:tcPr>
          <w:p w14:paraId="3E573D82">
            <w:pPr>
              <w:pStyle w:val="178"/>
            </w:pPr>
            <w:r>
              <w:rPr>
                <w:rFonts w:hint="eastAsia"/>
              </w:rPr>
              <w:t>现场检定校准,过程控制</w:t>
            </w:r>
          </w:p>
        </w:tc>
        <w:tc>
          <w:tcPr>
            <w:tcW w:w="1276" w:type="dxa"/>
            <w:vAlign w:val="center"/>
          </w:tcPr>
          <w:p w14:paraId="33DF8AF4">
            <w:pPr>
              <w:pStyle w:val="178"/>
            </w:pPr>
            <w:r>
              <w:rPr>
                <w:rFonts w:hint="eastAsia"/>
              </w:rPr>
              <w:t>L3或L4</w:t>
            </w:r>
          </w:p>
        </w:tc>
        <w:tc>
          <w:tcPr>
            <w:tcW w:w="1701" w:type="dxa"/>
            <w:vAlign w:val="center"/>
          </w:tcPr>
          <w:p w14:paraId="21E28D9B">
            <w:pPr>
              <w:pStyle w:val="178"/>
            </w:pPr>
            <w:r>
              <w:rPr>
                <w:rFonts w:hint="eastAsia"/>
              </w:rPr>
              <w:t>适配天平,比较法或替代法</w:t>
            </w:r>
          </w:p>
        </w:tc>
        <w:tc>
          <w:tcPr>
            <w:tcW w:w="1418" w:type="dxa"/>
            <w:vAlign w:val="center"/>
          </w:tcPr>
          <w:p w14:paraId="0B5F3A6B">
            <w:pPr>
              <w:pStyle w:val="178"/>
            </w:pPr>
            <w:r>
              <w:rPr>
                <w:rFonts w:hint="eastAsia"/>
              </w:rPr>
              <w:t>合格结论或校准结果</w:t>
            </w:r>
          </w:p>
        </w:tc>
        <w:tc>
          <w:tcPr>
            <w:tcW w:w="1547" w:type="dxa"/>
            <w:vAlign w:val="center"/>
          </w:tcPr>
          <w:p w14:paraId="5F50DCCE">
            <w:pPr>
              <w:pStyle w:val="178"/>
            </w:pPr>
            <w:r>
              <w:rPr>
                <w:rFonts w:hint="eastAsia"/>
              </w:rPr>
              <w:t>状态标识清晰,使用与运输受控</w:t>
            </w:r>
          </w:p>
        </w:tc>
      </w:tr>
      <w:tr w14:paraId="2D6015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Align w:val="center"/>
          </w:tcPr>
          <w:p w14:paraId="291B1AA7">
            <w:pPr>
              <w:pStyle w:val="178"/>
            </w:pPr>
            <w:r>
              <w:rPr>
                <w:rFonts w:hint="eastAsia"/>
              </w:rPr>
              <w:t>L6</w:t>
            </w:r>
          </w:p>
        </w:tc>
        <w:tc>
          <w:tcPr>
            <w:tcW w:w="1559" w:type="dxa"/>
            <w:vAlign w:val="center"/>
          </w:tcPr>
          <w:p w14:paraId="0FDA427A">
            <w:pPr>
              <w:pStyle w:val="178"/>
            </w:pPr>
            <w:r>
              <w:rPr>
                <w:rFonts w:hint="eastAsia"/>
              </w:rPr>
              <w:t>使用单位工作砝码或核查砝码</w:t>
            </w:r>
          </w:p>
        </w:tc>
        <w:tc>
          <w:tcPr>
            <w:tcW w:w="1417" w:type="dxa"/>
            <w:vAlign w:val="center"/>
          </w:tcPr>
          <w:p w14:paraId="4334F293">
            <w:pPr>
              <w:pStyle w:val="178"/>
            </w:pPr>
            <w:r>
              <w:rPr>
                <w:rFonts w:hint="eastAsia"/>
              </w:rPr>
              <w:t>日常核查,设备自检</w:t>
            </w:r>
          </w:p>
        </w:tc>
        <w:tc>
          <w:tcPr>
            <w:tcW w:w="1276" w:type="dxa"/>
            <w:vAlign w:val="center"/>
          </w:tcPr>
          <w:p w14:paraId="614ACA57">
            <w:pPr>
              <w:pStyle w:val="178"/>
            </w:pPr>
            <w:r>
              <w:rPr>
                <w:rFonts w:hint="eastAsia"/>
              </w:rPr>
              <w:t>L5或具备资质机构</w:t>
            </w:r>
          </w:p>
        </w:tc>
        <w:tc>
          <w:tcPr>
            <w:tcW w:w="1701" w:type="dxa"/>
            <w:vAlign w:val="center"/>
          </w:tcPr>
          <w:p w14:paraId="0D415CC0">
            <w:pPr>
              <w:pStyle w:val="178"/>
            </w:pPr>
            <w:r>
              <w:rPr>
                <w:rFonts w:hint="eastAsia"/>
              </w:rPr>
              <w:t>现场比对或关键点核查</w:t>
            </w:r>
          </w:p>
        </w:tc>
        <w:tc>
          <w:tcPr>
            <w:tcW w:w="1418" w:type="dxa"/>
            <w:vAlign w:val="center"/>
          </w:tcPr>
          <w:p w14:paraId="1F8FEFDE">
            <w:pPr>
              <w:pStyle w:val="178"/>
            </w:pPr>
            <w:r>
              <w:rPr>
                <w:rFonts w:hint="eastAsia"/>
              </w:rPr>
              <w:t>核查记录与判定</w:t>
            </w:r>
          </w:p>
        </w:tc>
        <w:tc>
          <w:tcPr>
            <w:tcW w:w="1547" w:type="dxa"/>
            <w:vAlign w:val="center"/>
          </w:tcPr>
          <w:p w14:paraId="6FF1E160">
            <w:pPr>
              <w:pStyle w:val="178"/>
            </w:pPr>
            <w:r>
              <w:rPr>
                <w:rFonts w:hint="eastAsia"/>
              </w:rPr>
              <w:t>核查频次明确,超限处置机制</w:t>
            </w:r>
          </w:p>
        </w:tc>
      </w:tr>
    </w:tbl>
    <w:p w14:paraId="2F73F964">
      <w:pPr>
        <w:pStyle w:val="104"/>
        <w:spacing w:before="240" w:after="240" w:line="360" w:lineRule="auto"/>
      </w:pPr>
      <w:r>
        <w:rPr>
          <w:rFonts w:hint="eastAsia"/>
        </w:rPr>
        <w:t>检定校准方法与过程控制</w:t>
      </w:r>
      <w:bookmarkEnd w:id="53"/>
    </w:p>
    <w:p w14:paraId="3F3340D0">
      <w:pPr>
        <w:pStyle w:val="105"/>
        <w:spacing w:before="120" w:after="120" w:line="360" w:lineRule="auto"/>
      </w:pPr>
      <w:r>
        <w:rPr>
          <w:rFonts w:hint="eastAsia"/>
        </w:rPr>
        <w:t>一般要求</w:t>
      </w:r>
    </w:p>
    <w:p w14:paraId="37D1180A">
      <w:pPr>
        <w:pStyle w:val="165"/>
        <w:spacing w:line="360" w:lineRule="auto"/>
      </w:pPr>
      <w:r>
        <w:rPr>
          <w:rFonts w:hint="eastAsia"/>
        </w:rPr>
        <w:t>砝码检定与校准应依据适用规程或规范选择方法。方法选择应与砝码等级、标称质量、比较装置能力与目标不确定度相匹配，并在作业记录与证书中明确采用的方法与依据。</w:t>
      </w:r>
    </w:p>
    <w:p w14:paraId="2A07A549">
      <w:pPr>
        <w:pStyle w:val="165"/>
        <w:spacing w:line="360" w:lineRule="auto"/>
      </w:pPr>
      <w:r>
        <w:rPr>
          <w:rFonts w:hint="eastAsia"/>
        </w:rPr>
        <w:t>检定校准过程应实行全过程受控管理，包括测量准备、砝码识别与外观检查、比较序列设计、环境记录、修正计算、结果判定、不确定度评定适用时与证据归档。</w:t>
      </w:r>
    </w:p>
    <w:p w14:paraId="39BD9368">
      <w:pPr>
        <w:pStyle w:val="105"/>
        <w:spacing w:before="120" w:after="120" w:line="360" w:lineRule="auto"/>
      </w:pPr>
      <w:r>
        <w:rPr>
          <w:rFonts w:hint="eastAsia"/>
        </w:rPr>
        <w:t>方法选择原则</w:t>
      </w:r>
    </w:p>
    <w:p w14:paraId="23BA4CCE">
      <w:pPr>
        <w:pStyle w:val="165"/>
        <w:spacing w:line="360" w:lineRule="auto"/>
      </w:pPr>
      <w:r>
        <w:rPr>
          <w:rFonts w:hint="eastAsia"/>
        </w:rPr>
        <w:t>高等级标准砝码宜采用质量比较仪并采用交替比较类方法，控制零点漂移与灵敏度变化影响，确保传递不确定度满足要求。</w:t>
      </w:r>
    </w:p>
    <w:p w14:paraId="3D032459">
      <w:pPr>
        <w:pStyle w:val="165"/>
        <w:spacing w:line="360" w:lineRule="auto"/>
      </w:pPr>
      <w:r>
        <w:rPr>
          <w:rFonts w:hint="eastAsia"/>
        </w:rPr>
        <w:t>中低等级砝码可采用精密天平进行比较测量。对称量范围较大或现场条件受限的，可采用替代法或分组比较法，但应评估方法引入的不确定度并在证书中说明。</w:t>
      </w:r>
    </w:p>
    <w:p w14:paraId="69D693C5">
      <w:pPr>
        <w:pStyle w:val="165"/>
        <w:spacing w:line="360" w:lineRule="auto"/>
      </w:pPr>
      <w:r>
        <w:rPr>
          <w:rFonts w:hint="eastAsia"/>
        </w:rPr>
        <w:t>同一等级砝码的比较宜采用同一方法体系，避免因方法差异导致结果不一致。确需变更方法时，应进行方法比对或确认。</w:t>
      </w:r>
    </w:p>
    <w:p w14:paraId="76A95DC9">
      <w:pPr>
        <w:pStyle w:val="105"/>
        <w:spacing w:before="120" w:after="120" w:line="360" w:lineRule="auto"/>
      </w:pPr>
      <w:r>
        <w:rPr>
          <w:rFonts w:hint="eastAsia"/>
        </w:rPr>
        <w:t>比较测量常用方法</w:t>
      </w:r>
    </w:p>
    <w:p w14:paraId="0D4A5BB2">
      <w:pPr>
        <w:pStyle w:val="65"/>
        <w:spacing w:before="120" w:after="120" w:line="360" w:lineRule="auto"/>
      </w:pPr>
      <w:r>
        <w:rPr>
          <w:rFonts w:hint="eastAsia"/>
        </w:rPr>
        <w:t>直接比较法</w:t>
      </w:r>
    </w:p>
    <w:p w14:paraId="7422B0BC">
      <w:pPr>
        <w:pStyle w:val="56"/>
        <w:spacing w:line="360" w:lineRule="auto"/>
        <w:ind w:firstLine="420"/>
      </w:pPr>
      <w:r>
        <w:rPr>
          <w:rFonts w:hint="eastAsia"/>
        </w:rPr>
        <w:t>将被测砝码与标准砝码在同一称量装置上进行比较，通过示值差确定被测砝码的约定质量或偏差。该方法适用于装置稳定性较好且砝码等级要求不极端苛刻的场景。</w:t>
      </w:r>
    </w:p>
    <w:p w14:paraId="1519348A">
      <w:pPr>
        <w:pStyle w:val="65"/>
        <w:spacing w:before="120" w:after="120" w:line="360" w:lineRule="auto"/>
      </w:pPr>
      <w:r>
        <w:rPr>
          <w:rFonts w:hint="eastAsia"/>
        </w:rPr>
        <w:t>替代法</w:t>
      </w:r>
    </w:p>
    <w:p w14:paraId="2FD4D751">
      <w:pPr>
        <w:pStyle w:val="56"/>
        <w:spacing w:line="360" w:lineRule="auto"/>
        <w:ind w:firstLine="420"/>
      </w:pPr>
      <w:r>
        <w:rPr>
          <w:rFonts w:hint="eastAsia"/>
        </w:rPr>
        <w:t>采用标准砝码与被测砝码交替称量，通过序列设计抵消零点漂移等影响。替代法适用于零点漂移明显或称量环境稳定性不足的场景，但应控制操作节奏与序列一致性。</w:t>
      </w:r>
    </w:p>
    <w:p w14:paraId="5C0D5CCB">
      <w:pPr>
        <w:pStyle w:val="65"/>
        <w:spacing w:before="120" w:after="120" w:line="360" w:lineRule="auto"/>
      </w:pPr>
      <w:r>
        <w:rPr>
          <w:rFonts w:hint="eastAsia"/>
        </w:rPr>
        <w:t>交替比较法</w:t>
      </w:r>
    </w:p>
    <w:p w14:paraId="3F99DC84">
      <w:pPr>
        <w:pStyle w:val="56"/>
        <w:spacing w:line="360" w:lineRule="auto"/>
        <w:ind w:firstLine="420"/>
      </w:pPr>
      <w:r>
        <w:rPr>
          <w:rFonts w:hint="eastAsia"/>
        </w:rPr>
        <w:t>采用标准与被测交替称量的序列例如 ABBA 或 ABA 等，通过对称序列减弱漂移影响。交替比较法适用于高等级砝码与高精度比较装置，是量值传递常用方法之一。</w:t>
      </w:r>
    </w:p>
    <w:p w14:paraId="50E486DA">
      <w:pPr>
        <w:pStyle w:val="56"/>
        <w:spacing w:line="360" w:lineRule="auto"/>
        <w:ind w:firstLine="420"/>
      </w:pPr>
    </w:p>
    <w:p w14:paraId="73BE7449">
      <w:pPr>
        <w:pStyle w:val="56"/>
        <w:spacing w:line="360" w:lineRule="auto"/>
        <w:ind w:firstLine="420"/>
        <w:rPr>
          <w:rFonts w:hint="eastAsia"/>
        </w:rPr>
      </w:pPr>
    </w:p>
    <w:p w14:paraId="11C32F24">
      <w:pPr>
        <w:pStyle w:val="65"/>
        <w:spacing w:before="120" w:after="120" w:line="360" w:lineRule="auto"/>
      </w:pPr>
      <w:r>
        <w:rPr>
          <w:rFonts w:hint="eastAsia"/>
        </w:rPr>
        <w:t>分组比较与组合法</w:t>
      </w:r>
    </w:p>
    <w:p w14:paraId="7B251F65">
      <w:pPr>
        <w:pStyle w:val="56"/>
        <w:spacing w:line="360" w:lineRule="auto"/>
        <w:ind w:firstLine="420"/>
      </w:pPr>
      <w:r>
        <w:rPr>
          <w:rFonts w:hint="eastAsia"/>
        </w:rPr>
        <w:t>当标称质量较大或单只标准砝码不足以覆盖目标质量时，可采用多只砝码组合法进行比较。组合法应明确组合结构并控制累积不确定度，必要时进行组合验证。</w:t>
      </w:r>
    </w:p>
    <w:p w14:paraId="59B85CBB">
      <w:pPr>
        <w:pStyle w:val="105"/>
        <w:spacing w:before="120" w:after="120" w:line="360" w:lineRule="auto"/>
      </w:pPr>
      <w:r>
        <w:rPr>
          <w:rFonts w:hint="eastAsia"/>
        </w:rPr>
        <w:t>测量准备与设备确认</w:t>
      </w:r>
    </w:p>
    <w:p w14:paraId="2C3C081A">
      <w:pPr>
        <w:pStyle w:val="65"/>
        <w:spacing w:before="120" w:after="120" w:line="360" w:lineRule="auto"/>
      </w:pPr>
      <w:r>
        <w:rPr>
          <w:rFonts w:hint="eastAsia"/>
        </w:rPr>
        <w:t>设备预热与稳定</w:t>
      </w:r>
    </w:p>
    <w:p w14:paraId="3E843D2D">
      <w:pPr>
        <w:pStyle w:val="56"/>
        <w:spacing w:line="360" w:lineRule="auto"/>
        <w:ind w:firstLine="420"/>
      </w:pPr>
      <w:r>
        <w:rPr>
          <w:rFonts w:hint="eastAsia"/>
        </w:rPr>
        <w:t>比较装置应按要求预热并达到稳定状态后使用。测量前应进行零点检查与重复性检查，确认装置处于正常工作状态。</w:t>
      </w:r>
    </w:p>
    <w:p w14:paraId="1B126D2E">
      <w:pPr>
        <w:pStyle w:val="65"/>
        <w:spacing w:before="120" w:after="120" w:line="360" w:lineRule="auto"/>
      </w:pPr>
      <w:r>
        <w:rPr>
          <w:rFonts w:hint="eastAsia"/>
        </w:rPr>
        <w:t>灵敏度与线性确认</w:t>
      </w:r>
    </w:p>
    <w:p w14:paraId="12F587BE">
      <w:pPr>
        <w:pStyle w:val="56"/>
        <w:spacing w:line="360" w:lineRule="auto"/>
        <w:ind w:firstLine="420"/>
      </w:pPr>
      <w:r>
        <w:rPr>
          <w:rFonts w:hint="eastAsia"/>
        </w:rPr>
        <w:t>用于高等级砝码比较时，应按规定确认装置灵敏度与线性。确认结果应记录并纳入不确定度评定或过程判定依据。</w:t>
      </w:r>
    </w:p>
    <w:p w14:paraId="73C4376A">
      <w:pPr>
        <w:pStyle w:val="65"/>
        <w:spacing w:before="120" w:after="120" w:line="360" w:lineRule="auto"/>
      </w:pPr>
      <w:r>
        <w:rPr>
          <w:rFonts w:hint="eastAsia"/>
        </w:rPr>
        <w:t>砝码温度平衡</w:t>
      </w:r>
    </w:p>
    <w:p w14:paraId="77F1E571">
      <w:pPr>
        <w:pStyle w:val="56"/>
        <w:spacing w:line="360" w:lineRule="auto"/>
        <w:ind w:firstLine="420"/>
      </w:pPr>
      <w:r>
        <w:rPr>
          <w:rFonts w:hint="eastAsia"/>
        </w:rPr>
        <w:t>标准砝码与被测砝码应在测量环境中达到热平衡后方可比较。热平衡时间可依据砝码材质、质量大小与温差情况确定，并在作业记录中体现。</w:t>
      </w:r>
    </w:p>
    <w:p w14:paraId="041DB2FC">
      <w:pPr>
        <w:pStyle w:val="105"/>
        <w:spacing w:before="120" w:after="120" w:line="360" w:lineRule="auto"/>
      </w:pPr>
      <w:r>
        <w:rPr>
          <w:rFonts w:hint="eastAsia"/>
        </w:rPr>
        <w:t>环境记录与空气浮力修正</w:t>
      </w:r>
    </w:p>
    <w:p w14:paraId="18AA3E25">
      <w:pPr>
        <w:pStyle w:val="65"/>
        <w:spacing w:before="120" w:after="120" w:line="360" w:lineRule="auto"/>
      </w:pPr>
      <w:r>
        <w:rPr>
          <w:rFonts w:hint="eastAsia"/>
        </w:rPr>
        <w:t>环境记录</w:t>
      </w:r>
    </w:p>
    <w:p w14:paraId="70CD4915">
      <w:pPr>
        <w:pStyle w:val="56"/>
        <w:spacing w:line="360" w:lineRule="auto"/>
        <w:ind w:firstLine="420"/>
      </w:pPr>
      <w:r>
        <w:rPr>
          <w:rFonts w:hint="eastAsia"/>
        </w:rPr>
        <w:t>测量期间应记录温度、相对湿度，必要时记录气压。环境数据应与测量数据对应，确保可追溯。</w:t>
      </w:r>
    </w:p>
    <w:p w14:paraId="23B4BFA4">
      <w:pPr>
        <w:pStyle w:val="65"/>
        <w:spacing w:before="120" w:after="120" w:line="360" w:lineRule="auto"/>
      </w:pPr>
      <w:r>
        <w:rPr>
          <w:rFonts w:hint="eastAsia"/>
        </w:rPr>
        <w:t>空气浮力修正</w:t>
      </w:r>
    </w:p>
    <w:p w14:paraId="68152A3F">
      <w:pPr>
        <w:pStyle w:val="56"/>
        <w:spacing w:line="360" w:lineRule="auto"/>
        <w:ind w:firstLine="420"/>
      </w:pPr>
      <w:r>
        <w:rPr>
          <w:rFonts w:hint="eastAsia"/>
        </w:rPr>
        <w:t>砝码比较结果应按规定进行空气浮力修正。修正计算应使用可追溯的空气密度模型与砝码密度信息。砝码密度无法确定时，应按规程允许的假定值或测定值处理，并评估其对不确定度的贡献。</w:t>
      </w:r>
    </w:p>
    <w:p w14:paraId="416A28F8">
      <w:pPr>
        <w:pStyle w:val="65"/>
        <w:spacing w:before="120" w:after="120" w:line="360" w:lineRule="auto"/>
      </w:pPr>
      <w:r>
        <w:rPr>
          <w:rFonts w:hint="eastAsia"/>
        </w:rPr>
        <w:t>重力加速度影响处理</w:t>
      </w:r>
    </w:p>
    <w:p w14:paraId="71281E5E">
      <w:pPr>
        <w:pStyle w:val="56"/>
        <w:spacing w:line="360" w:lineRule="auto"/>
        <w:ind w:firstLine="420"/>
      </w:pPr>
      <w:r>
        <w:rPr>
          <w:rFonts w:hint="eastAsia"/>
        </w:rPr>
        <w:t>在需要时应考虑当地重力加速度差异对称量结果的影响。涉及跨地区量值传递或高精度校准时，应明确重力参数来源与处理方式。</w:t>
      </w:r>
    </w:p>
    <w:p w14:paraId="4FC1528D">
      <w:pPr>
        <w:pStyle w:val="105"/>
        <w:spacing w:before="120" w:after="120" w:line="360" w:lineRule="auto"/>
      </w:pPr>
      <w:r>
        <w:rPr>
          <w:rFonts w:hint="eastAsia"/>
        </w:rPr>
        <w:t>操作过程控制</w:t>
      </w:r>
    </w:p>
    <w:p w14:paraId="5E7454E0">
      <w:pPr>
        <w:pStyle w:val="65"/>
        <w:spacing w:before="120" w:after="120" w:line="360" w:lineRule="auto"/>
      </w:pPr>
      <w:r>
        <w:rPr>
          <w:rFonts w:hint="eastAsia"/>
        </w:rPr>
        <w:t>砝码操作</w:t>
      </w:r>
    </w:p>
    <w:p w14:paraId="086CE372">
      <w:pPr>
        <w:pStyle w:val="56"/>
        <w:spacing w:line="360" w:lineRule="auto"/>
        <w:ind w:firstLine="420"/>
      </w:pPr>
      <w:r>
        <w:rPr>
          <w:rFonts w:hint="eastAsia"/>
        </w:rPr>
        <w:t>应采用专用夹持工具或手套操作，避免手触污染与热传递。放置砝码应轻放，避免碰撞与刮擦。</w:t>
      </w:r>
    </w:p>
    <w:p w14:paraId="5AE7DFEE">
      <w:pPr>
        <w:pStyle w:val="56"/>
        <w:spacing w:line="360" w:lineRule="auto"/>
        <w:ind w:firstLine="420"/>
      </w:pPr>
    </w:p>
    <w:p w14:paraId="60661FE1">
      <w:pPr>
        <w:pStyle w:val="56"/>
        <w:spacing w:line="360" w:lineRule="auto"/>
        <w:ind w:firstLine="420"/>
        <w:rPr>
          <w:rFonts w:hint="eastAsia"/>
        </w:rPr>
      </w:pPr>
    </w:p>
    <w:p w14:paraId="26146062">
      <w:pPr>
        <w:pStyle w:val="65"/>
        <w:spacing w:before="120" w:after="120" w:line="360" w:lineRule="auto"/>
      </w:pPr>
      <w:r>
        <w:rPr>
          <w:rFonts w:hint="eastAsia"/>
        </w:rPr>
        <w:t>称量节奏控制</w:t>
      </w:r>
    </w:p>
    <w:p w14:paraId="3D9DCCD2">
      <w:pPr>
        <w:pStyle w:val="56"/>
        <w:spacing w:line="360" w:lineRule="auto"/>
        <w:ind w:firstLine="420"/>
      </w:pPr>
      <w:r>
        <w:rPr>
          <w:rFonts w:hint="eastAsia"/>
        </w:rPr>
        <w:t>交替比较序列应保持一致的操作节奏与稳定的称量等待时间，减少漂移与滞后影响。操作节奏变化应记录并评估影响。</w:t>
      </w:r>
    </w:p>
    <w:p w14:paraId="71184E2E">
      <w:pPr>
        <w:pStyle w:val="65"/>
        <w:spacing w:before="120" w:after="120" w:line="360" w:lineRule="auto"/>
      </w:pPr>
      <w:r>
        <w:rPr>
          <w:rFonts w:hint="eastAsia"/>
        </w:rPr>
        <w:t>重复测量与一致性检查</w:t>
      </w:r>
    </w:p>
    <w:p w14:paraId="2326562C">
      <w:pPr>
        <w:pStyle w:val="56"/>
        <w:spacing w:line="360" w:lineRule="auto"/>
        <w:ind w:firstLine="420"/>
      </w:pPr>
      <w:r>
        <w:rPr>
          <w:rFonts w:hint="eastAsia"/>
        </w:rPr>
        <w:t>应按规定开展重复测量。重复性不满足要求时，应暂停测量并查明原因，必要时重新确认装置状态与环境条件。</w:t>
      </w:r>
    </w:p>
    <w:p w14:paraId="5F5B9FB8">
      <w:pPr>
        <w:pStyle w:val="105"/>
        <w:spacing w:before="120" w:after="120" w:line="360" w:lineRule="auto"/>
      </w:pPr>
      <w:r>
        <w:rPr>
          <w:rFonts w:hint="eastAsia"/>
        </w:rPr>
        <w:t>数据记录与计算要求</w:t>
      </w:r>
    </w:p>
    <w:p w14:paraId="1E143408">
      <w:pPr>
        <w:pStyle w:val="165"/>
        <w:spacing w:line="360" w:lineRule="auto"/>
      </w:pPr>
      <w:r>
        <w:rPr>
          <w:rFonts w:hint="eastAsia"/>
        </w:rPr>
        <w:t>原始记录应包含称量序列、每次读数、稳定判定信息、环境记录与任何异常情况说明。原始记录应防篡改并可审计。</w:t>
      </w:r>
    </w:p>
    <w:p w14:paraId="566FA209">
      <w:pPr>
        <w:pStyle w:val="165"/>
        <w:spacing w:line="360" w:lineRule="auto"/>
      </w:pPr>
      <w:r>
        <w:rPr>
          <w:rFonts w:hint="eastAsia"/>
        </w:rPr>
        <w:t>计算应包含必要修正与统计处理。应明确采用的平均方法、漂移补偿方法、修正模型与参数来源，确保计算过程可复核。</w:t>
      </w:r>
    </w:p>
    <w:p w14:paraId="333C43A0">
      <w:pPr>
        <w:pStyle w:val="165"/>
        <w:spacing w:line="360" w:lineRule="auto"/>
      </w:pPr>
      <w:r>
        <w:rPr>
          <w:rFonts w:hint="eastAsia"/>
        </w:rPr>
        <w:t>结果表达应符合规程。检定结果应给出偏差或修正值并判定合格与否；校准结果应给出约定质量或偏差及扩展不确定度，并注明覆盖因子与置信水平。</w:t>
      </w:r>
    </w:p>
    <w:p w14:paraId="23E874B0">
      <w:pPr>
        <w:pStyle w:val="105"/>
        <w:spacing w:before="120" w:after="120" w:line="360" w:lineRule="auto"/>
      </w:pPr>
      <w:r>
        <w:rPr>
          <w:rFonts w:hint="eastAsia"/>
        </w:rPr>
        <w:t>不确定度评定关键点</w:t>
      </w:r>
    </w:p>
    <w:p w14:paraId="247D9EAF">
      <w:pPr>
        <w:pStyle w:val="165"/>
        <w:spacing w:line="360" w:lineRule="auto"/>
      </w:pPr>
      <w:r>
        <w:rPr>
          <w:rFonts w:hint="eastAsia"/>
        </w:rPr>
        <w:t>不确定度评定应识别主要来源，包括比较装置分辨力与重复性、标准砝码不确定度、空气浮力修正参数、砝码密度与体积估计、零点漂移与灵敏度变化、温度稳定性与操作影响等。</w:t>
      </w:r>
    </w:p>
    <w:p w14:paraId="09B59CB6">
      <w:pPr>
        <w:pStyle w:val="165"/>
        <w:spacing w:line="360" w:lineRule="auto"/>
      </w:pPr>
      <w:r>
        <w:rPr>
          <w:rFonts w:hint="eastAsia"/>
        </w:rPr>
        <w:t>不确定度评定应符合相关规范要求。应给出合成标准不确定度与扩展不确定度，并说明评定方法、输入量分布假设与合成过程。</w:t>
      </w:r>
    </w:p>
    <w:p w14:paraId="0096330D">
      <w:pPr>
        <w:pStyle w:val="165"/>
        <w:spacing w:line="360" w:lineRule="auto"/>
      </w:pPr>
      <w:r>
        <w:rPr>
          <w:rFonts w:hint="eastAsia"/>
        </w:rPr>
        <w:t>当不确定度结果无法满足目标等级或合同要求时，应分析原因并采取措施，如提高比较装置等级、优化比较序列、加强环境控制或上移溯源层级。</w:t>
      </w:r>
    </w:p>
    <w:p w14:paraId="01D24874">
      <w:pPr>
        <w:pStyle w:val="105"/>
        <w:spacing w:before="120" w:after="120" w:line="360" w:lineRule="auto"/>
      </w:pPr>
      <w:r>
        <w:rPr>
          <w:rFonts w:hint="eastAsia"/>
        </w:rPr>
        <w:t>过程异常与处置</w:t>
      </w:r>
    </w:p>
    <w:p w14:paraId="4E64CB40">
      <w:pPr>
        <w:pStyle w:val="165"/>
        <w:spacing w:line="360" w:lineRule="auto"/>
      </w:pPr>
      <w:r>
        <w:rPr>
          <w:rFonts w:hint="eastAsia"/>
        </w:rPr>
        <w:t>出现下列情形之一时应暂停测量并处置：环境超限、装置零点漂移异常、重复性显著变差、砝码表面污染或损伤、数据明显异常且无法解释。</w:t>
      </w:r>
    </w:p>
    <w:p w14:paraId="285226B2">
      <w:pPr>
        <w:pStyle w:val="165"/>
        <w:spacing w:line="360" w:lineRule="auto"/>
      </w:pPr>
      <w:r>
        <w:rPr>
          <w:rFonts w:hint="eastAsia"/>
        </w:rPr>
        <w:t>异常处置应形成记录，说明原因分析、纠正措施与复测结论。必要时应对已出具结果的有效性进行评估。</w:t>
      </w:r>
    </w:p>
    <w:p w14:paraId="4B30C36F">
      <w:pPr>
        <w:pStyle w:val="104"/>
        <w:spacing w:before="240" w:after="240" w:line="360" w:lineRule="auto"/>
      </w:pPr>
      <w:bookmarkStart w:id="54" w:name="_Toc219103408"/>
      <w:r>
        <w:rPr>
          <w:rFonts w:hint="eastAsia"/>
        </w:rPr>
        <w:t>证书与标识管理</w:t>
      </w:r>
      <w:bookmarkEnd w:id="54"/>
    </w:p>
    <w:p w14:paraId="31E600B4">
      <w:pPr>
        <w:pStyle w:val="105"/>
        <w:spacing w:before="120" w:after="120" w:line="360" w:lineRule="auto"/>
      </w:pPr>
      <w:r>
        <w:rPr>
          <w:rFonts w:hint="eastAsia"/>
        </w:rPr>
        <w:t>一般要求</w:t>
      </w:r>
    </w:p>
    <w:p w14:paraId="5AAC702D">
      <w:pPr>
        <w:pStyle w:val="165"/>
        <w:spacing w:line="360" w:lineRule="auto"/>
      </w:pPr>
      <w:r>
        <w:rPr>
          <w:rFonts w:hint="eastAsia"/>
        </w:rPr>
        <w:t>砝码检定证书或校准证书应作为量值溯源与量值传递的关键证据文件，证书内容应完整、真实、可追溯，并与原始记录一致。</w:t>
      </w:r>
    </w:p>
    <w:p w14:paraId="6D73C177">
      <w:pPr>
        <w:pStyle w:val="165"/>
        <w:spacing w:line="360" w:lineRule="auto"/>
      </w:pPr>
      <w:r>
        <w:rPr>
          <w:rFonts w:hint="eastAsia"/>
        </w:rPr>
        <w:t>证书与标识应实行受控管理。证书编号、状态标识、有效期或复检日期应与台账一致，避免出现证书与实物状态不一致的情况。</w:t>
      </w:r>
    </w:p>
    <w:p w14:paraId="69D905E7">
      <w:pPr>
        <w:pStyle w:val="165"/>
        <w:spacing w:line="360" w:lineRule="auto"/>
      </w:pPr>
      <w:r>
        <w:rPr>
          <w:rFonts w:hint="eastAsia"/>
        </w:rPr>
        <w:t>证书、标识与台账信息应形成闭环。砝码状态变化、复检结论与使用限制应能够通过证书或台账快速追溯。</w:t>
      </w:r>
    </w:p>
    <w:p w14:paraId="17A09B36">
      <w:pPr>
        <w:pStyle w:val="105"/>
        <w:spacing w:before="120" w:after="120" w:line="360" w:lineRule="auto"/>
      </w:pPr>
      <w:r>
        <w:rPr>
          <w:rFonts w:hint="eastAsia"/>
        </w:rPr>
        <w:t>证书内容要求</w:t>
      </w:r>
    </w:p>
    <w:p w14:paraId="56FC2C75">
      <w:pPr>
        <w:pStyle w:val="65"/>
        <w:spacing w:before="120" w:after="120" w:line="360" w:lineRule="auto"/>
      </w:pPr>
      <w:r>
        <w:rPr>
          <w:rFonts w:hint="eastAsia"/>
        </w:rPr>
        <w:t>基本信息</w:t>
      </w:r>
    </w:p>
    <w:p w14:paraId="4BCD41F4">
      <w:pPr>
        <w:pStyle w:val="56"/>
        <w:spacing w:line="360" w:lineRule="auto"/>
        <w:ind w:firstLine="420"/>
      </w:pPr>
      <w:r>
        <w:rPr>
          <w:rFonts w:hint="eastAsia"/>
        </w:rPr>
        <w:t>证书应至少包含砝码名称、标称质量、等级、数量与组合信息适用时、材质与形制适用时、编号或唯一标识、委托单位信息、检定校准日期与地点。</w:t>
      </w:r>
    </w:p>
    <w:p w14:paraId="2FD40FCD">
      <w:pPr>
        <w:pStyle w:val="65"/>
        <w:spacing w:before="120" w:after="120" w:line="360" w:lineRule="auto"/>
      </w:pPr>
      <w:r>
        <w:rPr>
          <w:rFonts w:hint="eastAsia"/>
        </w:rPr>
        <w:t>溯源信息</w:t>
      </w:r>
    </w:p>
    <w:p w14:paraId="5BB20559">
      <w:pPr>
        <w:pStyle w:val="56"/>
        <w:spacing w:line="360" w:lineRule="auto"/>
        <w:ind w:firstLine="420"/>
      </w:pPr>
      <w:r>
        <w:rPr>
          <w:rFonts w:hint="eastAsia"/>
        </w:rPr>
        <w:t>证书应明确上一级标准名称或编号、溯源证书编号与有效期、采用的检定校准依据文件、比较装置信息与关键计量标准信息。</w:t>
      </w:r>
    </w:p>
    <w:p w14:paraId="040C3AC7">
      <w:pPr>
        <w:pStyle w:val="65"/>
        <w:spacing w:before="120" w:after="120" w:line="360" w:lineRule="auto"/>
      </w:pPr>
      <w:r>
        <w:rPr>
          <w:rFonts w:hint="eastAsia"/>
        </w:rPr>
        <w:t>测量条件与方法</w:t>
      </w:r>
    </w:p>
    <w:p w14:paraId="01838040">
      <w:pPr>
        <w:pStyle w:val="56"/>
        <w:spacing w:line="360" w:lineRule="auto"/>
        <w:ind w:firstLine="420"/>
      </w:pPr>
      <w:r>
        <w:rPr>
          <w:rFonts w:hint="eastAsia"/>
        </w:rPr>
        <w:t>证书应记录环境条件范围或测量时的主要环境参数，说明采用的检定校准方法、比较序列类型适用时、修正模型与主要修正参数来源。</w:t>
      </w:r>
    </w:p>
    <w:p w14:paraId="68B9D4F7">
      <w:pPr>
        <w:pStyle w:val="65"/>
        <w:spacing w:before="120" w:after="120" w:line="360" w:lineRule="auto"/>
      </w:pPr>
      <w:r>
        <w:rPr>
          <w:rFonts w:hint="eastAsia"/>
        </w:rPr>
        <w:t>结果表达</w:t>
      </w:r>
    </w:p>
    <w:p w14:paraId="3C2BEDDC">
      <w:pPr>
        <w:pStyle w:val="56"/>
        <w:spacing w:line="360" w:lineRule="auto"/>
        <w:ind w:firstLine="420"/>
      </w:pPr>
      <w:r>
        <w:rPr>
          <w:rFonts w:hint="eastAsia"/>
        </w:rPr>
        <w:t>检定证书应给出检定结论与必要的偏差或修正值，并明确判定依据。</w:t>
      </w:r>
    </w:p>
    <w:p w14:paraId="0778ADB0">
      <w:pPr>
        <w:pStyle w:val="56"/>
        <w:spacing w:line="360" w:lineRule="auto"/>
        <w:ind w:firstLine="420"/>
      </w:pPr>
      <w:r>
        <w:rPr>
          <w:rFonts w:hint="eastAsia"/>
        </w:rPr>
        <w:t>校准证书应给出约定质量或偏差与扩展不确定度，并注明覆盖因子与置信水平。</w:t>
      </w:r>
    </w:p>
    <w:p w14:paraId="2B7C14C8">
      <w:pPr>
        <w:pStyle w:val="65"/>
        <w:spacing w:before="120" w:after="120" w:line="360" w:lineRule="auto"/>
      </w:pPr>
      <w:r>
        <w:rPr>
          <w:rFonts w:hint="eastAsia"/>
        </w:rPr>
        <w:t>适用性声明</w:t>
      </w:r>
    </w:p>
    <w:p w14:paraId="4BB2361A">
      <w:pPr>
        <w:pStyle w:val="56"/>
        <w:spacing w:line="360" w:lineRule="auto"/>
        <w:ind w:firstLine="420"/>
      </w:pPr>
      <w:r>
        <w:rPr>
          <w:rFonts w:hint="eastAsia"/>
        </w:rPr>
        <w:t>当证书结果仅对特定条件有效或存在使用限制时，应明确说明。例如特定环境范围、特定比较装置条件、组合砝码使用限制、运输后需复核等。</w:t>
      </w:r>
    </w:p>
    <w:p w14:paraId="18D4190A">
      <w:pPr>
        <w:pStyle w:val="65"/>
        <w:spacing w:before="120" w:after="120" w:line="360" w:lineRule="auto"/>
      </w:pPr>
      <w:r>
        <w:rPr>
          <w:rFonts w:hint="eastAsia"/>
        </w:rPr>
        <w:t>签发与责任</w:t>
      </w:r>
    </w:p>
    <w:p w14:paraId="3593FF3D">
      <w:pPr>
        <w:pStyle w:val="56"/>
        <w:spacing w:line="360" w:lineRule="auto"/>
        <w:ind w:firstLine="420"/>
      </w:pPr>
      <w:r>
        <w:rPr>
          <w:rFonts w:hint="eastAsia"/>
        </w:rPr>
        <w:t>证书应包含签发人员、复核人员与批准人员信息，明确签发日期，并符合实验室质量体系的签发要求。</w:t>
      </w:r>
    </w:p>
    <w:p w14:paraId="49208699">
      <w:pPr>
        <w:pStyle w:val="105"/>
        <w:spacing w:before="120" w:after="120" w:line="360" w:lineRule="auto"/>
      </w:pPr>
      <w:r>
        <w:rPr>
          <w:rFonts w:hint="eastAsia"/>
        </w:rPr>
        <w:t>证书版本与更正控制</w:t>
      </w:r>
    </w:p>
    <w:p w14:paraId="2D516B17">
      <w:pPr>
        <w:pStyle w:val="165"/>
        <w:spacing w:line="360" w:lineRule="auto"/>
      </w:pPr>
      <w:r>
        <w:rPr>
          <w:rFonts w:hint="eastAsia"/>
        </w:rPr>
        <w:t>证书更正应受控。发现证书内容错误或遗漏时，应按质量体系执行更正流程，保留更正原因、影响评估与更正记录，并明确作废版本与新版本对应关系。</w:t>
      </w:r>
    </w:p>
    <w:p w14:paraId="5F00882F">
      <w:pPr>
        <w:pStyle w:val="165"/>
        <w:spacing w:line="360" w:lineRule="auto"/>
      </w:pPr>
      <w:r>
        <w:rPr>
          <w:rFonts w:hint="eastAsia"/>
        </w:rPr>
        <w:t>证书重签应可追溯。重签证书不得改变原始测量数据与结论依据。确需复测导致结果变化时，应按重新检定校准处理并形成新的原始记录与证书。</w:t>
      </w:r>
    </w:p>
    <w:p w14:paraId="5953BBD5">
      <w:pPr>
        <w:pStyle w:val="105"/>
        <w:spacing w:before="120" w:after="120" w:line="360" w:lineRule="auto"/>
      </w:pPr>
      <w:r>
        <w:rPr>
          <w:rFonts w:hint="eastAsia"/>
        </w:rPr>
        <w:t>状态标识要求</w:t>
      </w:r>
    </w:p>
    <w:p w14:paraId="1BFB70A2">
      <w:pPr>
        <w:pStyle w:val="165"/>
        <w:spacing w:line="360" w:lineRule="auto"/>
      </w:pPr>
      <w:r>
        <w:rPr>
          <w:rFonts w:hint="eastAsia"/>
        </w:rPr>
        <w:t>砝码应实施状态标识。状态标识宜包括证书编号、检定校准日期、有效期或复检日期、状态结论信息。标识应清晰、牢固、易识别且不影响砝码质量稳定性。</w:t>
      </w:r>
    </w:p>
    <w:p w14:paraId="224B8153">
      <w:pPr>
        <w:pStyle w:val="165"/>
        <w:spacing w:line="360" w:lineRule="auto"/>
      </w:pPr>
      <w:r>
        <w:rPr>
          <w:rFonts w:hint="eastAsia"/>
        </w:rPr>
        <w:t>组合砝码应能对应到单件信息。砝码盒或容器外应标识组合编号与证书编号，单件砝码应保留唯一标识或可追溯编号，确保组合关系可核对。</w:t>
      </w:r>
    </w:p>
    <w:p w14:paraId="193D2F51">
      <w:pPr>
        <w:pStyle w:val="165"/>
        <w:spacing w:line="360" w:lineRule="auto"/>
      </w:pPr>
      <w:r>
        <w:rPr>
          <w:rFonts w:hint="eastAsia"/>
        </w:rPr>
        <w:t>状态标识管理应与台账一致。砝码复检、期间核查超限、维修清洁处理后状态变化时，应同步更新标识并记录状态变更依据。</w:t>
      </w:r>
    </w:p>
    <w:p w14:paraId="344DEB35">
      <w:pPr>
        <w:pStyle w:val="105"/>
        <w:spacing w:before="120" w:after="120" w:line="360" w:lineRule="auto"/>
      </w:pPr>
      <w:r>
        <w:rPr>
          <w:rFonts w:hint="eastAsia"/>
        </w:rPr>
        <w:t>证书接收与验收</w:t>
      </w:r>
    </w:p>
    <w:p w14:paraId="723385FF">
      <w:pPr>
        <w:pStyle w:val="165"/>
        <w:spacing w:line="360" w:lineRule="auto"/>
      </w:pPr>
      <w:r>
        <w:rPr>
          <w:rFonts w:hint="eastAsia"/>
        </w:rPr>
        <w:t>委托外部检定校准时，接收单位应对证书进行验收。验收应至少核查资质范围、溯源信息完整性、方法依据、结果表达与不确定度信息适用时、有效期或复检建议、砝码编号一致性。</w:t>
      </w:r>
    </w:p>
    <w:p w14:paraId="012BC600">
      <w:pPr>
        <w:pStyle w:val="165"/>
        <w:spacing w:line="360" w:lineRule="auto"/>
      </w:pPr>
      <w:r>
        <w:rPr>
          <w:rFonts w:hint="eastAsia"/>
        </w:rPr>
        <w:t>证书验收不通过时，应及时与承检机构沟通处理。涉及结果疑义或证据缺失的，应暂停该砝码用于量值传递或检定校准工作，直至问题闭环。</w:t>
      </w:r>
    </w:p>
    <w:p w14:paraId="47CC37A4">
      <w:pPr>
        <w:pStyle w:val="105"/>
        <w:spacing w:before="120" w:after="120" w:line="360" w:lineRule="auto"/>
      </w:pPr>
      <w:r>
        <w:rPr>
          <w:rFonts w:hint="eastAsia"/>
        </w:rPr>
        <w:t>证书与标识的档案管理</w:t>
      </w:r>
    </w:p>
    <w:p w14:paraId="31D45E15">
      <w:pPr>
        <w:pStyle w:val="165"/>
        <w:spacing w:line="360" w:lineRule="auto"/>
      </w:pPr>
      <w:r>
        <w:rPr>
          <w:rFonts w:hint="eastAsia"/>
        </w:rPr>
        <w:t>证书应按一机一档或一套一档方式归档。纸质证书应防潮防损，电子证书应具备备份与权限控制。</w:t>
      </w:r>
    </w:p>
    <w:p w14:paraId="581DAA19">
      <w:pPr>
        <w:pStyle w:val="165"/>
        <w:spacing w:line="360" w:lineRule="auto"/>
      </w:pPr>
      <w:r>
        <w:rPr>
          <w:rFonts w:hint="eastAsia"/>
        </w:rPr>
        <w:t>证书与标识信息应纳入信息化台账。台账字段宜包含证书编号、检定校准日期、有效期或复检日期、溯源来源、结果摘要、不确定度适用时、状态与使用限制。</w:t>
      </w:r>
    </w:p>
    <w:p w14:paraId="554AC9E4">
      <w:pPr>
        <w:pStyle w:val="165"/>
        <w:spacing w:line="360" w:lineRule="auto"/>
      </w:pPr>
      <w:r>
        <w:rPr>
          <w:rFonts w:hint="eastAsia"/>
        </w:rPr>
        <w:t>证书与原始记录应可关联追溯。应确保通过证书编号可追溯到原始称量记录、环境记录与计算过程文件编号。</w:t>
      </w:r>
    </w:p>
    <w:p w14:paraId="1E75B142">
      <w:pPr>
        <w:pStyle w:val="104"/>
        <w:spacing w:before="240" w:after="240" w:line="360" w:lineRule="auto"/>
      </w:pPr>
      <w:bookmarkStart w:id="55" w:name="_Toc219103409"/>
      <w:r>
        <w:rPr>
          <w:rFonts w:hint="eastAsia"/>
        </w:rPr>
        <w:t>期间核查与复检周期管理</w:t>
      </w:r>
      <w:bookmarkEnd w:id="55"/>
    </w:p>
    <w:p w14:paraId="53DE7288">
      <w:pPr>
        <w:pStyle w:val="105"/>
        <w:spacing w:before="120" w:after="120" w:line="360" w:lineRule="auto"/>
      </w:pPr>
      <w:r>
        <w:rPr>
          <w:rFonts w:hint="eastAsia"/>
        </w:rPr>
        <w:t>一般要求</w:t>
      </w:r>
    </w:p>
    <w:p w14:paraId="0A626988">
      <w:pPr>
        <w:pStyle w:val="165"/>
        <w:spacing w:line="360" w:lineRule="auto"/>
      </w:pPr>
      <w:r>
        <w:rPr>
          <w:rFonts w:hint="eastAsia"/>
        </w:rPr>
        <w:t>期间核查用于确认砝码在两次检定校准之间量值保持的稳定性，是保障量值传递连续性与降低使用风险的重要措施。承担量值传递任务的标准砝码与使用频繁的工作砝码应优先实施期间核查。</w:t>
      </w:r>
    </w:p>
    <w:p w14:paraId="05647FBC">
      <w:pPr>
        <w:pStyle w:val="165"/>
        <w:spacing w:line="360" w:lineRule="auto"/>
      </w:pPr>
      <w:r>
        <w:rPr>
          <w:rFonts w:hint="eastAsia"/>
        </w:rPr>
        <w:t>期间核查应形成制度化安排。应明确核查对象、核查频次、核查方法、判定准则、超限处置流程与记录归档要求，并与复检周期管理联动。</w:t>
      </w:r>
    </w:p>
    <w:p w14:paraId="37A304CB">
      <w:pPr>
        <w:pStyle w:val="165"/>
        <w:spacing w:line="360" w:lineRule="auto"/>
      </w:pPr>
      <w:r>
        <w:rPr>
          <w:rFonts w:hint="eastAsia"/>
        </w:rPr>
        <w:t>复检周期应以风险为基础确定。应综合考虑砝码等级、使用强度、运输频次、环境条件、历史稳定性与核查结果，动态调整复检周期。</w:t>
      </w:r>
    </w:p>
    <w:p w14:paraId="6ABB04C8">
      <w:pPr>
        <w:pStyle w:val="105"/>
        <w:spacing w:before="120" w:after="120" w:line="360" w:lineRule="auto"/>
      </w:pPr>
      <w:r>
        <w:rPr>
          <w:rFonts w:hint="eastAsia"/>
        </w:rPr>
        <w:t>期间核查对象与频次</w:t>
      </w:r>
    </w:p>
    <w:p w14:paraId="31AE1CDC">
      <w:pPr>
        <w:pStyle w:val="165"/>
        <w:spacing w:line="360" w:lineRule="auto"/>
      </w:pPr>
      <w:r>
        <w:rPr>
          <w:rFonts w:hint="eastAsia"/>
        </w:rPr>
        <w:t>期间核查对象宜包括以下类别：</w:t>
      </w:r>
    </w:p>
    <w:p w14:paraId="7F95EDDF">
      <w:pPr>
        <w:pStyle w:val="56"/>
        <w:spacing w:line="360" w:lineRule="auto"/>
        <w:ind w:firstLine="420"/>
      </w:pPr>
      <w:r>
        <w:rPr>
          <w:rFonts w:hint="eastAsia"/>
        </w:rPr>
        <w:t>a) 承担量值传递任务的计量标准砝码；</w:t>
      </w:r>
    </w:p>
    <w:p w14:paraId="35D38EEE">
      <w:pPr>
        <w:pStyle w:val="56"/>
        <w:spacing w:line="360" w:lineRule="auto"/>
        <w:ind w:firstLine="420"/>
      </w:pPr>
      <w:r>
        <w:rPr>
          <w:rFonts w:hint="eastAsia"/>
        </w:rPr>
        <w:t>b) 高等级砝码或用于关键检定校准任务的砝码；</w:t>
      </w:r>
    </w:p>
    <w:p w14:paraId="101F1150">
      <w:pPr>
        <w:pStyle w:val="56"/>
        <w:spacing w:line="360" w:lineRule="auto"/>
        <w:ind w:firstLine="420"/>
      </w:pPr>
      <w:r>
        <w:rPr>
          <w:rFonts w:hint="eastAsia"/>
        </w:rPr>
        <w:t>c) 使用频繁或经常外借外运的工作砝码；</w:t>
      </w:r>
    </w:p>
    <w:p w14:paraId="355E45DA">
      <w:pPr>
        <w:pStyle w:val="56"/>
        <w:spacing w:line="360" w:lineRule="auto"/>
        <w:ind w:firstLine="420"/>
      </w:pPr>
      <w:r>
        <w:rPr>
          <w:rFonts w:hint="eastAsia"/>
        </w:rPr>
        <w:t>d) 经清洁处理、维修处理、受撞击或暴露于异常环境后的砝码。</w:t>
      </w:r>
    </w:p>
    <w:p w14:paraId="38759B7E">
      <w:pPr>
        <w:pStyle w:val="165"/>
        <w:spacing w:line="360" w:lineRule="auto"/>
      </w:pPr>
      <w:r>
        <w:rPr>
          <w:rFonts w:hint="eastAsia"/>
        </w:rPr>
        <w:t>期间核查频次应与风险水平匹配。对标准砝码宜设置定期核查；对外运频繁或高风险砝码宜加密核查；对低风险砝码可采用较低频次核查或与日常自检结合。</w:t>
      </w:r>
    </w:p>
    <w:p w14:paraId="772A869A">
      <w:pPr>
        <w:pStyle w:val="105"/>
        <w:spacing w:before="120" w:after="120" w:line="360" w:lineRule="auto"/>
      </w:pPr>
      <w:r>
        <w:rPr>
          <w:rFonts w:hint="eastAsia"/>
        </w:rPr>
        <w:t>期间核查方法</w:t>
      </w:r>
    </w:p>
    <w:p w14:paraId="11C209F4">
      <w:pPr>
        <w:pStyle w:val="65"/>
        <w:spacing w:before="120" w:after="120" w:line="360" w:lineRule="auto"/>
      </w:pPr>
      <w:r>
        <w:rPr>
          <w:rFonts w:hint="eastAsia"/>
        </w:rPr>
        <w:t>比对核查</w:t>
      </w:r>
    </w:p>
    <w:p w14:paraId="40B94616">
      <w:pPr>
        <w:pStyle w:val="56"/>
        <w:spacing w:line="360" w:lineRule="auto"/>
        <w:ind w:firstLine="420"/>
      </w:pPr>
      <w:r>
        <w:rPr>
          <w:rFonts w:hint="eastAsia"/>
        </w:rPr>
        <w:t>选用上一级或同等级稳定性已确认的参考砝码作为对照，采用比较测量方法进行核查。该方法适用于标准砝码与关键工作砝码的稳定性确认。</w:t>
      </w:r>
    </w:p>
    <w:p w14:paraId="480272AE">
      <w:pPr>
        <w:pStyle w:val="65"/>
        <w:spacing w:before="120" w:after="120" w:line="360" w:lineRule="auto"/>
      </w:pPr>
      <w:r>
        <w:rPr>
          <w:rFonts w:hint="eastAsia"/>
        </w:rPr>
        <w:t>重复性核查</w:t>
      </w:r>
    </w:p>
    <w:p w14:paraId="2B2C72DA">
      <w:pPr>
        <w:pStyle w:val="56"/>
        <w:spacing w:line="360" w:lineRule="auto"/>
        <w:ind w:firstLine="420"/>
      </w:pPr>
      <w:r>
        <w:rPr>
          <w:rFonts w:hint="eastAsia"/>
        </w:rPr>
        <w:t>对同一砝码在相同条件下进行多次称量，评估称量结果的重复性与漂移情况。该方法可用于发现操作或装置状态异常，但不替代溯源比对。</w:t>
      </w:r>
    </w:p>
    <w:p w14:paraId="5299D64B">
      <w:pPr>
        <w:pStyle w:val="65"/>
        <w:spacing w:before="120" w:after="120" w:line="360" w:lineRule="auto"/>
      </w:pPr>
      <w:r>
        <w:rPr>
          <w:rFonts w:hint="eastAsia"/>
        </w:rPr>
        <w:t>关键点核查</w:t>
      </w:r>
    </w:p>
    <w:p w14:paraId="7EAD31BA">
      <w:pPr>
        <w:pStyle w:val="56"/>
        <w:spacing w:line="360" w:lineRule="auto"/>
        <w:ind w:firstLine="420"/>
      </w:pPr>
      <w:r>
        <w:rPr>
          <w:rFonts w:hint="eastAsia"/>
        </w:rPr>
        <w:t>对砝码组合或砝码组选择代表性质量点进行核查，验证组合关系与关键质量点的稳定性。该方法适用于砝码套装管理与现场快速核查。</w:t>
      </w:r>
    </w:p>
    <w:p w14:paraId="0B0C201F">
      <w:pPr>
        <w:pStyle w:val="65"/>
        <w:spacing w:before="120" w:after="120" w:line="360" w:lineRule="auto"/>
      </w:pPr>
      <w:r>
        <w:rPr>
          <w:rFonts w:hint="eastAsia"/>
        </w:rPr>
        <w:t>使用前后核查</w:t>
      </w:r>
    </w:p>
    <w:p w14:paraId="68F5FFC0">
      <w:pPr>
        <w:pStyle w:val="56"/>
        <w:spacing w:line="360" w:lineRule="auto"/>
        <w:ind w:firstLine="420"/>
      </w:pPr>
      <w:r>
        <w:rPr>
          <w:rFonts w:hint="eastAsia"/>
        </w:rPr>
        <w:t>对外借外运或用于重要任务的砝码，可实施使用前后核查，验证运输与使用过程是否造成量值变化，并作为复检周期调整依据。</w:t>
      </w:r>
    </w:p>
    <w:p w14:paraId="7229DFA6">
      <w:pPr>
        <w:pStyle w:val="105"/>
        <w:spacing w:before="120" w:after="120" w:line="360" w:lineRule="auto"/>
      </w:pPr>
      <w:r>
        <w:rPr>
          <w:rFonts w:hint="eastAsia"/>
        </w:rPr>
        <w:t>核查判定准则</w:t>
      </w:r>
    </w:p>
    <w:p w14:paraId="02FF36EA">
      <w:pPr>
        <w:pStyle w:val="165"/>
        <w:spacing w:line="360" w:lineRule="auto"/>
      </w:pPr>
      <w:r>
        <w:rPr>
          <w:rFonts w:hint="eastAsia"/>
        </w:rPr>
        <w:t>期间核查应建立判定阈值。阈值应与砝码等级技术要求、目标不确定度与使用风险匹配，可采用允许偏差限值、控制图阈值或扩展不确定度的倍数阈值等方式确定。</w:t>
      </w:r>
    </w:p>
    <w:p w14:paraId="208C2F56">
      <w:pPr>
        <w:pStyle w:val="165"/>
        <w:spacing w:line="360" w:lineRule="auto"/>
      </w:pPr>
      <w:r>
        <w:rPr>
          <w:rFonts w:hint="eastAsia"/>
        </w:rPr>
        <w:t>判定规则应受控并可追溯。核查采用的对照标准、方法、环境记录与计算过程应完整，判定依据应在核查记录中明确。</w:t>
      </w:r>
    </w:p>
    <w:p w14:paraId="61A91968">
      <w:pPr>
        <w:pStyle w:val="165"/>
        <w:spacing w:line="360" w:lineRule="auto"/>
      </w:pPr>
      <w:r>
        <w:rPr>
          <w:rFonts w:hint="eastAsia"/>
        </w:rPr>
        <w:t>当核查结果处于临界状态时，应实施复测确认或采用更高等级对照标准进行复核，避免误判。</w:t>
      </w:r>
    </w:p>
    <w:p w14:paraId="5954D79F">
      <w:pPr>
        <w:pStyle w:val="105"/>
        <w:spacing w:before="120" w:after="120" w:line="360" w:lineRule="auto"/>
      </w:pPr>
      <w:r>
        <w:rPr>
          <w:rFonts w:hint="eastAsia"/>
        </w:rPr>
        <w:t>超限处置与影响评估</w:t>
      </w:r>
    </w:p>
    <w:p w14:paraId="1B456D8C">
      <w:pPr>
        <w:pStyle w:val="165"/>
        <w:spacing w:line="360" w:lineRule="auto"/>
      </w:pPr>
      <w:r>
        <w:rPr>
          <w:rFonts w:hint="eastAsia"/>
        </w:rPr>
        <w:t>期间核查超限时应立即采取控制措施。应暂停该砝码用于量值传递或对外检定校准活动，并对其状态进行隔离标识。</w:t>
      </w:r>
    </w:p>
    <w:p w14:paraId="762528E4">
      <w:pPr>
        <w:pStyle w:val="165"/>
        <w:spacing w:line="360" w:lineRule="auto"/>
      </w:pPr>
      <w:r>
        <w:rPr>
          <w:rFonts w:hint="eastAsia"/>
        </w:rPr>
        <w:t>应开展原因分析与复核。应检查砝码外观与污染情况、运输与存放记录、清洁处理记录、比较装置状态与环境记录，必要时更换方法或装置复测。</w:t>
      </w:r>
    </w:p>
    <w:p w14:paraId="04839473">
      <w:pPr>
        <w:pStyle w:val="165"/>
        <w:spacing w:line="360" w:lineRule="auto"/>
      </w:pPr>
      <w:r>
        <w:rPr>
          <w:rFonts w:hint="eastAsia"/>
        </w:rPr>
        <w:t>应组织复检或重新校准。确认砝码量值存在变化时，应委托或实施复检校准，并以新证书结果为准更新台账。</w:t>
      </w:r>
    </w:p>
    <w:p w14:paraId="04BE16DD">
      <w:pPr>
        <w:pStyle w:val="165"/>
        <w:spacing w:line="360" w:lineRule="auto"/>
      </w:pPr>
      <w:r>
        <w:rPr>
          <w:rFonts w:hint="eastAsia"/>
        </w:rPr>
        <w:t>应开展影响评估。对使用该砝码开展的检定校准结果应评估是否受影响，必要时对相关证书或检定结果采取补充说明、复核或召回措施。</w:t>
      </w:r>
    </w:p>
    <w:p w14:paraId="40A8A524">
      <w:pPr>
        <w:pStyle w:val="105"/>
        <w:spacing w:before="120" w:after="120" w:line="360" w:lineRule="auto"/>
      </w:pPr>
      <w:r>
        <w:rPr>
          <w:rFonts w:hint="eastAsia"/>
        </w:rPr>
        <w:t>复检周期确定与调整</w:t>
      </w:r>
    </w:p>
    <w:p w14:paraId="0789F852">
      <w:pPr>
        <w:pStyle w:val="65"/>
        <w:spacing w:before="120" w:after="120" w:line="360" w:lineRule="auto"/>
      </w:pPr>
      <w:r>
        <w:rPr>
          <w:rFonts w:hint="eastAsia"/>
        </w:rPr>
        <w:t>复检周期确定原则</w:t>
      </w:r>
    </w:p>
    <w:p w14:paraId="091F2673">
      <w:pPr>
        <w:pStyle w:val="56"/>
        <w:spacing w:line="360" w:lineRule="auto"/>
        <w:ind w:firstLine="420"/>
      </w:pPr>
      <w:r>
        <w:rPr>
          <w:rFonts w:hint="eastAsia"/>
        </w:rPr>
        <w:t>复检周期应依据砝码等级与用途确定，标准砝码宜采用较短周期并配合期间核查，工作砝码可结合使用频次与风险设置周期。</w:t>
      </w:r>
    </w:p>
    <w:p w14:paraId="0EB2D3CB">
      <w:pPr>
        <w:pStyle w:val="65"/>
        <w:spacing w:before="120" w:after="120" w:line="360" w:lineRule="auto"/>
      </w:pPr>
      <w:r>
        <w:rPr>
          <w:rFonts w:hint="eastAsia"/>
        </w:rPr>
        <w:t>周期调整机制</w:t>
      </w:r>
    </w:p>
    <w:p w14:paraId="7D73C552">
      <w:pPr>
        <w:pStyle w:val="56"/>
        <w:spacing w:line="360" w:lineRule="auto"/>
        <w:ind w:firstLine="420"/>
      </w:pPr>
      <w:r>
        <w:rPr>
          <w:rFonts w:hint="eastAsia"/>
        </w:rPr>
        <w:t>出现下列情形之一时，应缩短复检周期或加密期间核查：使用频次显著增加、外运次数增加、环境条件变差、核查结果波动增大、发生碰撞或异常事件。</w:t>
      </w:r>
    </w:p>
    <w:p w14:paraId="693B150D">
      <w:pPr>
        <w:pStyle w:val="56"/>
        <w:spacing w:line="360" w:lineRule="auto"/>
        <w:ind w:firstLine="420"/>
      </w:pPr>
      <w:r>
        <w:rPr>
          <w:rFonts w:hint="eastAsia"/>
        </w:rPr>
        <w:t>当连续多个周期核查结果稳定且使用风险降低时，可适度延长复检周期，但应形成依据并受控审批。</w:t>
      </w:r>
    </w:p>
    <w:p w14:paraId="21B9A006">
      <w:pPr>
        <w:pStyle w:val="65"/>
        <w:spacing w:before="120" w:after="120" w:line="360" w:lineRule="auto"/>
      </w:pPr>
      <w:r>
        <w:rPr>
          <w:rFonts w:hint="eastAsia"/>
        </w:rPr>
        <w:t>周期管理应记录可追溯</w:t>
      </w:r>
    </w:p>
    <w:p w14:paraId="0C6C8AF1">
      <w:pPr>
        <w:pStyle w:val="56"/>
        <w:spacing w:line="360" w:lineRule="auto"/>
        <w:ind w:firstLine="420"/>
      </w:pPr>
      <w:r>
        <w:rPr>
          <w:rFonts w:hint="eastAsia"/>
        </w:rPr>
        <w:t>复检周期的设定与调整应形成记录，包含依据、审批、实施日期与后续复核要求，并纳入台账管理。</w:t>
      </w:r>
    </w:p>
    <w:p w14:paraId="15DB6ED8">
      <w:pPr>
        <w:pStyle w:val="105"/>
        <w:spacing w:before="120" w:after="120" w:line="360" w:lineRule="auto"/>
      </w:pPr>
      <w:r>
        <w:rPr>
          <w:rFonts w:hint="eastAsia"/>
        </w:rPr>
        <w:t>记录与归档要求</w:t>
      </w:r>
    </w:p>
    <w:p w14:paraId="68E8A5D0">
      <w:pPr>
        <w:pStyle w:val="165"/>
        <w:spacing w:line="360" w:lineRule="auto"/>
      </w:pPr>
      <w:r>
        <w:rPr>
          <w:rFonts w:hint="eastAsia"/>
        </w:rPr>
        <w:t>期间核查应形成记录。记录应包含核查日期、核查人员、核查方法、对照标准信息、称量序列、环境记录、计算结果、判定结论与处置情况。</w:t>
      </w:r>
    </w:p>
    <w:p w14:paraId="42A54D4D">
      <w:pPr>
        <w:pStyle w:val="165"/>
        <w:spacing w:line="360" w:lineRule="auto"/>
      </w:pPr>
      <w:r>
        <w:rPr>
          <w:rFonts w:hint="eastAsia"/>
        </w:rPr>
        <w:t>核查记录应与证书关联。核查记录应与砝码证书编号或唯一标识关联，便于追溯与趋势分析。</w:t>
      </w:r>
    </w:p>
    <w:p w14:paraId="067DE365">
      <w:pPr>
        <w:pStyle w:val="165"/>
        <w:spacing w:line="360" w:lineRule="auto"/>
      </w:pPr>
      <w:r>
        <w:rPr>
          <w:rFonts w:hint="eastAsia"/>
        </w:rPr>
        <w:t>宜开展趋势分析。对关键砝码宜采用控制图或趋势图管理，识别漂移趋势并提前触发复检或维护措施。</w:t>
      </w:r>
    </w:p>
    <w:p w14:paraId="13222F5B">
      <w:pPr>
        <w:pStyle w:val="104"/>
        <w:spacing w:before="240" w:after="240" w:line="360" w:lineRule="auto"/>
      </w:pPr>
      <w:bookmarkStart w:id="56" w:name="_Toc219103410"/>
      <w:r>
        <w:rPr>
          <w:rFonts w:hint="eastAsia"/>
        </w:rPr>
        <w:t>运输贮存与维护管理</w:t>
      </w:r>
      <w:bookmarkEnd w:id="56"/>
    </w:p>
    <w:p w14:paraId="603D21AD">
      <w:pPr>
        <w:pStyle w:val="105"/>
        <w:spacing w:before="120" w:after="120" w:line="360" w:lineRule="auto"/>
      </w:pPr>
      <w:r>
        <w:rPr>
          <w:rFonts w:hint="eastAsia"/>
        </w:rPr>
        <w:t>一般要求</w:t>
      </w:r>
    </w:p>
    <w:p w14:paraId="0BA95558">
      <w:pPr>
        <w:pStyle w:val="165"/>
        <w:spacing w:line="360" w:lineRule="auto"/>
      </w:pPr>
      <w:r>
        <w:rPr>
          <w:rFonts w:hint="eastAsia"/>
        </w:rPr>
        <w:t>砝码运输、贮存与维护应以保持量值稳定为目标，控制污染、腐蚀、机械损伤、磁化与静电等因素对砝码质量的影响。</w:t>
      </w:r>
    </w:p>
    <w:p w14:paraId="61D23C40">
      <w:pPr>
        <w:pStyle w:val="165"/>
        <w:spacing w:line="360" w:lineRule="auto"/>
      </w:pPr>
      <w:r>
        <w:rPr>
          <w:rFonts w:hint="eastAsia"/>
        </w:rPr>
        <w:t>承担量值传递任务的标准砝码应实施更严格的防护管理。标准砝码应优先在受控环境内使用与存放，减少不必要的搬运与外运。</w:t>
      </w:r>
    </w:p>
    <w:p w14:paraId="0F1B2FE0">
      <w:pPr>
        <w:pStyle w:val="165"/>
        <w:spacing w:line="360" w:lineRule="auto"/>
      </w:pPr>
      <w:r>
        <w:rPr>
          <w:rFonts w:hint="eastAsia"/>
        </w:rPr>
        <w:t>运输贮存与维护管理应与期间核查和复检周期联动。发生外运、异常暴露或维护处理后，应按规定执行核查或复检确认。</w:t>
      </w:r>
    </w:p>
    <w:p w14:paraId="5A248096">
      <w:pPr>
        <w:pStyle w:val="105"/>
        <w:spacing w:before="120" w:after="120" w:line="360" w:lineRule="auto"/>
      </w:pPr>
      <w:r>
        <w:rPr>
          <w:rFonts w:hint="eastAsia"/>
        </w:rPr>
        <w:t>运输管理要求</w:t>
      </w:r>
    </w:p>
    <w:p w14:paraId="724FA75A">
      <w:pPr>
        <w:pStyle w:val="165"/>
        <w:spacing w:line="360" w:lineRule="auto"/>
      </w:pPr>
      <w:r>
        <w:rPr>
          <w:rFonts w:hint="eastAsia"/>
        </w:rPr>
        <w:t>运输前应确认砝码状态。应核对砝码编号、等级、证书有效性与标识状态，检查外观是否存在污染、锈蚀、磕碰或标记缺失。</w:t>
      </w:r>
    </w:p>
    <w:p w14:paraId="0AAC6D10">
      <w:pPr>
        <w:pStyle w:val="165"/>
        <w:spacing w:line="360" w:lineRule="auto"/>
      </w:pPr>
      <w:r>
        <w:rPr>
          <w:rFonts w:hint="eastAsia"/>
        </w:rPr>
        <w:t>运输包装应满足防护要求。砝码应使用专用砝码盒或专用容器，内部应具备定位与缓冲结构，防止晃动与碰撞。对高等级砝码应采用防震、防潮与防尘包装。</w:t>
      </w:r>
    </w:p>
    <w:p w14:paraId="2F0A8836">
      <w:pPr>
        <w:pStyle w:val="165"/>
        <w:spacing w:line="360" w:lineRule="auto"/>
      </w:pPr>
      <w:r>
        <w:rPr>
          <w:rFonts w:hint="eastAsia"/>
        </w:rPr>
        <w:t>运输过程应控制环境与冲击。应避免高温高湿、雨雪侵入与剧烈振动冲击。采用快递或第三方物流时，应明确运输要求并采取可追溯的交接方式。</w:t>
      </w:r>
    </w:p>
    <w:p w14:paraId="37B19745">
      <w:pPr>
        <w:pStyle w:val="165"/>
        <w:spacing w:line="360" w:lineRule="auto"/>
      </w:pPr>
      <w:r>
        <w:rPr>
          <w:rFonts w:hint="eastAsia"/>
        </w:rPr>
        <w:t>运输交接应留痕。外运应记录出入库时间、承运方式、交接人、运输路线或目的地、到达验收结果与异常情况。</w:t>
      </w:r>
    </w:p>
    <w:p w14:paraId="5F904407">
      <w:pPr>
        <w:pStyle w:val="105"/>
        <w:spacing w:before="120" w:after="120" w:line="360" w:lineRule="auto"/>
      </w:pPr>
      <w:r>
        <w:rPr>
          <w:rFonts w:hint="eastAsia"/>
        </w:rPr>
        <w:t>贮存环境与放置要求</w:t>
      </w:r>
    </w:p>
    <w:p w14:paraId="4649AD53">
      <w:pPr>
        <w:pStyle w:val="165"/>
        <w:spacing w:line="360" w:lineRule="auto"/>
      </w:pPr>
      <w:r>
        <w:rPr>
          <w:rFonts w:hint="eastAsia"/>
        </w:rPr>
        <w:t>砝码贮存应在清洁、干燥、温度稳定的环境中进行，避免粉尘、腐蚀性气体与强磁场影响。必要时应配置恒温恒湿设施或干燥装置。</w:t>
      </w:r>
    </w:p>
    <w:p w14:paraId="5C0F38D7">
      <w:pPr>
        <w:pStyle w:val="165"/>
        <w:spacing w:line="360" w:lineRule="auto"/>
      </w:pPr>
      <w:r>
        <w:rPr>
          <w:rFonts w:hint="eastAsia"/>
        </w:rPr>
        <w:t>砝码应分类分级存放。标准砝码与工作砝码应分区存放，不同等级砝码宜分层或分柜管理，避免误用与交叉污染。</w:t>
      </w:r>
    </w:p>
    <w:p w14:paraId="79BCDF6D">
      <w:pPr>
        <w:pStyle w:val="165"/>
        <w:spacing w:line="360" w:lineRule="auto"/>
      </w:pPr>
      <w:r>
        <w:rPr>
          <w:rFonts w:hint="eastAsia"/>
        </w:rPr>
        <w:t>砝码放置应防止接触磨损。砝码应放置在专用内衬或支撑结构上，避免与硬质表面直接摩擦。砝码盒应保持闭合，减少灰尘进入。</w:t>
      </w:r>
    </w:p>
    <w:p w14:paraId="331827FC">
      <w:pPr>
        <w:pStyle w:val="105"/>
        <w:spacing w:before="120" w:after="120" w:line="360" w:lineRule="auto"/>
      </w:pPr>
      <w:r>
        <w:rPr>
          <w:rFonts w:hint="eastAsia"/>
        </w:rPr>
        <w:t>使用维护与清洁要求</w:t>
      </w:r>
    </w:p>
    <w:p w14:paraId="08E50E4A">
      <w:pPr>
        <w:pStyle w:val="165"/>
        <w:spacing w:line="360" w:lineRule="auto"/>
      </w:pPr>
      <w:r>
        <w:rPr>
          <w:rFonts w:hint="eastAsia"/>
        </w:rPr>
        <w:t>使用维护应规范操作。搬运与使用应采用专用夹具、镊子或手套，避免手触与汗液污染，避免砝码跌落或碰撞。</w:t>
      </w:r>
    </w:p>
    <w:p w14:paraId="067B3D7B">
      <w:pPr>
        <w:pStyle w:val="165"/>
        <w:spacing w:line="360" w:lineRule="auto"/>
      </w:pPr>
      <w:r>
        <w:rPr>
          <w:rFonts w:hint="eastAsia"/>
        </w:rPr>
        <w:t>清洁处理应受控。砝码清洁应按适用规程允许的方法进行，避免采用会改变表面状态或去除材料的处理方式。清洁前后应记录清洁方法、使用材料与砝码状态变化。</w:t>
      </w:r>
    </w:p>
    <w:p w14:paraId="2C763BD5">
      <w:pPr>
        <w:pStyle w:val="165"/>
        <w:spacing w:line="360" w:lineRule="auto"/>
      </w:pPr>
      <w:r>
        <w:rPr>
          <w:rFonts w:hint="eastAsia"/>
        </w:rPr>
        <w:t>防锈防腐应适配材质。对易锈材质砝码应加强干燥与防潮管理，必要时采取受控的防护措施，但不得使用可能引起质量变化或残留的涂覆物。</w:t>
      </w:r>
    </w:p>
    <w:p w14:paraId="54BE13C0">
      <w:pPr>
        <w:pStyle w:val="165"/>
        <w:spacing w:line="360" w:lineRule="auto"/>
      </w:pPr>
      <w:r>
        <w:rPr>
          <w:rFonts w:hint="eastAsia"/>
        </w:rPr>
        <w:t>去磁与防静电措施应可控。对磁化敏感或静电影响明显的场景，应配置去磁与防静电措施，并在操作规程中明确使用条件与验证要求。</w:t>
      </w:r>
    </w:p>
    <w:p w14:paraId="3339A858">
      <w:pPr>
        <w:pStyle w:val="105"/>
        <w:spacing w:before="120" w:after="120" w:line="360" w:lineRule="auto"/>
      </w:pPr>
      <w:r>
        <w:rPr>
          <w:rFonts w:hint="eastAsia"/>
        </w:rPr>
        <w:t>异常事件管理</w:t>
      </w:r>
    </w:p>
    <w:p w14:paraId="71B16A77">
      <w:pPr>
        <w:pStyle w:val="165"/>
        <w:spacing w:line="360" w:lineRule="auto"/>
      </w:pPr>
      <w:r>
        <w:rPr>
          <w:rFonts w:hint="eastAsia"/>
        </w:rPr>
        <w:t>发生下列情形之一时，应视为异常事件并记录：砝码跌落碰撞、明显污染或锈蚀、长期暴露于高湿高温环境、外运过程发生冲击、标识脱落或编号不清、疑似磁化或静电异常。</w:t>
      </w:r>
    </w:p>
    <w:p w14:paraId="5B6C5273">
      <w:pPr>
        <w:pStyle w:val="165"/>
        <w:spacing w:line="360" w:lineRule="auto"/>
      </w:pPr>
      <w:r>
        <w:rPr>
          <w:rFonts w:hint="eastAsia"/>
        </w:rPr>
        <w:t>异常事件后应采取控制措施。应暂停该砝码用于量值传递或关键检定校准任务，并实施状态隔离标识。</w:t>
      </w:r>
    </w:p>
    <w:p w14:paraId="676C5224">
      <w:pPr>
        <w:pStyle w:val="165"/>
        <w:spacing w:line="360" w:lineRule="auto"/>
      </w:pPr>
      <w:r>
        <w:rPr>
          <w:rFonts w:hint="eastAsia"/>
        </w:rPr>
        <w:t>异常事件后应开展核查或复检。应根据风险水平实施期间核查、复测或重新检定校准，并更新证书与台账信息。</w:t>
      </w:r>
    </w:p>
    <w:p w14:paraId="27259C46">
      <w:pPr>
        <w:pStyle w:val="104"/>
        <w:spacing w:before="240" w:after="240" w:line="360" w:lineRule="auto"/>
      </w:pPr>
      <w:bookmarkStart w:id="57" w:name="_Toc219103411"/>
      <w:r>
        <w:rPr>
          <w:rFonts w:hint="eastAsia"/>
        </w:rPr>
        <w:t>数据与档案管理</w:t>
      </w:r>
      <w:bookmarkEnd w:id="57"/>
    </w:p>
    <w:p w14:paraId="5EABF531">
      <w:pPr>
        <w:pStyle w:val="105"/>
        <w:spacing w:before="120" w:after="120" w:line="360" w:lineRule="auto"/>
      </w:pPr>
      <w:r>
        <w:rPr>
          <w:rFonts w:hint="eastAsia"/>
        </w:rPr>
        <w:t>一般要求</w:t>
      </w:r>
    </w:p>
    <w:p w14:paraId="08BEC00D">
      <w:pPr>
        <w:pStyle w:val="165"/>
        <w:spacing w:line="360" w:lineRule="auto"/>
      </w:pPr>
      <w:r>
        <w:rPr>
          <w:rFonts w:hint="eastAsia"/>
        </w:rPr>
        <w:t>砝码检定溯源与量值传递相关数据与档案应实现全流程留痕，确保可追溯、可复核、可审计。档案管理应覆盖原始记录、计算过程、证书文件、期间核查记录、异常处置记录、运输贮存记录与台账信息。</w:t>
      </w:r>
    </w:p>
    <w:p w14:paraId="0C4AB2D1">
      <w:pPr>
        <w:pStyle w:val="165"/>
        <w:spacing w:line="360" w:lineRule="auto"/>
      </w:pPr>
      <w:r>
        <w:rPr>
          <w:rFonts w:hint="eastAsia"/>
        </w:rPr>
        <w:t>数据与档案应与砝码唯一标识关联，形成一只砝码一套档案或一套砝码一套档案的管理模式，确保从证书到原始数据的链路完整。</w:t>
      </w:r>
    </w:p>
    <w:p w14:paraId="1DA2ABB0">
      <w:pPr>
        <w:pStyle w:val="105"/>
        <w:spacing w:before="120" w:after="120" w:line="360" w:lineRule="auto"/>
      </w:pPr>
      <w:r>
        <w:rPr>
          <w:rFonts w:hint="eastAsia"/>
        </w:rPr>
        <w:t>原始记录管理</w:t>
      </w:r>
    </w:p>
    <w:p w14:paraId="37207DCB">
      <w:pPr>
        <w:pStyle w:val="165"/>
        <w:spacing w:line="360" w:lineRule="auto"/>
      </w:pPr>
      <w:r>
        <w:rPr>
          <w:rFonts w:hint="eastAsia"/>
        </w:rPr>
        <w:t>原始记录应包括称量序列与读数、环境参数记录、比较装置状态确认记录、修正参数与计算过程、重复性与一致性检查记录、异常情况说明与处置记录。</w:t>
      </w:r>
    </w:p>
    <w:p w14:paraId="6BF8F847">
      <w:pPr>
        <w:pStyle w:val="165"/>
        <w:spacing w:line="360" w:lineRule="auto"/>
      </w:pPr>
      <w:r>
        <w:rPr>
          <w:rFonts w:hint="eastAsia"/>
        </w:rPr>
        <w:t>原始记录应真实完整，不得随意涂改。确需更正时应按受控更正规则实施，保留更正痕迹、原因与更正人信息。</w:t>
      </w:r>
    </w:p>
    <w:p w14:paraId="0EDF21CE">
      <w:pPr>
        <w:pStyle w:val="165"/>
        <w:spacing w:line="360" w:lineRule="auto"/>
      </w:pPr>
      <w:r>
        <w:rPr>
          <w:rFonts w:hint="eastAsia"/>
        </w:rPr>
        <w:t>原始记录应具备可复核性。应确保第三方或复核人员能够根据原始记录复现结果计算过程与判定逻辑。</w:t>
      </w:r>
    </w:p>
    <w:p w14:paraId="7B79C6F6">
      <w:pPr>
        <w:pStyle w:val="105"/>
        <w:spacing w:before="120" w:after="120" w:line="360" w:lineRule="auto"/>
      </w:pPr>
      <w:r>
        <w:rPr>
          <w:rFonts w:hint="eastAsia"/>
        </w:rPr>
        <w:t>证书与计算文件管理</w:t>
      </w:r>
    </w:p>
    <w:p w14:paraId="756B6222">
      <w:pPr>
        <w:pStyle w:val="165"/>
        <w:spacing w:line="360" w:lineRule="auto"/>
      </w:pPr>
      <w:r>
        <w:rPr>
          <w:rFonts w:hint="eastAsia"/>
        </w:rPr>
        <w:t>证书应与原始记录建立可追溯关联。证书编号应能对应到作业记录编号、数据文件编号与计算文件版本。</w:t>
      </w:r>
    </w:p>
    <w:p w14:paraId="34CF7BDA">
      <w:pPr>
        <w:pStyle w:val="165"/>
        <w:spacing w:line="360" w:lineRule="auto"/>
      </w:pPr>
      <w:r>
        <w:rPr>
          <w:rFonts w:hint="eastAsia"/>
        </w:rPr>
        <w:t>计算模板与软件工具应受控。使用电子表格、专用软件或脚本进行计算时，应实施版本管理与权限控制，关键计算公式与参数来源应可追溯。</w:t>
      </w:r>
    </w:p>
    <w:p w14:paraId="240F45D6">
      <w:pPr>
        <w:pStyle w:val="165"/>
        <w:spacing w:line="360" w:lineRule="auto"/>
      </w:pPr>
      <w:r>
        <w:rPr>
          <w:rFonts w:hint="eastAsia"/>
        </w:rPr>
        <w:t>采用自动采集数据时，应保存原始导出文件或数据库记录，并保留时间戳、采集设备信息与数据校验信息。</w:t>
      </w:r>
    </w:p>
    <w:p w14:paraId="3087D3E3">
      <w:pPr>
        <w:pStyle w:val="105"/>
        <w:spacing w:before="120" w:after="120" w:line="360" w:lineRule="auto"/>
      </w:pPr>
      <w:r>
        <w:rPr>
          <w:rFonts w:hint="eastAsia"/>
        </w:rPr>
        <w:t>台账与信息化管理</w:t>
      </w:r>
    </w:p>
    <w:p w14:paraId="3DD25AC5">
      <w:pPr>
        <w:pStyle w:val="165"/>
        <w:spacing w:line="360" w:lineRule="auto"/>
      </w:pPr>
      <w:r>
        <w:rPr>
          <w:rFonts w:hint="eastAsia"/>
        </w:rPr>
        <w:t>应建立砝码信息化台账。台账宜包含砝码编号、标称质量、等级、材质、用途、证书编号、检定校准日期、有效期或复检日期、溯源来源、结果摘要、不确定度适用时、状态标识、期间核查记录与异常事件记录。</w:t>
      </w:r>
    </w:p>
    <w:p w14:paraId="3CF3F9F5">
      <w:pPr>
        <w:pStyle w:val="165"/>
        <w:spacing w:line="360" w:lineRule="auto"/>
      </w:pPr>
      <w:r>
        <w:rPr>
          <w:rFonts w:hint="eastAsia"/>
        </w:rPr>
        <w:t>台账应实施权限分级管理。应明确录入、审核、修改与查询权限，关键字段修改应留痕并可追溯到操作者与修改时间。</w:t>
      </w:r>
    </w:p>
    <w:p w14:paraId="47C45305">
      <w:pPr>
        <w:pStyle w:val="165"/>
        <w:spacing w:line="360" w:lineRule="auto"/>
      </w:pPr>
      <w:r>
        <w:rPr>
          <w:rFonts w:hint="eastAsia"/>
        </w:rPr>
        <w:t>台账应支持统计分析。宜支持复检到期提醒、期间核查超限统计、稳定性趋势分析与风险分级管理输出。</w:t>
      </w:r>
    </w:p>
    <w:p w14:paraId="19C0F7D5">
      <w:pPr>
        <w:pStyle w:val="105"/>
        <w:spacing w:before="120" w:after="120" w:line="360" w:lineRule="auto"/>
      </w:pPr>
      <w:r>
        <w:rPr>
          <w:rFonts w:hint="eastAsia"/>
        </w:rPr>
        <w:t>备份与保存期限</w:t>
      </w:r>
    </w:p>
    <w:p w14:paraId="132F672A">
      <w:pPr>
        <w:pStyle w:val="165"/>
        <w:spacing w:line="360" w:lineRule="auto"/>
      </w:pPr>
      <w:r>
        <w:rPr>
          <w:rFonts w:hint="eastAsia"/>
        </w:rPr>
        <w:t>电子档案应定期备份。备份应采用至少两种介质或两处存储方式，防止单点故障导致数据丢失。</w:t>
      </w:r>
    </w:p>
    <w:p w14:paraId="29EC6FA5">
      <w:pPr>
        <w:pStyle w:val="165"/>
        <w:spacing w:line="360" w:lineRule="auto"/>
      </w:pPr>
      <w:r>
        <w:rPr>
          <w:rFonts w:hint="eastAsia"/>
        </w:rPr>
        <w:t>保存期限应满足法规与体系要求。证书与原始记录保存期限应符合计量法规、实验室质量体系及合同要求。对承担量值传递任务的标准砝码记录宜长期保存。</w:t>
      </w:r>
    </w:p>
    <w:p w14:paraId="52707866">
      <w:pPr>
        <w:pStyle w:val="165"/>
        <w:spacing w:line="360" w:lineRule="auto"/>
      </w:pPr>
      <w:r>
        <w:rPr>
          <w:rFonts w:hint="eastAsia"/>
        </w:rPr>
        <w:t>归档格式应可长期读取。电子档案宜采用通用格式并定期验证可读性，避免因软件升级导致无法读取。</w:t>
      </w:r>
    </w:p>
    <w:p w14:paraId="6FFD0AF6">
      <w:pPr>
        <w:pStyle w:val="105"/>
        <w:spacing w:before="120" w:after="120" w:line="360" w:lineRule="auto"/>
      </w:pPr>
      <w:r>
        <w:rPr>
          <w:rFonts w:hint="eastAsia"/>
        </w:rPr>
        <w:t>追溯与审计支持</w:t>
      </w:r>
    </w:p>
    <w:p w14:paraId="126B4BD9">
      <w:pPr>
        <w:pStyle w:val="165"/>
        <w:spacing w:line="360" w:lineRule="auto"/>
      </w:pPr>
      <w:r>
        <w:rPr>
          <w:rFonts w:hint="eastAsia"/>
        </w:rPr>
        <w:t>应建立快速追溯机制。通过砝码编号或证书编号应能快速定位到原始记录、计算文件、环境记录与期间核查记录。</w:t>
      </w:r>
    </w:p>
    <w:p w14:paraId="52DD3E96">
      <w:pPr>
        <w:pStyle w:val="165"/>
        <w:spacing w:line="360" w:lineRule="auto"/>
      </w:pPr>
      <w:r>
        <w:rPr>
          <w:rFonts w:hint="eastAsia"/>
        </w:rPr>
        <w:t>应支持内部审核与外部评审。档案应能够支撑计量标准考核、资质评审、监督检查与争议复核，确保数据链路清晰、证据充分。</w:t>
      </w:r>
    </w:p>
    <w:p w14:paraId="24D94346">
      <w:pPr>
        <w:pStyle w:val="165"/>
        <w:spacing w:line="360" w:lineRule="auto"/>
      </w:pPr>
      <w:r>
        <w:rPr>
          <w:rFonts w:hint="eastAsia"/>
        </w:rPr>
        <w:t>发现档案缺失或数据异常时，应启动纠正措施。应评估对量值传递结果的影响，必要时暂停相关砝码使用并实施复核或重新检定校准。</w:t>
      </w:r>
    </w:p>
    <w:bookmarkEnd w:id="26"/>
    <w:p w14:paraId="6AD4BB6D">
      <w:pPr>
        <w:pStyle w:val="56"/>
        <w:ind w:firstLine="0" w:firstLineChars="0"/>
        <w:jc w:val="center"/>
      </w:pPr>
      <w:bookmarkStart w:id="58" w:name="BookMark8"/>
      <w:bookmarkStart w:id="59" w:name="_GoBack"/>
      <w:bookmarkEnd w:id="59"/>
      <w:r>
        <w:rPr>
          <w:rFonts w:hint="eastAsia"/>
        </w:rPr>
        <w:drawing>
          <wp:inline distT="0" distB="0" distL="0" distR="0">
            <wp:extent cx="1485900" cy="317500"/>
            <wp:effectExtent l="0" t="0" r="0" b="6350"/>
            <wp:docPr id="581593224" name="图片 1"/>
            <wp:cNvGraphicFramePr/>
            <a:graphic xmlns:a="http://schemas.openxmlformats.org/drawingml/2006/main">
              <a:graphicData uri="http://schemas.openxmlformats.org/drawingml/2006/picture">
                <pic:pic xmlns:pic="http://schemas.openxmlformats.org/drawingml/2006/picture">
                  <pic:nvPicPr>
                    <pic:cNvPr id="581593224" name="图片 1"/>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3D7B7">
    <w:pPr>
      <w:pStyle w:val="51"/>
    </w:pPr>
    <w:r>
      <w:fldChar w:fldCharType="begin"/>
    </w:r>
    <w:r>
      <w:instrText xml:space="preserve"> PAGE   \* MERGEFORMAT \* MERGEFORMAT </w:instrText>
    </w:r>
    <w:r>
      <w:fldChar w:fldCharType="separate"/>
    </w:r>
    <w: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72C07">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DEBDA">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921E8">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A7B3E">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8AF56">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1165E">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03C99">
    <w:pPr>
      <w:pStyle w:val="61"/>
    </w:pPr>
    <w:r>
      <w:fldChar w:fldCharType="begin"/>
    </w:r>
    <w:r>
      <w:instrText xml:space="preserve"> STYLEREF  标准文件_文件编号  \* MERGEFORMAT </w:instrText>
    </w:r>
    <w:r>
      <w:fldChar w:fldCharType="separate"/>
    </w:r>
    <w:r>
      <w:t>T/XJBX 0183—2026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9D984">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0183—2026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T/XJBX 0183—2026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0183—2026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r>
      <w:pict>
        <v:shape id="PowerPlusWaterMarkObject29119159"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团体标准信息平台"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9464A">
    <w:pPr>
      <w:pStyle w:val="61"/>
    </w:pPr>
    <w:r>
      <w:fldChar w:fldCharType="begin"/>
    </w:r>
    <w:r>
      <w:instrText xml:space="preserve"> STYLEREF  标准文件_文件编号  \* MERGEFORMAT </w:instrText>
    </w:r>
    <w:r>
      <w:fldChar w:fldCharType="separate"/>
    </w:r>
    <w:r>
      <w:t>T/XJBX 0183—2026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DCB2F">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0183—2026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3AE07">
    <w:pPr>
      <w:pStyle w:val="61"/>
    </w:pPr>
    <w:r>
      <w:fldChar w:fldCharType="begin"/>
    </w:r>
    <w:r>
      <w:instrText xml:space="preserve"> STYLEREF  标准文件_文件编号  \* MERGEFORMAT </w:instrText>
    </w:r>
    <w:r>
      <w:fldChar w:fldCharType="separate"/>
    </w:r>
    <w:r>
      <w:t>T/XJBX 0183—2026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B260D">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0183—2026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2"/>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1972"/>
    <w:rsid w:val="00001D9A"/>
    <w:rsid w:val="00007B3A"/>
    <w:rsid w:val="000107E0"/>
    <w:rsid w:val="00011FDE"/>
    <w:rsid w:val="00012FFD"/>
    <w:rsid w:val="00014162"/>
    <w:rsid w:val="00014340"/>
    <w:rsid w:val="00016A9C"/>
    <w:rsid w:val="000220BB"/>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6AB0"/>
    <w:rsid w:val="001529E5"/>
    <w:rsid w:val="00152FB3"/>
    <w:rsid w:val="00153C7E"/>
    <w:rsid w:val="00153FA3"/>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0B1"/>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4F77"/>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EC0"/>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574A"/>
    <w:rsid w:val="00606419"/>
    <w:rsid w:val="00607D29"/>
    <w:rsid w:val="00612952"/>
    <w:rsid w:val="00614CC1"/>
    <w:rsid w:val="00615A9D"/>
    <w:rsid w:val="00617387"/>
    <w:rsid w:val="006205D6"/>
    <w:rsid w:val="006252D8"/>
    <w:rsid w:val="0062582D"/>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0CB"/>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21A9"/>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4EF5"/>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0EF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3E25"/>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127"/>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2F14"/>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775"/>
    <w:rsid w:val="00BA7C9A"/>
    <w:rsid w:val="00BB5F8F"/>
    <w:rsid w:val="00BB657A"/>
    <w:rsid w:val="00BC1A4E"/>
    <w:rsid w:val="00BC36F6"/>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46C"/>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4BBA"/>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77D11B0B"/>
    <w:rsid w:val="7D7D1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qFormat="1" w:uiPriority="39" w:semiHidden="0" w:name="toc 4"/>
    <w:lsdException w:qFormat="1" w:uiPriority="39" w:semiHidden="0" w:name="toc 5"/>
    <w:lsdException w:uiPriority="39" w:semiHidden="0" w:name="toc 6"/>
    <w:lsdException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3.jpe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7ECD0F5F">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14BE74AE">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43EAB77A">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232C79"/>
    <w:rsid w:val="002444B0"/>
    <w:rsid w:val="005E6634"/>
    <w:rsid w:val="0062582D"/>
    <w:rsid w:val="00650F46"/>
    <w:rsid w:val="007146E1"/>
    <w:rsid w:val="00AE1DC6"/>
    <w:rsid w:val="00B3007B"/>
    <w:rsid w:val="00C41892"/>
    <w:rsid w:val="00E51851"/>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23</Pages>
  <Words>4721</Words>
  <Characters>4984</Characters>
  <Lines>92</Lines>
  <Paragraphs>26</Paragraphs>
  <TotalTime>82</TotalTime>
  <ScaleCrop>false</ScaleCrop>
  <LinksUpToDate>false</LinksUpToDate>
  <CharactersWithSpaces>5069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2026-01-15T02:21:34Z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2C3F43307DC749CAB569D32571268EEB_12</vt:lpwstr>
  </property>
</Properties>
</file>