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140.5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91.140.50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33</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2"/>
            </w:textInput>
          </w:ffData>
        </w:fldChar>
      </w:r>
      <w:bookmarkStart w:id="6" w:name="NSTD_CODE_F"/>
      <w:r>
        <w:instrText xml:space="preserve"> FORMTEXT </w:instrText>
      </w:r>
      <w:r>
        <w:fldChar w:fldCharType="separate"/>
      </w:r>
      <w:r>
        <w:t>0182</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0EA80144">
      <w:pPr>
        <w:pStyle w:val="197"/>
        <w:framePr w:h="6974" w:hRule="exact" w:wrap="around" w:x="1419" w:anchorLock="1"/>
      </w:pPr>
      <w:r>
        <w:fldChar w:fldCharType="begin">
          <w:ffData>
            <w:name w:val="CSTD_NAME"/>
            <w:enabled/>
            <w:calcOnExit w:val="0"/>
            <w:textInput>
              <w:default w:val="绿色建筑电气节能设计与能效评估管理规范"/>
            </w:textInput>
          </w:ffData>
        </w:fldChar>
      </w:r>
      <w:bookmarkStart w:id="9" w:name="CSTD_NAME"/>
      <w:r>
        <w:instrText xml:space="preserve"> FORMTEXT </w:instrText>
      </w:r>
      <w:r>
        <w:fldChar w:fldCharType="separate"/>
      </w:r>
      <w:r>
        <w:t>绿色建筑电气节能设计与能效评估</w:t>
      </w:r>
    </w:p>
    <w:p w14:paraId="73594FE6">
      <w:pPr>
        <w:pStyle w:val="197"/>
        <w:framePr w:h="6974" w:hRule="exact" w:wrap="around" w:x="1419" w:anchorLock="1"/>
      </w:pPr>
      <w:r>
        <w:t>管理规范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management of electrical energy-saving design and energy efficiency assessment of green building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management of electrical energy-saving design and energy efficiency assessment of green buildings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8913201">
      <w:pPr>
        <w:pStyle w:val="91"/>
        <w:spacing w:after="360"/>
      </w:pPr>
      <w:bookmarkStart w:id="21" w:name="BookMark1"/>
      <w:r>
        <w:rPr>
          <w:rFonts w:hint="eastAsia"/>
          <w:spacing w:val="320"/>
        </w:rPr>
        <w:t>目</w:t>
      </w:r>
      <w:r>
        <w:rPr>
          <w:rFonts w:hint="eastAsia"/>
        </w:rPr>
        <w:t>次</w:t>
      </w:r>
    </w:p>
    <w:p w14:paraId="544D823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"_Toc219064427"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_Toc219064427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C8885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"_Toc219064428"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_Toc219064428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C7BB75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"_Toc219064429"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_Toc219064429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36ACB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_Toc219064430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8C2C2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_Toc219064431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8718A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"_Toc219064432"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_Toc219064432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6C8BC8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"_Toc219064433" </w:instrText>
      </w:r>
      <w:r>
        <w:fldChar w:fldCharType="separate"/>
      </w:r>
      <w:r>
        <w:rPr>
          <w:rStyle w:val="32"/>
          <w:rFonts w:hint="eastAsia"/>
        </w:rPr>
        <w:t>5</w:t>
      </w:r>
      <w:r>
        <w:rPr>
          <w:rStyle w:val="32"/>
        </w:rPr>
        <w:t xml:space="preserve"> </w:t>
      </w:r>
      <w:r>
        <w:rPr>
          <w:rStyle w:val="32"/>
          <w:rFonts w:hint="eastAsia"/>
        </w:rPr>
        <w:t xml:space="preserve"> 设计基本原则与流程</w:t>
      </w:r>
      <w:r>
        <w:rPr>
          <w:rFonts w:hint="eastAsia"/>
        </w:rPr>
        <w:tab/>
      </w:r>
      <w:r>
        <w:rPr>
          <w:rFonts w:hint="eastAsia"/>
        </w:rPr>
        <w:fldChar w:fldCharType="begin"/>
      </w:r>
      <w:r>
        <w:rPr>
          <w:rFonts w:hint="eastAsia"/>
        </w:rPr>
        <w:instrText xml:space="preserve"> </w:instrText>
      </w:r>
      <w:r>
        <w:instrText xml:space="preserve">PAGEREF _Toc219064433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DF5009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"_Toc219064434" </w:instrText>
      </w:r>
      <w:r>
        <w:fldChar w:fldCharType="separate"/>
      </w:r>
      <w:r>
        <w:rPr>
          <w:rStyle w:val="32"/>
          <w:rFonts w:hint="eastAsia"/>
        </w:rPr>
        <w:t>6</w:t>
      </w:r>
      <w:r>
        <w:rPr>
          <w:rStyle w:val="32"/>
        </w:rPr>
        <w:t xml:space="preserve"> </w:t>
      </w:r>
      <w:r>
        <w:rPr>
          <w:rStyle w:val="32"/>
          <w:rFonts w:hint="eastAsia"/>
        </w:rPr>
        <w:t xml:space="preserve"> 供配电系统节能设计要点</w:t>
      </w:r>
      <w:r>
        <w:rPr>
          <w:rFonts w:hint="eastAsia"/>
        </w:rPr>
        <w:tab/>
      </w:r>
      <w:r>
        <w:rPr>
          <w:rFonts w:hint="eastAsia"/>
        </w:rPr>
        <w:fldChar w:fldCharType="begin"/>
      </w:r>
      <w:r>
        <w:rPr>
          <w:rFonts w:hint="eastAsia"/>
        </w:rPr>
        <w:instrText xml:space="preserve"> </w:instrText>
      </w:r>
      <w:r>
        <w:instrText xml:space="preserve">PAGEREF _Toc219064434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B24D5F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"_Toc219064435" </w:instrText>
      </w:r>
      <w:r>
        <w:fldChar w:fldCharType="separate"/>
      </w:r>
      <w:r>
        <w:rPr>
          <w:rStyle w:val="32"/>
          <w:rFonts w:hint="eastAsia"/>
        </w:rPr>
        <w:t>7</w:t>
      </w:r>
      <w:r>
        <w:rPr>
          <w:rStyle w:val="32"/>
        </w:rPr>
        <w:t xml:space="preserve"> </w:t>
      </w:r>
      <w:r>
        <w:rPr>
          <w:rStyle w:val="32"/>
          <w:rFonts w:hint="eastAsia"/>
        </w:rPr>
        <w:t xml:space="preserve"> 照明与动力系统节能设计要点</w:t>
      </w:r>
      <w:r>
        <w:rPr>
          <w:rFonts w:hint="eastAsia"/>
        </w:rPr>
        <w:tab/>
      </w:r>
      <w:r>
        <w:rPr>
          <w:rFonts w:hint="eastAsia"/>
        </w:rPr>
        <w:fldChar w:fldCharType="begin"/>
      </w:r>
      <w:r>
        <w:rPr>
          <w:rFonts w:hint="eastAsia"/>
        </w:rPr>
        <w:instrText xml:space="preserve"> </w:instrText>
      </w:r>
      <w:r>
        <w:instrText xml:space="preserve">PAGEREF _Toc219064435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F30F2D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"_Toc219064436" </w:instrText>
      </w:r>
      <w:r>
        <w:fldChar w:fldCharType="separate"/>
      </w:r>
      <w:r>
        <w:rPr>
          <w:rStyle w:val="32"/>
          <w:rFonts w:hint="eastAsia"/>
        </w:rPr>
        <w:t>8</w:t>
      </w:r>
      <w:r>
        <w:rPr>
          <w:rStyle w:val="32"/>
        </w:rPr>
        <w:t xml:space="preserve"> </w:t>
      </w:r>
      <w:r>
        <w:rPr>
          <w:rStyle w:val="32"/>
          <w:rFonts w:hint="eastAsia"/>
        </w:rPr>
        <w:t xml:space="preserve"> 分项计量与能耗监测系统要求</w:t>
      </w:r>
      <w:r>
        <w:rPr>
          <w:rFonts w:hint="eastAsia"/>
        </w:rPr>
        <w:tab/>
      </w:r>
      <w:r>
        <w:rPr>
          <w:rFonts w:hint="eastAsia"/>
        </w:rPr>
        <w:fldChar w:fldCharType="begin"/>
      </w:r>
      <w:r>
        <w:rPr>
          <w:rFonts w:hint="eastAsia"/>
        </w:rPr>
        <w:instrText xml:space="preserve"> </w:instrText>
      </w:r>
      <w:r>
        <w:instrText xml:space="preserve">PAGEREF _Toc219064436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3E01B7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"_Toc219064437" </w:instrText>
      </w:r>
      <w:r>
        <w:fldChar w:fldCharType="separate"/>
      </w:r>
      <w:r>
        <w:rPr>
          <w:rStyle w:val="32"/>
          <w:rFonts w:hint="eastAsia"/>
        </w:rPr>
        <w:t>9</w:t>
      </w:r>
      <w:r>
        <w:rPr>
          <w:rStyle w:val="32"/>
        </w:rPr>
        <w:t xml:space="preserve"> </w:t>
      </w:r>
      <w:r>
        <w:rPr>
          <w:rStyle w:val="32"/>
          <w:rFonts w:hint="eastAsia"/>
        </w:rPr>
        <w:t xml:space="preserve"> 能效评估方法与判定规则</w:t>
      </w:r>
      <w:r>
        <w:rPr>
          <w:rFonts w:hint="eastAsia"/>
        </w:rPr>
        <w:tab/>
      </w:r>
      <w:r>
        <w:rPr>
          <w:rFonts w:hint="eastAsia"/>
        </w:rPr>
        <w:fldChar w:fldCharType="begin"/>
      </w:r>
      <w:r>
        <w:rPr>
          <w:rFonts w:hint="eastAsia"/>
        </w:rPr>
        <w:instrText xml:space="preserve"> </w:instrText>
      </w:r>
      <w:r>
        <w:instrText xml:space="preserve">PAGEREF _Toc219064437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078A482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"_Toc219064438" </w:instrText>
      </w:r>
      <w:r>
        <w:fldChar w:fldCharType="separate"/>
      </w:r>
      <w:r>
        <w:rPr>
          <w:rStyle w:val="32"/>
          <w:rFonts w:hint="eastAsia"/>
        </w:rPr>
        <w:t>10</w:t>
      </w:r>
      <w:r>
        <w:rPr>
          <w:rStyle w:val="32"/>
        </w:rPr>
        <w:t xml:space="preserve"> </w:t>
      </w:r>
      <w:r>
        <w:rPr>
          <w:rStyle w:val="32"/>
          <w:rFonts w:hint="eastAsia"/>
        </w:rPr>
        <w:t xml:space="preserve"> 验收与运行管理要求</w:t>
      </w:r>
      <w:r>
        <w:rPr>
          <w:rFonts w:hint="eastAsia"/>
        </w:rPr>
        <w:tab/>
      </w:r>
      <w:r>
        <w:rPr>
          <w:rFonts w:hint="eastAsia"/>
        </w:rPr>
        <w:fldChar w:fldCharType="begin"/>
      </w:r>
      <w:r>
        <w:rPr>
          <w:rFonts w:hint="eastAsia"/>
        </w:rPr>
        <w:instrText xml:space="preserve"> </w:instrText>
      </w:r>
      <w:r>
        <w:instrText xml:space="preserve">PAGEREF _Toc219064438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5EFDA75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"_Toc219064439" </w:instrText>
      </w:r>
      <w:r>
        <w:fldChar w:fldCharType="separate"/>
      </w:r>
      <w:r>
        <w:rPr>
          <w:rStyle w:val="32"/>
          <w:rFonts w:hint="eastAsia"/>
        </w:rPr>
        <w:t>附录A（资料性）</w:t>
      </w:r>
      <w:r>
        <w:rPr>
          <w:rStyle w:val="32"/>
        </w:rPr>
        <w:t xml:space="preserve"> </w:t>
      </w:r>
      <w:r>
        <w:rPr>
          <w:rStyle w:val="32"/>
          <w:rFonts w:hint="eastAsia"/>
        </w:rPr>
        <w:t xml:space="preserve"> 绿色建筑电气节能设计与能效评估闭环流程</w:t>
      </w:r>
      <w:r>
        <w:rPr>
          <w:rFonts w:hint="eastAsia"/>
        </w:rPr>
        <w:tab/>
      </w:r>
      <w:r>
        <w:rPr>
          <w:rFonts w:hint="eastAsia"/>
        </w:rPr>
        <w:fldChar w:fldCharType="begin"/>
      </w:r>
      <w:r>
        <w:rPr>
          <w:rFonts w:hint="eastAsia"/>
        </w:rPr>
        <w:instrText xml:space="preserve"> </w:instrText>
      </w:r>
      <w:r>
        <w:instrText xml:space="preserve">PAGEREF _Toc219064439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41ED7309">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06442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318DC43E">
      <w:pPr>
        <w:pStyle w:val="56"/>
        <w:spacing w:line="360" w:lineRule="auto"/>
        <w:ind w:firstLine="420"/>
      </w:pPr>
      <w:r>
        <w:rPr>
          <w:rFonts w:hint="eastAsia"/>
        </w:rPr>
        <w:t>本文件起草单位：河北建材职业技术学院。</w:t>
      </w:r>
    </w:p>
    <w:p w14:paraId="55F4A5D1">
      <w:pPr>
        <w:pStyle w:val="56"/>
        <w:spacing w:line="360" w:lineRule="auto"/>
        <w:ind w:firstLine="420"/>
      </w:pPr>
      <w:r>
        <w:rPr>
          <w:rFonts w:hint="eastAsia"/>
        </w:rPr>
        <w:t>本文件主要起草人：师小波。</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064428"/>
      <w:bookmarkStart w:id="25" w:name="BookMark3"/>
      <w:r>
        <w:rPr>
          <w:spacing w:val="320"/>
        </w:rPr>
        <w:t>引</w:t>
      </w:r>
      <w:r>
        <w:t>言</w:t>
      </w:r>
      <w:bookmarkEnd w:id="24"/>
    </w:p>
    <w:p w14:paraId="571B3374">
      <w:pPr>
        <w:pStyle w:val="56"/>
        <w:spacing w:line="360" w:lineRule="auto"/>
        <w:ind w:firstLine="420"/>
      </w:pPr>
      <w:r>
        <w:rPr>
          <w:rFonts w:hint="eastAsia"/>
        </w:rPr>
        <w:t>绿色建筑以全寿命周期资源节约、环境友好与健康舒适为目标，其中电气系统贯穿建筑规划设计、施工运维与更新改造全过程，是实现节能降碳与精细化能效管理的关键专业体系。建筑电气节能不仅涉及供配电系统效率、照明与动力用能优化、可再生能源与储能接入、智能控制策略与用能分项计量，还涉及运行阶段的能效评估、持续调优与绩效考核。随着双碳目标推进以及绿色建筑评价、近零能耗建筑、建筑能耗限额管理等要求不断强化，电气节能设计与能效评估工作面临指标体系多源、数据口径不一致、设计与运维脱节、节能措施可验证性不足、评估结论可追溯性不强等问题，亟需形成统一、可执行、可量化、可审计的管理规范。</w:t>
      </w:r>
    </w:p>
    <w:p w14:paraId="7BCEBC5D">
      <w:pPr>
        <w:pStyle w:val="56"/>
        <w:spacing w:line="360" w:lineRule="auto"/>
        <w:ind w:firstLine="420"/>
      </w:pPr>
      <w:r>
        <w:rPr>
          <w:rFonts w:hint="eastAsia"/>
        </w:rPr>
        <w:t>为规范绿色建筑电气节能设计与能效评估管理，本文件提出电气节能设计的原则、流程与控制要点，明确供配电系统效率优化、照明节能、动力系统节能、无功补偿与电能质量、分项计量与能耗监测、智能控制与需求响应、可再生能源与储能并网、充电设施能效管理等技术与管理要求；同时建立能效评估的指标体系、数据采集与核算方法、评估分级与判定规则、验收与运行评估程序、持续改进与信息化台账管理要求，形成从设计到运行的闭环机制，提升绿色建筑电气系统节能效果的可实现性与可验证性。</w:t>
      </w:r>
    </w:p>
    <w:p w14:paraId="7F4A69FE">
      <w:pPr>
        <w:pStyle w:val="56"/>
        <w:spacing w:line="360" w:lineRule="auto"/>
        <w:ind w:firstLine="420"/>
      </w:pPr>
      <w:r>
        <w:rPr>
          <w:rFonts w:hint="eastAsia"/>
        </w:rPr>
        <w:t>本文件适用于新建、改建、扩建绿色建筑的电气节能设计与能效评估管理，也适用于既有建筑绿色化改造项目的电气节能方案编制、节能效果核查与能效提升管理。</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11C8F5A9">
          <w:pPr>
            <w:pStyle w:val="177"/>
            <w:spacing w:after="0"/>
          </w:pPr>
          <w:bookmarkStart w:id="27" w:name="NEW_STAND_NAME"/>
          <w:r>
            <w:rPr>
              <w:rFonts w:hint="eastAsia"/>
            </w:rPr>
            <w:t>绿色建筑电气节能设计与能效评估</w:t>
          </w:r>
        </w:p>
        <w:p w14:paraId="7D4E3E1F">
          <w:pPr>
            <w:pStyle w:val="177"/>
            <w:spacing w:before="0"/>
          </w:pPr>
          <w:r>
            <w:rPr>
              <w:rFonts w:hint="eastAsia"/>
            </w:rPr>
            <w:t>管理规范</w:t>
          </w:r>
        </w:p>
      </w:sdtContent>
    </w:sdt>
    <w:bookmarkEnd w:id="27"/>
    <w:p w14:paraId="3DB22445">
      <w:pPr>
        <w:pStyle w:val="104"/>
        <w:spacing w:before="240" w:after="240" w:line="360" w:lineRule="auto"/>
      </w:pPr>
      <w:bookmarkStart w:id="28" w:name="_Toc26986530"/>
      <w:bookmarkStart w:id="29" w:name="_Toc26986771"/>
      <w:bookmarkStart w:id="30" w:name="_Toc17233325"/>
      <w:bookmarkStart w:id="31" w:name="_Toc26718930"/>
      <w:bookmarkStart w:id="32" w:name="_Toc26648465"/>
      <w:bookmarkStart w:id="33" w:name="_Toc219064429"/>
      <w:bookmarkStart w:id="34" w:name="_Toc97192964"/>
      <w:bookmarkStart w:id="35" w:name="_Toc17233333"/>
      <w:bookmarkStart w:id="36" w:name="_Toc24884211"/>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30914EAC">
      <w:pPr>
        <w:pStyle w:val="56"/>
        <w:spacing w:line="360" w:lineRule="auto"/>
        <w:ind w:firstLine="420"/>
      </w:pPr>
      <w:bookmarkStart w:id="38" w:name="_Toc24884212"/>
      <w:bookmarkStart w:id="39" w:name="_Toc17233326"/>
      <w:bookmarkStart w:id="40" w:name="_Toc17233334"/>
      <w:bookmarkStart w:id="41" w:name="_Toc26648466"/>
      <w:bookmarkStart w:id="42" w:name="_Toc24884219"/>
      <w:r>
        <w:rPr>
          <w:rFonts w:hint="eastAsia"/>
        </w:rPr>
        <w:t>本文件规定了绿色建筑电气节能设计与能效评估管理的总体要求、设计基本原则与流程、供配电系统节能设计要点、照明与动力系统节能设计要点、分项计量与能耗监测系统要求、能效评估方法与判定规则、验收与运行管理要求等内容。</w:t>
      </w:r>
    </w:p>
    <w:p w14:paraId="76265264">
      <w:pPr>
        <w:pStyle w:val="56"/>
        <w:spacing w:line="360" w:lineRule="auto"/>
        <w:ind w:firstLine="420"/>
      </w:pPr>
      <w:r>
        <w:rPr>
          <w:rFonts w:hint="eastAsia"/>
        </w:rPr>
        <w:t>本文件适用于新建、改建、扩建绿色建筑项目的电气节能设计与能效评估管理，适用于公共建筑与居住建筑。既有建筑节能改造项目可参照本文件执行，并结合现状条件对评估边界与指标口径进行适配。</w:t>
      </w:r>
    </w:p>
    <w:p w14:paraId="3733B2AD">
      <w:pPr>
        <w:pStyle w:val="104"/>
        <w:spacing w:before="240" w:after="240" w:line="360" w:lineRule="auto"/>
      </w:pPr>
      <w:bookmarkStart w:id="43" w:name="_Toc26986531"/>
      <w:bookmarkStart w:id="44" w:name="_Toc97192965"/>
      <w:bookmarkStart w:id="45" w:name="_Toc219064430"/>
      <w:bookmarkStart w:id="46" w:name="_Toc26986772"/>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FE91E87">
      <w:pPr>
        <w:pStyle w:val="56"/>
        <w:spacing w:line="360" w:lineRule="auto"/>
        <w:ind w:firstLine="420"/>
      </w:pPr>
      <w:r>
        <w:rPr>
          <w:rFonts w:hint="eastAsia"/>
        </w:rPr>
        <w:t>GB 55015 建筑节能与可再生能源利用通用规范</w:t>
      </w:r>
    </w:p>
    <w:p w14:paraId="01E3384F">
      <w:pPr>
        <w:pStyle w:val="56"/>
        <w:spacing w:line="360" w:lineRule="auto"/>
        <w:ind w:firstLine="420"/>
      </w:pPr>
      <w:r>
        <w:t>GB 55024</w:t>
      </w:r>
      <w:r>
        <w:rPr>
          <w:rFonts w:hint="eastAsia"/>
        </w:rPr>
        <w:t>—</w:t>
      </w:r>
      <w:r>
        <w:t>2022</w:t>
      </w:r>
      <w:r>
        <w:rPr>
          <w:rFonts w:hint="eastAsia"/>
        </w:rPr>
        <w:t xml:space="preserve"> 建筑电气与智能化通用规范</w:t>
      </w:r>
    </w:p>
    <w:p w14:paraId="79E686F1">
      <w:pPr>
        <w:pStyle w:val="56"/>
        <w:spacing w:line="360" w:lineRule="auto"/>
        <w:ind w:firstLine="420"/>
      </w:pPr>
      <w:r>
        <w:rPr>
          <w:rFonts w:hint="eastAsia"/>
        </w:rPr>
        <w:t>GB 50052 供配电系统设计规范</w:t>
      </w:r>
    </w:p>
    <w:p w14:paraId="03FCE04D">
      <w:pPr>
        <w:pStyle w:val="56"/>
        <w:spacing w:line="360" w:lineRule="auto"/>
        <w:ind w:firstLine="420"/>
      </w:pPr>
      <w:r>
        <w:rPr>
          <w:rFonts w:hint="eastAsia"/>
        </w:rPr>
        <w:t>GB/T 1.1—2</w:t>
      </w:r>
      <w:r>
        <w:t>020</w:t>
      </w:r>
      <w:r>
        <w:rPr>
          <w:rFonts w:hint="eastAsia"/>
        </w:rPr>
        <w:t xml:space="preserve"> 标准化工作导则  第1部分：标准化文件的结构和起草规则</w:t>
      </w:r>
    </w:p>
    <w:p w14:paraId="07A7F860">
      <w:pPr>
        <w:pStyle w:val="56"/>
        <w:spacing w:line="360" w:lineRule="auto"/>
        <w:ind w:firstLine="420"/>
      </w:pPr>
      <w:r>
        <w:t>GB/T 50034</w:t>
      </w:r>
      <w:r>
        <w:rPr>
          <w:rFonts w:hint="eastAsia"/>
        </w:rPr>
        <w:t>—</w:t>
      </w:r>
      <w:r>
        <w:t>2024</w:t>
      </w:r>
      <w:r>
        <w:rPr>
          <w:rFonts w:hint="eastAsia"/>
        </w:rPr>
        <w:t xml:space="preserve"> 建筑照明设计标准</w:t>
      </w:r>
    </w:p>
    <w:p w14:paraId="51F02A4E">
      <w:pPr>
        <w:pStyle w:val="104"/>
        <w:spacing w:before="240" w:after="240" w:line="360" w:lineRule="auto"/>
      </w:pPr>
      <w:bookmarkStart w:id="48" w:name="_Toc219064431"/>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5E2AE2C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绿色建筑 green building</w:t>
      </w:r>
    </w:p>
    <w:p w14:paraId="6C482637">
      <w:pPr>
        <w:pStyle w:val="56"/>
        <w:spacing w:line="360" w:lineRule="auto"/>
        <w:ind w:firstLine="420"/>
      </w:pPr>
      <w:r>
        <w:rPr>
          <w:rFonts w:hint="eastAsia"/>
        </w:rPr>
        <w:t>在全寿命周期内最大限度节约资源、保护环境、减少污染，为人们提供健康适用、高效使用空间，与自然和谐共生的建筑。</w:t>
      </w:r>
    </w:p>
    <w:p w14:paraId="30316B3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电气节能设计 electrical energy saving design</w:t>
      </w:r>
    </w:p>
    <w:p w14:paraId="3AB08476">
      <w:pPr>
        <w:pStyle w:val="56"/>
        <w:spacing w:line="360" w:lineRule="auto"/>
        <w:ind w:firstLine="420"/>
      </w:pPr>
      <w:r>
        <w:rPr>
          <w:rFonts w:hint="eastAsia"/>
        </w:rPr>
        <w:t>在满足安全可靠与功能需求前提下，通过供配电效率优化、用电设备选型与控制、照明与动力节能、无功补偿与电能质量管理、计量监测与智能控制等措施，降低建筑电能消耗与峰值负荷的设计活动。</w:t>
      </w:r>
    </w:p>
    <w:p w14:paraId="100048E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能效评估 energy efficiency assessment</w:t>
      </w:r>
    </w:p>
    <w:p w14:paraId="5E8C6829">
      <w:pPr>
        <w:pStyle w:val="56"/>
        <w:spacing w:line="360" w:lineRule="auto"/>
        <w:ind w:firstLine="420"/>
      </w:pPr>
      <w:r>
        <w:rPr>
          <w:rFonts w:hint="eastAsia"/>
        </w:rPr>
        <w:t>基于规定边界与指标体系，对建筑电气系统的设计达成度、运行能效水平、节能措施有效性与持续改进能力进行数据化评价、判定与管理的活动。</w:t>
      </w:r>
    </w:p>
    <w:p w14:paraId="1BC1F5B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分项计量 sub metering</w:t>
      </w:r>
    </w:p>
    <w:p w14:paraId="3F3C124E">
      <w:pPr>
        <w:pStyle w:val="56"/>
        <w:spacing w:line="360" w:lineRule="auto"/>
        <w:ind w:firstLine="420"/>
      </w:pPr>
      <w:r>
        <w:rPr>
          <w:rFonts w:hint="eastAsia"/>
        </w:rPr>
        <w:t>按用能系统或用能用途对电能消耗进行计量与统计的方法，通常包括照明插座、动力、空调与通风、给排水、厨房、数据中心、充电设施、可再生能源发电与储能等分项。</w:t>
      </w:r>
    </w:p>
    <w:p w14:paraId="7EB6FDE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需求响应 demand response</w:t>
      </w:r>
    </w:p>
    <w:p w14:paraId="0660A357">
      <w:pPr>
        <w:pStyle w:val="56"/>
        <w:spacing w:line="360" w:lineRule="auto"/>
        <w:ind w:firstLine="420"/>
      </w:pPr>
      <w:r>
        <w:rPr>
          <w:rFonts w:hint="eastAsia"/>
        </w:rPr>
        <w:t>通过控制策略或价格机制引导用户在特定时段调整用电负荷，实现削峰填谷、提升系统效率与降低用能成本的管理与控制措施。</w:t>
      </w:r>
    </w:p>
    <w:p w14:paraId="5FF8EF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功率因数 power factor</w:t>
      </w:r>
    </w:p>
    <w:p w14:paraId="3D721282">
      <w:pPr>
        <w:pStyle w:val="56"/>
        <w:spacing w:line="360" w:lineRule="auto"/>
        <w:ind w:firstLine="420"/>
      </w:pPr>
      <w:r>
        <w:rPr>
          <w:rFonts w:hint="eastAsia"/>
        </w:rPr>
        <w:t>交流电路中有功功率与视在功率之比，反映无功功率占比水平。功率因数优化有助于降低线路损耗与提高供配电系统效率。</w:t>
      </w:r>
    </w:p>
    <w:p w14:paraId="0A3776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电能质量 power quality</w:t>
      </w:r>
    </w:p>
    <w:p w14:paraId="2474B5CD">
      <w:pPr>
        <w:pStyle w:val="56"/>
        <w:spacing w:line="360" w:lineRule="auto"/>
        <w:ind w:firstLine="420"/>
      </w:pPr>
      <w:r>
        <w:rPr>
          <w:rFonts w:hint="eastAsia"/>
        </w:rPr>
        <w:t>反映供电电压频率与波形等指标满足用电设备正常运行要求的程度，主要包括电压偏差、频率偏差、电压波动与闪变、谐波、电压不平衡等。</w:t>
      </w:r>
    </w:p>
    <w:p w14:paraId="25E8B53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能耗监测系统 energy monitoring system</w:t>
      </w:r>
    </w:p>
    <w:p w14:paraId="11ED0D72">
      <w:pPr>
        <w:pStyle w:val="56"/>
        <w:spacing w:line="360" w:lineRule="auto"/>
        <w:ind w:firstLine="420"/>
      </w:pPr>
      <w:r>
        <w:rPr>
          <w:rFonts w:hint="eastAsia"/>
        </w:rPr>
        <w:t>对建筑用能数据进行采集、传输、存储、分析与展示的系统，用于能耗统计、能效评估、异常预警与节能优化。</w:t>
      </w:r>
    </w:p>
    <w:p w14:paraId="57569B01">
      <w:pPr>
        <w:pStyle w:val="104"/>
        <w:spacing w:before="240" w:after="240" w:line="360" w:lineRule="auto"/>
      </w:pPr>
      <w:bookmarkStart w:id="51" w:name="_Toc219064432"/>
      <w:r>
        <w:rPr>
          <w:rFonts w:hint="eastAsia"/>
        </w:rPr>
        <w:t>总体要求</w:t>
      </w:r>
      <w:bookmarkEnd w:id="51"/>
    </w:p>
    <w:p w14:paraId="425B1E16">
      <w:pPr>
        <w:pStyle w:val="105"/>
        <w:spacing w:before="120" w:after="120" w:line="360" w:lineRule="auto"/>
      </w:pPr>
      <w:r>
        <w:rPr>
          <w:rFonts w:hint="eastAsia"/>
        </w:rPr>
        <w:t>管理目标</w:t>
      </w:r>
    </w:p>
    <w:p w14:paraId="135E9CE7">
      <w:pPr>
        <w:pStyle w:val="165"/>
        <w:spacing w:line="360" w:lineRule="auto"/>
      </w:pPr>
      <w:r>
        <w:rPr>
          <w:rFonts w:hint="eastAsia"/>
        </w:rPr>
        <w:t>绿色建筑电气节能设计与能效评估管理应以安全可靠、节能高效、计量可核、控制可调、绩效可评为目标，实现从设计到运行的闭环管理。</w:t>
      </w:r>
    </w:p>
    <w:p w14:paraId="75594B41">
      <w:pPr>
        <w:pStyle w:val="165"/>
        <w:spacing w:line="360" w:lineRule="auto"/>
      </w:pPr>
      <w:r>
        <w:rPr>
          <w:rFonts w:hint="eastAsia"/>
        </w:rPr>
        <w:t>电气节能设计应在满足强制性规范与使用功能的前提下，优化供配电系统效率与用电系统控制策略，降低单位建筑面积电耗与峰值负荷，提升可再生能源消纳与用能灵活性。</w:t>
      </w:r>
    </w:p>
    <w:p w14:paraId="56ACF309">
      <w:pPr>
        <w:pStyle w:val="165"/>
        <w:spacing w:line="360" w:lineRule="auto"/>
      </w:pPr>
      <w:r>
        <w:rPr>
          <w:rFonts w:hint="eastAsia"/>
        </w:rPr>
        <w:t>能效评估应能够反映节能措施的可实现性与运行达成度，形成可追溯的证据链，支撑竣工验收、运营评价与持续改进。</w:t>
      </w:r>
    </w:p>
    <w:p w14:paraId="14C9982D">
      <w:pPr>
        <w:pStyle w:val="105"/>
        <w:spacing w:before="120" w:after="120" w:line="360" w:lineRule="auto"/>
      </w:pPr>
      <w:r>
        <w:rPr>
          <w:rFonts w:hint="eastAsia"/>
        </w:rPr>
        <w:t>组织与职责</w:t>
      </w:r>
    </w:p>
    <w:p w14:paraId="630FDA7F">
      <w:pPr>
        <w:pStyle w:val="165"/>
        <w:spacing w:line="360" w:lineRule="auto"/>
      </w:pPr>
      <w:r>
        <w:rPr>
          <w:rFonts w:hint="eastAsia"/>
        </w:rPr>
        <w:t>建设单位应牵头建立电气节能设计与能效评估管理机制，明确目标指标、评估边界、数据口径与成果交付要求，并协调设计单位、施工单位、监理单位、运维单位与第三方评估机构的工作接口。</w:t>
      </w:r>
    </w:p>
    <w:p w14:paraId="5434DC9C">
      <w:pPr>
        <w:pStyle w:val="165"/>
        <w:spacing w:line="360" w:lineRule="auto"/>
      </w:pPr>
      <w:r>
        <w:rPr>
          <w:rFonts w:hint="eastAsia"/>
        </w:rPr>
        <w:t>设计单位应承担电气节能专项设计与计算说明，落实节能措施可施工性与可运维性，并提供计量监测点位、控制策略与调试要求。</w:t>
      </w:r>
    </w:p>
    <w:p w14:paraId="2192AD17">
      <w:pPr>
        <w:pStyle w:val="165"/>
        <w:spacing w:line="360" w:lineRule="auto"/>
      </w:pPr>
      <w:r>
        <w:rPr>
          <w:rFonts w:hint="eastAsia"/>
        </w:rPr>
        <w:t>施工单位应按设计与专项方案实施设备选型安装、计量与监测系统部署、控制系统集成与调试，形成竣工资料与调试记录。</w:t>
      </w:r>
    </w:p>
    <w:p w14:paraId="0FBE33CB">
      <w:pPr>
        <w:pStyle w:val="165"/>
        <w:spacing w:line="360" w:lineRule="auto"/>
      </w:pPr>
      <w:r>
        <w:rPr>
          <w:rFonts w:hint="eastAsia"/>
        </w:rPr>
        <w:t>监理单位应对电气节能相关材料设备、施工工艺、隐蔽工程与系统调试过程实施质量控制，对关键节能措施的实现情况进行见证与验收。</w:t>
      </w:r>
    </w:p>
    <w:p w14:paraId="372295B0">
      <w:pPr>
        <w:pStyle w:val="165"/>
        <w:spacing w:line="360" w:lineRule="auto"/>
      </w:pPr>
      <w:r>
        <w:rPr>
          <w:rFonts w:hint="eastAsia"/>
        </w:rPr>
        <w:t>运维单位应负责运行阶段能耗数据采集、系统维护、策略优化与能效持续改进，并配合开展运行评估与复核。</w:t>
      </w:r>
    </w:p>
    <w:p w14:paraId="46E32328">
      <w:pPr>
        <w:pStyle w:val="165"/>
        <w:spacing w:line="360" w:lineRule="auto"/>
      </w:pPr>
      <w:r>
        <w:rPr>
          <w:rFonts w:hint="eastAsia"/>
        </w:rPr>
        <w:t>第三方评估机构参与时，应明确评估范围、方法与输出成果，对评估数据来源与判定结论负责。</w:t>
      </w:r>
    </w:p>
    <w:p w14:paraId="32E084CE">
      <w:pPr>
        <w:pStyle w:val="105"/>
        <w:spacing w:before="120" w:after="120" w:line="360" w:lineRule="auto"/>
      </w:pPr>
      <w:r>
        <w:rPr>
          <w:rFonts w:hint="eastAsia"/>
        </w:rPr>
        <w:t>全流程管理要求</w:t>
      </w:r>
    </w:p>
    <w:p w14:paraId="270E7AC8">
      <w:pPr>
        <w:pStyle w:val="165"/>
        <w:spacing w:line="360" w:lineRule="auto"/>
      </w:pPr>
      <w:r>
        <w:rPr>
          <w:rFonts w:hint="eastAsia"/>
        </w:rPr>
        <w:t>电气节能管理应贯穿方案设计、初步设计、施工图设计、施工实施、系统调试、竣工验收与运行评价全过程。关键节点应设置成果交付清单与审核要求，避免设计与运维脱节。</w:t>
      </w:r>
    </w:p>
    <w:p w14:paraId="30B52293">
      <w:pPr>
        <w:pStyle w:val="165"/>
        <w:spacing w:line="360" w:lineRule="auto"/>
      </w:pPr>
      <w:r>
        <w:rPr>
          <w:rFonts w:hint="eastAsia"/>
        </w:rPr>
        <w:t>电气节能设计应实施目标值管理。建设单位应明确节能目标、能效等级或绿色建筑目标等级，并在设计阶段将目标分解到供配电效率、照明功率密度、功率因数、电能质量、分项计量覆盖率、可再生能源利用率等要素。</w:t>
      </w:r>
    </w:p>
    <w:p w14:paraId="79711717">
      <w:pPr>
        <w:pStyle w:val="165"/>
        <w:spacing w:line="360" w:lineRule="auto"/>
      </w:pPr>
      <w:r>
        <w:rPr>
          <w:rFonts w:hint="eastAsia"/>
        </w:rPr>
        <w:t>能效评估应实施分阶段评估。宜包括设计符合性评估、竣工验收评估与运行期评估。各阶段评估应采用一致的边界与数据口径，并明确差异化指标。</w:t>
      </w:r>
    </w:p>
    <w:p w14:paraId="4E298868">
      <w:pPr>
        <w:pStyle w:val="165"/>
        <w:spacing w:line="360" w:lineRule="auto"/>
      </w:pPr>
      <w:r>
        <w:rPr>
          <w:rFonts w:hint="eastAsia"/>
        </w:rPr>
        <w:t>节能措施应可验证。对关键节能措施应明确可测量的验证指标、验收方法与证据要求，避免仅以方案描述替代实际效果。</w:t>
      </w:r>
    </w:p>
    <w:p w14:paraId="6110013B">
      <w:pPr>
        <w:pStyle w:val="105"/>
        <w:spacing w:before="120" w:after="120" w:line="360" w:lineRule="auto"/>
      </w:pPr>
      <w:r>
        <w:rPr>
          <w:rFonts w:hint="eastAsia"/>
        </w:rPr>
        <w:t>评估边界与数据口径</w:t>
      </w:r>
    </w:p>
    <w:p w14:paraId="710ACAE7">
      <w:pPr>
        <w:pStyle w:val="165"/>
        <w:spacing w:line="360" w:lineRule="auto"/>
      </w:pPr>
      <w:r>
        <w:rPr>
          <w:rFonts w:hint="eastAsia"/>
        </w:rPr>
        <w:t>评估边界应明确。应明确是否包含公共区域与租户区域、是否包含特殊用能系统如数据中心与厨房、是否包含可再生能源发电与储能系统、是否包含电动汽车充电设施等。</w:t>
      </w:r>
    </w:p>
    <w:p w14:paraId="7858DA71">
      <w:pPr>
        <w:pStyle w:val="165"/>
        <w:spacing w:line="360" w:lineRule="auto"/>
      </w:pPr>
      <w:r>
        <w:rPr>
          <w:rFonts w:hint="eastAsia"/>
        </w:rPr>
        <w:t>数据口径应统一。电能计量应统一时间粒度与统计周期，宜采用15 min或1 h采样与日月年汇总。分项统计应采用一致的分项定义与计量层级，确保可比对与可复核。</w:t>
      </w:r>
    </w:p>
    <w:p w14:paraId="20DE068A">
      <w:pPr>
        <w:pStyle w:val="165"/>
        <w:spacing w:line="360" w:lineRule="auto"/>
      </w:pPr>
      <w:r>
        <w:rPr>
          <w:rFonts w:hint="eastAsia"/>
        </w:rPr>
        <w:t>基准条件应明确。运行期评估应明确气象、工况、入住率与运行时段等边界条件。必要时应采用归一化或校正方法对评估结果进行可比性处理。</w:t>
      </w:r>
    </w:p>
    <w:p w14:paraId="21FD10B6">
      <w:pPr>
        <w:pStyle w:val="165"/>
        <w:spacing w:line="360" w:lineRule="auto"/>
      </w:pPr>
      <w:r>
        <w:rPr>
          <w:rFonts w:hint="eastAsia"/>
        </w:rPr>
        <w:t>计量设备应具备溯源能力。用于能效评估的电能表、传感器与数据采集装置应满足精度与校验要求，确保数据可信。</w:t>
      </w:r>
    </w:p>
    <w:p w14:paraId="5DAA77AC">
      <w:pPr>
        <w:pStyle w:val="105"/>
        <w:spacing w:before="120" w:after="120" w:line="360" w:lineRule="auto"/>
      </w:pPr>
      <w:r>
        <w:rPr>
          <w:rFonts w:hint="eastAsia"/>
        </w:rPr>
        <w:t>关键技术要求概述</w:t>
      </w:r>
    </w:p>
    <w:p w14:paraId="65555586">
      <w:pPr>
        <w:pStyle w:val="165"/>
        <w:spacing w:line="360" w:lineRule="auto"/>
      </w:pPr>
      <w:r>
        <w:rPr>
          <w:rFonts w:hint="eastAsia"/>
        </w:rPr>
        <w:t>供配电系统应优先采用高效率设备与合理电压等级，降低变压器与线路损耗，优化供电半径与负荷分配，并实施无功补偿与电能质量治理。</w:t>
      </w:r>
    </w:p>
    <w:p w14:paraId="59BDB2D7">
      <w:pPr>
        <w:pStyle w:val="165"/>
        <w:spacing w:line="360" w:lineRule="auto"/>
      </w:pPr>
      <w:r>
        <w:rPr>
          <w:rFonts w:hint="eastAsia"/>
        </w:rPr>
        <w:t>照明系统应满足照度与视觉舒适前提下控制照明功率密度，采用高效光源与灯具，并配置分区分时与人因控制策略。</w:t>
      </w:r>
    </w:p>
    <w:p w14:paraId="7F8195C4">
      <w:pPr>
        <w:pStyle w:val="165"/>
        <w:spacing w:line="360" w:lineRule="auto"/>
      </w:pPr>
      <w:r>
        <w:rPr>
          <w:rFonts w:hint="eastAsia"/>
        </w:rPr>
        <w:t>动力与专用系统应优选高效电机与变频调速，结合工况设置分级控制与启停策略，降低空载与低负荷损耗。</w:t>
      </w:r>
    </w:p>
    <w:p w14:paraId="36EF60CE">
      <w:pPr>
        <w:pStyle w:val="165"/>
        <w:spacing w:line="360" w:lineRule="auto"/>
      </w:pPr>
      <w:r>
        <w:rPr>
          <w:rFonts w:hint="eastAsia"/>
        </w:rPr>
        <w:t>分项计量与能耗监测系统应覆盖主要用能系统与关键负荷，满足能效评估、异常预警与策略优化的需要。</w:t>
      </w:r>
    </w:p>
    <w:p w14:paraId="70C6B210">
      <w:pPr>
        <w:pStyle w:val="165"/>
        <w:spacing w:line="360" w:lineRule="auto"/>
      </w:pPr>
      <w:r>
        <w:rPr>
          <w:rFonts w:hint="eastAsia"/>
        </w:rPr>
        <w:t>智能控制应支持节能运行。应采用可配置的控制策略并具备策略优化与权限管理能力，必要时支持需求响应与峰谷优化控制。</w:t>
      </w:r>
    </w:p>
    <w:p w14:paraId="4374A3CA">
      <w:pPr>
        <w:pStyle w:val="105"/>
        <w:spacing w:before="120" w:after="120" w:line="360" w:lineRule="auto"/>
      </w:pPr>
      <w:r>
        <w:rPr>
          <w:rFonts w:hint="eastAsia"/>
        </w:rPr>
        <w:t>资料与台账管理</w:t>
      </w:r>
    </w:p>
    <w:p w14:paraId="1155AE19">
      <w:pPr>
        <w:pStyle w:val="165"/>
        <w:spacing w:line="360" w:lineRule="auto"/>
      </w:pPr>
      <w:r>
        <w:rPr>
          <w:rFonts w:hint="eastAsia"/>
        </w:rPr>
        <w:t>应建立电气节能设计与能效评估资料清单。资料宜包括设计计算书、设备效率与能效证明、节能措施清单、计量点位图、控制策略说明、调试记录、验收记录与运行数据报表。</w:t>
      </w:r>
    </w:p>
    <w:p w14:paraId="0F8715DA">
      <w:pPr>
        <w:pStyle w:val="165"/>
        <w:spacing w:line="360" w:lineRule="auto"/>
      </w:pPr>
      <w:r>
        <w:rPr>
          <w:rFonts w:hint="eastAsia"/>
        </w:rPr>
        <w:t>应建立信息化台账。台账应记录关键设备参数、计量点位、控制策略版本、维护记录与评估结论，支持追溯与持续改进。</w:t>
      </w:r>
    </w:p>
    <w:p w14:paraId="2A62EE40">
      <w:pPr>
        <w:pStyle w:val="165"/>
        <w:spacing w:line="360" w:lineRule="auto"/>
      </w:pPr>
      <w:r>
        <w:rPr>
          <w:rFonts w:hint="eastAsia"/>
        </w:rPr>
        <w:t>资料应受控更新。发生设备更换、策略调整、计量点位变更或使用功能变化时，应同步更新台账并记录变更原因与影响评估。</w:t>
      </w:r>
    </w:p>
    <w:p w14:paraId="12E51479">
      <w:pPr>
        <w:pStyle w:val="104"/>
        <w:spacing w:before="240" w:after="240" w:line="360" w:lineRule="auto"/>
      </w:pPr>
      <w:bookmarkStart w:id="52" w:name="_Toc219064433"/>
      <w:r>
        <w:rPr>
          <w:rFonts w:hint="eastAsia"/>
        </w:rPr>
        <w:t>设计基本原则与流程</w:t>
      </w:r>
      <w:bookmarkEnd w:id="52"/>
    </w:p>
    <w:p w14:paraId="4C06C817">
      <w:pPr>
        <w:pStyle w:val="105"/>
        <w:spacing w:before="120" w:after="120" w:line="360" w:lineRule="auto"/>
      </w:pPr>
      <w:r>
        <w:rPr>
          <w:rFonts w:hint="eastAsia"/>
        </w:rPr>
        <w:t>基本原则</w:t>
      </w:r>
    </w:p>
    <w:p w14:paraId="1B7B75B0">
      <w:pPr>
        <w:pStyle w:val="65"/>
        <w:spacing w:before="120" w:after="120" w:line="360" w:lineRule="auto"/>
      </w:pPr>
      <w:r>
        <w:rPr>
          <w:rFonts w:hint="eastAsia"/>
        </w:rPr>
        <w:t>安全可靠原则</w:t>
      </w:r>
    </w:p>
    <w:p w14:paraId="44B645AF">
      <w:pPr>
        <w:pStyle w:val="56"/>
        <w:spacing w:line="360" w:lineRule="auto"/>
        <w:ind w:firstLine="420"/>
      </w:pPr>
      <w:r>
        <w:rPr>
          <w:rFonts w:hint="eastAsia"/>
        </w:rPr>
        <w:t>电气节能设计应在满足建筑电气安全、供电可靠性、防雷接地与消防联动等要求的前提下实施。不得以降低安全裕度或削弱保护功能换取节能指标。</w:t>
      </w:r>
    </w:p>
    <w:p w14:paraId="1027973C">
      <w:pPr>
        <w:pStyle w:val="65"/>
        <w:spacing w:before="120" w:after="120" w:line="360" w:lineRule="auto"/>
      </w:pPr>
      <w:r>
        <w:rPr>
          <w:rFonts w:hint="eastAsia"/>
        </w:rPr>
        <w:t>全寿命周期原则</w:t>
      </w:r>
    </w:p>
    <w:p w14:paraId="4319D498">
      <w:pPr>
        <w:pStyle w:val="56"/>
        <w:spacing w:line="360" w:lineRule="auto"/>
        <w:ind w:firstLine="420"/>
      </w:pPr>
      <w:r>
        <w:rPr>
          <w:rFonts w:hint="eastAsia"/>
        </w:rPr>
        <w:t>节能设计应统筹考虑建设成本、运维成本与更新改造成本，优先采用成熟可靠、维护便利、寿命周期综合效益优的节能方案，避免仅关注初投资导致运行能效不可达或运维困难。</w:t>
      </w:r>
    </w:p>
    <w:p w14:paraId="0C48BE6B">
      <w:pPr>
        <w:pStyle w:val="65"/>
        <w:spacing w:before="120" w:after="120" w:line="360" w:lineRule="auto"/>
      </w:pPr>
      <w:r>
        <w:rPr>
          <w:rFonts w:hint="eastAsia"/>
        </w:rPr>
        <w:t>负荷适配原则</w:t>
      </w:r>
    </w:p>
    <w:p w14:paraId="2F6CAE35">
      <w:pPr>
        <w:pStyle w:val="56"/>
        <w:spacing w:line="360" w:lineRule="auto"/>
        <w:ind w:firstLine="420"/>
      </w:pPr>
      <w:r>
        <w:rPr>
          <w:rFonts w:hint="eastAsia"/>
        </w:rPr>
        <w:t>设备选型与控制策略应与负荷特性匹配。应基于负荷预测与分项用能特征确定容量配置，避免容量冗余导致低负荷效率下降，避免容量不足导致运行风险与舒适性下降。</w:t>
      </w:r>
    </w:p>
    <w:p w14:paraId="00F39F99">
      <w:pPr>
        <w:pStyle w:val="65"/>
        <w:spacing w:before="120" w:after="120" w:line="360" w:lineRule="auto"/>
      </w:pPr>
      <w:r>
        <w:rPr>
          <w:rFonts w:hint="eastAsia"/>
        </w:rPr>
        <w:t>计量先行原则</w:t>
      </w:r>
    </w:p>
    <w:p w14:paraId="4F5A6C1E">
      <w:pPr>
        <w:pStyle w:val="56"/>
        <w:spacing w:line="360" w:lineRule="auto"/>
        <w:ind w:firstLine="420"/>
      </w:pPr>
      <w:r>
        <w:rPr>
          <w:rFonts w:hint="eastAsia"/>
        </w:rPr>
        <w:t>分项计量与监测点位应在设计阶段一并落实，确保节能措施可验证、可调优。计量边界、分项口径与数据粒度应与能效评估指标一致。</w:t>
      </w:r>
    </w:p>
    <w:p w14:paraId="3E4CC352">
      <w:pPr>
        <w:pStyle w:val="65"/>
        <w:spacing w:before="120" w:after="120" w:line="360" w:lineRule="auto"/>
      </w:pPr>
      <w:r>
        <w:rPr>
          <w:rFonts w:hint="eastAsia"/>
        </w:rPr>
        <w:t>控制优化原则</w:t>
      </w:r>
    </w:p>
    <w:p w14:paraId="2A20C73A">
      <w:pPr>
        <w:pStyle w:val="56"/>
        <w:spacing w:line="360" w:lineRule="auto"/>
        <w:ind w:firstLine="420"/>
      </w:pPr>
      <w:r>
        <w:rPr>
          <w:rFonts w:hint="eastAsia"/>
        </w:rPr>
        <w:t>应优先采用分区分时、按需供能与自适应控制策略，降低无效运行与待机损耗。对照明、动力、通风空调末端、给排水与充电设施等应分别制定可执行的控制逻辑。</w:t>
      </w:r>
    </w:p>
    <w:p w14:paraId="370A98AA">
      <w:pPr>
        <w:pStyle w:val="65"/>
        <w:spacing w:before="120" w:after="120" w:line="360" w:lineRule="auto"/>
      </w:pPr>
      <w:r>
        <w:rPr>
          <w:rFonts w:hint="eastAsia"/>
        </w:rPr>
        <w:t>协同集成原则</w:t>
      </w:r>
    </w:p>
    <w:p w14:paraId="6134FF33">
      <w:pPr>
        <w:pStyle w:val="56"/>
        <w:spacing w:line="360" w:lineRule="auto"/>
        <w:ind w:firstLine="420"/>
      </w:pPr>
      <w:r>
        <w:rPr>
          <w:rFonts w:hint="eastAsia"/>
        </w:rPr>
        <w:t>电气节能设计应与暖通、给排水、建筑智能化、幕墙与可再生能源系统协同设计，统筹控制接口、通信协议、数据平台与运行策略，避免系统割裂造成节能效果打折。</w:t>
      </w:r>
    </w:p>
    <w:p w14:paraId="30E35C07">
      <w:pPr>
        <w:pStyle w:val="105"/>
        <w:spacing w:before="120" w:after="120" w:line="360" w:lineRule="auto"/>
      </w:pPr>
      <w:r>
        <w:rPr>
          <w:rFonts w:hint="eastAsia"/>
        </w:rPr>
        <w:t>设计流程要求</w:t>
      </w:r>
    </w:p>
    <w:p w14:paraId="79B0DCD8">
      <w:pPr>
        <w:pStyle w:val="65"/>
        <w:spacing w:before="120" w:after="120" w:line="360" w:lineRule="auto"/>
      </w:pPr>
      <w:r>
        <w:rPr>
          <w:rFonts w:hint="eastAsia"/>
        </w:rPr>
        <w:t>方案阶段</w:t>
      </w:r>
    </w:p>
    <w:p w14:paraId="5EE9A039">
      <w:pPr>
        <w:pStyle w:val="56"/>
        <w:spacing w:line="360" w:lineRule="auto"/>
        <w:ind w:firstLine="420"/>
      </w:pPr>
      <w:r>
        <w:rPr>
          <w:rFonts w:hint="eastAsia"/>
        </w:rPr>
        <w:t>应开展用电负荷预测与能效目标分解，形成电气节能方案。方案应明确供配电系统架构、变压器容量与台数配置、无功补偿与电能质量治理策略、照明节能策略、动力节能策略、分项计量体系、能耗监测平台需求、可再生能源与储能接入条件以及需求响应可行性。</w:t>
      </w:r>
    </w:p>
    <w:p w14:paraId="0C676249">
      <w:pPr>
        <w:pStyle w:val="65"/>
        <w:spacing w:before="120" w:after="120" w:line="360" w:lineRule="auto"/>
      </w:pPr>
      <w:r>
        <w:rPr>
          <w:rFonts w:hint="eastAsia"/>
        </w:rPr>
        <w:t>初步设计阶段</w:t>
      </w:r>
    </w:p>
    <w:p w14:paraId="018CA6AC">
      <w:pPr>
        <w:pStyle w:val="56"/>
        <w:spacing w:line="360" w:lineRule="auto"/>
        <w:ind w:firstLine="420"/>
      </w:pPr>
      <w:r>
        <w:rPr>
          <w:rFonts w:hint="eastAsia"/>
        </w:rPr>
        <w:t>应深化节能方案并形成关键参数与边界条件，完成主要设备选型与效率校核，明确计量点位与通信架构，提出控制策略框架与调试验证要求。应形成电气节能专项说明与初步能效评估口径。</w:t>
      </w:r>
    </w:p>
    <w:p w14:paraId="4783867F">
      <w:pPr>
        <w:pStyle w:val="65"/>
        <w:spacing w:before="120" w:after="120" w:line="360" w:lineRule="auto"/>
      </w:pPr>
      <w:r>
        <w:rPr>
          <w:rFonts w:hint="eastAsia"/>
        </w:rPr>
        <w:t>施工图设计阶段</w:t>
      </w:r>
    </w:p>
    <w:p w14:paraId="1343DAE4">
      <w:pPr>
        <w:pStyle w:val="56"/>
        <w:spacing w:line="360" w:lineRule="auto"/>
        <w:ind w:firstLine="420"/>
      </w:pPr>
      <w:r>
        <w:rPr>
          <w:rFonts w:hint="eastAsia"/>
        </w:rPr>
        <w:t>应落实节能措施的工程化表达，形成可施工可验收的图纸与清单。应明确配电系统损耗控制措施、照明功率密度控制措施、分项计量回路划分与电表配置、控制逻辑与联动关系、监测点位与数据接口、可再生能源并网与计量方案、设备效率与能效证明要求。</w:t>
      </w:r>
    </w:p>
    <w:p w14:paraId="7E679B05">
      <w:pPr>
        <w:pStyle w:val="65"/>
        <w:spacing w:before="120" w:after="120" w:line="360" w:lineRule="auto"/>
      </w:pPr>
      <w:r>
        <w:rPr>
          <w:rFonts w:hint="eastAsia"/>
        </w:rPr>
        <w:t>施工实施与调试阶段</w:t>
      </w:r>
    </w:p>
    <w:p w14:paraId="5196FC0D">
      <w:pPr>
        <w:pStyle w:val="56"/>
        <w:spacing w:line="360" w:lineRule="auto"/>
        <w:ind w:firstLine="420"/>
      </w:pPr>
      <w:r>
        <w:rPr>
          <w:rFonts w:hint="eastAsia"/>
        </w:rPr>
        <w:t>应按设计要求完成设备安装与系统集成，完成分项计量与能耗监测系统部署，执行控制策略调试与功能验证。应形成调试记录与性能测试记录，为竣工能效评估提供证据。</w:t>
      </w:r>
    </w:p>
    <w:p w14:paraId="3740FFED">
      <w:pPr>
        <w:pStyle w:val="65"/>
        <w:spacing w:before="120" w:after="120" w:line="360" w:lineRule="auto"/>
      </w:pPr>
      <w:r>
        <w:rPr>
          <w:rFonts w:hint="eastAsia"/>
        </w:rPr>
        <w:t>竣工验收与移交阶段</w:t>
      </w:r>
    </w:p>
    <w:p w14:paraId="2D2770AD">
      <w:pPr>
        <w:pStyle w:val="56"/>
        <w:spacing w:line="360" w:lineRule="auto"/>
        <w:ind w:firstLine="420"/>
      </w:pPr>
      <w:r>
        <w:rPr>
          <w:rFonts w:hint="eastAsia"/>
        </w:rPr>
        <w:t>应开展电气节能专项验收，核查节能措施落实情况、计量监测系统可用性、控制策略功能有效性与关键设备效率证明材料。应向运维单位移交完整资料与台账，并完成运行策略交底。</w:t>
      </w:r>
    </w:p>
    <w:p w14:paraId="0E05E3AF">
      <w:pPr>
        <w:pStyle w:val="56"/>
        <w:spacing w:line="360" w:lineRule="auto"/>
        <w:ind w:firstLine="420"/>
        <w:rPr>
          <w:rFonts w:hint="eastAsia"/>
        </w:rPr>
      </w:pPr>
    </w:p>
    <w:p w14:paraId="7E244884">
      <w:pPr>
        <w:pStyle w:val="65"/>
        <w:spacing w:before="120" w:after="120" w:line="360" w:lineRule="auto"/>
      </w:pPr>
      <w:r>
        <w:rPr>
          <w:rFonts w:hint="eastAsia"/>
        </w:rPr>
        <w:t>运行期评估与持续改进阶段</w:t>
      </w:r>
    </w:p>
    <w:p w14:paraId="50FEDEFF">
      <w:pPr>
        <w:pStyle w:val="56"/>
        <w:spacing w:line="360" w:lineRule="auto"/>
        <w:ind w:firstLine="420"/>
      </w:pPr>
      <w:r>
        <w:rPr>
          <w:rFonts w:hint="eastAsia"/>
        </w:rPr>
        <w:t>应基于分项计量与能耗监测数据开展运行期能效评估，识别偏差原因并实施策略优化或设备整定。运行期能效评估与优化闭环流程见附录</w:t>
      </w:r>
      <w:r>
        <w:t>A</w:t>
      </w:r>
      <w:r>
        <w:rPr>
          <w:rFonts w:hint="eastAsia"/>
        </w:rPr>
        <w:t>。</w:t>
      </w:r>
    </w:p>
    <w:p w14:paraId="088CDA88">
      <w:pPr>
        <w:pStyle w:val="104"/>
        <w:spacing w:before="240" w:after="240" w:line="360" w:lineRule="auto"/>
      </w:pPr>
      <w:bookmarkStart w:id="53" w:name="_Toc219064434"/>
      <w:r>
        <w:rPr>
          <w:rFonts w:hint="eastAsia"/>
        </w:rPr>
        <w:t>供配电系统节能设计要点</w:t>
      </w:r>
      <w:bookmarkEnd w:id="53"/>
    </w:p>
    <w:p w14:paraId="57263F33">
      <w:pPr>
        <w:pStyle w:val="105"/>
        <w:spacing w:before="120" w:after="120" w:line="360" w:lineRule="auto"/>
      </w:pPr>
      <w:r>
        <w:rPr>
          <w:rFonts w:hint="eastAsia"/>
        </w:rPr>
        <w:t>一般要求</w:t>
      </w:r>
    </w:p>
    <w:p w14:paraId="29C7C26C">
      <w:pPr>
        <w:pStyle w:val="165"/>
        <w:spacing w:line="360" w:lineRule="auto"/>
      </w:pPr>
      <w:r>
        <w:rPr>
          <w:rFonts w:hint="eastAsia"/>
        </w:rPr>
        <w:t>供配电系统节能设计应以降低变压器与线路损耗、提升供电效率、改善功率因数与电能质量、提高运行调度灵活性为核心，在满足供电可靠性与用电安全的前提下实现能效最优。</w:t>
      </w:r>
    </w:p>
    <w:p w14:paraId="46A4E85F">
      <w:pPr>
        <w:pStyle w:val="165"/>
        <w:spacing w:line="360" w:lineRule="auto"/>
      </w:pPr>
      <w:r>
        <w:rPr>
          <w:rFonts w:hint="eastAsia"/>
        </w:rPr>
        <w:t>供配电系统设计应与建筑负荷特性匹配。应基于负荷预测结果确定容量配置与运行方式，避免长期轻载运行导致效率下降，也避免容量不足引发过载与能耗增加。</w:t>
      </w:r>
    </w:p>
    <w:p w14:paraId="493965E2">
      <w:pPr>
        <w:pStyle w:val="165"/>
        <w:spacing w:line="360" w:lineRule="auto"/>
      </w:pPr>
      <w:r>
        <w:rPr>
          <w:rFonts w:hint="eastAsia"/>
        </w:rPr>
        <w:t>供配电节能措施应可验证。应明确关键设备效率指标、损耗计算口径、功率因数目标、电能质量控制指标以及计量点位，确保后续能效评估可核查。</w:t>
      </w:r>
    </w:p>
    <w:p w14:paraId="22B57A12">
      <w:pPr>
        <w:pStyle w:val="105"/>
        <w:spacing w:before="120" w:after="120" w:line="360" w:lineRule="auto"/>
      </w:pPr>
      <w:r>
        <w:rPr>
          <w:rFonts w:hint="eastAsia"/>
        </w:rPr>
        <w:t>负荷预测与容量配置</w:t>
      </w:r>
    </w:p>
    <w:p w14:paraId="7C5DABD8">
      <w:pPr>
        <w:pStyle w:val="165"/>
        <w:spacing w:line="360" w:lineRule="auto"/>
      </w:pPr>
      <w:r>
        <w:rPr>
          <w:rFonts w:hint="eastAsia"/>
        </w:rPr>
        <w:t>负荷预测应区分用途与时段。应识别基础负荷、可调负荷与峰值负荷，形成日典型曲线与季节变化特征，为变压器配置与运行策略提供依据。</w:t>
      </w:r>
    </w:p>
    <w:p w14:paraId="16605841">
      <w:pPr>
        <w:pStyle w:val="165"/>
        <w:spacing w:line="360" w:lineRule="auto"/>
      </w:pPr>
      <w:r>
        <w:rPr>
          <w:rFonts w:hint="eastAsia"/>
        </w:rPr>
        <w:t>变压器容量与台数配置应考虑分期建设、租户变化与运行弹性。宜采用多台分区供电与分级投运方式，提升部分负荷时的综合效率。</w:t>
      </w:r>
    </w:p>
    <w:p w14:paraId="2346B5C3">
      <w:pPr>
        <w:pStyle w:val="165"/>
        <w:spacing w:line="360" w:lineRule="auto"/>
      </w:pPr>
      <w:r>
        <w:rPr>
          <w:rFonts w:hint="eastAsia"/>
        </w:rPr>
        <w:t>对存在显著昼夜差异的公共建筑或混合功能建筑，应配置可按需投切的变压器运行方式，避免单台大容量变压器长期轻载。</w:t>
      </w:r>
    </w:p>
    <w:p w14:paraId="2366EF43">
      <w:pPr>
        <w:pStyle w:val="105"/>
        <w:spacing w:before="120" w:after="120" w:line="360" w:lineRule="auto"/>
      </w:pPr>
      <w:r>
        <w:rPr>
          <w:rFonts w:hint="eastAsia"/>
        </w:rPr>
        <w:t>变压器与配电设备选型</w:t>
      </w:r>
    </w:p>
    <w:p w14:paraId="733F145B">
      <w:pPr>
        <w:pStyle w:val="165"/>
        <w:spacing w:line="360" w:lineRule="auto"/>
      </w:pPr>
      <w:r>
        <w:rPr>
          <w:rFonts w:hint="eastAsia"/>
        </w:rPr>
        <w:t>变压器应优先选用高效率、低损耗产品。应综合考虑空载损耗与负载损耗，结合典型负荷率选择最优方案。</w:t>
      </w:r>
    </w:p>
    <w:p w14:paraId="5F248AFC">
      <w:pPr>
        <w:pStyle w:val="165"/>
        <w:spacing w:line="360" w:lineRule="auto"/>
      </w:pPr>
      <w:r>
        <w:rPr>
          <w:rFonts w:hint="eastAsia"/>
        </w:rPr>
        <w:t>配电设备选型应满足低损耗与低发热要求。母线槽、电缆与开关设备应按经济电流密度与温升控制进行校核，避免长期高温运行造成损耗增加与寿命下降。</w:t>
      </w:r>
    </w:p>
    <w:p w14:paraId="23FD2387">
      <w:pPr>
        <w:pStyle w:val="165"/>
        <w:spacing w:line="360" w:lineRule="auto"/>
      </w:pPr>
      <w:r>
        <w:rPr>
          <w:rFonts w:hint="eastAsia"/>
        </w:rPr>
        <w:t>对关键用电区域应优化供电半径与分区设置。减少不必要的长距离输配，降低线路损耗，并提升运行维护便利性。</w:t>
      </w:r>
    </w:p>
    <w:p w14:paraId="1B788BB0">
      <w:pPr>
        <w:pStyle w:val="105"/>
        <w:spacing w:before="120" w:after="120" w:line="360" w:lineRule="auto"/>
      </w:pPr>
      <w:r>
        <w:rPr>
          <w:rFonts w:hint="eastAsia"/>
        </w:rPr>
        <w:t>线路损耗控制与供电半径优化</w:t>
      </w:r>
    </w:p>
    <w:p w14:paraId="0DC03784">
      <w:pPr>
        <w:pStyle w:val="165"/>
        <w:spacing w:line="360" w:lineRule="auto"/>
      </w:pPr>
      <w:r>
        <w:rPr>
          <w:rFonts w:hint="eastAsia"/>
        </w:rPr>
        <w:t>线路截面选择应综合考虑电压降、温升与损耗。应对主要干线与大功率负荷回路开展损耗与电压降校核，必要时增大截面或调整路径。</w:t>
      </w:r>
    </w:p>
    <w:p w14:paraId="04F4742C">
      <w:pPr>
        <w:pStyle w:val="165"/>
        <w:spacing w:line="360" w:lineRule="auto"/>
      </w:pPr>
      <w:r>
        <w:rPr>
          <w:rFonts w:hint="eastAsia"/>
        </w:rPr>
        <w:t>应优化配电房与负荷中心位置。对大型公共建筑、园区或综合体，宜采用分布式配电与就近供电方式，降低干线损耗。</w:t>
      </w:r>
    </w:p>
    <w:p w14:paraId="3848CE5E">
      <w:pPr>
        <w:pStyle w:val="165"/>
        <w:spacing w:line="360" w:lineRule="auto"/>
      </w:pPr>
      <w:r>
        <w:rPr>
          <w:rFonts w:hint="eastAsia"/>
        </w:rPr>
        <w:t>应减少无效变换与重复供电层级。供配电结构应简洁合理，避免不必要的多级转换导致额外损耗与维护复杂度提升。</w:t>
      </w:r>
    </w:p>
    <w:p w14:paraId="14EF2105">
      <w:pPr>
        <w:pStyle w:val="105"/>
        <w:spacing w:before="120" w:after="120" w:line="360" w:lineRule="auto"/>
      </w:pPr>
      <w:r>
        <w:rPr>
          <w:rFonts w:hint="eastAsia"/>
        </w:rPr>
        <w:t>功率因数与无功补偿</w:t>
      </w:r>
    </w:p>
    <w:p w14:paraId="07F14182">
      <w:pPr>
        <w:pStyle w:val="165"/>
        <w:spacing w:line="360" w:lineRule="auto"/>
      </w:pPr>
      <w:r>
        <w:rPr>
          <w:rFonts w:hint="eastAsia"/>
        </w:rPr>
        <w:t>应设置功率因数目标值并提出实现措施。无功补偿应与负荷特性匹配，宜采用就地补偿与集中补偿相结合方式，减少无功电流引起的线路损耗。</w:t>
      </w:r>
    </w:p>
    <w:p w14:paraId="15DEC103">
      <w:pPr>
        <w:pStyle w:val="165"/>
        <w:spacing w:line="360" w:lineRule="auto"/>
      </w:pPr>
      <w:r>
        <w:rPr>
          <w:rFonts w:hint="eastAsia"/>
        </w:rPr>
        <w:t>无功补偿装置宜具备分级投切能力，并能在负荷变化条件下保持稳定的功率因数水平，避免过补偿或补偿不足。</w:t>
      </w:r>
    </w:p>
    <w:p w14:paraId="04A1C450">
      <w:pPr>
        <w:pStyle w:val="165"/>
        <w:spacing w:line="360" w:lineRule="auto"/>
      </w:pPr>
      <w:r>
        <w:rPr>
          <w:rFonts w:hint="eastAsia"/>
        </w:rPr>
        <w:t>对谐波含量较高的场景，应采用具备抗谐波能力的补偿装置或配置滤波措施，避免无功补偿与谐波耦合引发电能质量问题。</w:t>
      </w:r>
    </w:p>
    <w:p w14:paraId="6B210618">
      <w:pPr>
        <w:pStyle w:val="105"/>
        <w:spacing w:before="120" w:after="120" w:line="360" w:lineRule="auto"/>
      </w:pPr>
      <w:r>
        <w:rPr>
          <w:rFonts w:hint="eastAsia"/>
        </w:rPr>
        <w:t>电能质量治理与谐波控制</w:t>
      </w:r>
    </w:p>
    <w:p w14:paraId="5CD8B7DD">
      <w:pPr>
        <w:pStyle w:val="165"/>
        <w:spacing w:line="360" w:lineRule="auto"/>
      </w:pPr>
      <w:r>
        <w:rPr>
          <w:rFonts w:hint="eastAsia"/>
        </w:rPr>
        <w:t>应识别谐波源与敏感负荷。变频器、电梯、LED驱动、UPS与充电设施等易产生谐波，应在设计阶段评估谐波影响并提出治理方案。</w:t>
      </w:r>
    </w:p>
    <w:p w14:paraId="3C55DE9B">
      <w:pPr>
        <w:pStyle w:val="165"/>
        <w:spacing w:line="360" w:lineRule="auto"/>
      </w:pPr>
      <w:r>
        <w:rPr>
          <w:rFonts w:hint="eastAsia"/>
        </w:rPr>
        <w:t>应根据电能质量目标配置治理措施。可采用有源滤波、无源滤波、隔离变压器、分相供电优化与三相平衡调整等措施，降低谐波、波动与不平衡对损耗与设备寿命的影响。</w:t>
      </w:r>
    </w:p>
    <w:p w14:paraId="39F84F9D">
      <w:pPr>
        <w:pStyle w:val="165"/>
        <w:spacing w:line="360" w:lineRule="auto"/>
      </w:pPr>
      <w:r>
        <w:rPr>
          <w:rFonts w:hint="eastAsia"/>
        </w:rPr>
        <w:t>电能质量治理措施应与计量监测体系联动。应设置关键节点的电能质量监测点位，支持运行期诊断与策略优化。</w:t>
      </w:r>
    </w:p>
    <w:p w14:paraId="2164D2C9">
      <w:pPr>
        <w:pStyle w:val="105"/>
        <w:spacing w:before="120" w:after="120" w:line="360" w:lineRule="auto"/>
      </w:pPr>
      <w:r>
        <w:rPr>
          <w:rFonts w:hint="eastAsia"/>
        </w:rPr>
        <w:t>供配电运行策略与节能控制</w:t>
      </w:r>
    </w:p>
    <w:p w14:paraId="2ECCEF1B">
      <w:pPr>
        <w:pStyle w:val="165"/>
        <w:spacing w:line="360" w:lineRule="auto"/>
      </w:pPr>
      <w:r>
        <w:rPr>
          <w:rFonts w:hint="eastAsia"/>
        </w:rPr>
        <w:t>供配电系统应支持分区分级运行管理。应具备变压器投切策略、重要负荷保障策略、峰谷用电优化与需求响应接口条件。</w:t>
      </w:r>
    </w:p>
    <w:p w14:paraId="4C0987DA">
      <w:pPr>
        <w:pStyle w:val="165"/>
        <w:spacing w:line="360" w:lineRule="auto"/>
      </w:pPr>
      <w:r>
        <w:rPr>
          <w:rFonts w:hint="eastAsia"/>
        </w:rPr>
        <w:t>对可再生能源与储能接入的项目，应明确并网点、计量方案与优先利用策略，降低反送电风险并提升自发自用比例。</w:t>
      </w:r>
    </w:p>
    <w:p w14:paraId="30592801">
      <w:pPr>
        <w:pStyle w:val="165"/>
        <w:spacing w:line="360" w:lineRule="auto"/>
      </w:pPr>
      <w:r>
        <w:rPr>
          <w:rFonts w:hint="eastAsia"/>
        </w:rPr>
        <w:t>对充电设施负荷，应配置容量管理与负荷控制策略，避免无序充电造成峰值负荷上升与配电设备低效扩容。</w:t>
      </w:r>
    </w:p>
    <w:p w14:paraId="7C676F4B">
      <w:pPr>
        <w:pStyle w:val="105"/>
        <w:spacing w:before="120" w:after="120" w:line="360" w:lineRule="auto"/>
      </w:pPr>
      <w:r>
        <w:rPr>
          <w:rFonts w:hint="eastAsia"/>
        </w:rPr>
        <w:t>计量接口与可评估性要求</w:t>
      </w:r>
    </w:p>
    <w:p w14:paraId="669683EF">
      <w:pPr>
        <w:pStyle w:val="165"/>
        <w:spacing w:line="360" w:lineRule="auto"/>
      </w:pPr>
      <w:r>
        <w:rPr>
          <w:rFonts w:hint="eastAsia"/>
        </w:rPr>
        <w:t>供配电节能设计应明确计量层级。应至少在总进线、变压器低压侧主回路、主要分区馈线与重点用能系统设置计量或可计量接口，满足分项统计与损耗分析要求。</w:t>
      </w:r>
    </w:p>
    <w:p w14:paraId="207D5FB2">
      <w:pPr>
        <w:pStyle w:val="165"/>
        <w:spacing w:line="360" w:lineRule="auto"/>
      </w:pPr>
      <w:r>
        <w:rPr>
          <w:rFonts w:hint="eastAsia"/>
        </w:rPr>
        <w:t>应明确损耗核算口径。宜建立变压器损耗与线路损耗的计算边界与数据来源，便于竣工与运行期评估对比。</w:t>
      </w:r>
    </w:p>
    <w:p w14:paraId="5CBDBDF8">
      <w:pPr>
        <w:pStyle w:val="165"/>
        <w:spacing w:line="360" w:lineRule="auto"/>
      </w:pPr>
      <w:r>
        <w:rPr>
          <w:rFonts w:hint="eastAsia"/>
        </w:rPr>
        <w:t>应明确关键设备台账字段。应记录变压器效率参数、配电设备额定参数、无功补偿与滤波装置配置、关键回路长度与截面等信息，支撑后续能效评估与优化。</w:t>
      </w:r>
    </w:p>
    <w:p w14:paraId="62CE474F">
      <w:pPr>
        <w:pStyle w:val="104"/>
        <w:spacing w:before="240" w:after="240" w:line="360" w:lineRule="auto"/>
      </w:pPr>
      <w:bookmarkStart w:id="54" w:name="_Toc219064435"/>
      <w:r>
        <w:rPr>
          <w:rFonts w:hint="eastAsia"/>
        </w:rPr>
        <w:t>照明与动力系统节能设计要点</w:t>
      </w:r>
      <w:bookmarkEnd w:id="54"/>
    </w:p>
    <w:p w14:paraId="441003CB">
      <w:pPr>
        <w:pStyle w:val="105"/>
        <w:spacing w:before="120" w:after="120" w:line="360" w:lineRule="auto"/>
      </w:pPr>
      <w:r>
        <w:rPr>
          <w:rFonts w:hint="eastAsia"/>
        </w:rPr>
        <w:t>一般要求</w:t>
      </w:r>
    </w:p>
    <w:p w14:paraId="6441EAEA">
      <w:pPr>
        <w:pStyle w:val="165"/>
        <w:spacing w:line="360" w:lineRule="auto"/>
      </w:pPr>
      <w:r>
        <w:rPr>
          <w:rFonts w:hint="eastAsia"/>
        </w:rPr>
        <w:t>照明与动力系统节能设计应以满足使用功能与安全要求为前提，通过高效设备选型、合理分区分级、按需控制与运行优化，降低无效用电与峰值负荷。</w:t>
      </w:r>
    </w:p>
    <w:p w14:paraId="1312CD22">
      <w:pPr>
        <w:pStyle w:val="165"/>
        <w:spacing w:line="360" w:lineRule="auto"/>
      </w:pPr>
      <w:r>
        <w:rPr>
          <w:rFonts w:hint="eastAsia"/>
        </w:rPr>
        <w:t>照明与动力节能措施应可验证。设计应明确控制策略、控制范围、关键参数与计量口径，并与分项计量及能耗监测系统的点位配置一致。</w:t>
      </w:r>
    </w:p>
    <w:p w14:paraId="628DEE70">
      <w:pPr>
        <w:pStyle w:val="165"/>
        <w:spacing w:line="360" w:lineRule="auto"/>
      </w:pPr>
      <w:r>
        <w:rPr>
          <w:rFonts w:hint="eastAsia"/>
        </w:rPr>
        <w:t>照明与动力系统应与建筑智能化系统协同。控制接口、通信协议、数据字段与权限管理应在设计阶段明确，避免施工阶段二次改造造成成本增加与效果不确定。</w:t>
      </w:r>
    </w:p>
    <w:p w14:paraId="17AF1DDD">
      <w:pPr>
        <w:pStyle w:val="105"/>
        <w:spacing w:before="120" w:after="120" w:line="360" w:lineRule="auto"/>
      </w:pPr>
      <w:r>
        <w:rPr>
          <w:rFonts w:hint="eastAsia"/>
        </w:rPr>
        <w:t>照明系统节能设计</w:t>
      </w:r>
    </w:p>
    <w:p w14:paraId="4D70A8DB">
      <w:pPr>
        <w:pStyle w:val="165"/>
        <w:spacing w:line="360" w:lineRule="auto"/>
      </w:pPr>
      <w:r>
        <w:rPr>
          <w:rFonts w:hint="eastAsia"/>
        </w:rPr>
        <w:t>照明设计应满足照度、眩光控制与视觉舒适要求，同时控制照明功率密度与不必要的装饰性过量照明。照明功率密度控制应依据现行照明标准与绿色建筑目标要求执行。</w:t>
      </w:r>
    </w:p>
    <w:p w14:paraId="119CF83B">
      <w:pPr>
        <w:pStyle w:val="165"/>
        <w:spacing w:line="360" w:lineRule="auto"/>
      </w:pPr>
      <w:r>
        <w:rPr>
          <w:rFonts w:hint="eastAsia"/>
        </w:rPr>
        <w:t>应采用高效光源与高效灯具，并关注系统效率而非单一灯具光效。应综合考虑配光、利用系数、维护系数与调光兼容性，避免因配光不合理导致加装数量增加。</w:t>
      </w:r>
    </w:p>
    <w:p w14:paraId="67BDE94F">
      <w:pPr>
        <w:pStyle w:val="165"/>
        <w:spacing w:line="360" w:lineRule="auto"/>
      </w:pPr>
      <w:r>
        <w:rPr>
          <w:rFonts w:hint="eastAsia"/>
        </w:rPr>
        <w:t>照明回路应按功能与使用时段分区设置。公共区域、办公区域、设备用房、地下空间与室外照明应分区分回路管理，满足分时控制与分项计量要求。</w:t>
      </w:r>
    </w:p>
    <w:p w14:paraId="20D578B7">
      <w:pPr>
        <w:pStyle w:val="165"/>
        <w:spacing w:line="360" w:lineRule="auto"/>
      </w:pPr>
      <w:r>
        <w:rPr>
          <w:rFonts w:hint="eastAsia"/>
        </w:rPr>
        <w:t>应优先采用可调光控制。对可利用自然采光的区域宜采用连续调光或分级调光策略，对走廊与卫生间等间歇使用空间宜采用人因控制策略。</w:t>
      </w:r>
    </w:p>
    <w:p w14:paraId="5A85D627">
      <w:pPr>
        <w:pStyle w:val="105"/>
        <w:spacing w:before="120" w:after="120" w:line="360" w:lineRule="auto"/>
      </w:pPr>
      <w:r>
        <w:rPr>
          <w:rFonts w:hint="eastAsia"/>
        </w:rPr>
        <w:t>自然采光利用与人因控制</w:t>
      </w:r>
    </w:p>
    <w:p w14:paraId="445982C2">
      <w:pPr>
        <w:pStyle w:val="165"/>
        <w:spacing w:line="360" w:lineRule="auto"/>
      </w:pPr>
      <w:r>
        <w:rPr>
          <w:rFonts w:hint="eastAsia"/>
        </w:rPr>
        <w:t>具有稳定采光条件的区域应设置采光控制分区，并通过照度传感器实现日光补偿控制，避免白天全功率照明运行。</w:t>
      </w:r>
    </w:p>
    <w:p w14:paraId="71742DE3">
      <w:pPr>
        <w:pStyle w:val="165"/>
        <w:spacing w:line="360" w:lineRule="auto"/>
      </w:pPr>
      <w:r>
        <w:rPr>
          <w:rFonts w:hint="eastAsia"/>
        </w:rPr>
        <w:t>人因控制宜覆盖人员不连续停留空间。走廊、楼梯间、卫生间、库房与地下车库等区域宜配置人体感应或存在感知控制，并设置合理延时与最低照明水平策略。</w:t>
      </w:r>
    </w:p>
    <w:p w14:paraId="5EA5A482">
      <w:pPr>
        <w:pStyle w:val="165"/>
        <w:spacing w:line="360" w:lineRule="auto"/>
      </w:pPr>
      <w:r>
        <w:rPr>
          <w:rFonts w:hint="eastAsia"/>
        </w:rPr>
        <w:t>分时控制应结合建筑运行管理制度。公共区域照明应设置工作日与非工作日策略，支持节假日模式与应急模式切换，避免长期常亮。</w:t>
      </w:r>
    </w:p>
    <w:p w14:paraId="3CEC308A">
      <w:pPr>
        <w:pStyle w:val="105"/>
        <w:spacing w:before="120" w:after="120" w:line="360" w:lineRule="auto"/>
      </w:pPr>
      <w:r>
        <w:rPr>
          <w:rFonts w:hint="eastAsia"/>
        </w:rPr>
        <w:t>照明配电与控制系统要求</w:t>
      </w:r>
    </w:p>
    <w:p w14:paraId="7673EFCE">
      <w:pPr>
        <w:pStyle w:val="165"/>
        <w:spacing w:line="360" w:lineRule="auto"/>
      </w:pPr>
      <w:r>
        <w:rPr>
          <w:rFonts w:hint="eastAsia"/>
        </w:rPr>
        <w:t>照明配电应减少回路损耗并便于控制。宜按楼层、区域与用途设置照明配电箱，并预留控制扩展能力。</w:t>
      </w:r>
    </w:p>
    <w:p w14:paraId="6621E059">
      <w:pPr>
        <w:pStyle w:val="165"/>
        <w:spacing w:line="360" w:lineRule="auto"/>
      </w:pPr>
      <w:r>
        <w:rPr>
          <w:rFonts w:hint="eastAsia"/>
        </w:rPr>
        <w:t>调光控制应确保兼容性与稳定性。采用调光驱动与控制协议时，应明确协议类型、调光范围、频闪控制与电磁兼容要求，避免调光后出现闪烁或失控。</w:t>
      </w:r>
    </w:p>
    <w:p w14:paraId="2AB54DE4">
      <w:pPr>
        <w:pStyle w:val="165"/>
        <w:spacing w:line="360" w:lineRule="auto"/>
      </w:pPr>
      <w:r>
        <w:rPr>
          <w:rFonts w:hint="eastAsia"/>
        </w:rPr>
        <w:t>应急照明应满足安全规范要求，并应避免应急系统与常规节能控制相互干扰。应急照明的供电与控制应独立可靠。</w:t>
      </w:r>
    </w:p>
    <w:p w14:paraId="467EEEE9">
      <w:pPr>
        <w:pStyle w:val="105"/>
        <w:spacing w:before="120" w:after="120" w:line="360" w:lineRule="auto"/>
      </w:pPr>
      <w:r>
        <w:rPr>
          <w:rFonts w:hint="eastAsia"/>
        </w:rPr>
        <w:t>室外与景观照明节能要求</w:t>
      </w:r>
    </w:p>
    <w:p w14:paraId="358B863A">
      <w:pPr>
        <w:pStyle w:val="165"/>
        <w:spacing w:line="360" w:lineRule="auto"/>
      </w:pPr>
      <w:r>
        <w:rPr>
          <w:rFonts w:hint="eastAsia"/>
        </w:rPr>
        <w:t>室外与景观照明应以安全与导向为主，控制亮度与开灯时段，避免过度照明。</w:t>
      </w:r>
    </w:p>
    <w:p w14:paraId="28D40D05">
      <w:pPr>
        <w:pStyle w:val="165"/>
        <w:spacing w:line="360" w:lineRule="auto"/>
      </w:pPr>
      <w:r>
        <w:rPr>
          <w:rFonts w:hint="eastAsia"/>
        </w:rPr>
        <w:t>室外照明宜采用分时分区控制与光照度联动控制，并设置夜间降功率策略。对广告与装饰照明应设置强制关断时段或限时策略。</w:t>
      </w:r>
    </w:p>
    <w:p w14:paraId="400C896C">
      <w:pPr>
        <w:pStyle w:val="165"/>
        <w:spacing w:line="360" w:lineRule="auto"/>
      </w:pPr>
      <w:r>
        <w:rPr>
          <w:rFonts w:hint="eastAsia"/>
        </w:rPr>
        <w:t>室外照明回路应具备计量或可统计接口，满足能耗监测与运行评价要求。</w:t>
      </w:r>
    </w:p>
    <w:p w14:paraId="06E2D596">
      <w:pPr>
        <w:pStyle w:val="105"/>
        <w:spacing w:before="120" w:after="120" w:line="360" w:lineRule="auto"/>
      </w:pPr>
      <w:r>
        <w:rPr>
          <w:rFonts w:hint="eastAsia"/>
        </w:rPr>
        <w:t>动力系统节能设计</w:t>
      </w:r>
    </w:p>
    <w:p w14:paraId="792FBB34">
      <w:pPr>
        <w:pStyle w:val="165"/>
        <w:spacing w:line="360" w:lineRule="auto"/>
      </w:pPr>
      <w:r>
        <w:rPr>
          <w:rFonts w:hint="eastAsia"/>
        </w:rPr>
        <w:t>动力系统设计应以高效设备选型与工况匹配为核心。风机、水泵、空压机与各类动力设备应优先选用高效率电机及高效传动部件，并按实际工况进行容量匹配，避免长期低负荷运行。</w:t>
      </w:r>
    </w:p>
    <w:p w14:paraId="6F4EE7A4">
      <w:pPr>
        <w:pStyle w:val="165"/>
        <w:spacing w:line="360" w:lineRule="auto"/>
      </w:pPr>
      <w:r>
        <w:rPr>
          <w:rFonts w:hint="eastAsia"/>
        </w:rPr>
        <w:t>宜采用变频调速与分级控制。对存在显著流量或负荷波动的设备应采用变频控制或多台并联分级投运控制，降低节流损耗与启停冲击。</w:t>
      </w:r>
    </w:p>
    <w:p w14:paraId="064D5C95">
      <w:pPr>
        <w:pStyle w:val="165"/>
        <w:spacing w:line="360" w:lineRule="auto"/>
      </w:pPr>
      <w:r>
        <w:rPr>
          <w:rFonts w:hint="eastAsia"/>
        </w:rPr>
        <w:t>应优化启停逻辑与联动控制。动力设备启停应与工况需求联动，设置合理的启停阈值与防频繁启停策略，减少无效运行。</w:t>
      </w:r>
    </w:p>
    <w:p w14:paraId="5D76F425">
      <w:pPr>
        <w:pStyle w:val="165"/>
        <w:spacing w:line="360" w:lineRule="auto"/>
      </w:pPr>
      <w:r>
        <w:rPr>
          <w:rFonts w:hint="eastAsia"/>
        </w:rPr>
        <w:t>动力系统应设置必要的运行监测。宜采集运行状态、频率、功率、电流、故障报警等数据，为能效诊断与策略优化提供依据。</w:t>
      </w:r>
    </w:p>
    <w:p w14:paraId="6C0BC3CD">
      <w:pPr>
        <w:pStyle w:val="105"/>
        <w:spacing w:before="120" w:after="120" w:line="360" w:lineRule="auto"/>
      </w:pPr>
      <w:r>
        <w:rPr>
          <w:rFonts w:hint="eastAsia"/>
        </w:rPr>
        <w:t>电机系统能效与控制要求</w:t>
      </w:r>
    </w:p>
    <w:p w14:paraId="756F757D">
      <w:pPr>
        <w:pStyle w:val="165"/>
        <w:spacing w:line="360" w:lineRule="auto"/>
      </w:pPr>
      <w:r>
        <w:rPr>
          <w:rFonts w:hint="eastAsia"/>
        </w:rPr>
        <w:t>电机选型应考虑效率等级、工作制与启动方式。对频繁启停或重载启动的电机应采用合适的启动与保护方案，兼顾能效与可靠性。</w:t>
      </w:r>
    </w:p>
    <w:p w14:paraId="74EF3DBE">
      <w:pPr>
        <w:pStyle w:val="165"/>
        <w:spacing w:line="360" w:lineRule="auto"/>
      </w:pPr>
      <w:r>
        <w:rPr>
          <w:rFonts w:hint="eastAsia"/>
        </w:rPr>
        <w:t>变频器选型与设置应匹配电机与负载特性。应关注低频效率、谐波影响与电磁兼容，必要时配置滤波与电抗措施。</w:t>
      </w:r>
    </w:p>
    <w:p w14:paraId="10C921C1">
      <w:pPr>
        <w:pStyle w:val="165"/>
        <w:spacing w:line="360" w:lineRule="auto"/>
      </w:pPr>
      <w:r>
        <w:rPr>
          <w:rFonts w:hint="eastAsia"/>
        </w:rPr>
        <w:t>电机系统应配置完善的保护与计量。对关键电机回路宜设置独立计量或可统计接口，支撑分项能耗与效率评估。</w:t>
      </w:r>
    </w:p>
    <w:p w14:paraId="70F340B9">
      <w:pPr>
        <w:pStyle w:val="105"/>
        <w:spacing w:before="120" w:after="120" w:line="360" w:lineRule="auto"/>
      </w:pPr>
      <w:r>
        <w:rPr>
          <w:rFonts w:hint="eastAsia"/>
        </w:rPr>
        <w:t>电梯与自动扶梯节能要求</w:t>
      </w:r>
    </w:p>
    <w:p w14:paraId="0889EF1B">
      <w:pPr>
        <w:pStyle w:val="165"/>
        <w:spacing w:line="360" w:lineRule="auto"/>
      </w:pPr>
      <w:r>
        <w:rPr>
          <w:rFonts w:hint="eastAsia"/>
        </w:rPr>
        <w:t>应优先选用具备能量回馈或能效优化功能的电梯系统，并设置群控策略，减少空载与低效运行。</w:t>
      </w:r>
    </w:p>
    <w:p w14:paraId="48635F63">
      <w:pPr>
        <w:pStyle w:val="165"/>
        <w:spacing w:line="360" w:lineRule="auto"/>
      </w:pPr>
      <w:r>
        <w:rPr>
          <w:rFonts w:hint="eastAsia"/>
        </w:rPr>
        <w:t>自动扶梯应采用感应启停或变速运行策略。客流低时段应降低运行速度或停止运行，满足安全要求的前提下减少无效能耗。</w:t>
      </w:r>
    </w:p>
    <w:p w14:paraId="2665231A">
      <w:pPr>
        <w:pStyle w:val="165"/>
        <w:spacing w:line="360" w:lineRule="auto"/>
      </w:pPr>
      <w:r>
        <w:rPr>
          <w:rFonts w:hint="eastAsia"/>
        </w:rPr>
        <w:t>电梯与扶梯系统应纳入能耗监测。宜实现运行状态与电能消耗数据采集，支持运行期能效评估与调优。</w:t>
      </w:r>
    </w:p>
    <w:p w14:paraId="5728DE53">
      <w:pPr>
        <w:pStyle w:val="105"/>
        <w:spacing w:before="120" w:after="120" w:line="360" w:lineRule="auto"/>
      </w:pPr>
      <w:r>
        <w:rPr>
          <w:rFonts w:hint="eastAsia"/>
        </w:rPr>
        <w:t>插座与设备用电管理要求</w:t>
      </w:r>
    </w:p>
    <w:p w14:paraId="714E93C7">
      <w:pPr>
        <w:pStyle w:val="165"/>
        <w:spacing w:line="360" w:lineRule="auto"/>
      </w:pPr>
      <w:r>
        <w:rPr>
          <w:rFonts w:hint="eastAsia"/>
        </w:rPr>
        <w:t>插座回路应按用途分区并满足分项统计需求。办公插座、公共区插座、设备插座与后勤插座宜分回路设置，便于管理与统计。</w:t>
      </w:r>
    </w:p>
    <w:p w14:paraId="7B322D88">
      <w:pPr>
        <w:pStyle w:val="165"/>
        <w:spacing w:line="360" w:lineRule="auto"/>
      </w:pPr>
      <w:r>
        <w:rPr>
          <w:rFonts w:hint="eastAsia"/>
        </w:rPr>
        <w:t>应控制待机能耗。宜采用集中断电、定时断电或智能插座等措施，对可控负荷设置非工作时段断电策略，并保留必要的关键负荷不断电。</w:t>
      </w:r>
    </w:p>
    <w:p w14:paraId="285226B2">
      <w:pPr>
        <w:pStyle w:val="165"/>
        <w:spacing w:line="360" w:lineRule="auto"/>
      </w:pPr>
      <w:r>
        <w:rPr>
          <w:rFonts w:hint="eastAsia"/>
        </w:rPr>
        <w:t>对高能耗专用设备应实施专项管理。厨房设备、服务器与弱电机房、充电设施等应设置独立计量与运行策略，避免与普通回路混统计。</w:t>
      </w:r>
    </w:p>
    <w:p w14:paraId="39F4F064">
      <w:pPr>
        <w:pStyle w:val="104"/>
        <w:spacing w:before="240" w:after="240" w:line="360" w:lineRule="auto"/>
      </w:pPr>
      <w:bookmarkStart w:id="55" w:name="_Toc219064436"/>
      <w:r>
        <w:rPr>
          <w:rFonts w:hint="eastAsia"/>
        </w:rPr>
        <w:t>分项计量与能耗监测系统要求</w:t>
      </w:r>
      <w:bookmarkEnd w:id="55"/>
    </w:p>
    <w:p w14:paraId="4445B90A">
      <w:pPr>
        <w:pStyle w:val="105"/>
        <w:spacing w:before="120" w:after="120" w:line="360" w:lineRule="auto"/>
      </w:pPr>
      <w:r>
        <w:rPr>
          <w:rFonts w:hint="eastAsia"/>
        </w:rPr>
        <w:t>一般要求</w:t>
      </w:r>
    </w:p>
    <w:p w14:paraId="2A3DBC62">
      <w:pPr>
        <w:pStyle w:val="165"/>
        <w:spacing w:line="360" w:lineRule="auto"/>
      </w:pPr>
      <w:r>
        <w:rPr>
          <w:rFonts w:hint="eastAsia"/>
        </w:rPr>
        <w:t>分项计量与能耗监测系统应满足能效评估的数据需求，支撑运行诊断、异常预警与策略优化，做到计量边界清晰、分项口径统一、数据连续可靠、结果可追溯可复核。</w:t>
      </w:r>
    </w:p>
    <w:p w14:paraId="0A381E91">
      <w:pPr>
        <w:pStyle w:val="165"/>
        <w:spacing w:line="360" w:lineRule="auto"/>
      </w:pPr>
      <w:r>
        <w:rPr>
          <w:rFonts w:hint="eastAsia"/>
        </w:rPr>
        <w:t>分项计量设计应与电气节能措施同步落实。对照明分区控制、动力变频控制、无功补偿、电能质量治理、充电设施管理、可再生能源与储能接入等关键措施，应配置可验证的计量点位或可统计接口。</w:t>
      </w:r>
    </w:p>
    <w:p w14:paraId="68CAD197">
      <w:pPr>
        <w:pStyle w:val="165"/>
        <w:spacing w:line="360" w:lineRule="auto"/>
      </w:pPr>
      <w:r>
        <w:rPr>
          <w:rFonts w:hint="eastAsia"/>
        </w:rPr>
        <w:t>用于能效评估的计量器具与采集装置应满足精度与校验要求，并具备数据防篡改与审计能力，确保数据可信。</w:t>
      </w:r>
    </w:p>
    <w:p w14:paraId="2E4A427C">
      <w:pPr>
        <w:pStyle w:val="105"/>
        <w:spacing w:before="120" w:after="120" w:line="360" w:lineRule="auto"/>
      </w:pPr>
      <w:r>
        <w:rPr>
          <w:rFonts w:hint="eastAsia"/>
        </w:rPr>
        <w:t>计量体系与分项边界</w:t>
      </w:r>
    </w:p>
    <w:p w14:paraId="04E7ECD4">
      <w:pPr>
        <w:pStyle w:val="165"/>
        <w:spacing w:line="360" w:lineRule="auto"/>
      </w:pPr>
      <w:r>
        <w:rPr>
          <w:rFonts w:hint="eastAsia"/>
        </w:rPr>
        <w:t>计量体系应覆盖总量计量与分项计量两个层级。总量计量宜设置在建筑总进线或变压器低压侧主回路，分项计量应按用能系统或用途分解，满足能效评估指标的统计口径。</w:t>
      </w:r>
    </w:p>
    <w:p w14:paraId="3A1866B5">
      <w:pPr>
        <w:pStyle w:val="165"/>
        <w:spacing w:line="360" w:lineRule="auto"/>
      </w:pPr>
      <w:r>
        <w:rPr>
          <w:rFonts w:hint="eastAsia"/>
        </w:rPr>
        <w:t>分项边界应在设计阶段确定并固化为受控口径。分项边界应明确是否包含租户区域，是否包含特殊用能系统，是否单列充电设施，是否单列可再生能源发电与储能充放电等。</w:t>
      </w:r>
    </w:p>
    <w:p w14:paraId="2026BA23">
      <w:pPr>
        <w:pStyle w:val="165"/>
        <w:spacing w:line="360" w:lineRule="auto"/>
      </w:pPr>
      <w:r>
        <w:rPr>
          <w:rFonts w:hint="eastAsia"/>
        </w:rPr>
        <w:t>分项应具备可汇总关系。分项数据应可追溯至上一级馈线或配电回路，具备一致的层级编码，避免分项交叉重复或遗漏。</w:t>
      </w:r>
    </w:p>
    <w:p w14:paraId="38EB3EB2">
      <w:pPr>
        <w:pStyle w:val="105"/>
        <w:spacing w:before="120" w:after="120" w:line="360" w:lineRule="auto"/>
      </w:pPr>
      <w:r>
        <w:rPr>
          <w:rFonts w:hint="eastAsia"/>
        </w:rPr>
        <w:t>计量点位配置要求</w:t>
      </w:r>
    </w:p>
    <w:p w14:paraId="7286A8D0">
      <w:pPr>
        <w:pStyle w:val="165"/>
        <w:spacing w:line="360" w:lineRule="auto"/>
      </w:pPr>
      <w:r>
        <w:rPr>
          <w:rFonts w:hint="eastAsia"/>
        </w:rPr>
        <w:t>计量点位应与配电回路划分一致，并优先在配电箱出线、主要馈线与重点负荷回路设置计量。对难以直接设置电表的回路，可采用智能断路器、采集模块或电能质量监测装置的统计功能作为补充。</w:t>
      </w:r>
    </w:p>
    <w:p w14:paraId="351D862D">
      <w:pPr>
        <w:pStyle w:val="165"/>
        <w:spacing w:line="360" w:lineRule="auto"/>
      </w:pPr>
      <w:r>
        <w:rPr>
          <w:rFonts w:hint="eastAsia"/>
        </w:rPr>
        <w:t>重点分项宜包括照明插座分项、动力分项、空调与通风末端电力分项、给排水分项、电梯与自动扶梯分项、厨房与后勤分项、弱电机房与数据中心分项、室外照明分项、充电设施分项、可再生能源发电分项与储能分项。</w:t>
      </w:r>
    </w:p>
    <w:p w14:paraId="53CA5204">
      <w:pPr>
        <w:pStyle w:val="165"/>
        <w:spacing w:line="360" w:lineRule="auto"/>
      </w:pPr>
      <w:r>
        <w:rPr>
          <w:rFonts w:hint="eastAsia"/>
        </w:rPr>
        <w:t>对节能控制的关键回路宜设置可对照的计量口径。采用分时分区控制或调光控制的照明分区，采用变频或分级投运的动力设备回路，应具备独立统计能力，用于评估控制策略效果。</w:t>
      </w:r>
    </w:p>
    <w:p w14:paraId="42F2E91E">
      <w:pPr>
        <w:pStyle w:val="105"/>
        <w:spacing w:before="120" w:after="120" w:line="360" w:lineRule="auto"/>
      </w:pPr>
      <w:r>
        <w:rPr>
          <w:rFonts w:hint="eastAsia"/>
        </w:rPr>
        <w:t>数据采集与通信要求</w:t>
      </w:r>
    </w:p>
    <w:p w14:paraId="42D95B19">
      <w:pPr>
        <w:pStyle w:val="165"/>
        <w:spacing w:line="360" w:lineRule="auto"/>
      </w:pPr>
      <w:r>
        <w:rPr>
          <w:rFonts w:hint="eastAsia"/>
        </w:rPr>
        <w:t>数据采集应满足时间粒度与完整性要求。用于能效评估的数据宜采用15 min或1 h采样，并支持日月年汇总，采样间隔与汇总规则应统一。</w:t>
      </w:r>
    </w:p>
    <w:p w14:paraId="3FB8E4C1">
      <w:pPr>
        <w:pStyle w:val="165"/>
        <w:spacing w:line="360" w:lineRule="auto"/>
      </w:pPr>
      <w:r>
        <w:rPr>
          <w:rFonts w:hint="eastAsia"/>
        </w:rPr>
        <w:t>数据传输与协议应受控。计量设备与监测平台之间的通信协议、点表字段、时间同步机制与异常码定义应在设计文件中明确，避免施工集成阶段随意更改导致数据口径漂移。</w:t>
      </w:r>
    </w:p>
    <w:p w14:paraId="4EB3D2FD">
      <w:pPr>
        <w:pStyle w:val="165"/>
        <w:spacing w:line="360" w:lineRule="auto"/>
      </w:pPr>
      <w:r>
        <w:rPr>
          <w:rFonts w:hint="eastAsia"/>
        </w:rPr>
        <w:t>应具备断点续传与缓存能力。现场采集设备应具备短时断网缓存与恢复上传能力，确保数据连续性，并能标识缺失区间与补传状态。</w:t>
      </w:r>
    </w:p>
    <w:p w14:paraId="40A3D1F9">
      <w:pPr>
        <w:pStyle w:val="105"/>
        <w:spacing w:before="120" w:after="120" w:line="360" w:lineRule="auto"/>
      </w:pPr>
      <w:r>
        <w:rPr>
          <w:rFonts w:hint="eastAsia"/>
        </w:rPr>
        <w:t>数据质量与治理要求</w:t>
      </w:r>
    </w:p>
    <w:p w14:paraId="1111BDEC">
      <w:pPr>
        <w:pStyle w:val="165"/>
        <w:spacing w:line="360" w:lineRule="auto"/>
      </w:pPr>
      <w:r>
        <w:rPr>
          <w:rFonts w:hint="eastAsia"/>
        </w:rPr>
        <w:t>应建立数据质量控制规则。应对异常值、缺失值、跳变值、重复值与时间戳异常进行自动识别，形成数据质量日志并支持追溯。</w:t>
      </w:r>
    </w:p>
    <w:p w14:paraId="1F008CE1">
      <w:pPr>
        <w:pStyle w:val="165"/>
        <w:spacing w:line="360" w:lineRule="auto"/>
      </w:pPr>
      <w:r>
        <w:rPr>
          <w:rFonts w:hint="eastAsia"/>
        </w:rPr>
        <w:t>应建立计量校核机制。总量计量与分项汇总应具备对账关系，允许一定误差范围内的一致性校核，发现偏差应能定位到具体回路或设备。</w:t>
      </w:r>
    </w:p>
    <w:p w14:paraId="151332D3">
      <w:pPr>
        <w:pStyle w:val="165"/>
        <w:spacing w:line="360" w:lineRule="auto"/>
      </w:pPr>
      <w:r>
        <w:rPr>
          <w:rFonts w:hint="eastAsia"/>
        </w:rPr>
        <w:t>数据变更应留痕。计量点位调整、点表映射变更、设备更换与计量倍率调整应执行变更流程并记录版本，确保评估结果可复核。</w:t>
      </w:r>
    </w:p>
    <w:p w14:paraId="13C9D5DF">
      <w:pPr>
        <w:pStyle w:val="105"/>
        <w:spacing w:before="120" w:after="120" w:line="360" w:lineRule="auto"/>
      </w:pPr>
      <w:r>
        <w:rPr>
          <w:rFonts w:hint="eastAsia"/>
        </w:rPr>
        <w:t>监测平台功能要求</w:t>
      </w:r>
    </w:p>
    <w:p w14:paraId="4AE26683">
      <w:pPr>
        <w:pStyle w:val="165"/>
        <w:spacing w:line="360" w:lineRule="auto"/>
      </w:pPr>
      <w:r>
        <w:rPr>
          <w:rFonts w:hint="eastAsia"/>
        </w:rPr>
        <w:t>监测平台应具备分项统计、趋势分析、峰谷分析、同环比分析与报表输出能力，并支持按建筑分区、系统分项、租户单元等维度进行多维分析。</w:t>
      </w:r>
    </w:p>
    <w:p w14:paraId="5375900C">
      <w:pPr>
        <w:pStyle w:val="165"/>
        <w:spacing w:line="360" w:lineRule="auto"/>
      </w:pPr>
      <w:r>
        <w:rPr>
          <w:rFonts w:hint="eastAsia"/>
        </w:rPr>
        <w:t>平台应具备异常预警能力。应支持对功率因数、电压越限、谐波超限、负荷异常、设备长时间空转、非工作时段用电异常等情形进行告警，并能关联到责任系统或责任回路。</w:t>
      </w:r>
    </w:p>
    <w:p w14:paraId="5DBD1ECD">
      <w:pPr>
        <w:pStyle w:val="165"/>
        <w:spacing w:line="360" w:lineRule="auto"/>
      </w:pPr>
      <w:r>
        <w:rPr>
          <w:rFonts w:hint="eastAsia"/>
        </w:rPr>
        <w:t>平台应具备策略评估能力。对照明分时策略、设备启停策略、变压器投切策略、充电负荷管理与需求响应执行效果，应具备评估对比与绩效核算功能。</w:t>
      </w:r>
    </w:p>
    <w:p w14:paraId="10D031F9">
      <w:pPr>
        <w:pStyle w:val="105"/>
        <w:spacing w:before="120" w:after="120" w:line="360" w:lineRule="auto"/>
      </w:pPr>
      <w:r>
        <w:rPr>
          <w:rFonts w:hint="eastAsia"/>
        </w:rPr>
        <w:t>调试验证与验收要求</w:t>
      </w:r>
    </w:p>
    <w:p w14:paraId="605CE7E4">
      <w:pPr>
        <w:pStyle w:val="165"/>
        <w:spacing w:line="360" w:lineRule="auto"/>
      </w:pPr>
      <w:r>
        <w:rPr>
          <w:rFonts w:hint="eastAsia"/>
        </w:rPr>
        <w:t>竣工前应开展计量点位核对与联调验证。应核对电表回路对应关系、倍率参数、方向参数、时间同步与数据上传完整性，并形成点位核验记录。</w:t>
      </w:r>
    </w:p>
    <w:p w14:paraId="0F57B8E6">
      <w:pPr>
        <w:pStyle w:val="165"/>
        <w:spacing w:line="360" w:lineRule="auto"/>
      </w:pPr>
      <w:r>
        <w:rPr>
          <w:rFonts w:hint="eastAsia"/>
        </w:rPr>
        <w:t>应开展数据口径验收。应对总量与分项汇总一致性、关键分项覆盖率、数据连续性、报表准确性与告警有效性进行验证，验收通过后方可作为能效评估数据源。</w:t>
      </w:r>
    </w:p>
    <w:p w14:paraId="12E55499">
      <w:pPr>
        <w:pStyle w:val="165"/>
        <w:spacing w:line="360" w:lineRule="auto"/>
      </w:pPr>
      <w:r>
        <w:rPr>
          <w:rFonts w:hint="eastAsia"/>
        </w:rPr>
        <w:t>移交运维时应移交完整点表与台账。应移交计量点位清单、系统拓扑、通信配置、字段定义、报警阈值与数据质量规则，确保运行期评估可持续开展。</w:t>
      </w:r>
    </w:p>
    <w:p w14:paraId="130D75B5">
      <w:pPr>
        <w:pStyle w:val="105"/>
        <w:spacing w:before="120" w:after="120" w:line="360" w:lineRule="auto"/>
      </w:pPr>
      <w:r>
        <w:rPr>
          <w:rFonts w:hint="eastAsia"/>
        </w:rPr>
        <w:t>能效评估指标与数据口径</w:t>
      </w:r>
    </w:p>
    <w:p w14:paraId="15B3D75D">
      <w:pPr>
        <w:pStyle w:val="56"/>
        <w:spacing w:line="360" w:lineRule="auto"/>
        <w:ind w:firstLine="420"/>
      </w:pPr>
      <w:r>
        <w:rPr>
          <w:rFonts w:hint="eastAsia"/>
        </w:rPr>
        <w:t>本文件能效评估的核心指标与数据口径要求见表1。</w:t>
      </w:r>
    </w:p>
    <w:p w14:paraId="2724F601">
      <w:pPr>
        <w:pStyle w:val="56"/>
        <w:spacing w:line="360" w:lineRule="auto"/>
        <w:ind w:firstLine="420"/>
      </w:pPr>
    </w:p>
    <w:p w14:paraId="670C319D">
      <w:pPr>
        <w:pStyle w:val="56"/>
        <w:spacing w:line="360" w:lineRule="auto"/>
        <w:ind w:firstLine="420"/>
        <w:rPr>
          <w:rFonts w:hint="eastAsia"/>
        </w:rPr>
      </w:pPr>
    </w:p>
    <w:p w14:paraId="0A1007CE">
      <w:pPr>
        <w:pStyle w:val="112"/>
        <w:spacing w:before="120" w:after="120" w:line="360" w:lineRule="auto"/>
      </w:pPr>
      <w:r>
        <w:rPr>
          <w:rFonts w:hint="eastAsia"/>
        </w:rPr>
        <w:t>电气能效评估指标与数据口径</w:t>
      </w:r>
    </w:p>
    <w:tbl>
      <w:tblPr>
        <w:tblStyle w:val="27"/>
        <w:tblW w:w="92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69"/>
        <w:gridCol w:w="2532"/>
        <w:gridCol w:w="2410"/>
        <w:gridCol w:w="850"/>
        <w:gridCol w:w="1853"/>
      </w:tblGrid>
      <w:tr w14:paraId="1FA20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69" w:type="dxa"/>
            <w:tcBorders>
              <w:top w:val="single" w:color="auto" w:sz="8" w:space="0"/>
              <w:bottom w:val="single" w:color="auto" w:sz="8" w:space="0"/>
            </w:tcBorders>
            <w:vAlign w:val="center"/>
          </w:tcPr>
          <w:p w14:paraId="17F65027">
            <w:pPr>
              <w:pStyle w:val="178"/>
            </w:pPr>
            <w:r>
              <w:rPr>
                <w:rFonts w:hint="eastAsia"/>
              </w:rPr>
              <w:t>指标名称</w:t>
            </w:r>
          </w:p>
        </w:tc>
        <w:tc>
          <w:tcPr>
            <w:tcW w:w="2532" w:type="dxa"/>
            <w:tcBorders>
              <w:top w:val="single" w:color="auto" w:sz="8" w:space="0"/>
              <w:bottom w:val="single" w:color="auto" w:sz="8" w:space="0"/>
            </w:tcBorders>
            <w:vAlign w:val="center"/>
          </w:tcPr>
          <w:p w14:paraId="5F6DA276">
            <w:pPr>
              <w:pStyle w:val="178"/>
            </w:pPr>
            <w:r>
              <w:rPr>
                <w:rFonts w:hint="eastAsia"/>
              </w:rPr>
              <w:t>指标定义与口径</w:t>
            </w:r>
          </w:p>
        </w:tc>
        <w:tc>
          <w:tcPr>
            <w:tcW w:w="2410" w:type="dxa"/>
            <w:tcBorders>
              <w:top w:val="single" w:color="auto" w:sz="8" w:space="0"/>
              <w:bottom w:val="single" w:color="auto" w:sz="8" w:space="0"/>
            </w:tcBorders>
            <w:vAlign w:val="center"/>
          </w:tcPr>
          <w:p w14:paraId="0BFE6ED9">
            <w:pPr>
              <w:pStyle w:val="178"/>
            </w:pPr>
            <w:r>
              <w:rPr>
                <w:rFonts w:hint="eastAsia"/>
              </w:rPr>
              <w:t>数据来源与计量位置</w:t>
            </w:r>
          </w:p>
        </w:tc>
        <w:tc>
          <w:tcPr>
            <w:tcW w:w="850" w:type="dxa"/>
            <w:tcBorders>
              <w:top w:val="single" w:color="auto" w:sz="8" w:space="0"/>
              <w:bottom w:val="single" w:color="auto" w:sz="8" w:space="0"/>
            </w:tcBorders>
            <w:vAlign w:val="center"/>
          </w:tcPr>
          <w:p w14:paraId="0609B047">
            <w:pPr>
              <w:pStyle w:val="178"/>
            </w:pPr>
            <w:r>
              <w:rPr>
                <w:rFonts w:hint="eastAsia"/>
              </w:rPr>
              <w:t>输出单位</w:t>
            </w:r>
          </w:p>
        </w:tc>
        <w:tc>
          <w:tcPr>
            <w:tcW w:w="1853" w:type="dxa"/>
            <w:tcBorders>
              <w:top w:val="single" w:color="auto" w:sz="8" w:space="0"/>
              <w:bottom w:val="single" w:color="auto" w:sz="8" w:space="0"/>
            </w:tcBorders>
            <w:vAlign w:val="center"/>
          </w:tcPr>
          <w:p w14:paraId="3CBC51FC">
            <w:pPr>
              <w:pStyle w:val="178"/>
            </w:pPr>
            <w:r>
              <w:rPr>
                <w:rFonts w:hint="eastAsia"/>
              </w:rPr>
              <w:t>用途说明</w:t>
            </w:r>
          </w:p>
        </w:tc>
      </w:tr>
      <w:tr w14:paraId="410FC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tcBorders>
              <w:top w:val="single" w:color="auto" w:sz="8" w:space="0"/>
            </w:tcBorders>
            <w:vAlign w:val="center"/>
          </w:tcPr>
          <w:p w14:paraId="2516996B">
            <w:pPr>
              <w:pStyle w:val="178"/>
            </w:pPr>
            <w:r>
              <w:rPr>
                <w:rFonts w:hint="eastAsia"/>
              </w:rPr>
              <w:t>建筑总电耗</w:t>
            </w:r>
          </w:p>
        </w:tc>
        <w:tc>
          <w:tcPr>
            <w:tcW w:w="2532" w:type="dxa"/>
            <w:tcBorders>
              <w:top w:val="single" w:color="auto" w:sz="8" w:space="0"/>
            </w:tcBorders>
            <w:vAlign w:val="center"/>
          </w:tcPr>
          <w:p w14:paraId="6F0854F1">
            <w:pPr>
              <w:pStyle w:val="178"/>
            </w:pPr>
            <w:r>
              <w:rPr>
                <w:rFonts w:hint="eastAsia"/>
              </w:rPr>
              <w:t>评估边界内建筑总进线有功电量扣除外送电量</w:t>
            </w:r>
          </w:p>
        </w:tc>
        <w:tc>
          <w:tcPr>
            <w:tcW w:w="2410" w:type="dxa"/>
            <w:tcBorders>
              <w:top w:val="single" w:color="auto" w:sz="8" w:space="0"/>
            </w:tcBorders>
            <w:vAlign w:val="center"/>
          </w:tcPr>
          <w:p w14:paraId="2DAF8ECC">
            <w:pPr>
              <w:pStyle w:val="178"/>
            </w:pPr>
            <w:r>
              <w:rPr>
                <w:rFonts w:hint="eastAsia"/>
              </w:rPr>
              <w:t>总进线电表或变压器低压侧主表</w:t>
            </w:r>
          </w:p>
        </w:tc>
        <w:tc>
          <w:tcPr>
            <w:tcW w:w="850" w:type="dxa"/>
            <w:tcBorders>
              <w:top w:val="single" w:color="auto" w:sz="8" w:space="0"/>
            </w:tcBorders>
            <w:vAlign w:val="center"/>
          </w:tcPr>
          <w:p w14:paraId="579423D0">
            <w:pPr>
              <w:pStyle w:val="178"/>
            </w:pPr>
            <w:r>
              <w:rPr>
                <w:rFonts w:hint="eastAsia"/>
              </w:rPr>
              <w:t>kWh</w:t>
            </w:r>
          </w:p>
        </w:tc>
        <w:tc>
          <w:tcPr>
            <w:tcW w:w="1853" w:type="dxa"/>
            <w:tcBorders>
              <w:top w:val="single" w:color="auto" w:sz="8" w:space="0"/>
            </w:tcBorders>
            <w:vAlign w:val="center"/>
          </w:tcPr>
          <w:p w14:paraId="692EBCD9">
            <w:pPr>
              <w:pStyle w:val="178"/>
            </w:pPr>
            <w:r>
              <w:rPr>
                <w:rFonts w:hint="eastAsia"/>
              </w:rPr>
              <w:t>用于总量评价与对标</w:t>
            </w:r>
          </w:p>
        </w:tc>
      </w:tr>
      <w:tr w14:paraId="0E656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161E0017">
            <w:pPr>
              <w:pStyle w:val="178"/>
            </w:pPr>
            <w:r>
              <w:rPr>
                <w:rFonts w:hint="eastAsia"/>
              </w:rPr>
              <w:t>分项覆盖率</w:t>
            </w:r>
          </w:p>
        </w:tc>
        <w:tc>
          <w:tcPr>
            <w:tcW w:w="2532" w:type="dxa"/>
            <w:vAlign w:val="center"/>
          </w:tcPr>
          <w:p w14:paraId="17F642D5">
            <w:pPr>
              <w:pStyle w:val="178"/>
            </w:pPr>
            <w:r>
              <w:rPr>
                <w:rFonts w:hint="eastAsia"/>
              </w:rPr>
              <w:t>已计量分项电量占应计量分项电量的比例</w:t>
            </w:r>
          </w:p>
        </w:tc>
        <w:tc>
          <w:tcPr>
            <w:tcW w:w="2410" w:type="dxa"/>
            <w:vAlign w:val="center"/>
          </w:tcPr>
          <w:p w14:paraId="5D6E9C00">
            <w:pPr>
              <w:pStyle w:val="178"/>
            </w:pPr>
            <w:r>
              <w:rPr>
                <w:rFonts w:hint="eastAsia"/>
              </w:rPr>
              <w:t>分项电表汇总与分项清单</w:t>
            </w:r>
          </w:p>
        </w:tc>
        <w:tc>
          <w:tcPr>
            <w:tcW w:w="850" w:type="dxa"/>
            <w:vAlign w:val="center"/>
          </w:tcPr>
          <w:p w14:paraId="42769F3B">
            <w:pPr>
              <w:pStyle w:val="178"/>
            </w:pPr>
            <w:r>
              <w:t>%</w:t>
            </w:r>
          </w:p>
        </w:tc>
        <w:tc>
          <w:tcPr>
            <w:tcW w:w="1853" w:type="dxa"/>
            <w:vAlign w:val="center"/>
          </w:tcPr>
          <w:p w14:paraId="5BC77878">
            <w:pPr>
              <w:pStyle w:val="178"/>
            </w:pPr>
            <w:r>
              <w:rPr>
                <w:rFonts w:hint="eastAsia"/>
              </w:rPr>
              <w:t>用于评估可核算能力</w:t>
            </w:r>
          </w:p>
        </w:tc>
      </w:tr>
      <w:tr w14:paraId="07CDE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63E7AFB6">
            <w:pPr>
              <w:pStyle w:val="178"/>
            </w:pPr>
            <w:r>
              <w:rPr>
                <w:rFonts w:hint="eastAsia"/>
              </w:rPr>
              <w:t>变压器负荷率</w:t>
            </w:r>
          </w:p>
        </w:tc>
        <w:tc>
          <w:tcPr>
            <w:tcW w:w="2532" w:type="dxa"/>
            <w:vAlign w:val="center"/>
          </w:tcPr>
          <w:p w14:paraId="4A4CBC52">
            <w:pPr>
              <w:pStyle w:val="178"/>
            </w:pPr>
            <w:r>
              <w:rPr>
                <w:rFonts w:hint="eastAsia"/>
              </w:rPr>
              <w:t>典型周期内变压器有功负荷与额定容量的比值</w:t>
            </w:r>
          </w:p>
        </w:tc>
        <w:tc>
          <w:tcPr>
            <w:tcW w:w="2410" w:type="dxa"/>
            <w:vAlign w:val="center"/>
          </w:tcPr>
          <w:p w14:paraId="7CE18282">
            <w:pPr>
              <w:pStyle w:val="178"/>
            </w:pPr>
            <w:r>
              <w:rPr>
                <w:rFonts w:hint="eastAsia"/>
              </w:rPr>
              <w:t>变压器低压侧主表或监测装置</w:t>
            </w:r>
          </w:p>
        </w:tc>
        <w:tc>
          <w:tcPr>
            <w:tcW w:w="850" w:type="dxa"/>
            <w:vAlign w:val="center"/>
          </w:tcPr>
          <w:p w14:paraId="4DAE4BE1">
            <w:pPr>
              <w:pStyle w:val="178"/>
            </w:pPr>
            <w:r>
              <w:t>%</w:t>
            </w:r>
          </w:p>
        </w:tc>
        <w:tc>
          <w:tcPr>
            <w:tcW w:w="1853" w:type="dxa"/>
            <w:vAlign w:val="center"/>
          </w:tcPr>
          <w:p w14:paraId="32A1E4A9">
            <w:pPr>
              <w:pStyle w:val="178"/>
            </w:pPr>
            <w:r>
              <w:rPr>
                <w:rFonts w:hint="eastAsia"/>
              </w:rPr>
              <w:t>用于判断轻载与投切策略</w:t>
            </w:r>
          </w:p>
        </w:tc>
      </w:tr>
      <w:tr w14:paraId="39409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02016FC7">
            <w:pPr>
              <w:pStyle w:val="178"/>
            </w:pPr>
            <w:r>
              <w:rPr>
                <w:rFonts w:hint="eastAsia"/>
              </w:rPr>
              <w:t>配电损耗率</w:t>
            </w:r>
          </w:p>
        </w:tc>
        <w:tc>
          <w:tcPr>
            <w:tcW w:w="2532" w:type="dxa"/>
            <w:vAlign w:val="center"/>
          </w:tcPr>
          <w:p w14:paraId="0C29E4D6">
            <w:pPr>
              <w:pStyle w:val="178"/>
            </w:pPr>
            <w:r>
              <w:rPr>
                <w:rFonts w:hint="eastAsia"/>
              </w:rPr>
              <w:t>供电侧电量与末端汇总电量差占供电侧电量比例，需明确边界</w:t>
            </w:r>
          </w:p>
        </w:tc>
        <w:tc>
          <w:tcPr>
            <w:tcW w:w="2410" w:type="dxa"/>
            <w:vAlign w:val="center"/>
          </w:tcPr>
          <w:p w14:paraId="3E3C9A6B">
            <w:pPr>
              <w:pStyle w:val="178"/>
            </w:pPr>
            <w:r>
              <w:rPr>
                <w:rFonts w:hint="eastAsia"/>
              </w:rPr>
              <w:t>变压器主表与分区馈线分项汇总</w:t>
            </w:r>
          </w:p>
        </w:tc>
        <w:tc>
          <w:tcPr>
            <w:tcW w:w="850" w:type="dxa"/>
            <w:vAlign w:val="center"/>
          </w:tcPr>
          <w:p w14:paraId="4127EC61">
            <w:pPr>
              <w:pStyle w:val="178"/>
            </w:pPr>
            <w:r>
              <w:t>%</w:t>
            </w:r>
          </w:p>
        </w:tc>
        <w:tc>
          <w:tcPr>
            <w:tcW w:w="1853" w:type="dxa"/>
            <w:vAlign w:val="center"/>
          </w:tcPr>
          <w:p w14:paraId="33A4182F">
            <w:pPr>
              <w:pStyle w:val="178"/>
            </w:pPr>
            <w:r>
              <w:rPr>
                <w:rFonts w:hint="eastAsia"/>
              </w:rPr>
              <w:t>用于诊断线路与管理损耗</w:t>
            </w:r>
          </w:p>
        </w:tc>
      </w:tr>
      <w:tr w14:paraId="5E58EA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7F40A9A2">
            <w:pPr>
              <w:pStyle w:val="178"/>
            </w:pPr>
            <w:r>
              <w:rPr>
                <w:rFonts w:hint="eastAsia"/>
              </w:rPr>
              <w:t>功率因数达成率</w:t>
            </w:r>
          </w:p>
        </w:tc>
        <w:tc>
          <w:tcPr>
            <w:tcW w:w="2532" w:type="dxa"/>
            <w:vAlign w:val="center"/>
          </w:tcPr>
          <w:p w14:paraId="6EB8A455">
            <w:pPr>
              <w:pStyle w:val="178"/>
            </w:pPr>
            <w:r>
              <w:rPr>
                <w:rFonts w:hint="eastAsia"/>
              </w:rPr>
              <w:t>统计周期内功率因数满足目标值的时间占比</w:t>
            </w:r>
          </w:p>
        </w:tc>
        <w:tc>
          <w:tcPr>
            <w:tcW w:w="2410" w:type="dxa"/>
            <w:vAlign w:val="center"/>
          </w:tcPr>
          <w:p w14:paraId="3C855414">
            <w:pPr>
              <w:pStyle w:val="178"/>
            </w:pPr>
            <w:r>
              <w:rPr>
                <w:rFonts w:hint="eastAsia"/>
              </w:rPr>
              <w:t>低压总进线或重要馈线电能质量表</w:t>
            </w:r>
          </w:p>
        </w:tc>
        <w:tc>
          <w:tcPr>
            <w:tcW w:w="850" w:type="dxa"/>
            <w:vAlign w:val="center"/>
          </w:tcPr>
          <w:p w14:paraId="6A0C22DB">
            <w:pPr>
              <w:pStyle w:val="178"/>
            </w:pPr>
            <w:r>
              <w:t>%</w:t>
            </w:r>
          </w:p>
        </w:tc>
        <w:tc>
          <w:tcPr>
            <w:tcW w:w="1853" w:type="dxa"/>
            <w:vAlign w:val="center"/>
          </w:tcPr>
          <w:p w14:paraId="6EA22B02">
            <w:pPr>
              <w:pStyle w:val="178"/>
            </w:pPr>
            <w:r>
              <w:rPr>
                <w:rFonts w:hint="eastAsia"/>
              </w:rPr>
              <w:t>用于无功补偿效果评价</w:t>
            </w:r>
          </w:p>
        </w:tc>
      </w:tr>
      <w:tr w14:paraId="371ED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1434BD13">
            <w:pPr>
              <w:pStyle w:val="178"/>
            </w:pPr>
            <w:r>
              <w:rPr>
                <w:rFonts w:hint="eastAsia"/>
              </w:rPr>
              <w:t>电压合格率</w:t>
            </w:r>
          </w:p>
        </w:tc>
        <w:tc>
          <w:tcPr>
            <w:tcW w:w="2532" w:type="dxa"/>
            <w:vAlign w:val="center"/>
          </w:tcPr>
          <w:p w14:paraId="46464C62">
            <w:pPr>
              <w:pStyle w:val="178"/>
            </w:pPr>
            <w:r>
              <w:rPr>
                <w:rFonts w:hint="eastAsia"/>
              </w:rPr>
              <w:t>电压偏差满足要求的时间占比</w:t>
            </w:r>
          </w:p>
        </w:tc>
        <w:tc>
          <w:tcPr>
            <w:tcW w:w="2410" w:type="dxa"/>
            <w:vAlign w:val="center"/>
          </w:tcPr>
          <w:p w14:paraId="11ED1436">
            <w:pPr>
              <w:pStyle w:val="178"/>
            </w:pPr>
            <w:r>
              <w:rPr>
                <w:rFonts w:hint="eastAsia"/>
              </w:rPr>
              <w:t>低压总进线与关键末端点</w:t>
            </w:r>
          </w:p>
        </w:tc>
        <w:tc>
          <w:tcPr>
            <w:tcW w:w="850" w:type="dxa"/>
            <w:vAlign w:val="center"/>
          </w:tcPr>
          <w:p w14:paraId="0EB73CBF">
            <w:pPr>
              <w:pStyle w:val="178"/>
            </w:pPr>
            <w:r>
              <w:t>%</w:t>
            </w:r>
          </w:p>
        </w:tc>
        <w:tc>
          <w:tcPr>
            <w:tcW w:w="1853" w:type="dxa"/>
            <w:vAlign w:val="center"/>
          </w:tcPr>
          <w:p w14:paraId="26A2302C">
            <w:pPr>
              <w:pStyle w:val="178"/>
            </w:pPr>
            <w:r>
              <w:rPr>
                <w:rFonts w:hint="eastAsia"/>
              </w:rPr>
              <w:t>用于供电质量与损耗关联分析</w:t>
            </w:r>
          </w:p>
        </w:tc>
      </w:tr>
      <w:tr w14:paraId="7DB30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35547E23">
            <w:pPr>
              <w:pStyle w:val="178"/>
            </w:pPr>
            <w:r>
              <w:rPr>
                <w:rFonts w:hint="eastAsia"/>
              </w:rPr>
              <w:t>谐波关键指标</w:t>
            </w:r>
          </w:p>
        </w:tc>
        <w:tc>
          <w:tcPr>
            <w:tcW w:w="2532" w:type="dxa"/>
            <w:vAlign w:val="center"/>
          </w:tcPr>
          <w:p w14:paraId="0577DCC2">
            <w:pPr>
              <w:pStyle w:val="178"/>
            </w:pPr>
            <w:r>
              <w:rPr>
                <w:rFonts w:hint="eastAsia"/>
              </w:rPr>
              <w:t>关键点电压总谐波畸变率与电流畸变率的统计值</w:t>
            </w:r>
          </w:p>
        </w:tc>
        <w:tc>
          <w:tcPr>
            <w:tcW w:w="2410" w:type="dxa"/>
            <w:vAlign w:val="center"/>
          </w:tcPr>
          <w:p w14:paraId="625CC25C">
            <w:pPr>
              <w:pStyle w:val="178"/>
            </w:pPr>
            <w:r>
              <w:rPr>
                <w:rFonts w:hint="eastAsia"/>
              </w:rPr>
              <w:t>关键谐波源馈线与敏感负荷点</w:t>
            </w:r>
          </w:p>
        </w:tc>
        <w:tc>
          <w:tcPr>
            <w:tcW w:w="850" w:type="dxa"/>
            <w:vAlign w:val="center"/>
          </w:tcPr>
          <w:p w14:paraId="5F45FF81">
            <w:pPr>
              <w:pStyle w:val="178"/>
            </w:pPr>
            <w:r>
              <w:t>%</w:t>
            </w:r>
          </w:p>
        </w:tc>
        <w:tc>
          <w:tcPr>
            <w:tcW w:w="1853" w:type="dxa"/>
            <w:vAlign w:val="center"/>
          </w:tcPr>
          <w:p w14:paraId="1B67F1C6">
            <w:pPr>
              <w:pStyle w:val="178"/>
            </w:pPr>
            <w:r>
              <w:rPr>
                <w:rFonts w:hint="eastAsia"/>
              </w:rPr>
              <w:t>用于电能质量治理评价</w:t>
            </w:r>
          </w:p>
        </w:tc>
      </w:tr>
      <w:tr w14:paraId="7A8FF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572F2068">
            <w:pPr>
              <w:pStyle w:val="178"/>
            </w:pPr>
            <w:r>
              <w:rPr>
                <w:rFonts w:hint="eastAsia"/>
              </w:rPr>
              <w:t>照明分项电耗</w:t>
            </w:r>
          </w:p>
        </w:tc>
        <w:tc>
          <w:tcPr>
            <w:tcW w:w="2532" w:type="dxa"/>
            <w:vAlign w:val="center"/>
          </w:tcPr>
          <w:p w14:paraId="45FB0AFA">
            <w:pPr>
              <w:pStyle w:val="178"/>
            </w:pPr>
            <w:r>
              <w:rPr>
                <w:rFonts w:hint="eastAsia"/>
              </w:rPr>
              <w:t>评估边界内照明用电分项电量</w:t>
            </w:r>
          </w:p>
        </w:tc>
        <w:tc>
          <w:tcPr>
            <w:tcW w:w="2410" w:type="dxa"/>
            <w:vAlign w:val="center"/>
          </w:tcPr>
          <w:p w14:paraId="4AE0E074">
            <w:pPr>
              <w:pStyle w:val="178"/>
            </w:pPr>
            <w:r>
              <w:rPr>
                <w:rFonts w:hint="eastAsia"/>
              </w:rPr>
              <w:t>照明配电箱出线或照明分项电表</w:t>
            </w:r>
          </w:p>
        </w:tc>
        <w:tc>
          <w:tcPr>
            <w:tcW w:w="850" w:type="dxa"/>
            <w:vAlign w:val="center"/>
          </w:tcPr>
          <w:p w14:paraId="5FDA5522">
            <w:pPr>
              <w:pStyle w:val="178"/>
            </w:pPr>
            <w:r>
              <w:rPr>
                <w:rFonts w:hint="eastAsia"/>
              </w:rPr>
              <w:t>kWh</w:t>
            </w:r>
          </w:p>
        </w:tc>
        <w:tc>
          <w:tcPr>
            <w:tcW w:w="1853" w:type="dxa"/>
            <w:vAlign w:val="center"/>
          </w:tcPr>
          <w:p w14:paraId="5600DFA1">
            <w:pPr>
              <w:pStyle w:val="178"/>
            </w:pPr>
            <w:r>
              <w:rPr>
                <w:rFonts w:hint="eastAsia"/>
              </w:rPr>
              <w:t>用于照明节能效果评价</w:t>
            </w:r>
          </w:p>
        </w:tc>
      </w:tr>
      <w:tr w14:paraId="60B0B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009D3533">
            <w:pPr>
              <w:pStyle w:val="178"/>
            </w:pPr>
            <w:r>
              <w:rPr>
                <w:rFonts w:hint="eastAsia"/>
              </w:rPr>
              <w:t>动力分项电耗</w:t>
            </w:r>
          </w:p>
        </w:tc>
        <w:tc>
          <w:tcPr>
            <w:tcW w:w="2532" w:type="dxa"/>
            <w:vAlign w:val="center"/>
          </w:tcPr>
          <w:p w14:paraId="2A0EA54B">
            <w:pPr>
              <w:pStyle w:val="178"/>
            </w:pPr>
            <w:r>
              <w:rPr>
                <w:rFonts w:hint="eastAsia"/>
              </w:rPr>
              <w:t>评估边界内动力设备用电分项电量</w:t>
            </w:r>
          </w:p>
        </w:tc>
        <w:tc>
          <w:tcPr>
            <w:tcW w:w="2410" w:type="dxa"/>
            <w:vAlign w:val="center"/>
          </w:tcPr>
          <w:p w14:paraId="0EE7F7D5">
            <w:pPr>
              <w:pStyle w:val="178"/>
            </w:pPr>
            <w:r>
              <w:rPr>
                <w:rFonts w:hint="eastAsia"/>
              </w:rPr>
              <w:t>动力配电箱出线或设备回路电表</w:t>
            </w:r>
          </w:p>
        </w:tc>
        <w:tc>
          <w:tcPr>
            <w:tcW w:w="850" w:type="dxa"/>
            <w:vAlign w:val="center"/>
          </w:tcPr>
          <w:p w14:paraId="566E9E05">
            <w:pPr>
              <w:pStyle w:val="178"/>
            </w:pPr>
            <w:r>
              <w:rPr>
                <w:rFonts w:hint="eastAsia"/>
              </w:rPr>
              <w:t>kWh</w:t>
            </w:r>
          </w:p>
        </w:tc>
        <w:tc>
          <w:tcPr>
            <w:tcW w:w="1853" w:type="dxa"/>
            <w:vAlign w:val="center"/>
          </w:tcPr>
          <w:p w14:paraId="6CB11648">
            <w:pPr>
              <w:pStyle w:val="178"/>
            </w:pPr>
            <w:r>
              <w:rPr>
                <w:rFonts w:hint="eastAsia"/>
              </w:rPr>
              <w:t>用于动力系统节能评价</w:t>
            </w:r>
          </w:p>
        </w:tc>
      </w:tr>
      <w:tr w14:paraId="01DEE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76F53AC2">
            <w:pPr>
              <w:pStyle w:val="178"/>
            </w:pPr>
            <w:r>
              <w:rPr>
                <w:rFonts w:hint="eastAsia"/>
              </w:rPr>
              <w:t>峰值需量</w:t>
            </w:r>
          </w:p>
        </w:tc>
        <w:tc>
          <w:tcPr>
            <w:tcW w:w="2532" w:type="dxa"/>
            <w:vAlign w:val="center"/>
          </w:tcPr>
          <w:p w14:paraId="38DC171E">
            <w:pPr>
              <w:pStyle w:val="178"/>
            </w:pPr>
            <w:r>
              <w:rPr>
                <w:rFonts w:hint="eastAsia"/>
              </w:rPr>
              <w:t>统计周期内最大有功需量或最大功率</w:t>
            </w:r>
          </w:p>
        </w:tc>
        <w:tc>
          <w:tcPr>
            <w:tcW w:w="2410" w:type="dxa"/>
            <w:vAlign w:val="center"/>
          </w:tcPr>
          <w:p w14:paraId="6E6FB070">
            <w:pPr>
              <w:pStyle w:val="178"/>
            </w:pPr>
            <w:r>
              <w:rPr>
                <w:rFonts w:hint="eastAsia"/>
              </w:rPr>
              <w:t>总进线需量计量或平台计算</w:t>
            </w:r>
          </w:p>
        </w:tc>
        <w:tc>
          <w:tcPr>
            <w:tcW w:w="850" w:type="dxa"/>
            <w:vAlign w:val="center"/>
          </w:tcPr>
          <w:p w14:paraId="5A24023A">
            <w:pPr>
              <w:pStyle w:val="178"/>
            </w:pPr>
            <w:r>
              <w:rPr>
                <w:rFonts w:hint="eastAsia"/>
              </w:rPr>
              <w:t>kW</w:t>
            </w:r>
          </w:p>
        </w:tc>
        <w:tc>
          <w:tcPr>
            <w:tcW w:w="1853" w:type="dxa"/>
            <w:vAlign w:val="center"/>
          </w:tcPr>
          <w:p w14:paraId="32765D1D">
            <w:pPr>
              <w:pStyle w:val="178"/>
            </w:pPr>
            <w:r>
              <w:rPr>
                <w:rFonts w:hint="eastAsia"/>
              </w:rPr>
              <w:t>用于削峰与容量管理评价</w:t>
            </w:r>
          </w:p>
        </w:tc>
      </w:tr>
      <w:tr w14:paraId="50A9E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5F3F477F">
            <w:pPr>
              <w:pStyle w:val="178"/>
            </w:pPr>
            <w:r>
              <w:rPr>
                <w:rFonts w:hint="eastAsia"/>
              </w:rPr>
              <w:t>可再生能源自用率</w:t>
            </w:r>
          </w:p>
        </w:tc>
        <w:tc>
          <w:tcPr>
            <w:tcW w:w="2532" w:type="dxa"/>
            <w:vAlign w:val="center"/>
          </w:tcPr>
          <w:p w14:paraId="19A6CDA6">
            <w:pPr>
              <w:pStyle w:val="178"/>
            </w:pPr>
            <w:r>
              <w:rPr>
                <w:rFonts w:hint="eastAsia"/>
              </w:rPr>
              <w:t>自发自用电量占可再生能源发电量比例</w:t>
            </w:r>
          </w:p>
        </w:tc>
        <w:tc>
          <w:tcPr>
            <w:tcW w:w="2410" w:type="dxa"/>
            <w:vAlign w:val="center"/>
          </w:tcPr>
          <w:p w14:paraId="2F2C231C">
            <w:pPr>
              <w:pStyle w:val="178"/>
            </w:pPr>
            <w:r>
              <w:rPr>
                <w:rFonts w:hint="eastAsia"/>
              </w:rPr>
              <w:t>发电计量与并网点计量</w:t>
            </w:r>
          </w:p>
        </w:tc>
        <w:tc>
          <w:tcPr>
            <w:tcW w:w="850" w:type="dxa"/>
            <w:vAlign w:val="center"/>
          </w:tcPr>
          <w:p w14:paraId="34098153">
            <w:pPr>
              <w:pStyle w:val="178"/>
            </w:pPr>
            <w:r>
              <w:t>%</w:t>
            </w:r>
          </w:p>
        </w:tc>
        <w:tc>
          <w:tcPr>
            <w:tcW w:w="1853" w:type="dxa"/>
            <w:vAlign w:val="center"/>
          </w:tcPr>
          <w:p w14:paraId="6BB317EE">
            <w:pPr>
              <w:pStyle w:val="178"/>
            </w:pPr>
            <w:r>
              <w:rPr>
                <w:rFonts w:hint="eastAsia"/>
              </w:rPr>
              <w:t>用于消纳与运行策略评价</w:t>
            </w:r>
          </w:p>
        </w:tc>
      </w:tr>
      <w:tr w14:paraId="7D0EE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9" w:type="dxa"/>
            <w:vAlign w:val="center"/>
          </w:tcPr>
          <w:p w14:paraId="21808C5B">
            <w:pPr>
              <w:pStyle w:val="178"/>
            </w:pPr>
            <w:r>
              <w:rPr>
                <w:rFonts w:hint="eastAsia"/>
              </w:rPr>
              <w:t>充电设施分项电耗</w:t>
            </w:r>
          </w:p>
        </w:tc>
        <w:tc>
          <w:tcPr>
            <w:tcW w:w="2532" w:type="dxa"/>
            <w:vAlign w:val="center"/>
          </w:tcPr>
          <w:p w14:paraId="5B9555AD">
            <w:pPr>
              <w:pStyle w:val="178"/>
            </w:pPr>
            <w:r>
              <w:rPr>
                <w:rFonts w:hint="eastAsia"/>
              </w:rPr>
              <w:t>充电设施用电分项电量</w:t>
            </w:r>
          </w:p>
        </w:tc>
        <w:tc>
          <w:tcPr>
            <w:tcW w:w="2410" w:type="dxa"/>
            <w:vAlign w:val="center"/>
          </w:tcPr>
          <w:p w14:paraId="0B04A6CB">
            <w:pPr>
              <w:pStyle w:val="178"/>
            </w:pPr>
            <w:r>
              <w:rPr>
                <w:rFonts w:hint="eastAsia"/>
              </w:rPr>
              <w:t>充电回路电表或充电系统统计</w:t>
            </w:r>
          </w:p>
        </w:tc>
        <w:tc>
          <w:tcPr>
            <w:tcW w:w="850" w:type="dxa"/>
            <w:vAlign w:val="center"/>
          </w:tcPr>
          <w:p w14:paraId="4D4C2F5F">
            <w:pPr>
              <w:pStyle w:val="178"/>
            </w:pPr>
            <w:r>
              <w:rPr>
                <w:rFonts w:hint="eastAsia"/>
              </w:rPr>
              <w:t>kWh</w:t>
            </w:r>
          </w:p>
        </w:tc>
        <w:tc>
          <w:tcPr>
            <w:tcW w:w="1853" w:type="dxa"/>
            <w:vAlign w:val="center"/>
          </w:tcPr>
          <w:p w14:paraId="7EC23F9A">
            <w:pPr>
              <w:pStyle w:val="178"/>
            </w:pPr>
            <w:r>
              <w:rPr>
                <w:rFonts w:hint="eastAsia"/>
              </w:rPr>
              <w:t>用于负荷管理与峰谷优化</w:t>
            </w:r>
          </w:p>
        </w:tc>
      </w:tr>
    </w:tbl>
    <w:p w14:paraId="7D141C7A">
      <w:pPr>
        <w:pStyle w:val="104"/>
        <w:spacing w:before="240" w:after="240" w:line="360" w:lineRule="auto"/>
      </w:pPr>
      <w:bookmarkStart w:id="56" w:name="_Toc219064437"/>
      <w:r>
        <w:rPr>
          <w:rFonts w:hint="eastAsia"/>
        </w:rPr>
        <w:t>能效评估方法与判定规则</w:t>
      </w:r>
      <w:bookmarkEnd w:id="56"/>
    </w:p>
    <w:p w14:paraId="24405B58">
      <w:pPr>
        <w:pStyle w:val="105"/>
        <w:spacing w:before="120" w:after="120" w:line="360" w:lineRule="auto"/>
      </w:pPr>
      <w:r>
        <w:rPr>
          <w:rFonts w:hint="eastAsia"/>
        </w:rPr>
        <w:t>一般要求</w:t>
      </w:r>
    </w:p>
    <w:p w14:paraId="2EECF78A">
      <w:pPr>
        <w:pStyle w:val="165"/>
        <w:spacing w:line="360" w:lineRule="auto"/>
      </w:pPr>
      <w:r>
        <w:rPr>
          <w:rFonts w:hint="eastAsia"/>
        </w:rPr>
        <w:t>能效评估应基于统一的评估边界与数据口径开展，评估过程应可追溯、可复核、可审计。评估结论应与节能措施落实情况、计量监测系统可用性与运行工况条件相一致。</w:t>
      </w:r>
    </w:p>
    <w:p w14:paraId="7F24720E">
      <w:pPr>
        <w:pStyle w:val="165"/>
        <w:spacing w:line="360" w:lineRule="auto"/>
      </w:pPr>
      <w:r>
        <w:rPr>
          <w:rFonts w:hint="eastAsia"/>
        </w:rPr>
        <w:t>能效评估宜分阶段实施，至少包括设计符合性评估、竣工验收评估与运行期评估。各阶段评估应明确评估目的、输入资料、数据来源与输出成果。</w:t>
      </w:r>
    </w:p>
    <w:p w14:paraId="75D26DE8">
      <w:pPr>
        <w:pStyle w:val="165"/>
        <w:spacing w:line="360" w:lineRule="auto"/>
      </w:pPr>
      <w:r>
        <w:rPr>
          <w:rFonts w:hint="eastAsia"/>
        </w:rPr>
        <w:t>能效评估应以数据为主、证据为辅。关键指标应以计量数据或可核算数据为依据；对难以量化的管理措施与控制策略，应提供策略配置截图、调试记录、联动测试记录与现场核验记录等证据材料。</w:t>
      </w:r>
    </w:p>
    <w:p w14:paraId="41C0D5B0">
      <w:pPr>
        <w:pStyle w:val="105"/>
        <w:spacing w:before="120" w:after="120" w:line="360" w:lineRule="auto"/>
      </w:pPr>
      <w:r>
        <w:rPr>
          <w:rFonts w:hint="eastAsia"/>
        </w:rPr>
        <w:t>评估阶段与适用范围</w:t>
      </w:r>
    </w:p>
    <w:p w14:paraId="73C06AFA">
      <w:pPr>
        <w:pStyle w:val="65"/>
        <w:spacing w:before="120" w:after="120" w:line="360" w:lineRule="auto"/>
      </w:pPr>
      <w:r>
        <w:rPr>
          <w:rFonts w:hint="eastAsia"/>
        </w:rPr>
        <w:t>设计符合性评估</w:t>
      </w:r>
    </w:p>
    <w:p w14:paraId="3499A9AE">
      <w:pPr>
        <w:pStyle w:val="56"/>
        <w:spacing w:line="360" w:lineRule="auto"/>
        <w:ind w:firstLine="420"/>
      </w:pPr>
      <w:r>
        <w:rPr>
          <w:rFonts w:hint="eastAsia"/>
        </w:rPr>
        <w:t>应在施工图设计完成后开展，重点评估节能目标分解是否合理、关键设备效率与选型是否满足要求、分项计量与监测点位是否满足评估需求、控制策略是否具备工程化可实施性。</w:t>
      </w:r>
    </w:p>
    <w:p w14:paraId="048277CD">
      <w:pPr>
        <w:pStyle w:val="56"/>
        <w:spacing w:line="360" w:lineRule="auto"/>
        <w:ind w:firstLine="420"/>
      </w:pPr>
    </w:p>
    <w:p w14:paraId="4D10255F">
      <w:pPr>
        <w:pStyle w:val="56"/>
        <w:spacing w:line="360" w:lineRule="auto"/>
        <w:ind w:firstLine="420"/>
        <w:rPr>
          <w:rFonts w:hint="eastAsia"/>
        </w:rPr>
      </w:pPr>
    </w:p>
    <w:p w14:paraId="593C2AEC">
      <w:pPr>
        <w:pStyle w:val="65"/>
        <w:spacing w:before="120" w:after="120" w:line="360" w:lineRule="auto"/>
      </w:pPr>
      <w:r>
        <w:rPr>
          <w:rFonts w:hint="eastAsia"/>
        </w:rPr>
        <w:t>竣工验收评估</w:t>
      </w:r>
    </w:p>
    <w:p w14:paraId="138C7CC1">
      <w:pPr>
        <w:pStyle w:val="56"/>
        <w:spacing w:line="360" w:lineRule="auto"/>
        <w:ind w:firstLine="420"/>
      </w:pPr>
      <w:r>
        <w:rPr>
          <w:rFonts w:hint="eastAsia"/>
        </w:rPr>
        <w:t>应在系统调试完成并具备稳定运行条件后开展，重点评估计量监测系统是否可用、数据链路是否完整、控制策略是否按设计实现、关键节能措施是否可验证，并形成专项验收结论。</w:t>
      </w:r>
    </w:p>
    <w:p w14:paraId="3A6B33E8">
      <w:pPr>
        <w:pStyle w:val="65"/>
        <w:spacing w:before="120" w:after="120" w:line="360" w:lineRule="auto"/>
      </w:pPr>
      <w:r>
        <w:rPr>
          <w:rFonts w:hint="eastAsia"/>
        </w:rPr>
        <w:t>运行期评估</w:t>
      </w:r>
    </w:p>
    <w:p w14:paraId="3B343759">
      <w:pPr>
        <w:pStyle w:val="56"/>
        <w:spacing w:line="360" w:lineRule="auto"/>
        <w:ind w:firstLine="420"/>
      </w:pPr>
      <w:r>
        <w:rPr>
          <w:rFonts w:hint="eastAsia"/>
        </w:rPr>
        <w:t>宜在建筑投入正常使用后开展，评估周期宜覆盖代表性运行月份并包含典型工况。运行期评估应重点评价能效指标达成度、用能结构与峰谷特征、策略执行效果与偏差原因，并提出持续改进措施。</w:t>
      </w:r>
    </w:p>
    <w:p w14:paraId="674B746C">
      <w:pPr>
        <w:pStyle w:val="105"/>
        <w:spacing w:before="120" w:after="120" w:line="360" w:lineRule="auto"/>
      </w:pPr>
      <w:r>
        <w:rPr>
          <w:rFonts w:hint="eastAsia"/>
        </w:rPr>
        <w:t>评估边界与基准条件</w:t>
      </w:r>
    </w:p>
    <w:p w14:paraId="2337F103">
      <w:pPr>
        <w:pStyle w:val="165"/>
        <w:spacing w:line="360" w:lineRule="auto"/>
      </w:pPr>
      <w:r>
        <w:rPr>
          <w:rFonts w:hint="eastAsia"/>
        </w:rPr>
        <w:t>评估边界应在评估报告中明确，包括建筑功能分区范围、是否包含租户、是否包含数据中心与厨房、是否包含充电设施、是否包含可再生能源与储能等。边界变更应说明变更原因与影响。</w:t>
      </w:r>
    </w:p>
    <w:p w14:paraId="25527441">
      <w:pPr>
        <w:pStyle w:val="165"/>
        <w:spacing w:line="360" w:lineRule="auto"/>
      </w:pPr>
      <w:r>
        <w:rPr>
          <w:rFonts w:hint="eastAsia"/>
        </w:rPr>
        <w:t>运行期评估应明确基准条件，包括气象条件、入住率或使用强度、运行时段与主要设备运行策略。必要时应对指标进行归一化处理，提高可比性。</w:t>
      </w:r>
    </w:p>
    <w:p w14:paraId="049FD404">
      <w:pPr>
        <w:pStyle w:val="165"/>
        <w:spacing w:line="360" w:lineRule="auto"/>
      </w:pPr>
      <w:r>
        <w:rPr>
          <w:rFonts w:hint="eastAsia"/>
        </w:rPr>
        <w:t>当出现重大运行条件变化，如功能调整、租户更替、运行时段改变、设备大规模更新时，应重新确认评估边界与基准条件，并对历史评估结论的可比性作出说明。</w:t>
      </w:r>
    </w:p>
    <w:p w14:paraId="36E3D9E6">
      <w:pPr>
        <w:pStyle w:val="105"/>
        <w:spacing w:before="120" w:after="120" w:line="360" w:lineRule="auto"/>
      </w:pPr>
      <w:r>
        <w:rPr>
          <w:rFonts w:hint="eastAsia"/>
        </w:rPr>
        <w:t>指标计算与数据处理要求</w:t>
      </w:r>
    </w:p>
    <w:p w14:paraId="378403D8">
      <w:pPr>
        <w:pStyle w:val="165"/>
        <w:spacing w:line="360" w:lineRule="auto"/>
      </w:pPr>
      <w:r>
        <w:rPr>
          <w:rFonts w:hint="eastAsia"/>
        </w:rPr>
        <w:t>指标计算应按表1口径执行。指标所用数据应来自经验证的计量点位或监测平台，数据时间戳应一致，采样粒度与统计周期应统一。</w:t>
      </w:r>
    </w:p>
    <w:p w14:paraId="778E7F94">
      <w:pPr>
        <w:pStyle w:val="165"/>
        <w:spacing w:line="360" w:lineRule="auto"/>
      </w:pPr>
      <w:r>
        <w:rPr>
          <w:rFonts w:hint="eastAsia"/>
        </w:rPr>
        <w:t>数据缺失与异常处理应受控。应建立缺失区间标识与补齐原则，补齐方法与补齐比例应在报告中说明。异常值处理应保留原始数据与处理记录，避免结果不可追溯。</w:t>
      </w:r>
    </w:p>
    <w:p w14:paraId="03ADC773">
      <w:pPr>
        <w:pStyle w:val="165"/>
        <w:spacing w:line="360" w:lineRule="auto"/>
      </w:pPr>
      <w:r>
        <w:rPr>
          <w:rFonts w:hint="eastAsia"/>
        </w:rPr>
        <w:t>总量与分项应进行一致性校核。评估前应对总进线电量与分项汇总电量进行对账校核，偏差超出规定阈值时应先查明原因并修正口径或完善计量。</w:t>
      </w:r>
    </w:p>
    <w:p w14:paraId="0C06A13B">
      <w:pPr>
        <w:pStyle w:val="165"/>
        <w:spacing w:line="360" w:lineRule="auto"/>
      </w:pPr>
      <w:r>
        <w:rPr>
          <w:rFonts w:hint="eastAsia"/>
        </w:rPr>
        <w:t>对电能质量类指标应采用时间占比方法进行统计，明确目标阈值与统计窗口，并记录超限时段、超限幅度与可能原因。</w:t>
      </w:r>
    </w:p>
    <w:p w14:paraId="1C8FC4CA">
      <w:pPr>
        <w:pStyle w:val="105"/>
        <w:spacing w:before="120" w:after="120" w:line="360" w:lineRule="auto"/>
      </w:pPr>
      <w:r>
        <w:rPr>
          <w:rFonts w:hint="eastAsia"/>
        </w:rPr>
        <w:t>判定规则与分级管理</w:t>
      </w:r>
    </w:p>
    <w:p w14:paraId="28F4F129">
      <w:pPr>
        <w:pStyle w:val="165"/>
        <w:spacing w:line="360" w:lineRule="auto"/>
      </w:pPr>
      <w:r>
        <w:rPr>
          <w:rFonts w:hint="eastAsia"/>
        </w:rPr>
        <w:t>判定规则应与项目目标一致。建设单位应在项目初期明确目标值或目标等级。评估应基于目标值进行达成度判定，并形成分级管理结果。</w:t>
      </w:r>
    </w:p>
    <w:p w14:paraId="00B789AE">
      <w:pPr>
        <w:pStyle w:val="65"/>
        <w:spacing w:before="120" w:after="120" w:line="360" w:lineRule="auto"/>
      </w:pPr>
      <w:r>
        <w:rPr>
          <w:rFonts w:hint="eastAsia"/>
        </w:rPr>
        <w:t>竣工验收评估判定</w:t>
      </w:r>
    </w:p>
    <w:p w14:paraId="1C2994FB">
      <w:pPr>
        <w:pStyle w:val="56"/>
        <w:spacing w:line="360" w:lineRule="auto"/>
        <w:ind w:firstLine="420"/>
      </w:pPr>
      <w:r>
        <w:rPr>
          <w:rFonts w:hint="eastAsia"/>
        </w:rPr>
        <w:t>竣工验收评估重点判定计量监测系统可用性与关键节能措施实现性。出现下列情形之一时，竣工验收评估不得判定通过：</w:t>
      </w:r>
    </w:p>
    <w:p w14:paraId="02452094">
      <w:pPr>
        <w:pStyle w:val="56"/>
        <w:spacing w:line="360" w:lineRule="auto"/>
        <w:ind w:firstLine="420"/>
      </w:pPr>
      <w:r>
        <w:rPr>
          <w:rFonts w:hint="eastAsia"/>
        </w:rPr>
        <w:t>a) 总量计量或关键分项计量缺失且无法形成可核算口径；</w:t>
      </w:r>
    </w:p>
    <w:p w14:paraId="30FF8002">
      <w:pPr>
        <w:pStyle w:val="56"/>
        <w:spacing w:line="360" w:lineRule="auto"/>
        <w:ind w:firstLine="420"/>
      </w:pPr>
      <w:r>
        <w:rPr>
          <w:rFonts w:hint="eastAsia"/>
        </w:rPr>
        <w:t>b) 计量点位映射错误或数据链路不稳定，无法保证数据连续性；</w:t>
      </w:r>
    </w:p>
    <w:p w14:paraId="54DE8B55">
      <w:pPr>
        <w:pStyle w:val="56"/>
        <w:spacing w:line="360" w:lineRule="auto"/>
        <w:ind w:firstLine="420"/>
      </w:pPr>
      <w:r>
        <w:rPr>
          <w:rFonts w:hint="eastAsia"/>
        </w:rPr>
        <w:t>c) 关键控制策略未实现或无法验证；</w:t>
      </w:r>
    </w:p>
    <w:p w14:paraId="10187BF0">
      <w:pPr>
        <w:pStyle w:val="56"/>
        <w:spacing w:line="360" w:lineRule="auto"/>
        <w:ind w:firstLine="420"/>
      </w:pPr>
      <w:r>
        <w:rPr>
          <w:rFonts w:hint="eastAsia"/>
        </w:rPr>
        <w:t>d) 存在明显不符合强制性规范的情况。</w:t>
      </w:r>
    </w:p>
    <w:p w14:paraId="55BE6F39">
      <w:pPr>
        <w:pStyle w:val="65"/>
        <w:spacing w:before="120" w:after="120" w:line="360" w:lineRule="auto"/>
      </w:pPr>
      <w:r>
        <w:rPr>
          <w:rFonts w:hint="eastAsia"/>
        </w:rPr>
        <w:t>运行期评估判定</w:t>
      </w:r>
    </w:p>
    <w:p w14:paraId="30D557E5">
      <w:pPr>
        <w:pStyle w:val="56"/>
        <w:spacing w:line="360" w:lineRule="auto"/>
        <w:ind w:firstLine="420"/>
      </w:pPr>
      <w:r>
        <w:rPr>
          <w:rFonts w:hint="eastAsia"/>
        </w:rPr>
        <w:t>运行期评估重点判定能效指标达成度与偏差可控性。达成度判定宜包括目标达成、部分达成与未达成三类。对未达成项应形成偏差诊断与整改计划，明确责任主体、完成期限与复评条件。</w:t>
      </w:r>
    </w:p>
    <w:p w14:paraId="7D9714DA">
      <w:pPr>
        <w:pStyle w:val="65"/>
        <w:spacing w:before="120" w:after="120" w:line="360" w:lineRule="auto"/>
      </w:pPr>
      <w:r>
        <w:rPr>
          <w:rFonts w:hint="eastAsia"/>
        </w:rPr>
        <w:t>风险与整改闭环</w:t>
      </w:r>
    </w:p>
    <w:p w14:paraId="3CB9794E">
      <w:pPr>
        <w:pStyle w:val="56"/>
        <w:spacing w:line="360" w:lineRule="auto"/>
        <w:ind w:firstLine="420"/>
      </w:pPr>
      <w:r>
        <w:rPr>
          <w:rFonts w:hint="eastAsia"/>
        </w:rPr>
        <w:t>对峰值需量过高、功率因数长期不达标、电能质量超限频发、分项覆盖率不足导致评估失真等情形，应列为重点整改项并优先闭环。</w:t>
      </w:r>
    </w:p>
    <w:p w14:paraId="77FC0F36">
      <w:pPr>
        <w:pStyle w:val="105"/>
        <w:spacing w:before="120" w:after="120" w:line="360" w:lineRule="auto"/>
      </w:pPr>
      <w:r>
        <w:rPr>
          <w:rFonts w:hint="eastAsia"/>
        </w:rPr>
        <w:t>证据链与报告要求</w:t>
      </w:r>
    </w:p>
    <w:p w14:paraId="0CD0935B">
      <w:pPr>
        <w:pStyle w:val="165"/>
        <w:spacing w:line="360" w:lineRule="auto"/>
      </w:pPr>
      <w:r>
        <w:rPr>
          <w:rFonts w:hint="eastAsia"/>
        </w:rPr>
        <w:t>评估证据链应完整。证据应至少包括评估边界说明、计量点位清单、数据质量说明、指标计算过程、关键控制策略配置与验证记录、异常处理记录与一致性校核记录。</w:t>
      </w:r>
    </w:p>
    <w:p w14:paraId="14C12DF4">
      <w:pPr>
        <w:pStyle w:val="165"/>
        <w:spacing w:line="360" w:lineRule="auto"/>
      </w:pPr>
      <w:r>
        <w:rPr>
          <w:rFonts w:hint="eastAsia"/>
        </w:rPr>
        <w:t>评估报告应结构化输出。报告宜包括项目概况、评估范围与边界、数据来源与质量、指标结果与分析、偏差诊断、整改建议与改进计划、结论与附录。</w:t>
      </w:r>
    </w:p>
    <w:p w14:paraId="4C1C153B">
      <w:pPr>
        <w:pStyle w:val="165"/>
        <w:spacing w:line="360" w:lineRule="auto"/>
      </w:pPr>
      <w:r>
        <w:rPr>
          <w:rFonts w:hint="eastAsia"/>
        </w:rPr>
        <w:t>评估报告应可复核。报告中关键指标应能回溯到原始数据区间与计量点位，必要时提供数据抽样明细或导出文件编号。</w:t>
      </w:r>
    </w:p>
    <w:p w14:paraId="51A9C62A">
      <w:pPr>
        <w:pStyle w:val="105"/>
        <w:spacing w:before="120" w:after="120" w:line="360" w:lineRule="auto"/>
      </w:pPr>
      <w:r>
        <w:rPr>
          <w:rFonts w:hint="eastAsia"/>
        </w:rPr>
        <w:t>复评与持续改进机制</w:t>
      </w:r>
    </w:p>
    <w:p w14:paraId="7711C25B">
      <w:pPr>
        <w:pStyle w:val="165"/>
        <w:spacing w:line="360" w:lineRule="auto"/>
      </w:pPr>
      <w:r>
        <w:rPr>
          <w:rFonts w:hint="eastAsia"/>
        </w:rPr>
        <w:t>对竣工验收未通过或运行期评估未达成的项目，应明确复评触发条件与复评周期。复评前应完成整改闭环并更新台账。</w:t>
      </w:r>
    </w:p>
    <w:p w14:paraId="3DF67289">
      <w:pPr>
        <w:pStyle w:val="165"/>
        <w:spacing w:line="360" w:lineRule="auto"/>
      </w:pPr>
      <w:r>
        <w:rPr>
          <w:rFonts w:hint="eastAsia"/>
        </w:rPr>
        <w:t>运行期评估应形成持续改进清单。清单应覆盖控制策略优化、设备整定、计量完善、电能质量治理与用能行为管理等方面，并在后续评估中验证改进效果。</w:t>
      </w:r>
    </w:p>
    <w:p w14:paraId="76F5F72C">
      <w:pPr>
        <w:pStyle w:val="165"/>
        <w:spacing w:line="360" w:lineRule="auto"/>
      </w:pPr>
      <w:r>
        <w:rPr>
          <w:rFonts w:hint="eastAsia"/>
        </w:rPr>
        <w:t>评估结果应纳入运维绩效管理。宜将关键能效指标、异常告警闭环率与策略执行率纳入运维考核，形成长期有效的节能管理机制。</w:t>
      </w:r>
    </w:p>
    <w:p w14:paraId="74A72EDD">
      <w:pPr>
        <w:pStyle w:val="104"/>
        <w:spacing w:before="240" w:after="240" w:line="360" w:lineRule="auto"/>
      </w:pPr>
      <w:bookmarkStart w:id="57" w:name="_Toc219064438"/>
      <w:r>
        <w:rPr>
          <w:rFonts w:hint="eastAsia"/>
        </w:rPr>
        <w:t>验收与运行管理要求</w:t>
      </w:r>
      <w:bookmarkEnd w:id="57"/>
    </w:p>
    <w:p w14:paraId="134DDA96">
      <w:pPr>
        <w:pStyle w:val="105"/>
        <w:spacing w:before="120" w:after="120" w:line="360" w:lineRule="auto"/>
      </w:pPr>
      <w:r>
        <w:rPr>
          <w:rFonts w:hint="eastAsia"/>
        </w:rPr>
        <w:t>一般要求</w:t>
      </w:r>
    </w:p>
    <w:p w14:paraId="78323955">
      <w:pPr>
        <w:pStyle w:val="165"/>
        <w:spacing w:line="360" w:lineRule="auto"/>
      </w:pPr>
      <w:r>
        <w:rPr>
          <w:rFonts w:hint="eastAsia"/>
        </w:rPr>
        <w:t>绿色建筑电气节能应实行专项验收与运行管理并重的机制，确保节能措施可实现、可验证、可持续。</w:t>
      </w:r>
    </w:p>
    <w:p w14:paraId="3CF90409">
      <w:pPr>
        <w:pStyle w:val="165"/>
        <w:spacing w:line="360" w:lineRule="auto"/>
      </w:pPr>
      <w:r>
        <w:rPr>
          <w:rFonts w:hint="eastAsia"/>
        </w:rPr>
        <w:t>验收与运行管理应以计量监测系统稳定可用为前提，确保后续能效评估具备可靠数据基础。</w:t>
      </w:r>
    </w:p>
    <w:p w14:paraId="3E07518F">
      <w:pPr>
        <w:pStyle w:val="105"/>
        <w:spacing w:before="120" w:after="120" w:line="360" w:lineRule="auto"/>
      </w:pPr>
      <w:r>
        <w:rPr>
          <w:rFonts w:hint="eastAsia"/>
        </w:rPr>
        <w:t>专项验收要求</w:t>
      </w:r>
    </w:p>
    <w:p w14:paraId="181BCAE4">
      <w:pPr>
        <w:pStyle w:val="165"/>
        <w:spacing w:line="360" w:lineRule="auto"/>
      </w:pPr>
      <w:r>
        <w:rPr>
          <w:rFonts w:hint="eastAsia"/>
        </w:rPr>
        <w:t>竣工阶段应组织电气节能专项验收，重点核查关键设备效率证明材料、供配电系统配置、照明与动力控制策略实现情况、无功补偿与电能质量治理措施、分项计量与监测系统可用性及点表一致性。</w:t>
      </w:r>
    </w:p>
    <w:p w14:paraId="1B3FBCE5">
      <w:pPr>
        <w:pStyle w:val="165"/>
        <w:spacing w:line="360" w:lineRule="auto"/>
      </w:pPr>
      <w:r>
        <w:rPr>
          <w:rFonts w:hint="eastAsia"/>
        </w:rPr>
        <w:t>专项验收应形成记录与结论。对不符合项应形成整改清单，整改完成并复验合格后方可判定通过。</w:t>
      </w:r>
    </w:p>
    <w:p w14:paraId="2D953731">
      <w:pPr>
        <w:pStyle w:val="105"/>
        <w:spacing w:before="120" w:after="120" w:line="360" w:lineRule="auto"/>
      </w:pPr>
      <w:r>
        <w:rPr>
          <w:rFonts w:hint="eastAsia"/>
        </w:rPr>
        <w:t>资料移交与台账建立</w:t>
      </w:r>
    </w:p>
    <w:p w14:paraId="68CD1791">
      <w:pPr>
        <w:pStyle w:val="165"/>
        <w:spacing w:line="360" w:lineRule="auto"/>
      </w:pPr>
      <w:r>
        <w:rPr>
          <w:rFonts w:hint="eastAsia"/>
        </w:rPr>
        <w:t>竣工移交应移交电气节能专项资料，至少包括设备台账、计量点位清单与点表映射、控制策略说明与权限配置、调试记录、验收记录、报警阈值与数据质量规则。</w:t>
      </w:r>
    </w:p>
    <w:p w14:paraId="7545A5A3">
      <w:pPr>
        <w:pStyle w:val="165"/>
        <w:spacing w:line="360" w:lineRule="auto"/>
      </w:pPr>
      <w:r>
        <w:rPr>
          <w:rFonts w:hint="eastAsia"/>
        </w:rPr>
        <w:t>运维单位应建立信息化台账并实施版本管理。设备更换、点位调整、策略修改应留痕并可追溯。</w:t>
      </w:r>
    </w:p>
    <w:p w14:paraId="2076F434">
      <w:pPr>
        <w:pStyle w:val="105"/>
        <w:spacing w:before="120" w:after="120" w:line="360" w:lineRule="auto"/>
      </w:pPr>
      <w:r>
        <w:rPr>
          <w:rFonts w:hint="eastAsia"/>
        </w:rPr>
        <w:t>运行管理要求</w:t>
      </w:r>
    </w:p>
    <w:p w14:paraId="5CB8290B">
      <w:pPr>
        <w:pStyle w:val="165"/>
        <w:spacing w:line="360" w:lineRule="auto"/>
      </w:pPr>
      <w:r>
        <w:rPr>
          <w:rFonts w:hint="eastAsia"/>
        </w:rPr>
        <w:t>运维单位应建立分项能耗报表制度与异常处置机制，定期开展趋势分析与对标分析。</w:t>
      </w:r>
    </w:p>
    <w:p w14:paraId="74EDE073">
      <w:pPr>
        <w:pStyle w:val="165"/>
        <w:spacing w:line="360" w:lineRule="auto"/>
      </w:pPr>
      <w:r>
        <w:rPr>
          <w:rFonts w:hint="eastAsia"/>
        </w:rPr>
        <w:t>应实施策略受控管理。照明分时分区策略、动力启停与变频策略、变压器投切策略、充电负荷管理与需求响应策略等应按审批流程调整，并保留调整前后对比与效果验证记录。</w:t>
      </w:r>
    </w:p>
    <w:p w14:paraId="7B408A1A">
      <w:pPr>
        <w:pStyle w:val="165"/>
        <w:spacing w:line="360" w:lineRule="auto"/>
      </w:pPr>
      <w:r>
        <w:rPr>
          <w:rFonts w:hint="eastAsia"/>
        </w:rPr>
        <w:t>发现能效偏差或电能质量异常时，应开展原因诊断并形成整改措施。整改后应复核指标变化并更新台账。</w:t>
      </w:r>
    </w:p>
    <w:p w14:paraId="53BB5E4A">
      <w:pPr>
        <w:pStyle w:val="105"/>
        <w:spacing w:before="120" w:after="120" w:line="360" w:lineRule="auto"/>
      </w:pPr>
      <w:r>
        <w:rPr>
          <w:rFonts w:hint="eastAsia"/>
        </w:rPr>
        <w:t>复评与持续改进</w:t>
      </w:r>
    </w:p>
    <w:p w14:paraId="36D4F3AC">
      <w:pPr>
        <w:pStyle w:val="165"/>
        <w:spacing w:line="360" w:lineRule="auto"/>
      </w:pPr>
      <w:r>
        <w:rPr>
          <w:rFonts w:hint="eastAsia"/>
        </w:rPr>
        <w:t>运行期应按规定周期开展能效评估与复评，形成改进清单并闭环落实。</w:t>
      </w:r>
    </w:p>
    <w:p w14:paraId="451F044E">
      <w:pPr>
        <w:pStyle w:val="165"/>
        <w:spacing w:line="360" w:lineRule="auto"/>
      </w:pPr>
      <w:r>
        <w:rPr>
          <w:rFonts w:hint="eastAsia"/>
        </w:rPr>
        <w:t>关键指标长期未达成或偏差反复出现时，应提出技术改造或设备升级建议，并纳入年度改造计划。</w:t>
      </w:r>
    </w:p>
    <w:p w14:paraId="4FEFFD7E">
      <w:pPr>
        <w:pStyle w:val="56"/>
        <w:ind w:firstLine="420"/>
      </w:pPr>
    </w:p>
    <w:p w14:paraId="0E03D743">
      <w:pPr>
        <w:pStyle w:val="56"/>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p>
    <w:bookmarkEnd w:id="26"/>
    <w:p w14:paraId="22A3D05B">
      <w:pPr>
        <w:pStyle w:val="198"/>
      </w:pPr>
      <w:bookmarkStart w:id="58" w:name="BookMark5"/>
    </w:p>
    <w:p w14:paraId="7B4E3D09">
      <w:pPr>
        <w:pStyle w:val="199"/>
      </w:pPr>
    </w:p>
    <w:p w14:paraId="4D4EE149">
      <w:pPr>
        <w:pStyle w:val="76"/>
        <w:spacing w:after="120" w:line="360" w:lineRule="auto"/>
      </w:pPr>
      <w:r>
        <w:br w:type="textWrapping"/>
      </w:r>
      <w:bookmarkStart w:id="59" w:name="_Toc219064439"/>
      <w:r>
        <w:rPr>
          <w:rFonts w:hint="eastAsia"/>
        </w:rPr>
        <w:t>（资料性）</w:t>
      </w:r>
      <w:r>
        <w:br w:type="textWrapping"/>
      </w:r>
      <w:r>
        <w:rPr>
          <w:rFonts w:hint="eastAsia"/>
        </w:rPr>
        <w:t>绿色建筑电气节能设计与能效评估闭环流程</w:t>
      </w:r>
      <w:bookmarkEnd w:id="59"/>
    </w:p>
    <w:p w14:paraId="1AE75EF8">
      <w:pPr>
        <w:pStyle w:val="56"/>
        <w:spacing w:line="360" w:lineRule="auto"/>
        <w:ind w:firstLine="420"/>
      </w:pPr>
      <w:r>
        <w:rPr>
          <w:rFonts w:hint="eastAsia"/>
        </w:rPr>
        <w:t>绿色建筑电气节能设计与能效评估闭环流程见图A</w:t>
      </w:r>
      <w:r>
        <w:t>.1</w:t>
      </w:r>
      <w:r>
        <w:rPr>
          <w:rFonts w:hint="eastAsia"/>
        </w:rPr>
        <w:t>。</w:t>
      </w:r>
    </w:p>
    <w:p w14:paraId="11E173AE">
      <w:pPr>
        <w:pStyle w:val="56"/>
        <w:ind w:firstLine="0" w:firstLineChars="0"/>
        <w:jc w:val="center"/>
      </w:pPr>
      <w:r>
        <w:drawing>
          <wp:inline distT="0" distB="0" distL="0" distR="0">
            <wp:extent cx="2336165" cy="6334125"/>
            <wp:effectExtent l="0" t="0" r="6985" b="0"/>
            <wp:docPr id="4213332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33205" name="图片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4219" cy="6354574"/>
                    </a:xfrm>
                    <a:prstGeom prst="rect">
                      <a:avLst/>
                    </a:prstGeom>
                    <a:noFill/>
                    <a:ln>
                      <a:noFill/>
                    </a:ln>
                  </pic:spPr>
                </pic:pic>
              </a:graphicData>
            </a:graphic>
          </wp:inline>
        </w:drawing>
      </w:r>
      <w:bookmarkStart w:id="61" w:name="_GoBack"/>
      <w:bookmarkEnd w:id="61"/>
    </w:p>
    <w:p w14:paraId="023E6239">
      <w:pPr>
        <w:pStyle w:val="83"/>
        <w:spacing w:before="120" w:after="120"/>
      </w:pPr>
      <w:r>
        <w:rPr>
          <w:rFonts w:hint="eastAsia"/>
        </w:rPr>
        <w:t>绿色建筑电气节能设计与能效评估闭环流程示意</w:t>
      </w:r>
    </w:p>
    <w:bookmarkEnd w:id="58"/>
    <w:p w14:paraId="35D69D8B">
      <w:pPr>
        <w:pStyle w:val="56"/>
        <w:ind w:firstLine="0" w:firstLineChars="0"/>
        <w:jc w:val="center"/>
      </w:pPr>
      <w:bookmarkStart w:id="60" w:name="BookMark8"/>
      <w:r>
        <w:rPr>
          <w:rFonts w:hint="eastAsia"/>
        </w:rPr>
        <w:drawing>
          <wp:inline distT="0" distB="0" distL="0" distR="0">
            <wp:extent cx="1485900" cy="317500"/>
            <wp:effectExtent l="0" t="0" r="0" b="6350"/>
            <wp:docPr id="1977497037" name="图片 3"/>
            <wp:cNvGraphicFramePr/>
            <a:graphic xmlns:a="http://schemas.openxmlformats.org/drawingml/2006/main">
              <a:graphicData uri="http://schemas.openxmlformats.org/drawingml/2006/picture">
                <pic:pic xmlns:pic="http://schemas.openxmlformats.org/drawingml/2006/picture">
                  <pic:nvPicPr>
                    <pic:cNvPr id="1977497037" name="图片 3"/>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FB0F">
    <w:pPr>
      <w:pStyle w:val="51"/>
    </w:pPr>
    <w:r>
      <w:fldChar w:fldCharType="begin"/>
    </w:r>
    <w:r>
      <w:instrText xml:space="preserve"> PAGE   \* MERGEFORMAT \* MERGEFORMAT </w:instrText>
    </w:r>
    <w:r>
      <w:fldChar w:fldCharType="separate"/>
    </w:r>
    <w:r>
      <w:t>14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4D6DC">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EC270">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474C">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EE69A">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5EBE">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713B">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D22F">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E660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C201">
    <w:pPr>
      <w:pStyle w:val="61"/>
    </w:pPr>
    <w:r>
      <w:fldChar w:fldCharType="begin"/>
    </w:r>
    <w:r>
      <w:instrText xml:space="preserve"> STYLEREF  标准文件_文件编号  \* MERGEFORMAT </w:instrText>
    </w:r>
    <w:r>
      <w:fldChar w:fldCharType="separate"/>
    </w:r>
    <w:r>
      <w:t>T/XJBX 0182—2026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D922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0182—2026</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40E0">
    <w:pPr>
      <w:pStyle w:val="61"/>
    </w:pPr>
    <w:r>
      <w:pict>
        <v:shape id="_x0000_s1033" o:spid="_x0000_s1033"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0182—2026</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3A4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0182—2026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0182—2026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0182—2026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E77AC">
    <w:pPr>
      <w:pStyle w:val="61"/>
    </w:pPr>
    <w:r>
      <w:fldChar w:fldCharType="begin"/>
    </w:r>
    <w:r>
      <w:instrText xml:space="preserve"> STYLEREF  标准文件_文件编号  \* MERGEFORMAT </w:instrText>
    </w:r>
    <w:r>
      <w:fldChar w:fldCharType="separate"/>
    </w:r>
    <w:r>
      <w:t>T/XJBX 0182—2026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2E0F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0182—2026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49D3">
    <w:pPr>
      <w:pStyle w:val="61"/>
    </w:pPr>
    <w:r>
      <w:fldChar w:fldCharType="begin"/>
    </w:r>
    <w:r>
      <w:instrText xml:space="preserve"> STYLEREF  标准文件_文件编号  \* MERGEFORMAT </w:instrText>
    </w:r>
    <w:r>
      <w:fldChar w:fldCharType="separate"/>
    </w:r>
    <w:r>
      <w:t>T/XJBX 0182—2026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CC2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0182—2026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4936"/>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271B3"/>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2F8B"/>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2AD7"/>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9DB"/>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3753"/>
    <w:rsid w:val="007B5A3D"/>
    <w:rsid w:val="007B5B95"/>
    <w:rsid w:val="007B6032"/>
    <w:rsid w:val="007B68EA"/>
    <w:rsid w:val="007B7453"/>
    <w:rsid w:val="007C2D89"/>
    <w:rsid w:val="007C4593"/>
    <w:rsid w:val="007C5309"/>
    <w:rsid w:val="007C6069"/>
    <w:rsid w:val="007D06C4"/>
    <w:rsid w:val="007D1352"/>
    <w:rsid w:val="007D2508"/>
    <w:rsid w:val="007D346A"/>
    <w:rsid w:val="007D586D"/>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21A"/>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0C"/>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D28"/>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0C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AA6"/>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5FA9"/>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AE0"/>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48C5"/>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EC23C0"/>
    <w:rsid w:val="7EC3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4.jpeg"/><Relationship Id="rId33" Type="http://schemas.openxmlformats.org/officeDocument/2006/relationships/image" Target="media/image3.pn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81FC839">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4C18B41">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1D3B26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495C04"/>
    <w:rsid w:val="005E6634"/>
    <w:rsid w:val="007146E1"/>
    <w:rsid w:val="00AE1DC6"/>
    <w:rsid w:val="00BA779F"/>
    <w:rsid w:val="00D120C2"/>
    <w:rsid w:val="00E51851"/>
    <w:rsid w:val="00EF553D"/>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3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24</Pages>
  <Words>9422</Words>
  <Characters>9736</Characters>
  <Lines>102</Lines>
  <Paragraphs>28</Paragraphs>
  <TotalTime>70</TotalTime>
  <ScaleCrop>false</ScaleCrop>
  <LinksUpToDate>false</LinksUpToDate>
  <CharactersWithSpaces>9838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2026-01-15T02:21:16Z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C9288F6B81B44124BD24F8F2B2D35170_12</vt:lpwstr>
  </property>
</Properties>
</file>