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21.020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10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0"/>
            </w:textInput>
          </w:ffData>
        </w:fldChar>
      </w:r>
      <w:bookmarkStart w:id="6" w:name="NSTD_CODE_F"/>
      <w:r>
        <w:instrText xml:space="preserve"> FORMTEXT </w:instrText>
      </w:r>
      <w:r>
        <w:fldChar w:fldCharType="separate"/>
      </w:r>
      <w:r>
        <w:t>0180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CE81A67">
      <w:pPr>
        <w:pStyle w:val="197"/>
        <w:framePr w:h="6974" w:hRule="exact" w:wrap="around" w:x="1419" w:anchorLock="1"/>
      </w:pPr>
      <w:r>
        <w:fldChar w:fldCharType="begin">
          <w:ffData>
            <w:name w:val="CSTD_NAME"/>
            <w:enabled/>
            <w:calcOnExit w:val="0"/>
            <w:textInput>
              <w:default w:val="机电类特种设备智能检验系统现场检验操作与结果判定指引"/>
            </w:textInput>
          </w:ffData>
        </w:fldChar>
      </w:r>
      <w:bookmarkStart w:id="9" w:name="CSTD_NAME"/>
      <w:r>
        <w:instrText xml:space="preserve"> FORMTEXT </w:instrText>
      </w:r>
      <w:r>
        <w:fldChar w:fldCharType="separate"/>
      </w:r>
      <w:r>
        <w:t>机电类特种设备智能检验系统现场</w:t>
      </w:r>
    </w:p>
    <w:p w14:paraId="73594FE6">
      <w:pPr>
        <w:pStyle w:val="197"/>
        <w:framePr w:h="6974" w:hRule="exact" w:wrap="around" w:x="1419" w:anchorLock="1"/>
      </w:pPr>
      <w:r>
        <w:t>检验操作与结果判定指引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on-site inspection operation and result determination of intelligent inspection systems for electromechanical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on-site inspection operation and result determination of intelligent inspection systems for electromechanical special equipment</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58060BD">
      <w:pPr>
        <w:pStyle w:val="91"/>
        <w:spacing w:after="360"/>
      </w:pPr>
      <w:bookmarkStart w:id="21" w:name="BookMark1"/>
      <w:r>
        <w:rPr>
          <w:rFonts w:hint="eastAsia"/>
          <w:spacing w:val="320"/>
        </w:rPr>
        <w:t>目</w:t>
      </w:r>
      <w:r>
        <w:rPr>
          <w:rFonts w:hint="eastAsia"/>
        </w:rPr>
        <w:t>次</w:t>
      </w:r>
    </w:p>
    <w:p w14:paraId="51F4C75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"_Toc219062482"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_Toc219062482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69075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_Toc219062483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F0321F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_Toc219062484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3AF64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_Toc219062485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0774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_Toc219062486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1AFF0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"_Toc219062487"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_Toc219062487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2B77B8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"_Toc219062488" </w:instrText>
      </w:r>
      <w:r>
        <w:fldChar w:fldCharType="separate"/>
      </w:r>
      <w:r>
        <w:rPr>
          <w:rStyle w:val="32"/>
          <w:rFonts w:hint="eastAsia"/>
        </w:rPr>
        <w:t>5</w:t>
      </w:r>
      <w:r>
        <w:rPr>
          <w:rStyle w:val="32"/>
        </w:rPr>
        <w:t xml:space="preserve"> </w:t>
      </w:r>
      <w:r>
        <w:rPr>
          <w:rStyle w:val="32"/>
          <w:rFonts w:hint="eastAsia"/>
        </w:rPr>
        <w:t xml:space="preserve"> 现场检验流程与操作要点</w:t>
      </w:r>
      <w:r>
        <w:rPr>
          <w:rFonts w:hint="eastAsia"/>
        </w:rPr>
        <w:tab/>
      </w:r>
      <w:r>
        <w:rPr>
          <w:rFonts w:hint="eastAsia"/>
        </w:rPr>
        <w:fldChar w:fldCharType="begin"/>
      </w:r>
      <w:r>
        <w:rPr>
          <w:rFonts w:hint="eastAsia"/>
        </w:rPr>
        <w:instrText xml:space="preserve"> </w:instrText>
      </w:r>
      <w:r>
        <w:instrText xml:space="preserve">PAGEREF _Toc219062488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40BA44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"_Toc219062489" </w:instrText>
      </w:r>
      <w:r>
        <w:fldChar w:fldCharType="separate"/>
      </w:r>
      <w:r>
        <w:rPr>
          <w:rStyle w:val="32"/>
          <w:rFonts w:hint="eastAsia"/>
        </w:rPr>
        <w:t>6</w:t>
      </w:r>
      <w:r>
        <w:rPr>
          <w:rStyle w:val="32"/>
        </w:rPr>
        <w:t xml:space="preserve"> </w:t>
      </w:r>
      <w:r>
        <w:rPr>
          <w:rStyle w:val="32"/>
          <w:rFonts w:hint="eastAsia"/>
        </w:rPr>
        <w:t xml:space="preserve"> 数据校核与异常处置细则</w:t>
      </w:r>
      <w:r>
        <w:rPr>
          <w:rFonts w:hint="eastAsia"/>
        </w:rPr>
        <w:tab/>
      </w:r>
      <w:r>
        <w:rPr>
          <w:rFonts w:hint="eastAsia"/>
        </w:rPr>
        <w:fldChar w:fldCharType="begin"/>
      </w:r>
      <w:r>
        <w:rPr>
          <w:rFonts w:hint="eastAsia"/>
        </w:rPr>
        <w:instrText xml:space="preserve"> </w:instrText>
      </w:r>
      <w:r>
        <w:instrText xml:space="preserve">PAGEREF _Toc219062489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DAAA37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"_Toc219062490" </w:instrText>
      </w:r>
      <w:r>
        <w:fldChar w:fldCharType="separate"/>
      </w:r>
      <w:r>
        <w:rPr>
          <w:rStyle w:val="32"/>
          <w:rFonts w:hint="eastAsia"/>
        </w:rPr>
        <w:t>7</w:t>
      </w:r>
      <w:r>
        <w:rPr>
          <w:rStyle w:val="32"/>
        </w:rPr>
        <w:t xml:space="preserve"> </w:t>
      </w:r>
      <w:r>
        <w:rPr>
          <w:rStyle w:val="32"/>
          <w:rFonts w:hint="eastAsia"/>
        </w:rPr>
        <w:t xml:space="preserve"> 结果判定规则与结论表达</w:t>
      </w:r>
      <w:r>
        <w:rPr>
          <w:rFonts w:hint="eastAsia"/>
        </w:rPr>
        <w:tab/>
      </w:r>
      <w:r>
        <w:rPr>
          <w:rFonts w:hint="eastAsia"/>
        </w:rPr>
        <w:fldChar w:fldCharType="begin"/>
      </w:r>
      <w:r>
        <w:rPr>
          <w:rFonts w:hint="eastAsia"/>
        </w:rPr>
        <w:instrText xml:space="preserve"> </w:instrText>
      </w:r>
      <w:r>
        <w:instrText xml:space="preserve">PAGEREF _Toc219062490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64D20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"_Toc219062491" </w:instrText>
      </w:r>
      <w:r>
        <w:fldChar w:fldCharType="separate"/>
      </w:r>
      <w:r>
        <w:rPr>
          <w:rStyle w:val="32"/>
          <w:rFonts w:hint="eastAsia"/>
        </w:rPr>
        <w:t>8</w:t>
      </w:r>
      <w:r>
        <w:rPr>
          <w:rStyle w:val="32"/>
        </w:rPr>
        <w:t xml:space="preserve"> </w:t>
      </w:r>
      <w:r>
        <w:rPr>
          <w:rStyle w:val="32"/>
          <w:rFonts w:hint="eastAsia"/>
        </w:rPr>
        <w:t xml:space="preserve"> 报告输出与审核签发</w:t>
      </w:r>
      <w:r>
        <w:rPr>
          <w:rFonts w:hint="eastAsia"/>
        </w:rPr>
        <w:tab/>
      </w:r>
      <w:r>
        <w:rPr>
          <w:rFonts w:hint="eastAsia"/>
        </w:rPr>
        <w:fldChar w:fldCharType="begin"/>
      </w:r>
      <w:r>
        <w:rPr>
          <w:rFonts w:hint="eastAsia"/>
        </w:rPr>
        <w:instrText xml:space="preserve"> </w:instrText>
      </w:r>
      <w:r>
        <w:instrText xml:space="preserve">PAGEREF _Toc219062491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7F2669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"_Toc219062492" </w:instrText>
      </w:r>
      <w:r>
        <w:fldChar w:fldCharType="separate"/>
      </w:r>
      <w:r>
        <w:rPr>
          <w:rStyle w:val="32"/>
          <w:rFonts w:hint="eastAsia"/>
        </w:rPr>
        <w:t>9</w:t>
      </w:r>
      <w:r>
        <w:rPr>
          <w:rStyle w:val="32"/>
        </w:rPr>
        <w:t xml:space="preserve"> </w:t>
      </w:r>
      <w:r>
        <w:rPr>
          <w:rStyle w:val="32"/>
          <w:rFonts w:hint="eastAsia"/>
        </w:rPr>
        <w:t xml:space="preserve"> 整改复检与闭环管理</w:t>
      </w:r>
      <w:r>
        <w:rPr>
          <w:rFonts w:hint="eastAsia"/>
        </w:rPr>
        <w:tab/>
      </w:r>
      <w:r>
        <w:rPr>
          <w:rFonts w:hint="eastAsia"/>
        </w:rPr>
        <w:fldChar w:fldCharType="begin"/>
      </w:r>
      <w:r>
        <w:rPr>
          <w:rFonts w:hint="eastAsia"/>
        </w:rPr>
        <w:instrText xml:space="preserve"> </w:instrText>
      </w:r>
      <w:r>
        <w:instrText xml:space="preserve">PAGEREF _Toc219062492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65F76CD">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6248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29E7D511">
      <w:pPr>
        <w:pStyle w:val="56"/>
        <w:spacing w:line="360" w:lineRule="auto"/>
        <w:ind w:firstLine="420"/>
      </w:pPr>
      <w:r>
        <w:rPr>
          <w:rFonts w:hint="eastAsia"/>
        </w:rPr>
        <w:t>本文件起草单位：广东科学中心。</w:t>
      </w:r>
    </w:p>
    <w:p w14:paraId="55F4A5D1">
      <w:pPr>
        <w:pStyle w:val="56"/>
        <w:spacing w:line="360" w:lineRule="auto"/>
        <w:ind w:firstLine="420"/>
      </w:pPr>
      <w:r>
        <w:rPr>
          <w:rFonts w:hint="eastAsia"/>
        </w:rPr>
        <w:t>本文件主要起草人：熊志胜。</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62483"/>
      <w:bookmarkStart w:id="25" w:name="BookMark3"/>
      <w:r>
        <w:rPr>
          <w:spacing w:val="320"/>
        </w:rPr>
        <w:t>引</w:t>
      </w:r>
      <w:r>
        <w:t>言</w:t>
      </w:r>
      <w:bookmarkEnd w:id="24"/>
    </w:p>
    <w:p w14:paraId="62692D0F">
      <w:pPr>
        <w:pStyle w:val="56"/>
        <w:spacing w:line="360" w:lineRule="auto"/>
        <w:ind w:firstLine="420"/>
      </w:pPr>
      <w:r>
        <w:rPr>
          <w:rFonts w:hint="eastAsia"/>
        </w:rPr>
        <w:t>机电类特种设备涵盖电梯、起重机械、客运索道、大型游乐设施、场内专用机动车辆等，其现场检验具有对象类型多、工况复杂、风险点分散、数据采集链条长以及结果判定依赖经验等特点。随着传感器、移动终端、边缘计算与数据平台技术的发展，机电类特种设备智能检验系统逐步应用于现场检验活动，通过电子化检验流程、智能采集与自动校核、风险提示与辅助判定等功能，提高检验效率与一致性，降低漏检与误判风险。然而在实际应用中，仍存在系统功能与现场流程衔接不充分、数据采集口径不统一、设备状态与环境因素影响未充分识别、异常数据复核机制不完善、结果判定依据表达不清以及电子记录证据链不完整等问题，影响智能检验系统的推广应用与检验结论的公信力。</w:t>
      </w:r>
    </w:p>
    <w:p w14:paraId="2BF4A899">
      <w:pPr>
        <w:pStyle w:val="56"/>
        <w:spacing w:line="360" w:lineRule="auto"/>
        <w:ind w:firstLine="420"/>
      </w:pPr>
      <w:r>
        <w:rPr>
          <w:rFonts w:hint="eastAsia"/>
        </w:rPr>
        <w:t>为规范机电类特种设备智能检验系统的现场检验操作与结果判定工作，提高检验过程的标准化、数据化与可追溯水平，本文件提出现场检验操作要点、数据采集与校核要求、异常处置与复核规则、结果判定逻辑与结论表达要求，覆盖检验准备、现场实施、数据上传与审核、结果输出与报告签发、整改复检与资料归档等关键环节。本文件强调以法定检验依据为基础，以风险控制为导向，以数据证据链为核心，形成可落地、可审计、可复用的智能检验实施框架，支撑机电类特种设备安全监管与使用管理。</w:t>
      </w:r>
    </w:p>
    <w:p w14:paraId="7F4A69FE">
      <w:pPr>
        <w:pStyle w:val="56"/>
        <w:spacing w:line="360" w:lineRule="auto"/>
        <w:ind w:firstLine="420"/>
      </w:pPr>
      <w:r>
        <w:rPr>
          <w:rFonts w:hint="eastAsia"/>
        </w:rPr>
        <w:t>本文件适用于采用智能检验系统开展机电类特种设备现场监督检验、定期检验与专项检验的检验机构及相关参与单位。不同设备类别的具体检验项目与限值应遵循相应安全技术规范、检验规程与产品标准。</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253FCD8D">
          <w:pPr>
            <w:pStyle w:val="177"/>
            <w:spacing w:after="0"/>
          </w:pPr>
          <w:bookmarkStart w:id="27" w:name="NEW_STAND_NAME"/>
          <w:r>
            <w:rPr>
              <w:rFonts w:hint="eastAsia"/>
            </w:rPr>
            <w:t>机电类特种设备智能检验系统现场</w:t>
          </w:r>
        </w:p>
        <w:p w14:paraId="7D4E3E1F">
          <w:pPr>
            <w:pStyle w:val="177"/>
            <w:spacing w:before="0"/>
          </w:pPr>
          <w:r>
            <w:rPr>
              <w:rFonts w:hint="eastAsia"/>
            </w:rPr>
            <w:t>检验操作与结果判定指引</w:t>
          </w:r>
        </w:p>
      </w:sdtContent>
    </w:sdt>
    <w:bookmarkEnd w:id="27"/>
    <w:p w14:paraId="3DB22445">
      <w:pPr>
        <w:pStyle w:val="104"/>
        <w:spacing w:before="240" w:after="240" w:line="360" w:lineRule="auto"/>
      </w:pPr>
      <w:bookmarkStart w:id="28" w:name="_Toc26986771"/>
      <w:bookmarkStart w:id="29" w:name="_Toc26986530"/>
      <w:bookmarkStart w:id="30" w:name="_Toc24884218"/>
      <w:bookmarkStart w:id="31" w:name="_Toc26648465"/>
      <w:bookmarkStart w:id="32" w:name="_Toc26718930"/>
      <w:bookmarkStart w:id="33" w:name="_Toc17233325"/>
      <w:bookmarkStart w:id="34" w:name="_Toc219062484"/>
      <w:bookmarkStart w:id="35" w:name="_Toc97192964"/>
      <w:bookmarkStart w:id="36" w:name="_Toc24884211"/>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17288BB9">
      <w:pPr>
        <w:pStyle w:val="56"/>
        <w:spacing w:line="360" w:lineRule="auto"/>
        <w:ind w:firstLine="420"/>
      </w:pPr>
      <w:bookmarkStart w:id="38" w:name="_Toc17233326"/>
      <w:bookmarkStart w:id="39" w:name="_Toc24884219"/>
      <w:bookmarkStart w:id="40" w:name="_Toc26648466"/>
      <w:bookmarkStart w:id="41" w:name="_Toc24884212"/>
      <w:bookmarkStart w:id="42" w:name="_Toc17233334"/>
      <w:r>
        <w:rPr>
          <w:rFonts w:hint="eastAsia"/>
        </w:rPr>
        <w:t>本文件规定了机电类特种设备智能检验系统开展现场检验的总体要求、现场检验流程与操作要点、数据校核与异常处置细则、结果判定规则与结论表达、报告输出与审核签发及整改复检与闭环管理等内容。</w:t>
      </w:r>
    </w:p>
    <w:p w14:paraId="76265264">
      <w:pPr>
        <w:pStyle w:val="56"/>
        <w:spacing w:line="360" w:lineRule="auto"/>
        <w:ind w:firstLine="420"/>
      </w:pPr>
      <w:r>
        <w:rPr>
          <w:rFonts w:hint="eastAsia"/>
        </w:rPr>
        <w:t>本文件适用于电梯、起重机械、客运索道、大型游乐设施、场内专用机动车辆等机电类特种设备采用智能检验系统实施的监督检验、定期检验与专项检验活动。对采用数字化平台但未具备全流程智能采集能力的检验系统，可参照本文件的数据证据链与判定要求执行。</w:t>
      </w:r>
    </w:p>
    <w:p w14:paraId="3733B2AD">
      <w:pPr>
        <w:pStyle w:val="104"/>
        <w:spacing w:before="240" w:after="240" w:line="360" w:lineRule="auto"/>
      </w:pPr>
      <w:bookmarkStart w:id="43" w:name="_Toc26986531"/>
      <w:bookmarkStart w:id="44" w:name="_Toc26986772"/>
      <w:bookmarkStart w:id="45" w:name="_Toc97192965"/>
      <w:bookmarkStart w:id="46" w:name="_Toc26718931"/>
      <w:bookmarkStart w:id="47" w:name="_Toc21906248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2F677F">
      <w:pPr>
        <w:pStyle w:val="56"/>
        <w:spacing w:line="360" w:lineRule="auto"/>
        <w:ind w:firstLine="420"/>
      </w:pPr>
      <w:r>
        <w:rPr>
          <w:rFonts w:hint="eastAsia"/>
        </w:rPr>
        <w:t>GB/T 1.1 标准化工作导则  第1部分：标准化文件的结构和起草规则</w:t>
      </w:r>
    </w:p>
    <w:p w14:paraId="51A26088">
      <w:pPr>
        <w:pStyle w:val="56"/>
        <w:spacing w:line="360" w:lineRule="auto"/>
        <w:ind w:firstLine="420"/>
      </w:pPr>
      <w:r>
        <w:rPr>
          <w:rFonts w:hint="eastAsia"/>
        </w:rPr>
        <w:t>TSG 08 特种设备使用管理规则</w:t>
      </w:r>
    </w:p>
    <w:p w14:paraId="74C8A897">
      <w:pPr>
        <w:pStyle w:val="56"/>
        <w:spacing w:line="360" w:lineRule="auto"/>
        <w:ind w:firstLine="420"/>
      </w:pPr>
      <w:r>
        <w:t>TSG 21</w:t>
      </w:r>
      <w:r>
        <w:rPr>
          <w:rFonts w:hint="eastAsia"/>
        </w:rPr>
        <w:t>—</w:t>
      </w:r>
      <w:r>
        <w:t>2016</w:t>
      </w:r>
      <w:r>
        <w:rPr>
          <w:rFonts w:hint="eastAsia"/>
        </w:rPr>
        <w:t xml:space="preserve"> 固定式压力容器安全技术监察规程</w:t>
      </w:r>
    </w:p>
    <w:p w14:paraId="07A7F860">
      <w:pPr>
        <w:pStyle w:val="56"/>
        <w:spacing w:line="360" w:lineRule="auto"/>
        <w:ind w:firstLine="420"/>
      </w:pPr>
      <w:r>
        <w:rPr>
          <w:rFonts w:hint="eastAsia"/>
        </w:rPr>
        <w:t>TSG 81 电梯监督检验和定期检验规则</w:t>
      </w:r>
    </w:p>
    <w:p w14:paraId="4C955A10">
      <w:pPr>
        <w:pStyle w:val="56"/>
        <w:spacing w:line="360" w:lineRule="auto"/>
        <w:ind w:firstLine="420"/>
      </w:pPr>
      <w:r>
        <w:rPr>
          <w:rFonts w:hint="eastAsia"/>
        </w:rPr>
        <w:t>DB31/T 213—2020 小型锅炉和常压热水锅炉技术要求及运行管理</w:t>
      </w:r>
    </w:p>
    <w:p w14:paraId="51F02A4E">
      <w:pPr>
        <w:pStyle w:val="104"/>
        <w:spacing w:before="240" w:after="240" w:line="360" w:lineRule="auto"/>
      </w:pPr>
      <w:bookmarkStart w:id="48" w:name="_Toc97192966"/>
      <w:bookmarkStart w:id="49" w:name="_Toc21906248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8A3A0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智能检验系统 intelligent inspection system</w:t>
      </w:r>
    </w:p>
    <w:p w14:paraId="440A7E28">
      <w:pPr>
        <w:pStyle w:val="56"/>
        <w:spacing w:line="360" w:lineRule="auto"/>
        <w:ind w:firstLine="420"/>
      </w:pPr>
      <w:r>
        <w:rPr>
          <w:rFonts w:hint="eastAsia"/>
        </w:rPr>
        <w:t>用于机电类特种设备现场检验的数字化系统，集成检验计划、电子化项目表、数据采集接口、自动校核、风险提示、记录留痕、数据上传审核与报告输出等功能。</w:t>
      </w:r>
    </w:p>
    <w:p w14:paraId="5B2C9F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现场检验 on site inspection</w:t>
      </w:r>
    </w:p>
    <w:p w14:paraId="6C93C522">
      <w:pPr>
        <w:pStyle w:val="56"/>
        <w:spacing w:line="360" w:lineRule="auto"/>
        <w:ind w:firstLine="420"/>
      </w:pPr>
      <w:r>
        <w:rPr>
          <w:rFonts w:hint="eastAsia"/>
        </w:rPr>
        <w:t>检验人员在设备安装现场或使用现场，依据安全技术规范与检验规程对设备实施检查、测量、试验与功能验证的活动。</w:t>
      </w:r>
    </w:p>
    <w:p w14:paraId="297A14D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电子化检验项目表 electronic checklist</w:t>
      </w:r>
    </w:p>
    <w:p w14:paraId="72570E5E">
      <w:pPr>
        <w:pStyle w:val="56"/>
        <w:spacing w:line="360" w:lineRule="auto"/>
        <w:ind w:firstLine="420"/>
      </w:pPr>
      <w:r>
        <w:rPr>
          <w:rFonts w:hint="eastAsia"/>
        </w:rPr>
        <w:t>在智能检验系统中按设备类别与检验类型生成的检验项目集合，包含项目要求、判定依据、数据采集方式、允许偏差与记录字段。</w:t>
      </w:r>
    </w:p>
    <w:p w14:paraId="214104B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数据证据链 data evidence chain</w:t>
      </w:r>
    </w:p>
    <w:p w14:paraId="73F9EC10">
      <w:pPr>
        <w:pStyle w:val="56"/>
        <w:spacing w:line="360" w:lineRule="auto"/>
        <w:ind w:firstLine="420"/>
      </w:pPr>
      <w:r>
        <w:rPr>
          <w:rFonts w:hint="eastAsia"/>
        </w:rPr>
        <w:t>能够证明检验活动真实发生且结果可信的证据集合，包括身份认证、时间地点、原始数据、传感器或仪器信息、照片视频、签名确认、系统日志与审核记录等。</w:t>
      </w:r>
    </w:p>
    <w:p w14:paraId="2DD69AC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自动校核 automated validation</w:t>
      </w:r>
    </w:p>
    <w:p w14:paraId="5FD25EAD">
      <w:pPr>
        <w:pStyle w:val="56"/>
        <w:spacing w:line="360" w:lineRule="auto"/>
        <w:ind w:firstLine="420"/>
      </w:pPr>
      <w:r>
        <w:rPr>
          <w:rFonts w:hint="eastAsia"/>
        </w:rPr>
        <w:t>智能检验系统依据预设规则对采集数据实施范围检查、逻辑一致性检查、完整性检查与关联比对，输出异常提示或风险提示的功能。</w:t>
      </w:r>
    </w:p>
    <w:p w14:paraId="6C24298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异常处置 anomaly handling</w:t>
      </w:r>
    </w:p>
    <w:p w14:paraId="6C37D3CC">
      <w:pPr>
        <w:pStyle w:val="56"/>
        <w:spacing w:line="360" w:lineRule="auto"/>
        <w:ind w:firstLine="420"/>
      </w:pPr>
      <w:r>
        <w:rPr>
          <w:rFonts w:hint="eastAsia"/>
        </w:rPr>
        <w:t>针对采集数据异常、规则校核不通过、现场条件不满足或设备状态异常等情况采取的复测、补测、替代方法验证、记录说明与判定调整等措施。</w:t>
      </w:r>
    </w:p>
    <w:p w14:paraId="300295F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结果判定 result determination</w:t>
      </w:r>
    </w:p>
    <w:p w14:paraId="0D0965AD">
      <w:pPr>
        <w:pStyle w:val="56"/>
        <w:spacing w:line="360" w:lineRule="auto"/>
        <w:ind w:firstLine="420"/>
      </w:pPr>
      <w:r>
        <w:rPr>
          <w:rFonts w:hint="eastAsia"/>
        </w:rPr>
        <w:t>依据安全技术规范、检验规程与系统判定规则，对单项检验项目与整机检验结论进行合格、不合格或需整改复检等判定并形成结论表达的过程。</w:t>
      </w:r>
    </w:p>
    <w:p w14:paraId="065C0E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复检 re inspection</w:t>
      </w:r>
    </w:p>
    <w:p w14:paraId="11ED0D72">
      <w:pPr>
        <w:pStyle w:val="56"/>
        <w:spacing w:line="360" w:lineRule="auto"/>
        <w:ind w:firstLine="420"/>
      </w:pPr>
      <w:r>
        <w:rPr>
          <w:rFonts w:hint="eastAsia"/>
        </w:rPr>
        <w:t>对整改完成后的设备或针对疑点项目实施的再次现场检验活动，用于确认缺陷消除与满足判定条件。</w:t>
      </w:r>
    </w:p>
    <w:p w14:paraId="00A2F2B3">
      <w:pPr>
        <w:pStyle w:val="104"/>
        <w:spacing w:before="240" w:after="240" w:line="360" w:lineRule="auto"/>
      </w:pPr>
      <w:bookmarkStart w:id="51" w:name="_Toc219062487"/>
      <w:r>
        <w:rPr>
          <w:rFonts w:hint="eastAsia"/>
        </w:rPr>
        <w:t>总体要求</w:t>
      </w:r>
      <w:bookmarkEnd w:id="51"/>
    </w:p>
    <w:p w14:paraId="3E45271F">
      <w:pPr>
        <w:pStyle w:val="105"/>
        <w:spacing w:before="120" w:after="120" w:line="360" w:lineRule="auto"/>
      </w:pPr>
      <w:r>
        <w:rPr>
          <w:rFonts w:hint="eastAsia"/>
        </w:rPr>
        <w:t>工作目标</w:t>
      </w:r>
    </w:p>
    <w:p w14:paraId="146AD879">
      <w:pPr>
        <w:pStyle w:val="165"/>
        <w:spacing w:line="360" w:lineRule="auto"/>
      </w:pPr>
      <w:r>
        <w:rPr>
          <w:rFonts w:hint="eastAsia"/>
        </w:rPr>
        <w:t>采用智能检验系统开展现场检验应实现流程规范、数据真实、判定一致、证据完整与结果可追溯。检验活动应满足法定检验依据的要求，并通过智能化手段提升检验效率与风险识别能力。</w:t>
      </w:r>
    </w:p>
    <w:p w14:paraId="1CE54EFF">
      <w:pPr>
        <w:pStyle w:val="165"/>
        <w:spacing w:line="360" w:lineRule="auto"/>
      </w:pPr>
      <w:r>
        <w:rPr>
          <w:rFonts w:hint="eastAsia"/>
        </w:rPr>
        <w:t>智能检验系统应支撑现场检验全过程留痕，包括检验计划生成、人员身份认证、检验项目执行、数据采集与上传、自动校核与异常处置、审核签发与报告输出、整改复检与归档管理。</w:t>
      </w:r>
    </w:p>
    <w:p w14:paraId="384E25D0">
      <w:pPr>
        <w:pStyle w:val="105"/>
        <w:spacing w:before="120" w:after="120" w:line="360" w:lineRule="auto"/>
      </w:pPr>
      <w:r>
        <w:rPr>
          <w:rFonts w:hint="eastAsia"/>
        </w:rPr>
        <w:t>资质与职责</w:t>
      </w:r>
    </w:p>
    <w:p w14:paraId="00B2CB11">
      <w:pPr>
        <w:pStyle w:val="165"/>
        <w:spacing w:line="360" w:lineRule="auto"/>
      </w:pPr>
      <w:r>
        <w:rPr>
          <w:rFonts w:hint="eastAsia"/>
        </w:rPr>
        <w:t>检验机构应具备开展相应设备类别检验的法定资质，并明确智能检验系统使用管理制度、数据管理制度与信息安全制度。</w:t>
      </w:r>
    </w:p>
    <w:p w14:paraId="317B7EAC">
      <w:pPr>
        <w:pStyle w:val="165"/>
        <w:spacing w:line="360" w:lineRule="auto"/>
      </w:pPr>
      <w:r>
        <w:rPr>
          <w:rFonts w:hint="eastAsia"/>
        </w:rPr>
        <w:t>检验人员应具备相应检验资格并完成智能检验系统操作培训。检验人员应对现场检验真实性、数据准确性与判定结论负责，不得以系统自动判定替代现场专业判断。</w:t>
      </w:r>
    </w:p>
    <w:p w14:paraId="3CAF2662">
      <w:pPr>
        <w:pStyle w:val="165"/>
        <w:spacing w:line="360" w:lineRule="auto"/>
      </w:pPr>
      <w:r>
        <w:rPr>
          <w:rFonts w:hint="eastAsia"/>
        </w:rPr>
        <w:t>使用单位应配合现场检验，提供设备资料、运行记录、维护保养记录、故障与事故记录，并落实现场安全条件。安装维保单位参与检验时，应明确其配合范围，不得干预检验过程与数据记录。</w:t>
      </w:r>
    </w:p>
    <w:p w14:paraId="59DEF206">
      <w:pPr>
        <w:pStyle w:val="105"/>
        <w:spacing w:before="120" w:after="120" w:line="360" w:lineRule="auto"/>
      </w:pPr>
      <w:r>
        <w:rPr>
          <w:rFonts w:hint="eastAsia"/>
        </w:rPr>
        <w:t>系统功能与配置要求</w:t>
      </w:r>
    </w:p>
    <w:p w14:paraId="2FDDB804">
      <w:pPr>
        <w:pStyle w:val="165"/>
        <w:spacing w:line="360" w:lineRule="auto"/>
      </w:pPr>
      <w:r>
        <w:rPr>
          <w:rFonts w:hint="eastAsia"/>
        </w:rPr>
        <w:t>智能检验系统应具备与检验活动匹配的基本功能，至少包括检验项目表生成、数据录入与采集接口、照片视频采集、自动校核、异常提示、离线采集与补传、电子签名、审核流程、报告输出、台账管理与日志管理。</w:t>
      </w:r>
    </w:p>
    <w:p w14:paraId="7A877E99">
      <w:pPr>
        <w:pStyle w:val="165"/>
        <w:spacing w:line="360" w:lineRule="auto"/>
      </w:pPr>
      <w:r>
        <w:rPr>
          <w:rFonts w:hint="eastAsia"/>
        </w:rPr>
        <w:t>系统应支持设备类别、检验类型与版本管理。检验项目表与判定规则应与现行安全技术规范和检验规程一致，版本更新应受控并可追溯。</w:t>
      </w:r>
    </w:p>
    <w:p w14:paraId="09EAE1E9">
      <w:pPr>
        <w:pStyle w:val="165"/>
        <w:spacing w:line="360" w:lineRule="auto"/>
      </w:pPr>
      <w:r>
        <w:rPr>
          <w:rFonts w:hint="eastAsia"/>
        </w:rPr>
        <w:t>系统应支持仪器设备管理。应记录采集数据所使用的仪器或传感器型号、编号、校准状态与有效期。对通过外接传感器自动采集的数据，应记录数据采样频率、采集时长与数据文件校验信息。</w:t>
      </w:r>
    </w:p>
    <w:p w14:paraId="20140682">
      <w:pPr>
        <w:pStyle w:val="105"/>
        <w:spacing w:before="120" w:after="120" w:line="360" w:lineRule="auto"/>
      </w:pPr>
      <w:r>
        <w:rPr>
          <w:rFonts w:hint="eastAsia"/>
        </w:rPr>
        <w:t>检验前准备要求</w:t>
      </w:r>
    </w:p>
    <w:p w14:paraId="33E95C7B">
      <w:pPr>
        <w:pStyle w:val="165"/>
        <w:spacing w:line="360" w:lineRule="auto"/>
      </w:pPr>
      <w:r>
        <w:rPr>
          <w:rFonts w:hint="eastAsia"/>
        </w:rPr>
        <w:t>检验前应完成检验策划。策划内容应包括设备类别与检验类型确认、检验依据确认、现场风险识别、检验人员与分工、所需仪器与工装、数据采集方式、证据链要求与应急处置安排。</w:t>
      </w:r>
    </w:p>
    <w:p w14:paraId="457396F8">
      <w:pPr>
        <w:pStyle w:val="165"/>
        <w:spacing w:line="360" w:lineRule="auto"/>
      </w:pPr>
      <w:r>
        <w:rPr>
          <w:rFonts w:hint="eastAsia"/>
        </w:rPr>
        <w:t>应完成资料核查与系统建档。系统建档信息应至少包括设备基本信息、使用登记信息、主要技术参数、安装或改造信息、维保信息与历史检验结论。资料缺失或信息不一致时，应记录并按规则处理。</w:t>
      </w:r>
    </w:p>
    <w:p w14:paraId="30945C44">
      <w:pPr>
        <w:pStyle w:val="165"/>
        <w:spacing w:line="360" w:lineRule="auto"/>
      </w:pPr>
      <w:r>
        <w:rPr>
          <w:rFonts w:hint="eastAsia"/>
        </w:rPr>
        <w:t>应核查检验仪器与系统状态。仪器应在有效校准或核查期内，系统应完成账号权限确认、离线包下载或任务下发、时间同步与定位功能测试。</w:t>
      </w:r>
    </w:p>
    <w:p w14:paraId="2A653236">
      <w:pPr>
        <w:pStyle w:val="105"/>
        <w:spacing w:before="120" w:after="120" w:line="360" w:lineRule="auto"/>
      </w:pPr>
      <w:r>
        <w:rPr>
          <w:rFonts w:hint="eastAsia"/>
        </w:rPr>
        <w:t>现场安全控制要求</w:t>
      </w:r>
    </w:p>
    <w:p w14:paraId="56719C21">
      <w:pPr>
        <w:pStyle w:val="165"/>
        <w:spacing w:line="360" w:lineRule="auto"/>
      </w:pPr>
      <w:r>
        <w:rPr>
          <w:rFonts w:hint="eastAsia"/>
        </w:rPr>
        <w:t>现场检验应执行安全作业管理。检验人员应落实个人防护，必要时执行高处作业、有限空间作业、临时用电、动火作业等控制要求。</w:t>
      </w:r>
    </w:p>
    <w:p w14:paraId="39F0BCFF">
      <w:pPr>
        <w:pStyle w:val="165"/>
        <w:spacing w:line="360" w:lineRule="auto"/>
      </w:pPr>
      <w:r>
        <w:rPr>
          <w:rFonts w:hint="eastAsia"/>
        </w:rPr>
        <w:t>检验前应确认设备停机与隔离条件，确认警示标识、围挡与监护措施到位。涉及试运行、载荷试验或功能试验时，应制定试验控制措施，明确指挥口令与紧急停止条件。</w:t>
      </w:r>
    </w:p>
    <w:p w14:paraId="0CB65330">
      <w:pPr>
        <w:pStyle w:val="165"/>
        <w:spacing w:line="360" w:lineRule="auto"/>
      </w:pPr>
      <w:r>
        <w:rPr>
          <w:rFonts w:hint="eastAsia"/>
        </w:rPr>
        <w:t>检验过程中发现可能导致人身伤害或重大事故风险的缺陷时，应立即采取风险控制措施并通知使用单位，必要时建议停止使用并按程序记录。</w:t>
      </w:r>
    </w:p>
    <w:p w14:paraId="59698BC3">
      <w:pPr>
        <w:pStyle w:val="165"/>
        <w:numPr>
          <w:ilvl w:val="0"/>
          <w:numId w:val="0"/>
        </w:numPr>
        <w:spacing w:line="360" w:lineRule="auto"/>
      </w:pPr>
    </w:p>
    <w:p w14:paraId="4E70F373">
      <w:pPr>
        <w:pStyle w:val="165"/>
        <w:numPr>
          <w:ilvl w:val="0"/>
          <w:numId w:val="0"/>
        </w:numPr>
        <w:spacing w:line="360" w:lineRule="auto"/>
      </w:pPr>
    </w:p>
    <w:p w14:paraId="685F654C">
      <w:pPr>
        <w:pStyle w:val="105"/>
        <w:spacing w:before="120" w:after="120" w:line="360" w:lineRule="auto"/>
      </w:pPr>
      <w:r>
        <w:rPr>
          <w:rFonts w:hint="eastAsia"/>
        </w:rPr>
        <w:t>数据采集与证据链要求</w:t>
      </w:r>
    </w:p>
    <w:p w14:paraId="4D2B817E">
      <w:pPr>
        <w:pStyle w:val="165"/>
        <w:spacing w:line="360" w:lineRule="auto"/>
      </w:pPr>
      <w:r>
        <w:rPr>
          <w:rFonts w:hint="eastAsia"/>
        </w:rPr>
        <w:t>数据采集应遵循真实性、完整性与一致性原则。每一检验项目应至少形成一种可审计证据，关键项目应形成多源证据组合。</w:t>
      </w:r>
    </w:p>
    <w:p w14:paraId="20FD8342">
      <w:pPr>
        <w:pStyle w:val="165"/>
        <w:spacing w:line="360" w:lineRule="auto"/>
      </w:pPr>
      <w:r>
        <w:rPr>
          <w:rFonts w:hint="eastAsia"/>
        </w:rPr>
        <w:t>数据采集方式应与项目性质匹配。可采用人工录入、仪器自动采集、拍照取证、视频记录、语音记录与文件上传等方式。系统应明确每一项目的必填字段、证据类型与采集规则。</w:t>
      </w:r>
    </w:p>
    <w:p w14:paraId="1F3173C2">
      <w:pPr>
        <w:pStyle w:val="165"/>
        <w:spacing w:line="360" w:lineRule="auto"/>
      </w:pPr>
      <w:r>
        <w:rPr>
          <w:rFonts w:hint="eastAsia"/>
        </w:rPr>
        <w:t>证据链应包含时间与地点信息。系统应记录任务开始结束时间、关键节点时间、现场位置或设备位置标识。定位不可用时应采用替代方式记录位置证明，并说明原因。</w:t>
      </w:r>
    </w:p>
    <w:p w14:paraId="79D4B89E">
      <w:pPr>
        <w:pStyle w:val="165"/>
        <w:spacing w:line="360" w:lineRule="auto"/>
      </w:pPr>
      <w:r>
        <w:rPr>
          <w:rFonts w:hint="eastAsia"/>
        </w:rPr>
        <w:t>原始数据应保留。自动采集的数据文件、曲线与原始读数应保存并与项目记录关联，不得仅保留计算结果。对人工录入数据，应保留仪器读数照片或复核记录用于支撑可信性。</w:t>
      </w:r>
    </w:p>
    <w:p w14:paraId="6682655C">
      <w:pPr>
        <w:pStyle w:val="165"/>
        <w:spacing w:line="360" w:lineRule="auto"/>
      </w:pPr>
      <w:r>
        <w:rPr>
          <w:rFonts w:hint="eastAsia"/>
        </w:rPr>
        <w:t>电子签名应受控。检验人员签名、审核人签名与见证签名应与身份认证绑定，禁止代签与共享账号。</w:t>
      </w:r>
    </w:p>
    <w:p w14:paraId="08606C8B">
      <w:pPr>
        <w:pStyle w:val="105"/>
        <w:spacing w:before="120" w:after="120" w:line="360" w:lineRule="auto"/>
      </w:pPr>
      <w:r>
        <w:rPr>
          <w:rFonts w:hint="eastAsia"/>
        </w:rPr>
        <w:t>自动校核与异常处置要求</w:t>
      </w:r>
    </w:p>
    <w:p w14:paraId="4933E99C">
      <w:pPr>
        <w:pStyle w:val="165"/>
        <w:spacing w:line="360" w:lineRule="auto"/>
      </w:pPr>
      <w:r>
        <w:rPr>
          <w:rFonts w:hint="eastAsia"/>
        </w:rPr>
        <w:t>系统自动校核应覆盖范围校核、逻辑校核、完整性校核与关联校核。系统提示异常不等同于不合格判定，应由检验人员核实原因并采取相应处置。</w:t>
      </w:r>
    </w:p>
    <w:p w14:paraId="7C41EF89">
      <w:pPr>
        <w:pStyle w:val="165"/>
        <w:spacing w:line="360" w:lineRule="auto"/>
      </w:pPr>
      <w:r>
        <w:rPr>
          <w:rFonts w:hint="eastAsia"/>
        </w:rPr>
        <w:t>异常处置应形成记录。处置方式包括复测、补测、替代方法验证、现场条件说明、设备状态说明与判定依据说明。异常处置记录应与原始异常提示关联。</w:t>
      </w:r>
    </w:p>
    <w:p w14:paraId="7B323BC6">
      <w:pPr>
        <w:pStyle w:val="165"/>
        <w:spacing w:line="360" w:lineRule="auto"/>
      </w:pPr>
      <w:r>
        <w:rPr>
          <w:rFonts w:hint="eastAsia"/>
        </w:rPr>
        <w:t>对关键安全项目出现异常且无法复核确认时，应按保守原则处理，并在结论中明确限制条件与建议措施。</w:t>
      </w:r>
    </w:p>
    <w:p w14:paraId="2456164F">
      <w:pPr>
        <w:pStyle w:val="105"/>
        <w:spacing w:before="120" w:after="120" w:line="360" w:lineRule="auto"/>
      </w:pPr>
      <w:r>
        <w:rPr>
          <w:rFonts w:hint="eastAsia"/>
        </w:rPr>
        <w:t>审核签发与信息安全要求</w:t>
      </w:r>
    </w:p>
    <w:p w14:paraId="1B84E786">
      <w:pPr>
        <w:pStyle w:val="165"/>
        <w:spacing w:line="360" w:lineRule="auto"/>
      </w:pPr>
      <w:r>
        <w:rPr>
          <w:rFonts w:hint="eastAsia"/>
        </w:rPr>
        <w:t>检验数据提交后应进入审核流程。审核应包括证据链完整性审查、数据一致性审查、判定依据审查与异常处置审查。审核不通过应退回补充或复核。</w:t>
      </w:r>
    </w:p>
    <w:p w14:paraId="6A9D8884">
      <w:pPr>
        <w:pStyle w:val="165"/>
        <w:spacing w:line="360" w:lineRule="auto"/>
      </w:pPr>
      <w:r>
        <w:rPr>
          <w:rFonts w:hint="eastAsia"/>
        </w:rPr>
        <w:t>系统应具备权限控制与日志审计。应记录数据修改、提交、退回、签发与导出等关键操作，并保留审计日志。</w:t>
      </w:r>
    </w:p>
    <w:p w14:paraId="4E298868">
      <w:pPr>
        <w:pStyle w:val="165"/>
        <w:spacing w:line="360" w:lineRule="auto"/>
      </w:pPr>
      <w:r>
        <w:rPr>
          <w:rFonts w:hint="eastAsia"/>
        </w:rPr>
        <w:t>数据与报告应按信息安全要求存储与传输。涉及敏感信息时应控制共享范围并实施脱敏。系统应具备备份与容灾机制，确保数据不丢失。</w:t>
      </w:r>
    </w:p>
    <w:p w14:paraId="3B4C4DD0">
      <w:pPr>
        <w:pStyle w:val="104"/>
        <w:spacing w:before="240" w:after="240" w:line="360" w:lineRule="auto"/>
      </w:pPr>
      <w:bookmarkStart w:id="52" w:name="_Toc219062488"/>
      <w:r>
        <w:rPr>
          <w:rFonts w:hint="eastAsia"/>
        </w:rPr>
        <w:t>现场检验流程与操作要点</w:t>
      </w:r>
      <w:bookmarkEnd w:id="52"/>
    </w:p>
    <w:p w14:paraId="4A371494">
      <w:pPr>
        <w:pStyle w:val="105"/>
        <w:spacing w:before="120" w:after="120" w:line="360" w:lineRule="auto"/>
      </w:pPr>
      <w:r>
        <w:rPr>
          <w:rFonts w:hint="eastAsia"/>
        </w:rPr>
        <w:t>流程总则</w:t>
      </w:r>
    </w:p>
    <w:p w14:paraId="07C18A44">
      <w:pPr>
        <w:pStyle w:val="165"/>
        <w:spacing w:line="360" w:lineRule="auto"/>
      </w:pPr>
      <w:r>
        <w:rPr>
          <w:rFonts w:hint="eastAsia"/>
        </w:rPr>
        <w:t>现场检验应按检验任务下达、到场确认、资料核查、现场安全确认、项目实施与数据采集、自动校核与异常处置、结果汇总与现场沟通、数据提交与审核、报告输出与归档的顺序组织实施。</w:t>
      </w:r>
    </w:p>
    <w:p w14:paraId="46FD10ED">
      <w:pPr>
        <w:pStyle w:val="165"/>
        <w:spacing w:line="360" w:lineRule="auto"/>
      </w:pPr>
      <w:r>
        <w:rPr>
          <w:rFonts w:hint="eastAsia"/>
        </w:rPr>
        <w:t>智能检验系统应对流程关键节点进行控制。未完成前置节点要求时，不应允许跳过关键项目或直接提交结论。因现场条件限制确需跳项或变更流程时，应在系统中选择合规原因并形成记录。</w:t>
      </w:r>
    </w:p>
    <w:p w14:paraId="2D6AE6D5">
      <w:pPr>
        <w:pStyle w:val="165"/>
        <w:spacing w:line="360" w:lineRule="auto"/>
      </w:pPr>
      <w:r>
        <w:rPr>
          <w:rFonts w:hint="eastAsia"/>
        </w:rPr>
        <w:t>现场检验过程中形成的所有数据与证据应与设备唯一标识关联，确保一台设备一套证据链，避免跨设备混用记录。</w:t>
      </w:r>
    </w:p>
    <w:p w14:paraId="4BACFB89">
      <w:pPr>
        <w:pStyle w:val="105"/>
        <w:spacing w:before="120" w:after="120" w:line="360" w:lineRule="auto"/>
      </w:pPr>
      <w:r>
        <w:rPr>
          <w:rFonts w:hint="eastAsia"/>
        </w:rPr>
        <w:t>到场确认与任务启动</w:t>
      </w:r>
    </w:p>
    <w:p w14:paraId="51C46B95">
      <w:pPr>
        <w:pStyle w:val="165"/>
        <w:spacing w:line="360" w:lineRule="auto"/>
      </w:pPr>
      <w:r>
        <w:rPr>
          <w:rFonts w:hint="eastAsia"/>
        </w:rPr>
        <w:t>检验人员到场后应完成到场签到与任务启动。系统应记录到场时间、人员身份、设备位置或项目位置标识，并生成本次检验任务的时间轴。</w:t>
      </w:r>
    </w:p>
    <w:p w14:paraId="3B571256">
      <w:pPr>
        <w:pStyle w:val="165"/>
        <w:spacing w:line="360" w:lineRule="auto"/>
      </w:pPr>
      <w:r>
        <w:rPr>
          <w:rFonts w:hint="eastAsia"/>
        </w:rPr>
        <w:t>检验人员应核对设备铭牌信息、使用登记信息与系统档案信息一致性。发现不一致应记录差异并按规定处理，不得在信息不清的情况下直接开展关键项目判定。</w:t>
      </w:r>
    </w:p>
    <w:p w14:paraId="101C64F7">
      <w:pPr>
        <w:pStyle w:val="165"/>
        <w:spacing w:line="360" w:lineRule="auto"/>
      </w:pPr>
      <w:r>
        <w:rPr>
          <w:rFonts w:hint="eastAsia"/>
        </w:rPr>
        <w:t>检验前应确认现场联系人、配合人员与安全负责人到位，明确现场沟通渠道与紧急处置联系人。</w:t>
      </w:r>
    </w:p>
    <w:p w14:paraId="142510AC">
      <w:pPr>
        <w:pStyle w:val="105"/>
        <w:spacing w:before="120" w:after="120" w:line="360" w:lineRule="auto"/>
      </w:pPr>
      <w:r>
        <w:rPr>
          <w:rFonts w:hint="eastAsia"/>
        </w:rPr>
        <w:t>资料核查与系统建档核验</w:t>
      </w:r>
    </w:p>
    <w:p w14:paraId="4D642485">
      <w:pPr>
        <w:pStyle w:val="165"/>
        <w:spacing w:line="360" w:lineRule="auto"/>
      </w:pPr>
      <w:r>
        <w:rPr>
          <w:rFonts w:hint="eastAsia"/>
        </w:rPr>
        <w:t>资料核查应覆盖法定要求的资料项目。应核查使用登记信息、维护保养记录、运行记录、故障与事故记录、改造维修记录以及上次检验报告与整改闭环资料。</w:t>
      </w:r>
    </w:p>
    <w:p w14:paraId="6275357A">
      <w:pPr>
        <w:pStyle w:val="165"/>
        <w:spacing w:line="360" w:lineRule="auto"/>
      </w:pPr>
      <w:r>
        <w:rPr>
          <w:rFonts w:hint="eastAsia"/>
        </w:rPr>
        <w:t>资料核查结果应在系统中形成记录。资料缺失、记录造假嫌疑、关键记录不闭环等情形应标记为风险提示，并作为后续判定与建议依据。</w:t>
      </w:r>
    </w:p>
    <w:p w14:paraId="77E612EC">
      <w:pPr>
        <w:pStyle w:val="165"/>
        <w:spacing w:line="360" w:lineRule="auto"/>
      </w:pPr>
      <w:r>
        <w:rPr>
          <w:rFonts w:hint="eastAsia"/>
        </w:rPr>
        <w:t>对首次检验或系统中无历史档案的设备，应按系统要求完成建档字段，确保检验项目表生成依据准确。</w:t>
      </w:r>
    </w:p>
    <w:p w14:paraId="15AFBD40">
      <w:pPr>
        <w:pStyle w:val="105"/>
        <w:spacing w:before="120" w:after="120" w:line="360" w:lineRule="auto"/>
      </w:pPr>
      <w:r>
        <w:rPr>
          <w:rFonts w:hint="eastAsia"/>
        </w:rPr>
        <w:t>现场安全确认与检验条件确认</w:t>
      </w:r>
    </w:p>
    <w:p w14:paraId="09351E95">
      <w:pPr>
        <w:pStyle w:val="165"/>
        <w:spacing w:line="360" w:lineRule="auto"/>
      </w:pPr>
      <w:r>
        <w:rPr>
          <w:rFonts w:hint="eastAsia"/>
        </w:rPr>
        <w:t>检验前应完成现场安全确认。应确认断电挂牌、围挡警戒、照明通风、坠落防护、临时用电保护、试验区域隔离与监护等条件满足要求。</w:t>
      </w:r>
    </w:p>
    <w:p w14:paraId="7F34F44B">
      <w:pPr>
        <w:pStyle w:val="165"/>
        <w:spacing w:line="360" w:lineRule="auto"/>
      </w:pPr>
      <w:r>
        <w:rPr>
          <w:rFonts w:hint="eastAsia"/>
        </w:rPr>
        <w:t>需要试运行或载荷试验的，应确认试验方案与控制措施。应明确指挥口令、紧急停止方式、人员站位与危险区边界，并在系统中记录确认结论。</w:t>
      </w:r>
    </w:p>
    <w:p w14:paraId="117261F0">
      <w:pPr>
        <w:pStyle w:val="165"/>
        <w:spacing w:line="360" w:lineRule="auto"/>
      </w:pPr>
      <w:r>
        <w:rPr>
          <w:rFonts w:hint="eastAsia"/>
        </w:rPr>
        <w:t>现场条件不满足导致无法实施项目时，应记录限制条件，必要时提出整改后复检要求。</w:t>
      </w:r>
    </w:p>
    <w:p w14:paraId="395E4C37">
      <w:pPr>
        <w:pStyle w:val="105"/>
        <w:spacing w:before="120" w:after="120" w:line="360" w:lineRule="auto"/>
      </w:pPr>
      <w:r>
        <w:rPr>
          <w:rFonts w:hint="eastAsia"/>
        </w:rPr>
        <w:t>检验项目实施与数据采集</w:t>
      </w:r>
    </w:p>
    <w:p w14:paraId="6D8B31CF">
      <w:pPr>
        <w:pStyle w:val="165"/>
        <w:spacing w:line="360" w:lineRule="auto"/>
      </w:pPr>
      <w:r>
        <w:rPr>
          <w:rFonts w:hint="eastAsia"/>
        </w:rPr>
        <w:t>检验项目应按系统项目表顺序实施。系统应明确每一项目的数据采集方式、必填字段、证据类型与判定依据。</w:t>
      </w:r>
    </w:p>
    <w:p w14:paraId="53213B46">
      <w:pPr>
        <w:pStyle w:val="165"/>
        <w:spacing w:line="360" w:lineRule="auto"/>
      </w:pPr>
      <w:r>
        <w:rPr>
          <w:rFonts w:hint="eastAsia"/>
        </w:rPr>
        <w:t>人工录入数据应同步采集佐证证据。对关键尺寸、间隙、力矩、速度、制动性能、电气保护动作值等关键数据，宜同时采集仪器读数照片或原始记录截图，避免仅录入数值导致证据不足。</w:t>
      </w:r>
    </w:p>
    <w:p w14:paraId="3CE2AE13">
      <w:pPr>
        <w:pStyle w:val="165"/>
        <w:spacing w:line="360" w:lineRule="auto"/>
      </w:pPr>
      <w:r>
        <w:rPr>
          <w:rFonts w:hint="eastAsia"/>
        </w:rPr>
        <w:t>自动采集数据应保留原始文件。系统应将曲线、波形或日志文件与对应检验项目绑定，并记录采样频率、采样时长、文件校验信息与仪器编号。</w:t>
      </w:r>
    </w:p>
    <w:p w14:paraId="3D860089">
      <w:pPr>
        <w:pStyle w:val="165"/>
        <w:spacing w:line="360" w:lineRule="auto"/>
      </w:pPr>
      <w:r>
        <w:rPr>
          <w:rFonts w:hint="eastAsia"/>
        </w:rPr>
        <w:t>影像证据采集应满足可识别要求。照片应清晰可辨，包含必要的尺度参照或位置参照。视频应覆盖关键动作过程与结果显示。影像应与项目记录关联，不得后补拼接或替换。</w:t>
      </w:r>
    </w:p>
    <w:p w14:paraId="23E6B19E">
      <w:pPr>
        <w:pStyle w:val="165"/>
        <w:spacing w:line="360" w:lineRule="auto"/>
      </w:pPr>
      <w:r>
        <w:rPr>
          <w:rFonts w:hint="eastAsia"/>
        </w:rPr>
        <w:t>多人协同实施项目时，应明确分工与责任。系统应记录项目执行人，避免出现执行人与签名不一致或责任不清。</w:t>
      </w:r>
    </w:p>
    <w:p w14:paraId="7010FDE9">
      <w:pPr>
        <w:pStyle w:val="105"/>
        <w:spacing w:before="120" w:after="120" w:line="360" w:lineRule="auto"/>
      </w:pPr>
      <w:r>
        <w:rPr>
          <w:rFonts w:hint="eastAsia"/>
        </w:rPr>
        <w:t>自动校核触发与现场即时处置</w:t>
      </w:r>
    </w:p>
    <w:p w14:paraId="6334A05E">
      <w:pPr>
        <w:pStyle w:val="165"/>
        <w:spacing w:line="360" w:lineRule="auto"/>
      </w:pPr>
      <w:r>
        <w:rPr>
          <w:rFonts w:hint="eastAsia"/>
        </w:rPr>
        <w:t>系统应在数据录入或采集后自动触发校核。校核内容至少包括数值范围、逻辑一致性、必填完整性与关联项目一致性。</w:t>
      </w:r>
    </w:p>
    <w:p w14:paraId="1565265D">
      <w:pPr>
        <w:pStyle w:val="165"/>
        <w:spacing w:line="360" w:lineRule="auto"/>
      </w:pPr>
      <w:r>
        <w:rPr>
          <w:rFonts w:hint="eastAsia"/>
        </w:rPr>
        <w:t>出现校核不通过提示时，检验人员应在现场完成核实。核实可通过复测、补测、检查仪器状态、确认单位与换算、核查环境与工况条件、核对资料等方式完成。</w:t>
      </w:r>
    </w:p>
    <w:p w14:paraId="3EC78279">
      <w:pPr>
        <w:pStyle w:val="165"/>
        <w:spacing w:line="360" w:lineRule="auto"/>
      </w:pPr>
      <w:r>
        <w:rPr>
          <w:rFonts w:hint="eastAsia"/>
        </w:rPr>
        <w:t>核实后仍异常的，应按异常处置规则记录原因并给出处理结论。对关键安全项目应采取保守原则，必要时提出停止使用建议或限制使用建议，并形成现场沟通记录。</w:t>
      </w:r>
    </w:p>
    <w:p w14:paraId="222B2656">
      <w:pPr>
        <w:pStyle w:val="105"/>
        <w:spacing w:before="120" w:after="120" w:line="360" w:lineRule="auto"/>
      </w:pPr>
      <w:r>
        <w:rPr>
          <w:rFonts w:hint="eastAsia"/>
        </w:rPr>
        <w:t>结果汇总与现场沟通</w:t>
      </w:r>
    </w:p>
    <w:p w14:paraId="4A3EE627">
      <w:pPr>
        <w:pStyle w:val="165"/>
        <w:spacing w:line="360" w:lineRule="auto"/>
      </w:pPr>
      <w:r>
        <w:rPr>
          <w:rFonts w:hint="eastAsia"/>
        </w:rPr>
        <w:t>检验完成后应进行结果汇总。系统应输出项目完成率、未完成项目清单、异常项目清单、证据缺失清单与初步判定建议。</w:t>
      </w:r>
    </w:p>
    <w:p w14:paraId="0AED6FFE">
      <w:pPr>
        <w:pStyle w:val="165"/>
        <w:spacing w:line="360" w:lineRule="auto"/>
      </w:pPr>
      <w:r>
        <w:rPr>
          <w:rFonts w:hint="eastAsia"/>
        </w:rPr>
        <w:t>检验人员应与使用单位进行现场沟通。沟通内容应包括不符合项、风险提示项、需整改事项、需复检事项与建议措施。沟通应避免口头化无记录，应在系统中形成沟通记录或会议纪要。</w:t>
      </w:r>
    </w:p>
    <w:p w14:paraId="339B7010">
      <w:pPr>
        <w:pStyle w:val="165"/>
        <w:spacing w:line="360" w:lineRule="auto"/>
      </w:pPr>
      <w:r>
        <w:rPr>
          <w:rFonts w:hint="eastAsia"/>
        </w:rPr>
        <w:t>对重大缺陷或可能引发事故风险的情形，应形成书面告知记录，并按程序向相关管理部门或机构报告。</w:t>
      </w:r>
    </w:p>
    <w:p w14:paraId="0A712395">
      <w:pPr>
        <w:pStyle w:val="105"/>
        <w:spacing w:before="120" w:after="120" w:line="360" w:lineRule="auto"/>
      </w:pPr>
      <w:r>
        <w:rPr>
          <w:rFonts w:hint="eastAsia"/>
        </w:rPr>
        <w:t>数据提交与审核准备</w:t>
      </w:r>
    </w:p>
    <w:p w14:paraId="03B7EDC6">
      <w:pPr>
        <w:pStyle w:val="165"/>
        <w:spacing w:line="360" w:lineRule="auto"/>
      </w:pPr>
      <w:r>
        <w:rPr>
          <w:rFonts w:hint="eastAsia"/>
        </w:rPr>
        <w:t>现场数据提交前应进行自检。自检内容包括项目完整性、证据完整性、异常处置记录完整性、签名齐全性与设备标识一致性。</w:t>
      </w:r>
    </w:p>
    <w:p w14:paraId="4B78C567">
      <w:pPr>
        <w:pStyle w:val="165"/>
        <w:spacing w:line="360" w:lineRule="auto"/>
      </w:pPr>
      <w:r>
        <w:rPr>
          <w:rFonts w:hint="eastAsia"/>
        </w:rPr>
        <w:t>离线采集数据应在网络恢复后及时补传，并进行文件完整性校验。补传后应避免重复提交或版本混乱。</w:t>
      </w:r>
    </w:p>
    <w:p w14:paraId="0D0F6C4F">
      <w:pPr>
        <w:pStyle w:val="165"/>
        <w:spacing w:line="360" w:lineRule="auto"/>
      </w:pPr>
      <w:r>
        <w:rPr>
          <w:rFonts w:hint="eastAsia"/>
        </w:rPr>
        <w:t>提交后系统应锁定关键字段。确需修改的，应按变更流程执行，记录修改理由、修改内容与审核人确认，确保审计链完整。现场检验关键操作节点与证据要求见表1。</w:t>
      </w:r>
    </w:p>
    <w:p w14:paraId="2A62EE40">
      <w:pPr>
        <w:pStyle w:val="112"/>
        <w:spacing w:before="120" w:after="120" w:line="360" w:lineRule="auto"/>
      </w:pPr>
      <w:r>
        <w:rPr>
          <w:rFonts w:hint="eastAsia"/>
        </w:rPr>
        <w:t>现场检验关键操作节点与证据要求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409"/>
        <w:gridCol w:w="1701"/>
        <w:gridCol w:w="2268"/>
        <w:gridCol w:w="1973"/>
      </w:tblGrid>
      <w:tr w14:paraId="2DD71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69BF6F41">
            <w:pPr>
              <w:pStyle w:val="178"/>
            </w:pPr>
            <w:r>
              <w:rPr>
                <w:rFonts w:hint="eastAsia"/>
              </w:rPr>
              <w:t>流程节点</w:t>
            </w:r>
          </w:p>
        </w:tc>
        <w:tc>
          <w:tcPr>
            <w:tcW w:w="2409" w:type="dxa"/>
            <w:tcBorders>
              <w:top w:val="single" w:color="auto" w:sz="8" w:space="0"/>
              <w:bottom w:val="single" w:color="auto" w:sz="8" w:space="0"/>
            </w:tcBorders>
            <w:vAlign w:val="center"/>
          </w:tcPr>
          <w:p w14:paraId="701BFD55">
            <w:pPr>
              <w:pStyle w:val="178"/>
            </w:pPr>
            <w:r>
              <w:rPr>
                <w:rFonts w:hint="eastAsia"/>
              </w:rPr>
              <w:t>系统控制点</w:t>
            </w:r>
          </w:p>
        </w:tc>
        <w:tc>
          <w:tcPr>
            <w:tcW w:w="1701" w:type="dxa"/>
            <w:tcBorders>
              <w:top w:val="single" w:color="auto" w:sz="8" w:space="0"/>
              <w:bottom w:val="single" w:color="auto" w:sz="8" w:space="0"/>
            </w:tcBorders>
            <w:vAlign w:val="center"/>
          </w:tcPr>
          <w:p w14:paraId="7CD29538">
            <w:pPr>
              <w:pStyle w:val="178"/>
            </w:pPr>
            <w:r>
              <w:rPr>
                <w:rFonts w:hint="eastAsia"/>
              </w:rPr>
              <w:t>必备证据类型</w:t>
            </w:r>
          </w:p>
        </w:tc>
        <w:tc>
          <w:tcPr>
            <w:tcW w:w="2268" w:type="dxa"/>
            <w:tcBorders>
              <w:top w:val="single" w:color="auto" w:sz="8" w:space="0"/>
              <w:bottom w:val="single" w:color="auto" w:sz="8" w:space="0"/>
            </w:tcBorders>
            <w:vAlign w:val="center"/>
          </w:tcPr>
          <w:p w14:paraId="35B3828D">
            <w:pPr>
              <w:pStyle w:val="178"/>
            </w:pPr>
            <w:r>
              <w:rPr>
                <w:rFonts w:hint="eastAsia"/>
              </w:rPr>
              <w:t>关键记录要素</w:t>
            </w:r>
          </w:p>
        </w:tc>
        <w:tc>
          <w:tcPr>
            <w:tcW w:w="1973" w:type="dxa"/>
            <w:tcBorders>
              <w:top w:val="single" w:color="auto" w:sz="8" w:space="0"/>
              <w:bottom w:val="single" w:color="auto" w:sz="8" w:space="0"/>
            </w:tcBorders>
            <w:vAlign w:val="center"/>
          </w:tcPr>
          <w:p w14:paraId="42A422C8">
            <w:pPr>
              <w:pStyle w:val="178"/>
            </w:pPr>
            <w:r>
              <w:rPr>
                <w:rFonts w:hint="eastAsia"/>
              </w:rPr>
              <w:t>常见风险点</w:t>
            </w:r>
          </w:p>
        </w:tc>
      </w:tr>
      <w:tr w14:paraId="0ADD6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2FC2191E">
            <w:pPr>
              <w:pStyle w:val="178"/>
            </w:pPr>
            <w:r>
              <w:rPr>
                <w:rFonts w:hint="eastAsia"/>
              </w:rPr>
              <w:t>到场确认</w:t>
            </w:r>
          </w:p>
        </w:tc>
        <w:tc>
          <w:tcPr>
            <w:tcW w:w="2409" w:type="dxa"/>
            <w:tcBorders>
              <w:top w:val="single" w:color="auto" w:sz="8" w:space="0"/>
            </w:tcBorders>
            <w:vAlign w:val="center"/>
          </w:tcPr>
          <w:p w14:paraId="444A5370">
            <w:pPr>
              <w:pStyle w:val="178"/>
            </w:pPr>
            <w:r>
              <w:rPr>
                <w:rFonts w:hint="eastAsia"/>
              </w:rPr>
              <w:t>人员认证与时间地点记录</w:t>
            </w:r>
          </w:p>
        </w:tc>
        <w:tc>
          <w:tcPr>
            <w:tcW w:w="1701" w:type="dxa"/>
            <w:tcBorders>
              <w:top w:val="single" w:color="auto" w:sz="8" w:space="0"/>
            </w:tcBorders>
            <w:vAlign w:val="center"/>
          </w:tcPr>
          <w:p w14:paraId="726FCAB9">
            <w:pPr>
              <w:pStyle w:val="178"/>
            </w:pPr>
            <w:r>
              <w:rPr>
                <w:rFonts w:hint="eastAsia"/>
              </w:rPr>
              <w:t>签到记录、定位信息、或替代证明</w:t>
            </w:r>
          </w:p>
        </w:tc>
        <w:tc>
          <w:tcPr>
            <w:tcW w:w="2268" w:type="dxa"/>
            <w:tcBorders>
              <w:top w:val="single" w:color="auto" w:sz="8" w:space="0"/>
            </w:tcBorders>
            <w:vAlign w:val="center"/>
          </w:tcPr>
          <w:p w14:paraId="45C10FA5">
            <w:pPr>
              <w:pStyle w:val="178"/>
            </w:pPr>
            <w:r>
              <w:rPr>
                <w:rFonts w:hint="eastAsia"/>
              </w:rPr>
              <w:t>到场时间、设备位置、现场联系人</w:t>
            </w:r>
          </w:p>
        </w:tc>
        <w:tc>
          <w:tcPr>
            <w:tcW w:w="1973" w:type="dxa"/>
            <w:tcBorders>
              <w:top w:val="single" w:color="auto" w:sz="8" w:space="0"/>
            </w:tcBorders>
            <w:vAlign w:val="center"/>
          </w:tcPr>
          <w:p w14:paraId="1A821146">
            <w:pPr>
              <w:pStyle w:val="178"/>
            </w:pPr>
            <w:r>
              <w:rPr>
                <w:rFonts w:hint="eastAsia"/>
              </w:rPr>
              <w:t>定位不可用未说明、设备信息错录</w:t>
            </w:r>
          </w:p>
        </w:tc>
      </w:tr>
      <w:tr w14:paraId="1F450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AA77098">
            <w:pPr>
              <w:pStyle w:val="178"/>
            </w:pPr>
            <w:r>
              <w:rPr>
                <w:rFonts w:hint="eastAsia"/>
              </w:rPr>
              <w:t>资料核查</w:t>
            </w:r>
          </w:p>
        </w:tc>
        <w:tc>
          <w:tcPr>
            <w:tcW w:w="2409" w:type="dxa"/>
            <w:vAlign w:val="center"/>
          </w:tcPr>
          <w:p w14:paraId="349779E5">
            <w:pPr>
              <w:pStyle w:val="178"/>
            </w:pPr>
            <w:r>
              <w:rPr>
                <w:rFonts w:hint="eastAsia"/>
              </w:rPr>
              <w:t>资料清单勾选与缺失标记</w:t>
            </w:r>
          </w:p>
        </w:tc>
        <w:tc>
          <w:tcPr>
            <w:tcW w:w="1701" w:type="dxa"/>
            <w:vAlign w:val="center"/>
          </w:tcPr>
          <w:p w14:paraId="322C17A4">
            <w:pPr>
              <w:pStyle w:val="178"/>
            </w:pPr>
            <w:r>
              <w:rPr>
                <w:rFonts w:hint="eastAsia"/>
              </w:rPr>
              <w:t>文件上传、照片或扫描件</w:t>
            </w:r>
          </w:p>
        </w:tc>
        <w:tc>
          <w:tcPr>
            <w:tcW w:w="2268" w:type="dxa"/>
            <w:vAlign w:val="center"/>
          </w:tcPr>
          <w:p w14:paraId="6093B310">
            <w:pPr>
              <w:pStyle w:val="178"/>
            </w:pPr>
            <w:r>
              <w:rPr>
                <w:rFonts w:hint="eastAsia"/>
              </w:rPr>
              <w:t>登记信息、维保记录、上次整改闭环</w:t>
            </w:r>
          </w:p>
        </w:tc>
        <w:tc>
          <w:tcPr>
            <w:tcW w:w="1973" w:type="dxa"/>
            <w:vAlign w:val="center"/>
          </w:tcPr>
          <w:p w14:paraId="1D494767">
            <w:pPr>
              <w:pStyle w:val="178"/>
            </w:pPr>
            <w:r>
              <w:rPr>
                <w:rFonts w:hint="eastAsia"/>
              </w:rPr>
              <w:t>资料不全仍继续判定、资料版本不一致</w:t>
            </w:r>
          </w:p>
        </w:tc>
      </w:tr>
      <w:tr w14:paraId="5EDD4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5DF73E7">
            <w:pPr>
              <w:pStyle w:val="178"/>
            </w:pPr>
            <w:r>
              <w:rPr>
                <w:rFonts w:hint="eastAsia"/>
              </w:rPr>
              <w:t>安全确认</w:t>
            </w:r>
          </w:p>
        </w:tc>
        <w:tc>
          <w:tcPr>
            <w:tcW w:w="2409" w:type="dxa"/>
            <w:vAlign w:val="center"/>
          </w:tcPr>
          <w:p w14:paraId="586E36E3">
            <w:pPr>
              <w:pStyle w:val="178"/>
            </w:pPr>
            <w:r>
              <w:rPr>
                <w:rFonts w:hint="eastAsia"/>
              </w:rPr>
              <w:t>关键条件未满足不得进入试验项目</w:t>
            </w:r>
          </w:p>
        </w:tc>
        <w:tc>
          <w:tcPr>
            <w:tcW w:w="1701" w:type="dxa"/>
            <w:vAlign w:val="center"/>
          </w:tcPr>
          <w:p w14:paraId="173C97BB">
            <w:pPr>
              <w:pStyle w:val="178"/>
            </w:pPr>
            <w:r>
              <w:rPr>
                <w:rFonts w:hint="eastAsia"/>
              </w:rPr>
              <w:t>照片、视频、安全确认记录</w:t>
            </w:r>
          </w:p>
        </w:tc>
        <w:tc>
          <w:tcPr>
            <w:tcW w:w="2268" w:type="dxa"/>
            <w:vAlign w:val="center"/>
          </w:tcPr>
          <w:p w14:paraId="0A959EAE">
            <w:pPr>
              <w:pStyle w:val="178"/>
            </w:pPr>
            <w:r>
              <w:rPr>
                <w:rFonts w:hint="eastAsia"/>
              </w:rPr>
              <w:t>断电挂牌、围挡监护、试验方案确认</w:t>
            </w:r>
          </w:p>
        </w:tc>
        <w:tc>
          <w:tcPr>
            <w:tcW w:w="1973" w:type="dxa"/>
            <w:vAlign w:val="center"/>
          </w:tcPr>
          <w:p w14:paraId="28F5201A">
            <w:pPr>
              <w:pStyle w:val="178"/>
            </w:pPr>
            <w:r>
              <w:rPr>
                <w:rFonts w:hint="eastAsia"/>
              </w:rPr>
              <w:t>试验区域未隔离、口令不统一</w:t>
            </w:r>
          </w:p>
        </w:tc>
      </w:tr>
      <w:tr w14:paraId="248DA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96D156D">
            <w:pPr>
              <w:pStyle w:val="178"/>
            </w:pPr>
            <w:r>
              <w:rPr>
                <w:rFonts w:hint="eastAsia"/>
              </w:rPr>
              <w:t>项目实施</w:t>
            </w:r>
          </w:p>
        </w:tc>
        <w:tc>
          <w:tcPr>
            <w:tcW w:w="2409" w:type="dxa"/>
            <w:vAlign w:val="center"/>
          </w:tcPr>
          <w:p w14:paraId="18DBF8FA">
            <w:pPr>
              <w:pStyle w:val="178"/>
            </w:pPr>
            <w:r>
              <w:rPr>
                <w:rFonts w:hint="eastAsia"/>
              </w:rPr>
              <w:t>必填字段与证据关联校核</w:t>
            </w:r>
          </w:p>
        </w:tc>
        <w:tc>
          <w:tcPr>
            <w:tcW w:w="1701" w:type="dxa"/>
            <w:vAlign w:val="center"/>
          </w:tcPr>
          <w:p w14:paraId="49EB4465">
            <w:pPr>
              <w:pStyle w:val="178"/>
            </w:pPr>
            <w:r>
              <w:rPr>
                <w:rFonts w:hint="eastAsia"/>
              </w:rPr>
              <w:t>原始读数照片、自动采集文件、影像证据</w:t>
            </w:r>
          </w:p>
        </w:tc>
        <w:tc>
          <w:tcPr>
            <w:tcW w:w="2268" w:type="dxa"/>
            <w:vAlign w:val="center"/>
          </w:tcPr>
          <w:p w14:paraId="61ABABA9">
            <w:pPr>
              <w:pStyle w:val="178"/>
            </w:pPr>
            <w:r>
              <w:rPr>
                <w:rFonts w:hint="eastAsia"/>
              </w:rPr>
              <w:t>数据值、单位、仪器编号、执行人</w:t>
            </w:r>
          </w:p>
        </w:tc>
        <w:tc>
          <w:tcPr>
            <w:tcW w:w="1973" w:type="dxa"/>
            <w:vAlign w:val="center"/>
          </w:tcPr>
          <w:p w14:paraId="11E54B7D">
            <w:pPr>
              <w:pStyle w:val="178"/>
            </w:pPr>
            <w:r>
              <w:rPr>
                <w:rFonts w:hint="eastAsia"/>
              </w:rPr>
              <w:t>仅填数值无证据、单位换算错误</w:t>
            </w:r>
          </w:p>
        </w:tc>
      </w:tr>
      <w:tr w14:paraId="5FA93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A299113">
            <w:pPr>
              <w:pStyle w:val="178"/>
            </w:pPr>
            <w:r>
              <w:rPr>
                <w:rFonts w:hint="eastAsia"/>
              </w:rPr>
              <w:t>异常处置</w:t>
            </w:r>
          </w:p>
        </w:tc>
        <w:tc>
          <w:tcPr>
            <w:tcW w:w="2409" w:type="dxa"/>
            <w:vAlign w:val="center"/>
          </w:tcPr>
          <w:p w14:paraId="57AF76BE">
            <w:pPr>
              <w:pStyle w:val="178"/>
            </w:pPr>
            <w:r>
              <w:rPr>
                <w:rFonts w:hint="eastAsia"/>
              </w:rPr>
              <w:t>校核不通过必须填写处置记录</w:t>
            </w:r>
          </w:p>
        </w:tc>
        <w:tc>
          <w:tcPr>
            <w:tcW w:w="1701" w:type="dxa"/>
            <w:vAlign w:val="center"/>
          </w:tcPr>
          <w:p w14:paraId="016B45FF">
            <w:pPr>
              <w:pStyle w:val="178"/>
            </w:pPr>
            <w:r>
              <w:rPr>
                <w:rFonts w:hint="eastAsia"/>
              </w:rPr>
              <w:t>复测记录、替代验证证据</w:t>
            </w:r>
          </w:p>
        </w:tc>
        <w:tc>
          <w:tcPr>
            <w:tcW w:w="2268" w:type="dxa"/>
            <w:vAlign w:val="center"/>
          </w:tcPr>
          <w:p w14:paraId="0B68FB7E">
            <w:pPr>
              <w:pStyle w:val="178"/>
            </w:pPr>
            <w:r>
              <w:rPr>
                <w:rFonts w:hint="eastAsia"/>
              </w:rPr>
              <w:t>异常原因、处置方式、结论依据</w:t>
            </w:r>
          </w:p>
        </w:tc>
        <w:tc>
          <w:tcPr>
            <w:tcW w:w="1973" w:type="dxa"/>
            <w:vAlign w:val="center"/>
          </w:tcPr>
          <w:p w14:paraId="5584B890">
            <w:pPr>
              <w:pStyle w:val="178"/>
            </w:pPr>
            <w:r>
              <w:rPr>
                <w:rFonts w:hint="eastAsia"/>
              </w:rPr>
              <w:t>未复测直接判定、处置理由不充分</w:t>
            </w:r>
          </w:p>
        </w:tc>
      </w:tr>
    </w:tbl>
    <w:p w14:paraId="3771EB15">
      <w:pPr>
        <w:pStyle w:val="56"/>
        <w:spacing w:before="120" w:beforeLines="50" w:after="120" w:afterLines="50"/>
        <w:ind w:firstLine="0" w:firstLineChars="0"/>
        <w:jc w:val="center"/>
        <w:rPr>
          <w:rFonts w:ascii="黑体" w:hAnsi="黑体" w:eastAsia="黑体"/>
        </w:rPr>
      </w:pPr>
      <w:bookmarkStart w:id="53" w:name="_Toc219062489"/>
      <w:r>
        <w:rPr>
          <w:rFonts w:hint="eastAsia" w:ascii="黑体" w:hAnsi="黑体" w:eastAsia="黑体"/>
        </w:rPr>
        <w:t>表1  现场检验关键操作节点与证据要求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409"/>
        <w:gridCol w:w="1701"/>
        <w:gridCol w:w="2268"/>
        <w:gridCol w:w="1973"/>
      </w:tblGrid>
      <w:tr w14:paraId="12799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285454BB">
            <w:pPr>
              <w:pStyle w:val="178"/>
            </w:pPr>
            <w:r>
              <w:rPr>
                <w:rFonts w:hint="eastAsia"/>
              </w:rPr>
              <w:t>流程节点</w:t>
            </w:r>
          </w:p>
        </w:tc>
        <w:tc>
          <w:tcPr>
            <w:tcW w:w="2409" w:type="dxa"/>
            <w:tcBorders>
              <w:top w:val="single" w:color="auto" w:sz="8" w:space="0"/>
              <w:bottom w:val="single" w:color="auto" w:sz="8" w:space="0"/>
            </w:tcBorders>
            <w:vAlign w:val="center"/>
          </w:tcPr>
          <w:p w14:paraId="46434414">
            <w:pPr>
              <w:pStyle w:val="178"/>
            </w:pPr>
            <w:r>
              <w:rPr>
                <w:rFonts w:hint="eastAsia"/>
              </w:rPr>
              <w:t>系统控制点</w:t>
            </w:r>
          </w:p>
        </w:tc>
        <w:tc>
          <w:tcPr>
            <w:tcW w:w="1701" w:type="dxa"/>
            <w:tcBorders>
              <w:top w:val="single" w:color="auto" w:sz="8" w:space="0"/>
              <w:bottom w:val="single" w:color="auto" w:sz="8" w:space="0"/>
            </w:tcBorders>
            <w:vAlign w:val="center"/>
          </w:tcPr>
          <w:p w14:paraId="1D978B4F">
            <w:pPr>
              <w:pStyle w:val="178"/>
            </w:pPr>
            <w:r>
              <w:rPr>
                <w:rFonts w:hint="eastAsia"/>
              </w:rPr>
              <w:t>必备证据类型</w:t>
            </w:r>
          </w:p>
        </w:tc>
        <w:tc>
          <w:tcPr>
            <w:tcW w:w="2268" w:type="dxa"/>
            <w:tcBorders>
              <w:top w:val="single" w:color="auto" w:sz="8" w:space="0"/>
              <w:bottom w:val="single" w:color="auto" w:sz="8" w:space="0"/>
            </w:tcBorders>
            <w:vAlign w:val="center"/>
          </w:tcPr>
          <w:p w14:paraId="59C81995">
            <w:pPr>
              <w:pStyle w:val="178"/>
            </w:pPr>
            <w:r>
              <w:rPr>
                <w:rFonts w:hint="eastAsia"/>
              </w:rPr>
              <w:t>关键记录要素</w:t>
            </w:r>
          </w:p>
        </w:tc>
        <w:tc>
          <w:tcPr>
            <w:tcW w:w="1973" w:type="dxa"/>
            <w:tcBorders>
              <w:top w:val="single" w:color="auto" w:sz="8" w:space="0"/>
              <w:bottom w:val="single" w:color="auto" w:sz="8" w:space="0"/>
            </w:tcBorders>
            <w:vAlign w:val="center"/>
          </w:tcPr>
          <w:p w14:paraId="6C8A58B2">
            <w:pPr>
              <w:pStyle w:val="178"/>
            </w:pPr>
            <w:r>
              <w:rPr>
                <w:rFonts w:hint="eastAsia"/>
              </w:rPr>
              <w:t>常见风险点</w:t>
            </w:r>
          </w:p>
        </w:tc>
      </w:tr>
      <w:tr w14:paraId="0B758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108E2FF">
            <w:pPr>
              <w:pStyle w:val="178"/>
            </w:pPr>
            <w:r>
              <w:rPr>
                <w:rFonts w:hint="eastAsia"/>
              </w:rPr>
              <w:t>结果沟通</w:t>
            </w:r>
          </w:p>
        </w:tc>
        <w:tc>
          <w:tcPr>
            <w:tcW w:w="2409" w:type="dxa"/>
            <w:vAlign w:val="center"/>
          </w:tcPr>
          <w:p w14:paraId="1CF91C18">
            <w:pPr>
              <w:pStyle w:val="178"/>
            </w:pPr>
            <w:r>
              <w:rPr>
                <w:rFonts w:hint="eastAsia"/>
              </w:rPr>
              <w:t>重大缺陷必须生成告知记录</w:t>
            </w:r>
          </w:p>
        </w:tc>
        <w:tc>
          <w:tcPr>
            <w:tcW w:w="1701" w:type="dxa"/>
            <w:vAlign w:val="center"/>
          </w:tcPr>
          <w:p w14:paraId="1BB774D3">
            <w:pPr>
              <w:pStyle w:val="178"/>
            </w:pPr>
            <w:r>
              <w:rPr>
                <w:rFonts w:hint="eastAsia"/>
              </w:rPr>
              <w:t>沟通记录、签收确认</w:t>
            </w:r>
          </w:p>
        </w:tc>
        <w:tc>
          <w:tcPr>
            <w:tcW w:w="2268" w:type="dxa"/>
            <w:vAlign w:val="center"/>
          </w:tcPr>
          <w:p w14:paraId="68098DA7">
            <w:pPr>
              <w:pStyle w:val="178"/>
            </w:pPr>
            <w:r>
              <w:rPr>
                <w:rFonts w:hint="eastAsia"/>
              </w:rPr>
              <w:t>不符合项、清单、整改期限</w:t>
            </w:r>
          </w:p>
        </w:tc>
        <w:tc>
          <w:tcPr>
            <w:tcW w:w="1973" w:type="dxa"/>
            <w:vAlign w:val="center"/>
          </w:tcPr>
          <w:p w14:paraId="518C390D">
            <w:pPr>
              <w:pStyle w:val="178"/>
            </w:pPr>
            <w:r>
              <w:rPr>
                <w:rFonts w:hint="eastAsia"/>
              </w:rPr>
              <w:t>口头告知无留痕、责任边界不清</w:t>
            </w:r>
          </w:p>
        </w:tc>
      </w:tr>
      <w:tr w14:paraId="4A14C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773B1EA">
            <w:pPr>
              <w:pStyle w:val="178"/>
            </w:pPr>
            <w:r>
              <w:rPr>
                <w:rFonts w:hint="eastAsia"/>
              </w:rPr>
              <w:t>提交审核</w:t>
            </w:r>
          </w:p>
        </w:tc>
        <w:tc>
          <w:tcPr>
            <w:tcW w:w="2409" w:type="dxa"/>
            <w:vAlign w:val="center"/>
          </w:tcPr>
          <w:p w14:paraId="6C7D3080">
            <w:pPr>
              <w:pStyle w:val="178"/>
            </w:pPr>
            <w:r>
              <w:rPr>
                <w:rFonts w:hint="eastAsia"/>
              </w:rPr>
              <w:t>证据完整性校验与签名校验</w:t>
            </w:r>
          </w:p>
        </w:tc>
        <w:tc>
          <w:tcPr>
            <w:tcW w:w="1701" w:type="dxa"/>
            <w:vAlign w:val="center"/>
          </w:tcPr>
          <w:p w14:paraId="19BA9E2E">
            <w:pPr>
              <w:pStyle w:val="178"/>
            </w:pPr>
            <w:r>
              <w:rPr>
                <w:rFonts w:hint="eastAsia"/>
              </w:rPr>
              <w:t>电子签名、审核日志</w:t>
            </w:r>
          </w:p>
        </w:tc>
        <w:tc>
          <w:tcPr>
            <w:tcW w:w="2268" w:type="dxa"/>
            <w:vAlign w:val="center"/>
          </w:tcPr>
          <w:p w14:paraId="275311F8">
            <w:pPr>
              <w:pStyle w:val="178"/>
            </w:pPr>
            <w:r>
              <w:rPr>
                <w:rFonts w:hint="eastAsia"/>
              </w:rPr>
              <w:t>提交时间、签名链、版本号</w:t>
            </w:r>
          </w:p>
        </w:tc>
        <w:tc>
          <w:tcPr>
            <w:tcW w:w="1973" w:type="dxa"/>
            <w:vAlign w:val="center"/>
          </w:tcPr>
          <w:p w14:paraId="38E526F8">
            <w:pPr>
              <w:pStyle w:val="178"/>
            </w:pPr>
            <w:r>
              <w:rPr>
                <w:rFonts w:hint="eastAsia"/>
              </w:rPr>
              <w:t>数据后补未标注、修改无审计</w:t>
            </w:r>
          </w:p>
        </w:tc>
      </w:tr>
    </w:tbl>
    <w:p w14:paraId="1738A6A9">
      <w:pPr>
        <w:pStyle w:val="104"/>
        <w:spacing w:before="240" w:after="240" w:line="360" w:lineRule="auto"/>
      </w:pPr>
      <w:r>
        <w:rPr>
          <w:rFonts w:hint="eastAsia"/>
        </w:rPr>
        <w:t>数据校核与异常处置细则</w:t>
      </w:r>
      <w:bookmarkEnd w:id="53"/>
    </w:p>
    <w:p w14:paraId="4E828755">
      <w:pPr>
        <w:pStyle w:val="105"/>
        <w:spacing w:before="120" w:after="120" w:line="360" w:lineRule="auto"/>
      </w:pPr>
      <w:r>
        <w:rPr>
          <w:rFonts w:hint="eastAsia"/>
        </w:rPr>
        <w:t>一般要求</w:t>
      </w:r>
    </w:p>
    <w:p w14:paraId="7946B3E0">
      <w:pPr>
        <w:pStyle w:val="165"/>
        <w:spacing w:line="360" w:lineRule="auto"/>
      </w:pPr>
      <w:r>
        <w:rPr>
          <w:rFonts w:hint="eastAsia"/>
        </w:rPr>
        <w:t>数据校核与异常处置应以保证数据真实性、准确性与可判定性为目标。智能检验系统的自动校核结果属于辅助提示，最终处置结论应由具备资格的检验人员依据安全技术规范、检验规程与现场证据链作出。</w:t>
      </w:r>
    </w:p>
    <w:p w14:paraId="5DA1B303">
      <w:pPr>
        <w:pStyle w:val="165"/>
        <w:spacing w:line="360" w:lineRule="auto"/>
      </w:pPr>
      <w:r>
        <w:rPr>
          <w:rFonts w:hint="eastAsia"/>
        </w:rPr>
        <w:t>异常处置应优先在现场完成。现场能够复测或补测的，应完成复测或补测并形成证据。现场无法完成的，应明确原因、限制条件与后续复检安排，并在结论中反映。</w:t>
      </w:r>
    </w:p>
    <w:p w14:paraId="5F23CCAF">
      <w:pPr>
        <w:pStyle w:val="165"/>
        <w:spacing w:line="360" w:lineRule="auto"/>
      </w:pPr>
      <w:r>
        <w:rPr>
          <w:rFonts w:hint="eastAsia"/>
        </w:rPr>
        <w:t>异常处置必须留痕。系统应对异常提示、处置动作、处置依据、数据变更与审核确认形成审计记录，确保可追溯与可审计。</w:t>
      </w:r>
    </w:p>
    <w:p w14:paraId="1E3BB49E">
      <w:pPr>
        <w:pStyle w:val="105"/>
        <w:spacing w:before="120" w:after="120" w:line="360" w:lineRule="auto"/>
      </w:pPr>
      <w:r>
        <w:rPr>
          <w:rFonts w:hint="eastAsia"/>
        </w:rPr>
        <w:t>校核规则类别与适用要点</w:t>
      </w:r>
    </w:p>
    <w:p w14:paraId="0E608F7F">
      <w:pPr>
        <w:pStyle w:val="65"/>
        <w:spacing w:before="120" w:after="120" w:line="360" w:lineRule="auto"/>
      </w:pPr>
      <w:r>
        <w:rPr>
          <w:rFonts w:hint="eastAsia"/>
        </w:rPr>
        <w:t>完整性校核</w:t>
      </w:r>
    </w:p>
    <w:p w14:paraId="7A5857D2">
      <w:pPr>
        <w:pStyle w:val="56"/>
        <w:spacing w:line="360" w:lineRule="auto"/>
        <w:ind w:firstLine="420"/>
      </w:pPr>
      <w:r>
        <w:rPr>
          <w:rFonts w:hint="eastAsia"/>
        </w:rPr>
        <w:t>系统应校核检验项目完成率、必填字段、必备证据与签名链完整性。对关键项目缺失、证据缺失或签名缺失的，应阻断提交或触发强提示，并要求补齐或说明原因。</w:t>
      </w:r>
    </w:p>
    <w:p w14:paraId="16D69E34">
      <w:pPr>
        <w:pStyle w:val="65"/>
        <w:spacing w:before="120" w:after="120" w:line="360" w:lineRule="auto"/>
      </w:pPr>
      <w:r>
        <w:rPr>
          <w:rFonts w:hint="eastAsia"/>
        </w:rPr>
        <w:t>范围校核</w:t>
      </w:r>
    </w:p>
    <w:p w14:paraId="429232D5">
      <w:pPr>
        <w:pStyle w:val="56"/>
        <w:spacing w:line="360" w:lineRule="auto"/>
        <w:ind w:firstLine="420"/>
      </w:pPr>
      <w:r>
        <w:rPr>
          <w:rFonts w:hint="eastAsia"/>
        </w:rPr>
        <w:t>系统应对测量值、试验值与动作值执行范围检查。范围阈值应来源于现行安全技术规范、检验规程或系统受控规则库。范围校核不通过时，应首先核查单位、测点、工况、仪器量程与读数方法。</w:t>
      </w:r>
    </w:p>
    <w:p w14:paraId="58E3DEE0">
      <w:pPr>
        <w:pStyle w:val="65"/>
        <w:spacing w:before="120" w:after="120" w:line="360" w:lineRule="auto"/>
      </w:pPr>
      <w:r>
        <w:rPr>
          <w:rFonts w:hint="eastAsia"/>
        </w:rPr>
        <w:t>逻辑一致性校核</w:t>
      </w:r>
    </w:p>
    <w:p w14:paraId="236390D5">
      <w:pPr>
        <w:pStyle w:val="56"/>
        <w:spacing w:line="360" w:lineRule="auto"/>
        <w:ind w:firstLine="420"/>
      </w:pPr>
      <w:r>
        <w:rPr>
          <w:rFonts w:hint="eastAsia"/>
        </w:rPr>
        <w:t>系统应对同一设备多项目之间的逻辑关系进行校核，例如参数组合关系、前置条件关系、互斥条件关系与过程约束关系。逻辑校核不通过时，应核查项目执行顺序、现场条件是否满足以及是否存在记录错项。</w:t>
      </w:r>
    </w:p>
    <w:p w14:paraId="2DA115F3">
      <w:pPr>
        <w:pStyle w:val="65"/>
        <w:spacing w:before="120" w:after="120" w:line="360" w:lineRule="auto"/>
      </w:pPr>
      <w:r>
        <w:rPr>
          <w:rFonts w:hint="eastAsia"/>
        </w:rPr>
        <w:t>关联比对校核</w:t>
      </w:r>
    </w:p>
    <w:p w14:paraId="59831D7B">
      <w:pPr>
        <w:pStyle w:val="56"/>
        <w:spacing w:line="360" w:lineRule="auto"/>
        <w:ind w:firstLine="420"/>
      </w:pPr>
      <w:r>
        <w:rPr>
          <w:rFonts w:hint="eastAsia"/>
        </w:rPr>
        <w:t>系统应对历史数据、同类设备数据或同次检验的多测点数据进行比对。比对异常时，应优先判断是否存在设备状态变化、环境条件差异或测量误差，并明确是否需要加密测点或扩大抽检范围。</w:t>
      </w:r>
    </w:p>
    <w:p w14:paraId="4AFC7A72">
      <w:pPr>
        <w:pStyle w:val="56"/>
        <w:spacing w:line="360" w:lineRule="auto"/>
        <w:ind w:firstLine="420"/>
      </w:pPr>
    </w:p>
    <w:p w14:paraId="78801779">
      <w:pPr>
        <w:pStyle w:val="56"/>
        <w:spacing w:line="360" w:lineRule="auto"/>
        <w:ind w:firstLine="420"/>
      </w:pPr>
    </w:p>
    <w:p w14:paraId="5399BB8E">
      <w:pPr>
        <w:pStyle w:val="105"/>
        <w:spacing w:before="120" w:after="120" w:line="360" w:lineRule="auto"/>
      </w:pPr>
      <w:r>
        <w:rPr>
          <w:rFonts w:hint="eastAsia"/>
        </w:rPr>
        <w:t>异常分级与处置优先级</w:t>
      </w:r>
    </w:p>
    <w:p w14:paraId="3073A887">
      <w:pPr>
        <w:pStyle w:val="165"/>
        <w:spacing w:line="360" w:lineRule="auto"/>
      </w:pPr>
      <w:r>
        <w:rPr>
          <w:rFonts w:hint="eastAsia"/>
        </w:rPr>
        <w:t>异常分级宜分为提示级异常、关注级异常与重大异常。系统应支持异常分级展示，并对重大异常触发强制处置流程。</w:t>
      </w:r>
    </w:p>
    <w:p w14:paraId="23866CD9">
      <w:pPr>
        <w:pStyle w:val="165"/>
        <w:spacing w:line="360" w:lineRule="auto"/>
      </w:pPr>
      <w:r>
        <w:rPr>
          <w:rFonts w:hint="eastAsia"/>
        </w:rPr>
        <w:t>重大异常通常包括关键安全项目超限、关键保护功能不动作、试验失败、关键结构或电气安全缺陷、证据链严重缺失或疑似数据造假等情形。重大异常应优先处置并同步现场风险控制。</w:t>
      </w:r>
    </w:p>
    <w:p w14:paraId="6814013F">
      <w:pPr>
        <w:pStyle w:val="165"/>
        <w:spacing w:line="360" w:lineRule="auto"/>
      </w:pPr>
      <w:r>
        <w:rPr>
          <w:rFonts w:hint="eastAsia"/>
        </w:rPr>
        <w:t>同时存在多项异常时，应优先处置与人身安全相关的异常，其次处置影响整机判定的异常，再处置一般一致性与完整性异常。</w:t>
      </w:r>
    </w:p>
    <w:p w14:paraId="00FF2A96">
      <w:pPr>
        <w:pStyle w:val="105"/>
        <w:spacing w:before="120" w:after="120" w:line="360" w:lineRule="auto"/>
      </w:pPr>
      <w:r>
        <w:rPr>
          <w:rFonts w:hint="eastAsia"/>
        </w:rPr>
        <w:t>复测与补测规则</w:t>
      </w:r>
    </w:p>
    <w:p w14:paraId="1F4A1776">
      <w:pPr>
        <w:pStyle w:val="165"/>
        <w:spacing w:line="360" w:lineRule="auto"/>
      </w:pPr>
      <w:r>
        <w:rPr>
          <w:rFonts w:hint="eastAsia"/>
        </w:rPr>
        <w:t>复测触发条件</w:t>
      </w:r>
    </w:p>
    <w:p w14:paraId="7872CD73">
      <w:pPr>
        <w:pStyle w:val="56"/>
        <w:spacing w:line="360" w:lineRule="auto"/>
        <w:ind w:firstLine="420"/>
      </w:pPr>
      <w:r>
        <w:rPr>
          <w:rFonts w:hint="eastAsia"/>
        </w:rPr>
        <w:t>出现下列情形之一时应触发复测或补测：</w:t>
      </w:r>
    </w:p>
    <w:p w14:paraId="6740AED5">
      <w:pPr>
        <w:pStyle w:val="56"/>
        <w:spacing w:line="360" w:lineRule="auto"/>
        <w:ind w:firstLine="420"/>
      </w:pPr>
      <w:r>
        <w:rPr>
          <w:rFonts w:hint="eastAsia"/>
        </w:rPr>
        <w:t>a) 系统范围校核不通过且结果影响合格判定；</w:t>
      </w:r>
    </w:p>
    <w:p w14:paraId="37801D89">
      <w:pPr>
        <w:pStyle w:val="56"/>
        <w:spacing w:line="360" w:lineRule="auto"/>
        <w:ind w:firstLine="420"/>
      </w:pPr>
      <w:r>
        <w:rPr>
          <w:rFonts w:hint="eastAsia"/>
        </w:rPr>
        <w:t>b) 数据与影像或原始读数不一致；</w:t>
      </w:r>
    </w:p>
    <w:p w14:paraId="48F9E9C9">
      <w:pPr>
        <w:pStyle w:val="56"/>
        <w:spacing w:line="360" w:lineRule="auto"/>
        <w:ind w:firstLine="420"/>
      </w:pPr>
      <w:r>
        <w:rPr>
          <w:rFonts w:hint="eastAsia"/>
        </w:rPr>
        <w:t>c) 同一指标多测点离散性异常或与历史趋势显著偏离；</w:t>
      </w:r>
    </w:p>
    <w:p w14:paraId="368A95C4">
      <w:pPr>
        <w:pStyle w:val="56"/>
        <w:spacing w:line="360" w:lineRule="auto"/>
        <w:ind w:firstLine="420"/>
      </w:pPr>
      <w:r>
        <w:rPr>
          <w:rFonts w:hint="eastAsia"/>
        </w:rPr>
        <w:t>d) 仪器状态异常、量程不匹配或校准到期风险；</w:t>
      </w:r>
    </w:p>
    <w:p w14:paraId="2E802019">
      <w:pPr>
        <w:pStyle w:val="56"/>
        <w:spacing w:line="360" w:lineRule="auto"/>
        <w:ind w:firstLine="420"/>
      </w:pPr>
      <w:r>
        <w:rPr>
          <w:rFonts w:hint="eastAsia"/>
        </w:rPr>
        <w:t>e) 现场条件波动导致试验结果不稳定。</w:t>
      </w:r>
    </w:p>
    <w:p w14:paraId="3A585B13">
      <w:pPr>
        <w:pStyle w:val="65"/>
        <w:spacing w:before="120" w:after="120" w:line="360" w:lineRule="auto"/>
      </w:pPr>
      <w:r>
        <w:rPr>
          <w:rFonts w:hint="eastAsia"/>
        </w:rPr>
        <w:t>复测实施要求</w:t>
      </w:r>
    </w:p>
    <w:p w14:paraId="5F2BFC7C">
      <w:pPr>
        <w:pStyle w:val="56"/>
        <w:spacing w:line="360" w:lineRule="auto"/>
        <w:ind w:firstLine="420"/>
      </w:pPr>
      <w:r>
        <w:rPr>
          <w:rFonts w:hint="eastAsia"/>
        </w:rPr>
        <w:t>复测应尽量采用同一方法、同一仪器或等效仪器在相同工况下进行。复测次数与取值规则应受控，宜明确取平均值、取最不利值或取规范规定值的规则，不得随意挑选有利数据。</w:t>
      </w:r>
    </w:p>
    <w:p w14:paraId="09767241">
      <w:pPr>
        <w:pStyle w:val="65"/>
        <w:spacing w:before="120" w:after="120" w:line="360" w:lineRule="auto"/>
      </w:pPr>
      <w:r>
        <w:rPr>
          <w:rFonts w:hint="eastAsia"/>
        </w:rPr>
        <w:t>补测实施要求</w:t>
      </w:r>
    </w:p>
    <w:p w14:paraId="595FA728">
      <w:pPr>
        <w:pStyle w:val="56"/>
        <w:spacing w:line="360" w:lineRule="auto"/>
        <w:ind w:firstLine="420"/>
      </w:pPr>
      <w:r>
        <w:rPr>
          <w:rFonts w:hint="eastAsia"/>
        </w:rPr>
        <w:t>对漏测项目、证据缺失项目或因现场条件限制未完成项目，应实施补测。补测应形成独立记录并与原项目关联，明确补测原因、补测时间与补测人员。</w:t>
      </w:r>
    </w:p>
    <w:p w14:paraId="23D55DBE">
      <w:pPr>
        <w:pStyle w:val="105"/>
        <w:spacing w:before="120" w:after="120" w:line="360" w:lineRule="auto"/>
      </w:pPr>
      <w:r>
        <w:rPr>
          <w:rFonts w:hint="eastAsia"/>
        </w:rPr>
        <w:t>替代方法与交叉验证</w:t>
      </w:r>
    </w:p>
    <w:p w14:paraId="2216924D">
      <w:pPr>
        <w:pStyle w:val="165"/>
        <w:spacing w:line="360" w:lineRule="auto"/>
      </w:pPr>
      <w:r>
        <w:rPr>
          <w:rFonts w:hint="eastAsia"/>
        </w:rPr>
        <w:t>当原方法无法实施或复测结果仍存在不确定性时，可采用替代方法或交叉验证。替代方法应满足安全技术规范允许或具备等效性依据，并在记录中说明适用条件与差异。</w:t>
      </w:r>
    </w:p>
    <w:p w14:paraId="6B230E6A">
      <w:pPr>
        <w:pStyle w:val="165"/>
        <w:spacing w:line="360" w:lineRule="auto"/>
      </w:pPr>
      <w:r>
        <w:rPr>
          <w:rFonts w:hint="eastAsia"/>
        </w:rPr>
        <w:t>交叉验证宜采用多源证据组合，例如仪器测量加影像取证，自动采集数据加人工复核，现场试验加资料核查等。交叉验证结论应明确证据链构成与推理路径。</w:t>
      </w:r>
    </w:p>
    <w:p w14:paraId="307E4AE5">
      <w:pPr>
        <w:pStyle w:val="165"/>
        <w:spacing w:line="360" w:lineRule="auto"/>
      </w:pPr>
      <w:r>
        <w:rPr>
          <w:rFonts w:hint="eastAsia"/>
        </w:rPr>
        <w:t>对关键项目采用替代方法时，应采用保守原则解释结果，并在结论中提示适用范围与限制条件。</w:t>
      </w:r>
    </w:p>
    <w:p w14:paraId="024B52D9">
      <w:pPr>
        <w:pStyle w:val="105"/>
        <w:spacing w:before="120" w:after="120" w:line="360" w:lineRule="auto"/>
      </w:pPr>
      <w:r>
        <w:rPr>
          <w:rFonts w:hint="eastAsia"/>
        </w:rPr>
        <w:t>数据更正与版本控制</w:t>
      </w:r>
    </w:p>
    <w:p w14:paraId="47F09D75">
      <w:pPr>
        <w:pStyle w:val="165"/>
        <w:spacing w:line="360" w:lineRule="auto"/>
      </w:pPr>
      <w:r>
        <w:rPr>
          <w:rFonts w:hint="eastAsia"/>
        </w:rPr>
        <w:t>数据更正应受控。提交前更正应保留更正前值、更正后值与更正原因。提交后更正应走变更流程，经审核人确认后方可生效，并生成新版本记录。</w:t>
      </w:r>
    </w:p>
    <w:p w14:paraId="3D6C5F25">
      <w:pPr>
        <w:pStyle w:val="165"/>
        <w:spacing w:line="360" w:lineRule="auto"/>
      </w:pPr>
      <w:r>
        <w:rPr>
          <w:rFonts w:hint="eastAsia"/>
        </w:rPr>
        <w:t>系统应记录数据更正的操作者、时间、字段与原因，并保留审计日志。对关键字段更正应强制上传支撑证据，例如原始读数照片、复测记录或仪器导出文件。</w:t>
      </w:r>
    </w:p>
    <w:p w14:paraId="49F518B5">
      <w:pPr>
        <w:pStyle w:val="165"/>
        <w:spacing w:line="360" w:lineRule="auto"/>
      </w:pPr>
      <w:r>
        <w:rPr>
          <w:rFonts w:hint="eastAsia"/>
        </w:rPr>
        <w:t>系统应支持版本冻结。报告签发后不得修改原始检验数据。确需更正的，应按规定出具更正说明或补充报告，并保留原报告与更正记录。</w:t>
      </w:r>
    </w:p>
    <w:p w14:paraId="525701E8">
      <w:pPr>
        <w:pStyle w:val="105"/>
        <w:spacing w:before="120" w:after="120" w:line="360" w:lineRule="auto"/>
      </w:pPr>
      <w:r>
        <w:rPr>
          <w:rFonts w:hint="eastAsia"/>
        </w:rPr>
        <w:t>证据链缺失处置</w:t>
      </w:r>
    </w:p>
    <w:p w14:paraId="30E9A2E3">
      <w:pPr>
        <w:pStyle w:val="165"/>
        <w:spacing w:line="360" w:lineRule="auto"/>
      </w:pPr>
      <w:r>
        <w:rPr>
          <w:rFonts w:hint="eastAsia"/>
        </w:rPr>
        <w:t>对一般证据缺失，应补采证据或补测并补齐。确因现场条件无法补齐的，应在系统中选择缺失原因并形成说明，且不得影响关键项目判定的证据要求。</w:t>
      </w:r>
    </w:p>
    <w:p w14:paraId="316B2207">
      <w:pPr>
        <w:pStyle w:val="165"/>
        <w:spacing w:line="360" w:lineRule="auto"/>
      </w:pPr>
      <w:r>
        <w:rPr>
          <w:rFonts w:hint="eastAsia"/>
        </w:rPr>
        <w:t>对关键项目证据链缺失应按重大异常处理。应优先补测或复测，无法补齐时应按保守原则作出不利判定或要求整改复检，并在结论中明确原因。</w:t>
      </w:r>
    </w:p>
    <w:p w14:paraId="305AD961">
      <w:pPr>
        <w:pStyle w:val="165"/>
        <w:spacing w:line="360" w:lineRule="auto"/>
      </w:pPr>
      <w:r>
        <w:rPr>
          <w:rFonts w:hint="eastAsia"/>
        </w:rPr>
        <w:t>发现疑似伪造证据、后补拼接或代签行为时，应立即暂停相关任务提交，启动内部质量事件处置程序，并按规定报告。</w:t>
      </w:r>
    </w:p>
    <w:p w14:paraId="4747976F">
      <w:pPr>
        <w:pStyle w:val="104"/>
        <w:spacing w:before="240" w:after="240" w:line="360" w:lineRule="auto"/>
      </w:pPr>
      <w:bookmarkStart w:id="54" w:name="_Toc219062490"/>
      <w:r>
        <w:rPr>
          <w:rFonts w:hint="eastAsia"/>
        </w:rPr>
        <w:t>结果判定规则与结论表达</w:t>
      </w:r>
      <w:bookmarkEnd w:id="54"/>
    </w:p>
    <w:p w14:paraId="407E588D">
      <w:pPr>
        <w:pStyle w:val="105"/>
        <w:spacing w:before="120" w:after="120" w:line="360" w:lineRule="auto"/>
      </w:pPr>
      <w:r>
        <w:rPr>
          <w:rFonts w:hint="eastAsia"/>
        </w:rPr>
        <w:t>一般要求</w:t>
      </w:r>
    </w:p>
    <w:p w14:paraId="15B768C3">
      <w:pPr>
        <w:pStyle w:val="165"/>
        <w:spacing w:line="360" w:lineRule="auto"/>
      </w:pPr>
      <w:r>
        <w:rPr>
          <w:rFonts w:hint="eastAsia"/>
        </w:rPr>
        <w:t>结果判定应以现行安全技术规范、检验规程和相关产品标准为依据，并结合智能检验系统的受控规则库与现场证据链进行。系统自动判定结果属于辅助输出，检验结论应由检验人员综合核实后确认。</w:t>
      </w:r>
    </w:p>
    <w:p w14:paraId="3ECE1CFA">
      <w:pPr>
        <w:pStyle w:val="165"/>
        <w:spacing w:line="360" w:lineRule="auto"/>
      </w:pPr>
      <w:r>
        <w:rPr>
          <w:rFonts w:hint="eastAsia"/>
        </w:rPr>
        <w:t>结果判定应坚持可证据化原则。每一项不符合判定应能追溯到具体条款依据、具体数据或影像证据、具体测点与具体处置过程。证据不足不得直接作出不合格结论，也不得在证据不足情况下作出合格结论。</w:t>
      </w:r>
    </w:p>
    <w:p w14:paraId="5403A319">
      <w:pPr>
        <w:pStyle w:val="165"/>
        <w:spacing w:line="360" w:lineRule="auto"/>
      </w:pPr>
      <w:r>
        <w:rPr>
          <w:rFonts w:hint="eastAsia"/>
        </w:rPr>
        <w:t>结果判定应坚持一致性原则。同一设备类别同一检验类型应采用一致的判定口径、缺陷描述用语与结论表达结构。系统规则库更新后应确保新旧版本可追溯，并避免同一周期内混用不同判定规则版本。</w:t>
      </w:r>
    </w:p>
    <w:p w14:paraId="2C3288CD">
      <w:pPr>
        <w:pStyle w:val="105"/>
        <w:spacing w:before="120" w:after="120" w:line="360" w:lineRule="auto"/>
      </w:pPr>
      <w:r>
        <w:rPr>
          <w:rFonts w:hint="eastAsia"/>
        </w:rPr>
        <w:t>单项项目判定</w:t>
      </w:r>
    </w:p>
    <w:p w14:paraId="6A0FB35B">
      <w:pPr>
        <w:pStyle w:val="165"/>
        <w:spacing w:line="360" w:lineRule="auto"/>
      </w:pPr>
      <w:r>
        <w:rPr>
          <w:rFonts w:hint="eastAsia"/>
        </w:rPr>
        <w:t>单项项目判定类型宜包括合格、不合格、需整改复检和不适用。各类型适用条件应在系统规则库中明确并受控。</w:t>
      </w:r>
    </w:p>
    <w:p w14:paraId="77CE365D">
      <w:pPr>
        <w:pStyle w:val="65"/>
        <w:spacing w:before="120" w:after="120" w:line="360" w:lineRule="auto"/>
      </w:pPr>
      <w:r>
        <w:rPr>
          <w:rFonts w:hint="eastAsia"/>
        </w:rPr>
        <w:t>合格判定</w:t>
      </w:r>
    </w:p>
    <w:p w14:paraId="4F5181F7">
      <w:pPr>
        <w:pStyle w:val="56"/>
        <w:spacing w:line="360" w:lineRule="auto"/>
        <w:ind w:firstLine="420"/>
      </w:pPr>
      <w:r>
        <w:rPr>
          <w:rFonts w:hint="eastAsia"/>
        </w:rPr>
        <w:t>当项目实施完成，数据或证据满足规范要求，且自动校核与人工复核一致时，应判定为合格。</w:t>
      </w:r>
    </w:p>
    <w:p w14:paraId="6B682427">
      <w:pPr>
        <w:pStyle w:val="65"/>
        <w:spacing w:before="120" w:after="120" w:line="360" w:lineRule="auto"/>
      </w:pPr>
      <w:r>
        <w:rPr>
          <w:rFonts w:hint="eastAsia"/>
        </w:rPr>
        <w:t>不合格判定</w:t>
      </w:r>
    </w:p>
    <w:p w14:paraId="146ECE8B">
      <w:pPr>
        <w:pStyle w:val="56"/>
        <w:spacing w:line="360" w:lineRule="auto"/>
        <w:ind w:firstLine="420"/>
      </w:pPr>
      <w:r>
        <w:rPr>
          <w:rFonts w:hint="eastAsia"/>
        </w:rPr>
        <w:t>当项目数据明确不满足规范限值或功能要求，且经复测或交叉验证确认，或存在重大缺陷且影响安全使用时，应判定为不合格。</w:t>
      </w:r>
    </w:p>
    <w:p w14:paraId="0DF76E7E">
      <w:pPr>
        <w:pStyle w:val="65"/>
        <w:spacing w:before="120" w:after="120" w:line="360" w:lineRule="auto"/>
      </w:pPr>
      <w:r>
        <w:rPr>
          <w:rFonts w:hint="eastAsia"/>
        </w:rPr>
        <w:t>需整改复检判定</w:t>
      </w:r>
    </w:p>
    <w:p w14:paraId="7C60210A">
      <w:pPr>
        <w:pStyle w:val="56"/>
        <w:spacing w:line="360" w:lineRule="auto"/>
        <w:ind w:firstLine="420"/>
      </w:pPr>
      <w:r>
        <w:rPr>
          <w:rFonts w:hint="eastAsia"/>
        </w:rPr>
        <w:t>当项目存在可整改缺陷，整改后可通过复检确认满足要求，且不属于必须立即停止使用的重大风险缺陷时，可判定为需整改复检。对需整改复检项目应明确整改要求、整改期限与复检触发条件。</w:t>
      </w:r>
    </w:p>
    <w:p w14:paraId="0A2475E2">
      <w:pPr>
        <w:pStyle w:val="65"/>
        <w:spacing w:before="120" w:after="120" w:line="360" w:lineRule="auto"/>
      </w:pPr>
      <w:r>
        <w:rPr>
          <w:rFonts w:hint="eastAsia"/>
        </w:rPr>
        <w:t>不适用判定</w:t>
      </w:r>
    </w:p>
    <w:p w14:paraId="52E3095A">
      <w:pPr>
        <w:pStyle w:val="56"/>
        <w:spacing w:line="360" w:lineRule="auto"/>
        <w:ind w:firstLine="420"/>
      </w:pPr>
      <w:r>
        <w:rPr>
          <w:rFonts w:hint="eastAsia"/>
        </w:rPr>
        <w:t>当项目在本设备配置、使用场景或本次检验类型下确不适用时，可判定为不适用。采用不适用判定时，应在系统中选择不适用原因并形成说明，避免以不适用替代漏检或无法实施。</w:t>
      </w:r>
    </w:p>
    <w:p w14:paraId="49209D1E">
      <w:pPr>
        <w:pStyle w:val="105"/>
        <w:spacing w:before="120" w:after="120" w:line="360" w:lineRule="auto"/>
      </w:pPr>
      <w:r>
        <w:rPr>
          <w:rFonts w:hint="eastAsia"/>
        </w:rPr>
        <w:t>缺陷分级与处置关联</w:t>
      </w:r>
    </w:p>
    <w:p w14:paraId="25102113">
      <w:pPr>
        <w:pStyle w:val="165"/>
        <w:spacing w:line="360" w:lineRule="auto"/>
      </w:pPr>
      <w:r>
        <w:rPr>
          <w:rFonts w:hint="eastAsia"/>
        </w:rPr>
        <w:t>缺陷分级应与风险控制强度匹配。缺陷分级可按一般缺陷、重要缺陷和重大缺陷进行管理。各单位可结合监管要求细化分级，但应确保分级标准一致并可追溯。</w:t>
      </w:r>
    </w:p>
    <w:p w14:paraId="5EF7C82C">
      <w:pPr>
        <w:pStyle w:val="65"/>
        <w:spacing w:before="120" w:after="120" w:line="360" w:lineRule="auto"/>
      </w:pPr>
      <w:r>
        <w:rPr>
          <w:rFonts w:hint="eastAsia"/>
        </w:rPr>
        <w:t>一般缺陷</w:t>
      </w:r>
    </w:p>
    <w:p w14:paraId="640283B3">
      <w:pPr>
        <w:pStyle w:val="56"/>
        <w:spacing w:line="360" w:lineRule="auto"/>
        <w:ind w:firstLine="420"/>
      </w:pPr>
      <w:r>
        <w:rPr>
          <w:rFonts w:hint="eastAsia"/>
        </w:rPr>
        <w:t>对不直接影响安全运行但不符合管理或维护要求的缺陷，可归为一般缺陷。一般缺陷应提出整改建议并纳入跟踪，不宜作为整机不合格的唯一依据，除非规范明确要求。</w:t>
      </w:r>
    </w:p>
    <w:p w14:paraId="3DCBD013">
      <w:pPr>
        <w:pStyle w:val="65"/>
        <w:spacing w:before="120" w:after="120" w:line="360" w:lineRule="auto"/>
      </w:pPr>
      <w:r>
        <w:rPr>
          <w:rFonts w:hint="eastAsia"/>
        </w:rPr>
        <w:t>重要缺陷</w:t>
      </w:r>
    </w:p>
    <w:p w14:paraId="7B0B9F17">
      <w:pPr>
        <w:pStyle w:val="56"/>
        <w:spacing w:line="360" w:lineRule="auto"/>
        <w:ind w:firstLine="420"/>
      </w:pPr>
      <w:r>
        <w:rPr>
          <w:rFonts w:hint="eastAsia"/>
        </w:rPr>
        <w:t>对可能影响安全裕度、可靠性或在特定工况下引发风险的缺陷，应归为重要缺陷。重要缺陷宜判定为需整改复检或在满足规范条件下判定为不合格，并提出明确整改要求。</w:t>
      </w:r>
    </w:p>
    <w:p w14:paraId="317828A8">
      <w:pPr>
        <w:pStyle w:val="65"/>
        <w:spacing w:before="120" w:after="120" w:line="360" w:lineRule="auto"/>
      </w:pPr>
      <w:r>
        <w:rPr>
          <w:rFonts w:hint="eastAsia"/>
        </w:rPr>
        <w:t>重大缺陷</w:t>
      </w:r>
    </w:p>
    <w:p w14:paraId="33877551">
      <w:pPr>
        <w:pStyle w:val="56"/>
        <w:spacing w:line="360" w:lineRule="auto"/>
        <w:ind w:firstLine="420"/>
      </w:pPr>
      <w:r>
        <w:rPr>
          <w:rFonts w:hint="eastAsia"/>
        </w:rPr>
        <w:t>对可能导致人身伤害或重大事故的缺陷，或关键安全保护功能失效、关键结构件存在显著风险的缺陷，应归为重大缺陷。重大缺陷应优先采取风险控制措施，必要时建议停止使用，并按程序报告。重大缺陷通常直接导致整机不合格或需在整改后复检确认方可恢复使用。</w:t>
      </w:r>
    </w:p>
    <w:p w14:paraId="68D3FB20">
      <w:pPr>
        <w:pStyle w:val="105"/>
        <w:spacing w:before="120" w:after="120" w:line="360" w:lineRule="auto"/>
      </w:pPr>
      <w:r>
        <w:rPr>
          <w:rFonts w:hint="eastAsia"/>
        </w:rPr>
        <w:t>整机结论判定</w:t>
      </w:r>
    </w:p>
    <w:p w14:paraId="26064566">
      <w:pPr>
        <w:pStyle w:val="165"/>
        <w:spacing w:line="360" w:lineRule="auto"/>
      </w:pPr>
      <w:r>
        <w:rPr>
          <w:rFonts w:hint="eastAsia"/>
        </w:rPr>
        <w:t>整机结论判定应基于单项判定结果、缺陷分级与证据链完整性综合确定。整机结论宜采用合格、不合格、需整改复检三类。</w:t>
      </w:r>
    </w:p>
    <w:p w14:paraId="0FB954B0">
      <w:pPr>
        <w:pStyle w:val="65"/>
        <w:spacing w:before="120" w:after="120" w:line="360" w:lineRule="auto"/>
      </w:pPr>
      <w:r>
        <w:rPr>
          <w:rFonts w:hint="eastAsia"/>
        </w:rPr>
        <w:t>合格结论</w:t>
      </w:r>
    </w:p>
    <w:p w14:paraId="175F34BB">
      <w:pPr>
        <w:pStyle w:val="56"/>
        <w:spacing w:line="360" w:lineRule="auto"/>
        <w:ind w:firstLine="420"/>
      </w:pPr>
      <w:r>
        <w:rPr>
          <w:rFonts w:hint="eastAsia"/>
        </w:rPr>
        <w:t>当所有必检项目均完成且判定合格，或不适用项目符合规定并有充分说明，且不存在影响安全的缺陷时，可判定整机合格。</w:t>
      </w:r>
    </w:p>
    <w:p w14:paraId="31AE99CB">
      <w:pPr>
        <w:pStyle w:val="65"/>
        <w:spacing w:before="120" w:after="120" w:line="360" w:lineRule="auto"/>
      </w:pPr>
      <w:r>
        <w:rPr>
          <w:rFonts w:hint="eastAsia"/>
        </w:rPr>
        <w:t>不合格结论</w:t>
      </w:r>
    </w:p>
    <w:p w14:paraId="124EDD10">
      <w:pPr>
        <w:pStyle w:val="56"/>
        <w:spacing w:line="360" w:lineRule="auto"/>
        <w:ind w:firstLine="420"/>
      </w:pPr>
      <w:r>
        <w:rPr>
          <w:rFonts w:hint="eastAsia"/>
        </w:rPr>
        <w:t>出现下列情形之一时应判定整机不合格：</w:t>
      </w:r>
    </w:p>
    <w:p w14:paraId="768359E5">
      <w:pPr>
        <w:pStyle w:val="56"/>
        <w:spacing w:line="360" w:lineRule="auto"/>
        <w:ind w:firstLine="420"/>
      </w:pPr>
      <w:r>
        <w:rPr>
          <w:rFonts w:hint="eastAsia"/>
        </w:rPr>
        <w:t>a) 存在一项或多项重大缺陷且影响安全使用；</w:t>
      </w:r>
    </w:p>
    <w:p w14:paraId="281C910A">
      <w:pPr>
        <w:pStyle w:val="56"/>
        <w:spacing w:line="360" w:lineRule="auto"/>
        <w:ind w:firstLine="420"/>
      </w:pPr>
      <w:r>
        <w:rPr>
          <w:rFonts w:hint="eastAsia"/>
        </w:rPr>
        <w:t>b) 存在规范明确规定为不合格的项目不符合项；</w:t>
      </w:r>
    </w:p>
    <w:p w14:paraId="6AF5075E">
      <w:pPr>
        <w:pStyle w:val="56"/>
        <w:spacing w:line="360" w:lineRule="auto"/>
        <w:ind w:firstLine="420"/>
      </w:pPr>
      <w:r>
        <w:rPr>
          <w:rFonts w:hint="eastAsia"/>
        </w:rPr>
        <w:t>c) 关键项目证据链严重缺失且无法补齐，无法支撑合格判定；</w:t>
      </w:r>
    </w:p>
    <w:p w14:paraId="7392D60A">
      <w:pPr>
        <w:pStyle w:val="56"/>
        <w:spacing w:line="360" w:lineRule="auto"/>
        <w:ind w:firstLine="420"/>
      </w:pPr>
      <w:r>
        <w:rPr>
          <w:rFonts w:hint="eastAsia"/>
        </w:rPr>
        <w:t>d) 发现数据造假、代签或证据链伪造等质量事件。</w:t>
      </w:r>
    </w:p>
    <w:p w14:paraId="03596624">
      <w:pPr>
        <w:pStyle w:val="65"/>
        <w:spacing w:before="120" w:after="120" w:line="360" w:lineRule="auto"/>
      </w:pPr>
      <w:r>
        <w:rPr>
          <w:rFonts w:hint="eastAsia"/>
        </w:rPr>
        <w:t>需整改复检结论</w:t>
      </w:r>
    </w:p>
    <w:p w14:paraId="62CD37F1">
      <w:pPr>
        <w:pStyle w:val="56"/>
        <w:spacing w:line="360" w:lineRule="auto"/>
        <w:ind w:firstLine="420"/>
      </w:pPr>
      <w:r>
        <w:rPr>
          <w:rFonts w:hint="eastAsia"/>
        </w:rPr>
        <w:t>当存在一项或多项可整改缺陷且整改后可通过复检验证，且当前风险可控并满足规范允许整改复检的条件时，可判定整机需整改复检。对需整改复检结论应明确复检范围与复检条件，避免复检范围泛化或遗漏关键项目。</w:t>
      </w:r>
    </w:p>
    <w:p w14:paraId="5FCEC68A">
      <w:pPr>
        <w:pStyle w:val="105"/>
        <w:spacing w:before="120" w:after="120" w:line="360" w:lineRule="auto"/>
      </w:pPr>
      <w:r>
        <w:rPr>
          <w:rFonts w:hint="eastAsia"/>
        </w:rPr>
        <w:t>证据不足与限制条件表达</w:t>
      </w:r>
    </w:p>
    <w:p w14:paraId="0EC042CD">
      <w:pPr>
        <w:pStyle w:val="165"/>
        <w:spacing w:line="360" w:lineRule="auto"/>
      </w:pPr>
      <w:r>
        <w:rPr>
          <w:rFonts w:hint="eastAsia"/>
        </w:rPr>
        <w:t>因现场条件限制导致部分项目无法实施或证据不足时，应在结论中明确限制条件，不得以模糊表述替代。限制条件应包括未实施项目、未实施原因、对安全结论影响评估与建议处置。</w:t>
      </w:r>
    </w:p>
    <w:p w14:paraId="304A6428">
      <w:pPr>
        <w:pStyle w:val="165"/>
        <w:spacing w:line="360" w:lineRule="auto"/>
      </w:pPr>
      <w:r>
        <w:rPr>
          <w:rFonts w:hint="eastAsia"/>
        </w:rPr>
        <w:t>对关键项目证据不足且影响结论可信性时，应采用保守原则处理，判定为不合格或需整改复检，并明确补充验证要求。</w:t>
      </w:r>
    </w:p>
    <w:p w14:paraId="2D6E6AA3">
      <w:pPr>
        <w:pStyle w:val="165"/>
        <w:spacing w:line="360" w:lineRule="auto"/>
      </w:pPr>
      <w:r>
        <w:rPr>
          <w:rFonts w:hint="eastAsia"/>
        </w:rPr>
        <w:t>系统应提供结构化字段用于记录限制条件，避免仅以自由文本导致信息不可检索与不可统计。</w:t>
      </w:r>
    </w:p>
    <w:p w14:paraId="44C80ED3">
      <w:pPr>
        <w:pStyle w:val="105"/>
        <w:spacing w:before="120" w:after="120" w:line="360" w:lineRule="auto"/>
      </w:pPr>
      <w:r>
        <w:rPr>
          <w:rFonts w:hint="eastAsia"/>
        </w:rPr>
        <w:t>结论用语与缺陷描述规范</w:t>
      </w:r>
    </w:p>
    <w:p w14:paraId="39860930">
      <w:pPr>
        <w:pStyle w:val="165"/>
        <w:spacing w:line="360" w:lineRule="auto"/>
      </w:pPr>
      <w:r>
        <w:rPr>
          <w:rFonts w:hint="eastAsia"/>
        </w:rPr>
        <w:t>结论用语应规范统一。合格、不合格、需整改复检、不适用等结论用语应在报告中一致使用，不得混用同义词造成歧义。</w:t>
      </w:r>
    </w:p>
    <w:p w14:paraId="3F961478">
      <w:pPr>
        <w:pStyle w:val="165"/>
        <w:spacing w:line="360" w:lineRule="auto"/>
      </w:pPr>
      <w:r>
        <w:rPr>
          <w:rFonts w:hint="eastAsia"/>
        </w:rPr>
        <w:t>缺陷描述应具备四要素，包括缺陷位置、缺陷现象或数据、依据条款与建议处置。描述应避免仅写不合格而无具体内容。</w:t>
      </w:r>
    </w:p>
    <w:p w14:paraId="2B5DED78">
      <w:pPr>
        <w:pStyle w:val="165"/>
        <w:spacing w:line="360" w:lineRule="auto"/>
      </w:pPr>
      <w:r>
        <w:rPr>
          <w:rFonts w:hint="eastAsia"/>
        </w:rPr>
        <w:t>对涉及测量值的缺陷，应同时给出实测值、允许值或要求值、测量方法与测点说明。对功能类缺陷应描述试验条件、动作过程与结果表现，并附对应证据。</w:t>
      </w:r>
    </w:p>
    <w:p w14:paraId="3D969B37">
      <w:pPr>
        <w:pStyle w:val="165"/>
        <w:spacing w:line="360" w:lineRule="auto"/>
      </w:pPr>
      <w:r>
        <w:rPr>
          <w:rFonts w:hint="eastAsia"/>
        </w:rPr>
        <w:t>对存在风险提示但未构成不合格的项目，可在报告中列为风险提示或关注事项，并说明建议管理措施与后续跟踪建议。</w:t>
      </w:r>
    </w:p>
    <w:p w14:paraId="45BCE1FE">
      <w:pPr>
        <w:pStyle w:val="104"/>
        <w:spacing w:before="240" w:after="240" w:line="360" w:lineRule="auto"/>
      </w:pPr>
      <w:bookmarkStart w:id="55" w:name="_Toc219062491"/>
      <w:r>
        <w:rPr>
          <w:rFonts w:hint="eastAsia"/>
        </w:rPr>
        <w:t>报告输出与审核签发</w:t>
      </w:r>
      <w:bookmarkEnd w:id="55"/>
    </w:p>
    <w:p w14:paraId="3C851997">
      <w:pPr>
        <w:pStyle w:val="105"/>
        <w:spacing w:before="120" w:after="120" w:line="360" w:lineRule="auto"/>
      </w:pPr>
      <w:r>
        <w:rPr>
          <w:rFonts w:hint="eastAsia"/>
        </w:rPr>
        <w:t>一般要求</w:t>
      </w:r>
    </w:p>
    <w:p w14:paraId="27595127">
      <w:pPr>
        <w:pStyle w:val="165"/>
        <w:spacing w:line="360" w:lineRule="auto"/>
      </w:pPr>
      <w:r>
        <w:rPr>
          <w:rFonts w:hint="eastAsia"/>
        </w:rPr>
        <w:t>智能检验系统生成的报告应满足法定检验报告的内容与形式要求。报告应真实反映现场检验实施情况、数据来源、判定依据与结论形成过程，不得因系统自动生成而省略关键证据说明。</w:t>
      </w:r>
    </w:p>
    <w:p w14:paraId="78D30831">
      <w:pPr>
        <w:pStyle w:val="165"/>
        <w:spacing w:line="360" w:lineRule="auto"/>
      </w:pPr>
      <w:r>
        <w:rPr>
          <w:rFonts w:hint="eastAsia"/>
        </w:rPr>
        <w:t>报告输出应与系统数据一致。报告中的设备信息、检验依据版本、检验项目结果、缺陷描述、结论用语与整改复检要求应与系统记录一一对应。发现不一致时不得签发，应先完成数据核查与修正并形成审计记录。</w:t>
      </w:r>
    </w:p>
    <w:p w14:paraId="1A5669E3">
      <w:pPr>
        <w:pStyle w:val="165"/>
        <w:spacing w:line="360" w:lineRule="auto"/>
      </w:pPr>
      <w:r>
        <w:rPr>
          <w:rFonts w:hint="eastAsia"/>
        </w:rPr>
        <w:t>报告签发应执行分级审核与授权签发制度。未经审核签发不得对外发布或作为监管依据使用。</w:t>
      </w:r>
    </w:p>
    <w:p w14:paraId="3CB923D1">
      <w:pPr>
        <w:pStyle w:val="105"/>
        <w:spacing w:before="120" w:after="120" w:line="360" w:lineRule="auto"/>
      </w:pPr>
      <w:r>
        <w:rPr>
          <w:rFonts w:hint="eastAsia"/>
        </w:rPr>
        <w:t>报告结构与内容要求</w:t>
      </w:r>
    </w:p>
    <w:p w14:paraId="559B1094">
      <w:pPr>
        <w:pStyle w:val="65"/>
        <w:spacing w:before="120" w:after="120" w:line="360" w:lineRule="auto"/>
      </w:pPr>
      <w:r>
        <w:rPr>
          <w:rFonts w:hint="eastAsia"/>
        </w:rPr>
        <w:t>报告基本信息</w:t>
      </w:r>
    </w:p>
    <w:p w14:paraId="7F2D9764">
      <w:pPr>
        <w:pStyle w:val="56"/>
        <w:spacing w:line="360" w:lineRule="auto"/>
        <w:ind w:firstLine="420"/>
      </w:pPr>
      <w:r>
        <w:rPr>
          <w:rFonts w:hint="eastAsia"/>
        </w:rPr>
        <w:t>报告应至少包含检验机构信息、报告编号、设备类别与设备唯一标识、使用单位信息、检验类型、检验依据、检验日期、检验地点、检验人员与审核人员信息。</w:t>
      </w:r>
    </w:p>
    <w:p w14:paraId="080A86EF">
      <w:pPr>
        <w:pStyle w:val="65"/>
        <w:spacing w:before="120" w:after="120" w:line="360" w:lineRule="auto"/>
      </w:pPr>
      <w:r>
        <w:rPr>
          <w:rFonts w:hint="eastAsia"/>
        </w:rPr>
        <w:t>检验范围与方法说明</w:t>
      </w:r>
    </w:p>
    <w:p w14:paraId="475C3531">
      <w:pPr>
        <w:pStyle w:val="56"/>
        <w:spacing w:line="360" w:lineRule="auto"/>
        <w:ind w:firstLine="420"/>
      </w:pPr>
      <w:r>
        <w:rPr>
          <w:rFonts w:hint="eastAsia"/>
        </w:rPr>
        <w:t>报告应说明本次检验覆盖的项目范围、主要试验方法、仪器设备信息与数据采集方式。对自动采集数据应说明采样条件与数据文件关联方式。</w:t>
      </w:r>
    </w:p>
    <w:p w14:paraId="70BADB12">
      <w:pPr>
        <w:pStyle w:val="65"/>
        <w:spacing w:before="120" w:after="120" w:line="360" w:lineRule="auto"/>
      </w:pPr>
      <w:r>
        <w:rPr>
          <w:rFonts w:hint="eastAsia"/>
        </w:rPr>
        <w:t>结果汇总与单项结果</w:t>
      </w:r>
    </w:p>
    <w:p w14:paraId="15AF761B">
      <w:pPr>
        <w:pStyle w:val="56"/>
        <w:spacing w:line="360" w:lineRule="auto"/>
        <w:ind w:firstLine="420"/>
      </w:pPr>
      <w:r>
        <w:rPr>
          <w:rFonts w:hint="eastAsia"/>
        </w:rPr>
        <w:t>报告应提供结果汇总表述与单项项目判定结果。对不符合项应列出缺陷清单并给出缺陷描述四要素。对不适用项目应给出不适用原因。</w:t>
      </w:r>
    </w:p>
    <w:p w14:paraId="4495B5C0">
      <w:pPr>
        <w:pStyle w:val="65"/>
        <w:spacing w:before="120" w:after="120" w:line="360" w:lineRule="auto"/>
      </w:pPr>
      <w:r>
        <w:rPr>
          <w:rFonts w:hint="eastAsia"/>
        </w:rPr>
        <w:t>整机结论与处置要求</w:t>
      </w:r>
    </w:p>
    <w:p w14:paraId="0B53FE0F">
      <w:pPr>
        <w:pStyle w:val="56"/>
        <w:spacing w:line="360" w:lineRule="auto"/>
        <w:ind w:firstLine="420"/>
      </w:pPr>
      <w:r>
        <w:rPr>
          <w:rFonts w:hint="eastAsia"/>
        </w:rPr>
        <w:t>报告应给出整机结论，并针对不合格或需整改复检结论明确处置要求。处置要求应包含整改内容、整改期限建议、复检范围与复检触发条件。必要时应给出限制使用或停止使用建议。</w:t>
      </w:r>
    </w:p>
    <w:p w14:paraId="6C2CA8E6">
      <w:pPr>
        <w:pStyle w:val="65"/>
        <w:spacing w:before="120" w:after="120" w:line="360" w:lineRule="auto"/>
      </w:pPr>
      <w:r>
        <w:rPr>
          <w:rFonts w:hint="eastAsia"/>
        </w:rPr>
        <w:t>证据链索引</w:t>
      </w:r>
    </w:p>
    <w:p w14:paraId="13DFACCB">
      <w:pPr>
        <w:pStyle w:val="56"/>
        <w:spacing w:line="360" w:lineRule="auto"/>
        <w:ind w:firstLine="420"/>
      </w:pPr>
      <w:r>
        <w:rPr>
          <w:rFonts w:hint="eastAsia"/>
        </w:rPr>
        <w:t>报告宜包含证据链索引信息，至少能定位到关键照片、视频、原始数据文件与系统日志记录。对关键项目宜在报告中引用证据编号，确保第三方可核查。</w:t>
      </w:r>
    </w:p>
    <w:p w14:paraId="746063EE">
      <w:pPr>
        <w:pStyle w:val="105"/>
        <w:spacing w:before="120" w:after="120" w:line="360" w:lineRule="auto"/>
      </w:pPr>
      <w:r>
        <w:rPr>
          <w:rFonts w:hint="eastAsia"/>
        </w:rPr>
        <w:t>审核要点与审核流程</w:t>
      </w:r>
    </w:p>
    <w:p w14:paraId="686CC81F">
      <w:pPr>
        <w:pStyle w:val="65"/>
        <w:spacing w:before="120" w:after="120" w:line="360" w:lineRule="auto"/>
      </w:pPr>
      <w:r>
        <w:rPr>
          <w:rFonts w:hint="eastAsia"/>
        </w:rPr>
        <w:t>审核要点</w:t>
      </w:r>
    </w:p>
    <w:p w14:paraId="30462B4C">
      <w:pPr>
        <w:pStyle w:val="56"/>
        <w:spacing w:line="360" w:lineRule="auto"/>
        <w:ind w:firstLine="420"/>
      </w:pPr>
      <w:r>
        <w:rPr>
          <w:rFonts w:hint="eastAsia"/>
        </w:rPr>
        <w:t>审核应至少覆盖以下内容：</w:t>
      </w:r>
    </w:p>
    <w:p w14:paraId="0EF7DAE1">
      <w:pPr>
        <w:pStyle w:val="56"/>
        <w:spacing w:line="360" w:lineRule="auto"/>
        <w:ind w:firstLine="420"/>
      </w:pPr>
      <w:r>
        <w:rPr>
          <w:rFonts w:hint="eastAsia"/>
        </w:rPr>
        <w:t>a) 设备信息与检验依据正确性；</w:t>
      </w:r>
    </w:p>
    <w:p w14:paraId="55949C2A">
      <w:pPr>
        <w:pStyle w:val="56"/>
        <w:spacing w:line="360" w:lineRule="auto"/>
        <w:ind w:firstLine="420"/>
      </w:pPr>
      <w:r>
        <w:rPr>
          <w:rFonts w:hint="eastAsia"/>
        </w:rPr>
        <w:t>b) 检验项目完整性与必检项目覆盖情况；</w:t>
      </w:r>
    </w:p>
    <w:p w14:paraId="4137DA77">
      <w:pPr>
        <w:pStyle w:val="56"/>
        <w:spacing w:line="360" w:lineRule="auto"/>
        <w:ind w:firstLine="420"/>
      </w:pPr>
      <w:r>
        <w:rPr>
          <w:rFonts w:hint="eastAsia"/>
        </w:rPr>
        <w:t>c) 证据链完整性与关键项目证据充分性；</w:t>
      </w:r>
    </w:p>
    <w:p w14:paraId="16C4CD97">
      <w:pPr>
        <w:pStyle w:val="56"/>
        <w:spacing w:line="360" w:lineRule="auto"/>
        <w:ind w:firstLine="420"/>
      </w:pPr>
      <w:r>
        <w:rPr>
          <w:rFonts w:hint="eastAsia"/>
        </w:rPr>
        <w:t>d) 异常处置与复测记录完整性与合理性；</w:t>
      </w:r>
    </w:p>
    <w:p w14:paraId="170FE2D7">
      <w:pPr>
        <w:pStyle w:val="56"/>
        <w:spacing w:line="360" w:lineRule="auto"/>
        <w:ind w:firstLine="420"/>
      </w:pPr>
      <w:r>
        <w:rPr>
          <w:rFonts w:hint="eastAsia"/>
        </w:rPr>
        <w:t>e) 判定逻辑符合规范条款与系统规则库版本；</w:t>
      </w:r>
    </w:p>
    <w:p w14:paraId="577E026F">
      <w:pPr>
        <w:pStyle w:val="56"/>
        <w:spacing w:line="360" w:lineRule="auto"/>
        <w:ind w:firstLine="420"/>
      </w:pPr>
      <w:r>
        <w:rPr>
          <w:rFonts w:hint="eastAsia"/>
        </w:rPr>
        <w:t>f) 缺陷描述准确性与结论用语规范性；</w:t>
      </w:r>
    </w:p>
    <w:p w14:paraId="1C1F59B6">
      <w:pPr>
        <w:pStyle w:val="56"/>
        <w:spacing w:line="360" w:lineRule="auto"/>
        <w:ind w:firstLine="420"/>
      </w:pPr>
      <w:r>
        <w:rPr>
          <w:rFonts w:hint="eastAsia"/>
        </w:rPr>
        <w:t>g) 整机结论与单项结论一致性。</w:t>
      </w:r>
    </w:p>
    <w:p w14:paraId="0B4996FF">
      <w:pPr>
        <w:pStyle w:val="65"/>
        <w:spacing w:before="120" w:after="120" w:line="360" w:lineRule="auto"/>
      </w:pPr>
      <w:r>
        <w:rPr>
          <w:rFonts w:hint="eastAsia"/>
        </w:rPr>
        <w:t>审核流程</w:t>
      </w:r>
    </w:p>
    <w:p w14:paraId="07EE0F06">
      <w:pPr>
        <w:pStyle w:val="56"/>
        <w:spacing w:line="360" w:lineRule="auto"/>
        <w:ind w:firstLine="420"/>
      </w:pPr>
      <w:r>
        <w:rPr>
          <w:rFonts w:hint="eastAsia"/>
        </w:rPr>
        <w:t>系统应支持提交、初审、复审与签发流程。对一般任务可设置单级审核，对重大风险任务或存在重大缺陷的任务应设置双级审核或专人复核。审核退回应明确退回原因与补充要求。</w:t>
      </w:r>
    </w:p>
    <w:p w14:paraId="0CAC1D50">
      <w:pPr>
        <w:pStyle w:val="65"/>
        <w:spacing w:before="120" w:after="120" w:line="360" w:lineRule="auto"/>
      </w:pPr>
      <w:r>
        <w:rPr>
          <w:rFonts w:hint="eastAsia"/>
        </w:rPr>
        <w:t>审核权限</w:t>
      </w:r>
    </w:p>
    <w:p w14:paraId="2059143D">
      <w:pPr>
        <w:pStyle w:val="56"/>
        <w:spacing w:line="360" w:lineRule="auto"/>
        <w:ind w:firstLine="420"/>
      </w:pPr>
      <w:r>
        <w:rPr>
          <w:rFonts w:hint="eastAsia"/>
        </w:rPr>
        <w:t>审核人与签发人应具有相应授权与资格。系统应通过权限控制避免未授权人员签发报告，避免代签与共享账号。</w:t>
      </w:r>
    </w:p>
    <w:p w14:paraId="493F6505">
      <w:pPr>
        <w:pStyle w:val="105"/>
        <w:spacing w:before="120" w:after="120" w:line="360" w:lineRule="auto"/>
      </w:pPr>
      <w:r>
        <w:rPr>
          <w:rFonts w:hint="eastAsia"/>
        </w:rPr>
        <w:t>报告签发与发布控制</w:t>
      </w:r>
    </w:p>
    <w:p w14:paraId="220289A3">
      <w:pPr>
        <w:pStyle w:val="65"/>
        <w:spacing w:before="120" w:after="120" w:line="360" w:lineRule="auto"/>
      </w:pPr>
      <w:r>
        <w:rPr>
          <w:rFonts w:hint="eastAsia"/>
        </w:rPr>
        <w:t>签发条件</w:t>
      </w:r>
    </w:p>
    <w:p w14:paraId="1F631DDC">
      <w:pPr>
        <w:pStyle w:val="56"/>
        <w:spacing w:line="360" w:lineRule="auto"/>
        <w:ind w:firstLine="420"/>
      </w:pPr>
      <w:r>
        <w:rPr>
          <w:rFonts w:hint="eastAsia"/>
        </w:rPr>
        <w:t>报告签发应满足数据冻结、签名链完整、审核通过与版本受控等条件。签发后报告应生成不可修改的正式版本，并形成时间戳与签发日志。</w:t>
      </w:r>
    </w:p>
    <w:p w14:paraId="2ACCC179">
      <w:pPr>
        <w:pStyle w:val="65"/>
        <w:spacing w:before="120" w:after="120" w:line="360" w:lineRule="auto"/>
      </w:pPr>
      <w:r>
        <w:rPr>
          <w:rFonts w:hint="eastAsia"/>
        </w:rPr>
        <w:t>发布控制</w:t>
      </w:r>
    </w:p>
    <w:p w14:paraId="39E7D558">
      <w:pPr>
        <w:pStyle w:val="56"/>
        <w:spacing w:line="360" w:lineRule="auto"/>
        <w:ind w:firstLine="420"/>
      </w:pPr>
      <w:r>
        <w:rPr>
          <w:rFonts w:hint="eastAsia"/>
        </w:rPr>
        <w:t>报告发布应按授权渠道执行。对外发送、平台上传或监管系统对接应记录接收方、发送时间与发送方式。涉及敏感信息的报告应执行脱敏或权限控制。</w:t>
      </w:r>
    </w:p>
    <w:p w14:paraId="3ED05207">
      <w:pPr>
        <w:pStyle w:val="65"/>
        <w:spacing w:before="120" w:after="120" w:line="360" w:lineRule="auto"/>
      </w:pPr>
      <w:r>
        <w:rPr>
          <w:rFonts w:hint="eastAsia"/>
        </w:rPr>
        <w:t>现场告知与报告一致性</w:t>
      </w:r>
    </w:p>
    <w:p w14:paraId="5905327A">
      <w:pPr>
        <w:pStyle w:val="56"/>
        <w:spacing w:line="360" w:lineRule="auto"/>
        <w:ind w:firstLine="420"/>
      </w:pPr>
      <w:r>
        <w:rPr>
          <w:rFonts w:hint="eastAsia"/>
        </w:rPr>
        <w:t>现场沟通告知内容应与最终报告保持一致。若现场初步结论与最终审核结论存在差异，应在系统中说明差异原因，并按程序向使用单位补充说明。</w:t>
      </w:r>
    </w:p>
    <w:p w14:paraId="1EE8017F">
      <w:pPr>
        <w:pStyle w:val="105"/>
        <w:spacing w:before="120" w:after="120" w:line="360" w:lineRule="auto"/>
      </w:pPr>
      <w:r>
        <w:rPr>
          <w:rFonts w:hint="eastAsia"/>
        </w:rPr>
        <w:t>更正与补充机制</w:t>
      </w:r>
    </w:p>
    <w:p w14:paraId="205D8C98">
      <w:pPr>
        <w:pStyle w:val="65"/>
        <w:spacing w:before="120" w:after="120" w:line="360" w:lineRule="auto"/>
      </w:pPr>
      <w:r>
        <w:rPr>
          <w:rFonts w:hint="eastAsia"/>
        </w:rPr>
        <w:t>报告签发前更正</w:t>
      </w:r>
    </w:p>
    <w:p w14:paraId="7BF91B2A">
      <w:pPr>
        <w:pStyle w:val="56"/>
        <w:spacing w:line="360" w:lineRule="auto"/>
        <w:ind w:firstLine="420"/>
      </w:pPr>
      <w:r>
        <w:rPr>
          <w:rFonts w:hint="eastAsia"/>
        </w:rPr>
        <w:t>签发前发现数据录入错误、证据关联错误或判定错误的，应按数据更正流程完成修正并保留审计记录，修正后重新提交审核。</w:t>
      </w:r>
    </w:p>
    <w:p w14:paraId="687A57C1">
      <w:pPr>
        <w:pStyle w:val="65"/>
        <w:spacing w:before="120" w:after="120" w:line="360" w:lineRule="auto"/>
      </w:pPr>
      <w:r>
        <w:rPr>
          <w:rFonts w:hint="eastAsia"/>
        </w:rPr>
        <w:t>报告签发后更正</w:t>
      </w:r>
    </w:p>
    <w:p w14:paraId="2FFF12B0">
      <w:pPr>
        <w:pStyle w:val="56"/>
        <w:spacing w:line="360" w:lineRule="auto"/>
        <w:ind w:firstLine="420"/>
      </w:pPr>
      <w:r>
        <w:rPr>
          <w:rFonts w:hint="eastAsia"/>
        </w:rPr>
        <w:t>签发后原则上不得修改原报告。确需更正的，应按规定出具更正说明或补充报告，并保留原报告版本。更正说明应明确更正内容、原因、影响范围与最终结论是否变化。</w:t>
      </w:r>
    </w:p>
    <w:p w14:paraId="4C60070B">
      <w:pPr>
        <w:pStyle w:val="65"/>
        <w:spacing w:before="120" w:after="120" w:line="360" w:lineRule="auto"/>
      </w:pPr>
      <w:r>
        <w:rPr>
          <w:rFonts w:hint="eastAsia"/>
        </w:rPr>
        <w:t>重大质量事件处置</w:t>
      </w:r>
    </w:p>
    <w:p w14:paraId="3758A783">
      <w:pPr>
        <w:pStyle w:val="56"/>
        <w:spacing w:line="360" w:lineRule="auto"/>
        <w:ind w:firstLine="420"/>
      </w:pPr>
      <w:r>
        <w:rPr>
          <w:rFonts w:hint="eastAsia"/>
        </w:rPr>
        <w:t>发现数据造假、证据伪造或代签等重大质量事件的，应启动质量事件处置程序，暂停相关报告效力并按规定报告，必要时重新组织检验。</w:t>
      </w:r>
    </w:p>
    <w:p w14:paraId="45AB22D2">
      <w:pPr>
        <w:pStyle w:val="105"/>
        <w:spacing w:before="120" w:after="120" w:line="360" w:lineRule="auto"/>
      </w:pPr>
      <w:r>
        <w:rPr>
          <w:rFonts w:hint="eastAsia"/>
        </w:rPr>
        <w:t>归档与移交要求</w:t>
      </w:r>
    </w:p>
    <w:p w14:paraId="285D46A2">
      <w:pPr>
        <w:pStyle w:val="65"/>
        <w:spacing w:before="120" w:after="120" w:line="360" w:lineRule="auto"/>
      </w:pPr>
      <w:r>
        <w:rPr>
          <w:rFonts w:hint="eastAsia"/>
        </w:rPr>
        <w:t>归档内容</w:t>
      </w:r>
    </w:p>
    <w:p w14:paraId="7525FE4F">
      <w:pPr>
        <w:pStyle w:val="56"/>
        <w:spacing w:line="360" w:lineRule="auto"/>
        <w:ind w:firstLine="420"/>
      </w:pPr>
      <w:r>
        <w:rPr>
          <w:rFonts w:hint="eastAsia"/>
        </w:rPr>
        <w:t>归档应至少包含检验任务记录、原始数据与证据文件、异常处置与复测记录、审核签发日志、最终报告、整改复检记录与沟通告知记录。</w:t>
      </w:r>
    </w:p>
    <w:p w14:paraId="04000C34">
      <w:pPr>
        <w:pStyle w:val="65"/>
        <w:spacing w:before="120" w:after="120" w:line="360" w:lineRule="auto"/>
      </w:pPr>
      <w:r>
        <w:rPr>
          <w:rFonts w:hint="eastAsia"/>
        </w:rPr>
        <w:t>归档形式</w:t>
      </w:r>
    </w:p>
    <w:p w14:paraId="29262031">
      <w:pPr>
        <w:pStyle w:val="56"/>
        <w:spacing w:line="360" w:lineRule="auto"/>
        <w:ind w:firstLine="420"/>
      </w:pPr>
      <w:r>
        <w:rPr>
          <w:rFonts w:hint="eastAsia"/>
        </w:rPr>
        <w:t>归档宜采用电子化方式集中存储，并具备备份与权限控制。纸质材料应与电子档案一致并建立索引关系。</w:t>
      </w:r>
    </w:p>
    <w:p w14:paraId="7552C86D">
      <w:pPr>
        <w:pStyle w:val="65"/>
        <w:spacing w:before="120" w:after="120" w:line="360" w:lineRule="auto"/>
      </w:pPr>
      <w:r>
        <w:rPr>
          <w:rFonts w:hint="eastAsia"/>
        </w:rPr>
        <w:t>归档期限</w:t>
      </w:r>
    </w:p>
    <w:p w14:paraId="285226B2">
      <w:pPr>
        <w:pStyle w:val="56"/>
        <w:spacing w:line="360" w:lineRule="auto"/>
        <w:ind w:firstLine="420"/>
      </w:pPr>
      <w:r>
        <w:rPr>
          <w:rFonts w:hint="eastAsia"/>
        </w:rPr>
        <w:t>归档期限应符合特种设备检验档案管理要求与监管规定。涉及事故调查或争议的档案应按更严格期限保存并确保可追溯。</w:t>
      </w:r>
    </w:p>
    <w:p w14:paraId="115A3CBF">
      <w:pPr>
        <w:pStyle w:val="104"/>
        <w:spacing w:before="240" w:after="240" w:line="360" w:lineRule="auto"/>
      </w:pPr>
      <w:bookmarkStart w:id="56" w:name="_Toc219062492"/>
      <w:r>
        <w:rPr>
          <w:rFonts w:hint="eastAsia"/>
        </w:rPr>
        <w:t>整改复检与闭环管理</w:t>
      </w:r>
      <w:bookmarkEnd w:id="56"/>
    </w:p>
    <w:p w14:paraId="41CC9ABB">
      <w:pPr>
        <w:pStyle w:val="105"/>
        <w:spacing w:before="120" w:after="120" w:line="360" w:lineRule="auto"/>
      </w:pPr>
      <w:r>
        <w:rPr>
          <w:rFonts w:hint="eastAsia"/>
        </w:rPr>
        <w:t>一般要求</w:t>
      </w:r>
    </w:p>
    <w:p w14:paraId="25386457">
      <w:pPr>
        <w:pStyle w:val="165"/>
        <w:spacing w:line="360" w:lineRule="auto"/>
      </w:pPr>
      <w:r>
        <w:rPr>
          <w:rFonts w:hint="eastAsia"/>
        </w:rPr>
        <w:t>对判定为需整改复检或不合格但允许整改后复检的设备，应实施整改复检闭环管理。闭环管理应覆盖整改通知、整改实施、整改证据提交、复检确认、结论更新与资料归档全过程。</w:t>
      </w:r>
    </w:p>
    <w:p w14:paraId="3EABAC1E">
      <w:pPr>
        <w:pStyle w:val="165"/>
        <w:spacing w:line="360" w:lineRule="auto"/>
      </w:pPr>
      <w:r>
        <w:rPr>
          <w:rFonts w:hint="eastAsia"/>
        </w:rPr>
        <w:t>整改复检应以缺陷清单为依据，复检范围应与缺陷风险等级匹配。对重大缺陷或关键安全项目缺陷，应实施重点复检与必要的扩展复检，避免仅复核表面整改而遗漏关联风险。</w:t>
      </w:r>
    </w:p>
    <w:p w14:paraId="49BC6ECC">
      <w:pPr>
        <w:pStyle w:val="165"/>
        <w:spacing w:line="360" w:lineRule="auto"/>
      </w:pPr>
      <w:r>
        <w:rPr>
          <w:rFonts w:hint="eastAsia"/>
        </w:rPr>
        <w:t>整改复检信息应在智能检验系统中全程留痕。系统应支持整改任务编号与原检验任务关联，确保整改闭环可追溯、可统计、可审计。</w:t>
      </w:r>
    </w:p>
    <w:p w14:paraId="02126128">
      <w:pPr>
        <w:pStyle w:val="105"/>
        <w:spacing w:before="120" w:after="120" w:line="360" w:lineRule="auto"/>
      </w:pPr>
      <w:r>
        <w:rPr>
          <w:rFonts w:hint="eastAsia"/>
        </w:rPr>
        <w:t>整改通知与任务下达</w:t>
      </w:r>
    </w:p>
    <w:p w14:paraId="4996A2A8">
      <w:pPr>
        <w:pStyle w:val="165"/>
        <w:spacing w:line="360" w:lineRule="auto"/>
      </w:pPr>
      <w:r>
        <w:rPr>
          <w:rFonts w:hint="eastAsia"/>
        </w:rPr>
        <w:t>检验机构应依据缺陷清单向使用单位出具整改要求。整改要求应明确缺陷位置、缺陷描述、依据条款、整改目标、建议整改措施、整改期限与复检要求。</w:t>
      </w:r>
    </w:p>
    <w:p w14:paraId="79B8A60C">
      <w:pPr>
        <w:pStyle w:val="165"/>
        <w:spacing w:line="360" w:lineRule="auto"/>
      </w:pPr>
      <w:r>
        <w:rPr>
          <w:rFonts w:hint="eastAsia"/>
        </w:rPr>
        <w:t>对存在重大缺陷且可能危及安全的，应同步提出停止使用或限制使用建议，并按规定履行告知与报告程序。</w:t>
      </w:r>
    </w:p>
    <w:p w14:paraId="6169AB70">
      <w:pPr>
        <w:pStyle w:val="165"/>
        <w:spacing w:line="360" w:lineRule="auto"/>
      </w:pPr>
      <w:r>
        <w:rPr>
          <w:rFonts w:hint="eastAsia"/>
        </w:rPr>
        <w:t>系统应将整改要求结构化管理。整改任务应具备唯一编号，并记录下达时间、责任单位、责任人、整改期限与复检预约方式。</w:t>
      </w:r>
    </w:p>
    <w:p w14:paraId="726BA414">
      <w:pPr>
        <w:pStyle w:val="105"/>
        <w:spacing w:before="120" w:after="120" w:line="360" w:lineRule="auto"/>
      </w:pPr>
      <w:r>
        <w:rPr>
          <w:rFonts w:hint="eastAsia"/>
        </w:rPr>
        <w:t>整改实施与过程控制</w:t>
      </w:r>
    </w:p>
    <w:p w14:paraId="78D0A63D">
      <w:pPr>
        <w:pStyle w:val="165"/>
        <w:spacing w:line="360" w:lineRule="auto"/>
      </w:pPr>
      <w:r>
        <w:rPr>
          <w:rFonts w:hint="eastAsia"/>
        </w:rPr>
        <w:t>整改实施单位应按整改要求实施整改，并保存过程记录。过程记录宜包括工单、施工记录、调试记录、零部件更换记录、维保记录与自检记录。</w:t>
      </w:r>
    </w:p>
    <w:p w14:paraId="7B6850E8">
      <w:pPr>
        <w:pStyle w:val="165"/>
        <w:spacing w:line="360" w:lineRule="auto"/>
      </w:pPr>
      <w:r>
        <w:rPr>
          <w:rFonts w:hint="eastAsia"/>
        </w:rPr>
        <w:t>对涉及安全保护装置、关键结构件、关键电气回路或控制程序变更的整改，应实施更严格的过程控制，必要时开展见证或第三方复核，并保留可验证证据。</w:t>
      </w:r>
    </w:p>
    <w:p w14:paraId="2923FAD5">
      <w:pPr>
        <w:pStyle w:val="165"/>
        <w:spacing w:line="360" w:lineRule="auto"/>
      </w:pPr>
      <w:r>
        <w:rPr>
          <w:rFonts w:hint="eastAsia"/>
        </w:rPr>
        <w:t>整改完成后，整改实施单位应进行自检确认。自检应覆盖整改项功能验证与安全确认，并形成自检结论。</w:t>
      </w:r>
    </w:p>
    <w:p w14:paraId="774811CE">
      <w:pPr>
        <w:pStyle w:val="165"/>
        <w:numPr>
          <w:ilvl w:val="0"/>
          <w:numId w:val="0"/>
        </w:numPr>
        <w:spacing w:line="360" w:lineRule="auto"/>
      </w:pPr>
    </w:p>
    <w:p w14:paraId="7F7CB2A3">
      <w:pPr>
        <w:pStyle w:val="105"/>
        <w:spacing w:before="120" w:after="120" w:line="360" w:lineRule="auto"/>
      </w:pPr>
      <w:r>
        <w:rPr>
          <w:rFonts w:hint="eastAsia"/>
        </w:rPr>
        <w:t>整改证据提交与受理</w:t>
      </w:r>
    </w:p>
    <w:p w14:paraId="7BBC7B0C">
      <w:pPr>
        <w:pStyle w:val="165"/>
        <w:spacing w:line="360" w:lineRule="auto"/>
      </w:pPr>
      <w:r>
        <w:rPr>
          <w:rFonts w:hint="eastAsia"/>
        </w:rPr>
        <w:t>使用单位或整改实施单位应按要求向检验机构提交整改证据。整改证据应真实、完整并与缺陷项一一对应。</w:t>
      </w:r>
    </w:p>
    <w:p w14:paraId="32C46A03">
      <w:pPr>
        <w:pStyle w:val="165"/>
        <w:spacing w:line="360" w:lineRule="auto"/>
      </w:pPr>
      <w:r>
        <w:rPr>
          <w:rFonts w:hint="eastAsia"/>
        </w:rPr>
        <w:t>检验机构应对整改证据进行受理审查。审查内容应包括证据完整性、逻辑一致性、与缺陷项对应关系、关键变更的合规性以及是否满足复检条件。证据不足的，应退回补充。</w:t>
      </w:r>
    </w:p>
    <w:p w14:paraId="5A50CE74">
      <w:pPr>
        <w:pStyle w:val="165"/>
        <w:spacing w:line="360" w:lineRule="auto"/>
      </w:pPr>
      <w:r>
        <w:rPr>
          <w:rFonts w:hint="eastAsia"/>
        </w:rPr>
        <w:t>系统应记录证据提交时间、证据类型、受理结论与退回原因，并形成审计日志。</w:t>
      </w:r>
    </w:p>
    <w:p w14:paraId="386B99D8">
      <w:pPr>
        <w:pStyle w:val="105"/>
        <w:spacing w:before="120" w:after="120" w:line="360" w:lineRule="auto"/>
      </w:pPr>
      <w:r>
        <w:rPr>
          <w:rFonts w:hint="eastAsia"/>
        </w:rPr>
        <w:t>复检实施与结论确认</w:t>
      </w:r>
    </w:p>
    <w:p w14:paraId="12C212D5">
      <w:pPr>
        <w:pStyle w:val="165"/>
        <w:spacing w:line="360" w:lineRule="auto"/>
      </w:pPr>
      <w:r>
        <w:rPr>
          <w:rFonts w:hint="eastAsia"/>
        </w:rPr>
        <w:t>复检应基于整改闭环信息开展。复检前应核对整改任务编号、缺陷清单、整改证据与复检范围。</w:t>
      </w:r>
    </w:p>
    <w:p w14:paraId="0C52AAC6">
      <w:pPr>
        <w:pStyle w:val="165"/>
        <w:spacing w:line="360" w:lineRule="auto"/>
      </w:pPr>
      <w:r>
        <w:rPr>
          <w:rFonts w:hint="eastAsia"/>
        </w:rPr>
        <w:t>复检现场应复核缺陷消除情况，并对相关联项目开展必要扩展检查。对关键安全项目应执行复测或功能试验，并形成证据链。</w:t>
      </w:r>
    </w:p>
    <w:p w14:paraId="4E29C2C5">
      <w:pPr>
        <w:pStyle w:val="165"/>
        <w:spacing w:line="360" w:lineRule="auto"/>
      </w:pPr>
      <w:r>
        <w:rPr>
          <w:rFonts w:hint="eastAsia"/>
        </w:rPr>
        <w:t>复检结论应明确。缺陷消除且满足规范要求的，应销项并更新项目判定。未满足要求的，应继续保留缺陷状态并重新下达整改要求，必要时调整整机结论。</w:t>
      </w:r>
    </w:p>
    <w:p w14:paraId="38053545">
      <w:pPr>
        <w:pStyle w:val="165"/>
        <w:spacing w:line="360" w:lineRule="auto"/>
      </w:pPr>
      <w:r>
        <w:rPr>
          <w:rFonts w:hint="eastAsia"/>
        </w:rPr>
        <w:t>复检完成后，应在系统中更新整机结论状态并生成复检报告或复检记录，确保与原报告关联并形成版本链。</w:t>
      </w:r>
      <w:bookmarkStart w:id="58" w:name="_GoBack"/>
      <w:bookmarkEnd w:id="58"/>
    </w:p>
    <w:p w14:paraId="3FBAA812">
      <w:pPr>
        <w:pStyle w:val="105"/>
        <w:spacing w:before="120" w:after="120" w:line="360" w:lineRule="auto"/>
      </w:pPr>
      <w:r>
        <w:rPr>
          <w:rFonts w:hint="eastAsia"/>
        </w:rPr>
        <w:t>闭环销项与档案更新</w:t>
      </w:r>
    </w:p>
    <w:p w14:paraId="6D13CAEF">
      <w:pPr>
        <w:pStyle w:val="165"/>
        <w:spacing w:line="360" w:lineRule="auto"/>
      </w:pPr>
      <w:r>
        <w:rPr>
          <w:rFonts w:hint="eastAsia"/>
        </w:rPr>
        <w:t>缺陷销项应满足双条件，整改证据与现场复检结果一致，且复检证据链完整。未满足条件不得销项。</w:t>
      </w:r>
    </w:p>
    <w:p w14:paraId="315EA696">
      <w:pPr>
        <w:pStyle w:val="165"/>
        <w:spacing w:line="360" w:lineRule="auto"/>
      </w:pPr>
      <w:r>
        <w:rPr>
          <w:rFonts w:hint="eastAsia"/>
        </w:rPr>
        <w:t>系统应支持销项清单输出。销项清单应包含缺陷编号、整改措施摘要、复检时间、复检人员、复检结论与证据索引。</w:t>
      </w:r>
    </w:p>
    <w:p w14:paraId="63007D46">
      <w:pPr>
        <w:pStyle w:val="165"/>
        <w:spacing w:line="360" w:lineRule="auto"/>
      </w:pPr>
      <w:r>
        <w:rPr>
          <w:rFonts w:hint="eastAsia"/>
        </w:rPr>
        <w:t>闭环完成后，应更新设备检验档案与使用管理档案，确保后续检验可追溯。整改复检闭环管理要素与记录要求见表2。</w:t>
      </w:r>
    </w:p>
    <w:p w14:paraId="45C6CE6C">
      <w:pPr>
        <w:pStyle w:val="112"/>
        <w:spacing w:before="120" w:after="120" w:line="360" w:lineRule="auto"/>
      </w:pPr>
      <w:r>
        <w:rPr>
          <w:rFonts w:hint="eastAsia"/>
        </w:rPr>
        <w:t>整改复检闭环管理要素与记录要求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992"/>
        <w:gridCol w:w="1701"/>
        <w:gridCol w:w="1701"/>
        <w:gridCol w:w="2126"/>
        <w:gridCol w:w="1973"/>
      </w:tblGrid>
      <w:tr w14:paraId="59A71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19D2A1BA">
            <w:pPr>
              <w:pStyle w:val="178"/>
            </w:pPr>
            <w:r>
              <w:rPr>
                <w:rFonts w:hint="eastAsia"/>
              </w:rPr>
              <w:t>环节</w:t>
            </w:r>
          </w:p>
        </w:tc>
        <w:tc>
          <w:tcPr>
            <w:tcW w:w="992" w:type="dxa"/>
            <w:tcBorders>
              <w:top w:val="single" w:color="auto" w:sz="8" w:space="0"/>
              <w:bottom w:val="single" w:color="auto" w:sz="8" w:space="0"/>
            </w:tcBorders>
            <w:vAlign w:val="center"/>
          </w:tcPr>
          <w:p w14:paraId="40932C98">
            <w:pPr>
              <w:pStyle w:val="178"/>
            </w:pPr>
            <w:r>
              <w:rPr>
                <w:rFonts w:hint="eastAsia"/>
              </w:rPr>
              <w:t>责任主体</w:t>
            </w:r>
          </w:p>
        </w:tc>
        <w:tc>
          <w:tcPr>
            <w:tcW w:w="1701" w:type="dxa"/>
            <w:tcBorders>
              <w:top w:val="single" w:color="auto" w:sz="8" w:space="0"/>
              <w:bottom w:val="single" w:color="auto" w:sz="8" w:space="0"/>
            </w:tcBorders>
            <w:vAlign w:val="center"/>
          </w:tcPr>
          <w:p w14:paraId="69229CC2">
            <w:pPr>
              <w:pStyle w:val="178"/>
            </w:pPr>
            <w:r>
              <w:rPr>
                <w:rFonts w:hint="eastAsia"/>
              </w:rPr>
              <w:t>关键输入</w:t>
            </w:r>
          </w:p>
        </w:tc>
        <w:tc>
          <w:tcPr>
            <w:tcW w:w="1701" w:type="dxa"/>
            <w:tcBorders>
              <w:top w:val="single" w:color="auto" w:sz="8" w:space="0"/>
              <w:bottom w:val="single" w:color="auto" w:sz="8" w:space="0"/>
            </w:tcBorders>
            <w:vAlign w:val="center"/>
          </w:tcPr>
          <w:p w14:paraId="6FE49AA3">
            <w:pPr>
              <w:pStyle w:val="178"/>
            </w:pPr>
            <w:r>
              <w:rPr>
                <w:rFonts w:hint="eastAsia"/>
              </w:rPr>
              <w:t>关键输出</w:t>
            </w:r>
          </w:p>
        </w:tc>
        <w:tc>
          <w:tcPr>
            <w:tcW w:w="2126" w:type="dxa"/>
            <w:tcBorders>
              <w:top w:val="single" w:color="auto" w:sz="8" w:space="0"/>
              <w:bottom w:val="single" w:color="auto" w:sz="8" w:space="0"/>
            </w:tcBorders>
            <w:vAlign w:val="center"/>
          </w:tcPr>
          <w:p w14:paraId="300D4917">
            <w:pPr>
              <w:pStyle w:val="178"/>
            </w:pPr>
            <w:r>
              <w:rPr>
                <w:rFonts w:hint="eastAsia"/>
              </w:rPr>
              <w:t>必备记录与证据</w:t>
            </w:r>
          </w:p>
        </w:tc>
        <w:tc>
          <w:tcPr>
            <w:tcW w:w="1973" w:type="dxa"/>
            <w:tcBorders>
              <w:top w:val="single" w:color="auto" w:sz="8" w:space="0"/>
              <w:bottom w:val="single" w:color="auto" w:sz="8" w:space="0"/>
            </w:tcBorders>
            <w:vAlign w:val="center"/>
          </w:tcPr>
          <w:p w14:paraId="08B9C429">
            <w:pPr>
              <w:pStyle w:val="178"/>
            </w:pPr>
            <w:r>
              <w:rPr>
                <w:rFonts w:hint="eastAsia"/>
              </w:rPr>
              <w:t>时限控制要点</w:t>
            </w:r>
          </w:p>
        </w:tc>
      </w:tr>
      <w:tr w14:paraId="5675D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799DBE27">
            <w:pPr>
              <w:pStyle w:val="178"/>
            </w:pPr>
            <w:r>
              <w:rPr>
                <w:rFonts w:hint="eastAsia"/>
              </w:rPr>
              <w:t>整改通知</w:t>
            </w:r>
          </w:p>
        </w:tc>
        <w:tc>
          <w:tcPr>
            <w:tcW w:w="992" w:type="dxa"/>
            <w:tcBorders>
              <w:top w:val="single" w:color="auto" w:sz="8" w:space="0"/>
            </w:tcBorders>
            <w:vAlign w:val="center"/>
          </w:tcPr>
          <w:p w14:paraId="3394DE4C">
            <w:pPr>
              <w:pStyle w:val="178"/>
            </w:pPr>
            <w:r>
              <w:rPr>
                <w:rFonts w:hint="eastAsia"/>
              </w:rPr>
              <w:t>检验机构</w:t>
            </w:r>
          </w:p>
        </w:tc>
        <w:tc>
          <w:tcPr>
            <w:tcW w:w="1701" w:type="dxa"/>
            <w:tcBorders>
              <w:top w:val="single" w:color="auto" w:sz="8" w:space="0"/>
            </w:tcBorders>
            <w:vAlign w:val="center"/>
          </w:tcPr>
          <w:p w14:paraId="7120D476">
            <w:pPr>
              <w:pStyle w:val="178"/>
            </w:pPr>
            <w:r>
              <w:rPr>
                <w:rFonts w:hint="eastAsia"/>
              </w:rPr>
              <w:t>缺陷清单、判定依据、风险分级</w:t>
            </w:r>
          </w:p>
        </w:tc>
        <w:tc>
          <w:tcPr>
            <w:tcW w:w="1701" w:type="dxa"/>
            <w:tcBorders>
              <w:top w:val="single" w:color="auto" w:sz="8" w:space="0"/>
            </w:tcBorders>
            <w:vAlign w:val="center"/>
          </w:tcPr>
          <w:p w14:paraId="13839E51">
            <w:pPr>
              <w:pStyle w:val="178"/>
            </w:pPr>
            <w:r>
              <w:rPr>
                <w:rFonts w:hint="eastAsia"/>
              </w:rPr>
              <w:t>整改要求单、整改任务编号</w:t>
            </w:r>
          </w:p>
        </w:tc>
        <w:tc>
          <w:tcPr>
            <w:tcW w:w="2126" w:type="dxa"/>
            <w:tcBorders>
              <w:top w:val="single" w:color="auto" w:sz="8" w:space="0"/>
            </w:tcBorders>
            <w:vAlign w:val="center"/>
          </w:tcPr>
          <w:p w14:paraId="3B5D4F2F">
            <w:pPr>
              <w:pStyle w:val="178"/>
            </w:pPr>
            <w:r>
              <w:rPr>
                <w:rFonts w:hint="eastAsia"/>
              </w:rPr>
              <w:t>缺陷位置与描述、条款引用、整改期限、复检范围</w:t>
            </w:r>
          </w:p>
        </w:tc>
        <w:tc>
          <w:tcPr>
            <w:tcW w:w="1973" w:type="dxa"/>
            <w:tcBorders>
              <w:top w:val="single" w:color="auto" w:sz="8" w:space="0"/>
            </w:tcBorders>
            <w:vAlign w:val="center"/>
          </w:tcPr>
          <w:p w14:paraId="05B39C0A">
            <w:pPr>
              <w:pStyle w:val="178"/>
            </w:pPr>
            <w:r>
              <w:rPr>
                <w:rFonts w:hint="eastAsia"/>
              </w:rPr>
              <w:t>发现重大缺陷应即时告知并留痕</w:t>
            </w:r>
          </w:p>
        </w:tc>
      </w:tr>
      <w:tr w14:paraId="62FE4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1B55597">
            <w:pPr>
              <w:pStyle w:val="178"/>
            </w:pPr>
            <w:r>
              <w:rPr>
                <w:rFonts w:hint="eastAsia"/>
              </w:rPr>
              <w:t>整改实施</w:t>
            </w:r>
          </w:p>
        </w:tc>
        <w:tc>
          <w:tcPr>
            <w:tcW w:w="992" w:type="dxa"/>
            <w:vAlign w:val="center"/>
          </w:tcPr>
          <w:p w14:paraId="24A13E53">
            <w:pPr>
              <w:pStyle w:val="178"/>
            </w:pPr>
            <w:r>
              <w:rPr>
                <w:rFonts w:hint="eastAsia"/>
              </w:rPr>
              <w:t>使用单位或整改单位</w:t>
            </w:r>
          </w:p>
        </w:tc>
        <w:tc>
          <w:tcPr>
            <w:tcW w:w="1701" w:type="dxa"/>
            <w:vAlign w:val="center"/>
          </w:tcPr>
          <w:p w14:paraId="58E0C008">
            <w:pPr>
              <w:pStyle w:val="178"/>
            </w:pPr>
            <w:r>
              <w:rPr>
                <w:rFonts w:hint="eastAsia"/>
              </w:rPr>
              <w:t>整改要求单、施工方案、备件材料</w:t>
            </w:r>
          </w:p>
        </w:tc>
        <w:tc>
          <w:tcPr>
            <w:tcW w:w="1701" w:type="dxa"/>
            <w:vAlign w:val="center"/>
          </w:tcPr>
          <w:p w14:paraId="4133E77F">
            <w:pPr>
              <w:pStyle w:val="178"/>
            </w:pPr>
            <w:r>
              <w:rPr>
                <w:rFonts w:hint="eastAsia"/>
              </w:rPr>
              <w:t>整改完成记录、自检结论</w:t>
            </w:r>
          </w:p>
        </w:tc>
        <w:tc>
          <w:tcPr>
            <w:tcW w:w="2126" w:type="dxa"/>
            <w:vAlign w:val="center"/>
          </w:tcPr>
          <w:p w14:paraId="7F44BEE3">
            <w:pPr>
              <w:pStyle w:val="178"/>
            </w:pPr>
            <w:r>
              <w:rPr>
                <w:rFonts w:hint="eastAsia"/>
              </w:rPr>
              <w:t>工单、施工记录、调试记录、更换记录、自检记录</w:t>
            </w:r>
          </w:p>
        </w:tc>
        <w:tc>
          <w:tcPr>
            <w:tcW w:w="1973" w:type="dxa"/>
            <w:vAlign w:val="center"/>
          </w:tcPr>
          <w:p w14:paraId="0B5BFCCF">
            <w:pPr>
              <w:pStyle w:val="178"/>
            </w:pPr>
            <w:r>
              <w:rPr>
                <w:rFonts w:hint="eastAsia"/>
              </w:rPr>
              <w:t>关键安全项整改应优先完成并保留全过程记录</w:t>
            </w:r>
          </w:p>
        </w:tc>
      </w:tr>
      <w:tr w14:paraId="215E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0B1661B">
            <w:pPr>
              <w:pStyle w:val="178"/>
            </w:pPr>
            <w:r>
              <w:rPr>
                <w:rFonts w:hint="eastAsia"/>
              </w:rPr>
              <w:t>证据提交</w:t>
            </w:r>
          </w:p>
        </w:tc>
        <w:tc>
          <w:tcPr>
            <w:tcW w:w="992" w:type="dxa"/>
            <w:vAlign w:val="center"/>
          </w:tcPr>
          <w:p w14:paraId="40A6E736">
            <w:pPr>
              <w:pStyle w:val="178"/>
            </w:pPr>
            <w:r>
              <w:rPr>
                <w:rFonts w:hint="eastAsia"/>
              </w:rPr>
              <w:t>使用单位或整改单位</w:t>
            </w:r>
          </w:p>
        </w:tc>
        <w:tc>
          <w:tcPr>
            <w:tcW w:w="1701" w:type="dxa"/>
            <w:vAlign w:val="center"/>
          </w:tcPr>
          <w:p w14:paraId="5E00CE71">
            <w:pPr>
              <w:pStyle w:val="178"/>
            </w:pPr>
            <w:r>
              <w:rPr>
                <w:rFonts w:hint="eastAsia"/>
              </w:rPr>
              <w:t>整改完成记录、自检结论</w:t>
            </w:r>
          </w:p>
        </w:tc>
        <w:tc>
          <w:tcPr>
            <w:tcW w:w="1701" w:type="dxa"/>
            <w:vAlign w:val="center"/>
          </w:tcPr>
          <w:p w14:paraId="5FFCBE5C">
            <w:pPr>
              <w:pStyle w:val="178"/>
            </w:pPr>
            <w:r>
              <w:rPr>
                <w:rFonts w:hint="eastAsia"/>
              </w:rPr>
              <w:t>整改证据包</w:t>
            </w:r>
          </w:p>
        </w:tc>
        <w:tc>
          <w:tcPr>
            <w:tcW w:w="2126" w:type="dxa"/>
            <w:vAlign w:val="center"/>
          </w:tcPr>
          <w:p w14:paraId="7E1FAC2E">
            <w:pPr>
              <w:pStyle w:val="178"/>
            </w:pPr>
            <w:r>
              <w:rPr>
                <w:rFonts w:hint="eastAsia"/>
              </w:rPr>
              <w:t>照片、视频、测试记录、合格证明、变更记录</w:t>
            </w:r>
          </w:p>
        </w:tc>
        <w:tc>
          <w:tcPr>
            <w:tcW w:w="1973" w:type="dxa"/>
            <w:vAlign w:val="center"/>
          </w:tcPr>
          <w:p w14:paraId="201D5BF8">
            <w:pPr>
              <w:pStyle w:val="178"/>
            </w:pPr>
            <w:r>
              <w:rPr>
                <w:rFonts w:hint="eastAsia"/>
              </w:rPr>
              <w:t>证据应在复检预约前提交并通过受理审查</w:t>
            </w:r>
          </w:p>
        </w:tc>
      </w:tr>
      <w:tr w14:paraId="6306F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FE3F9B0">
            <w:pPr>
              <w:pStyle w:val="178"/>
            </w:pPr>
            <w:r>
              <w:rPr>
                <w:rFonts w:hint="eastAsia"/>
              </w:rPr>
              <w:t>受理审查</w:t>
            </w:r>
          </w:p>
        </w:tc>
        <w:tc>
          <w:tcPr>
            <w:tcW w:w="992" w:type="dxa"/>
            <w:vAlign w:val="center"/>
          </w:tcPr>
          <w:p w14:paraId="57EEACAD">
            <w:pPr>
              <w:pStyle w:val="178"/>
            </w:pPr>
            <w:r>
              <w:rPr>
                <w:rFonts w:hint="eastAsia"/>
              </w:rPr>
              <w:t>检验机构</w:t>
            </w:r>
          </w:p>
        </w:tc>
        <w:tc>
          <w:tcPr>
            <w:tcW w:w="1701" w:type="dxa"/>
            <w:vAlign w:val="center"/>
          </w:tcPr>
          <w:p w14:paraId="7A635D95">
            <w:pPr>
              <w:pStyle w:val="178"/>
            </w:pPr>
            <w:r>
              <w:rPr>
                <w:rFonts w:hint="eastAsia"/>
              </w:rPr>
              <w:t>整改证据包</w:t>
            </w:r>
          </w:p>
        </w:tc>
        <w:tc>
          <w:tcPr>
            <w:tcW w:w="1701" w:type="dxa"/>
            <w:vAlign w:val="center"/>
          </w:tcPr>
          <w:p w14:paraId="510A1D2E">
            <w:pPr>
              <w:pStyle w:val="178"/>
            </w:pPr>
            <w:r>
              <w:rPr>
                <w:rFonts w:hint="eastAsia"/>
              </w:rPr>
              <w:t>受理结论、退回意见</w:t>
            </w:r>
          </w:p>
        </w:tc>
        <w:tc>
          <w:tcPr>
            <w:tcW w:w="2126" w:type="dxa"/>
            <w:vAlign w:val="center"/>
          </w:tcPr>
          <w:p w14:paraId="0C0E57E3">
            <w:pPr>
              <w:pStyle w:val="178"/>
            </w:pPr>
            <w:r>
              <w:rPr>
                <w:rFonts w:hint="eastAsia"/>
              </w:rPr>
              <w:t>受理审查记录、退回原因日志</w:t>
            </w:r>
          </w:p>
        </w:tc>
        <w:tc>
          <w:tcPr>
            <w:tcW w:w="1973" w:type="dxa"/>
            <w:vAlign w:val="center"/>
          </w:tcPr>
          <w:p w14:paraId="1D4E61B4">
            <w:pPr>
              <w:pStyle w:val="178"/>
            </w:pPr>
            <w:r>
              <w:rPr>
                <w:rFonts w:hint="eastAsia"/>
              </w:rPr>
              <w:t>证据不充分不得安排复检</w:t>
            </w:r>
          </w:p>
        </w:tc>
      </w:tr>
      <w:tr w14:paraId="368E1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E8E158F">
            <w:pPr>
              <w:pStyle w:val="178"/>
            </w:pPr>
            <w:r>
              <w:rPr>
                <w:rFonts w:hint="eastAsia"/>
              </w:rPr>
              <w:t>复检实施</w:t>
            </w:r>
          </w:p>
        </w:tc>
        <w:tc>
          <w:tcPr>
            <w:tcW w:w="992" w:type="dxa"/>
            <w:vAlign w:val="center"/>
          </w:tcPr>
          <w:p w14:paraId="4BDDDA40">
            <w:pPr>
              <w:pStyle w:val="178"/>
            </w:pPr>
            <w:r>
              <w:rPr>
                <w:rFonts w:hint="eastAsia"/>
              </w:rPr>
              <w:t>检验机构</w:t>
            </w:r>
          </w:p>
        </w:tc>
        <w:tc>
          <w:tcPr>
            <w:tcW w:w="1701" w:type="dxa"/>
            <w:vAlign w:val="center"/>
          </w:tcPr>
          <w:p w14:paraId="190AB826">
            <w:pPr>
              <w:pStyle w:val="178"/>
            </w:pPr>
            <w:r>
              <w:rPr>
                <w:rFonts w:hint="eastAsia"/>
              </w:rPr>
              <w:t>受理结论、缺陷清单、复检计划</w:t>
            </w:r>
          </w:p>
        </w:tc>
        <w:tc>
          <w:tcPr>
            <w:tcW w:w="1701" w:type="dxa"/>
            <w:vAlign w:val="center"/>
          </w:tcPr>
          <w:p w14:paraId="4B4736B0">
            <w:pPr>
              <w:pStyle w:val="178"/>
            </w:pPr>
            <w:r>
              <w:rPr>
                <w:rFonts w:hint="eastAsia"/>
              </w:rPr>
              <w:t>复检记录、复检结论</w:t>
            </w:r>
          </w:p>
        </w:tc>
        <w:tc>
          <w:tcPr>
            <w:tcW w:w="2126" w:type="dxa"/>
            <w:vAlign w:val="center"/>
          </w:tcPr>
          <w:p w14:paraId="0609D036">
            <w:pPr>
              <w:pStyle w:val="178"/>
            </w:pPr>
            <w:r>
              <w:rPr>
                <w:rFonts w:hint="eastAsia"/>
              </w:rPr>
              <w:t>复测数据、影像证据、功能试验记录、签名链</w:t>
            </w:r>
          </w:p>
        </w:tc>
        <w:tc>
          <w:tcPr>
            <w:tcW w:w="1973" w:type="dxa"/>
            <w:vAlign w:val="center"/>
          </w:tcPr>
          <w:p w14:paraId="41856C07">
            <w:pPr>
              <w:pStyle w:val="178"/>
            </w:pPr>
            <w:r>
              <w:rPr>
                <w:rFonts w:hint="eastAsia"/>
              </w:rPr>
              <w:t>关键项目应现场复核并形成多源证据</w:t>
            </w:r>
          </w:p>
        </w:tc>
      </w:tr>
      <w:tr w14:paraId="406C7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4DB4603">
            <w:pPr>
              <w:pStyle w:val="178"/>
            </w:pPr>
            <w:r>
              <w:rPr>
                <w:rFonts w:hint="eastAsia"/>
              </w:rPr>
              <w:t>销项归档</w:t>
            </w:r>
          </w:p>
        </w:tc>
        <w:tc>
          <w:tcPr>
            <w:tcW w:w="992" w:type="dxa"/>
            <w:vAlign w:val="center"/>
          </w:tcPr>
          <w:p w14:paraId="6B1990E4">
            <w:pPr>
              <w:pStyle w:val="178"/>
            </w:pPr>
            <w:r>
              <w:rPr>
                <w:rFonts w:hint="eastAsia"/>
              </w:rPr>
              <w:t>检验机构与使用单位</w:t>
            </w:r>
          </w:p>
        </w:tc>
        <w:tc>
          <w:tcPr>
            <w:tcW w:w="1701" w:type="dxa"/>
            <w:vAlign w:val="center"/>
          </w:tcPr>
          <w:p w14:paraId="4ED876AF">
            <w:pPr>
              <w:pStyle w:val="178"/>
            </w:pPr>
            <w:r>
              <w:rPr>
                <w:rFonts w:hint="eastAsia"/>
              </w:rPr>
              <w:t>复检结论、证据链</w:t>
            </w:r>
          </w:p>
        </w:tc>
        <w:tc>
          <w:tcPr>
            <w:tcW w:w="1701" w:type="dxa"/>
            <w:vAlign w:val="center"/>
          </w:tcPr>
          <w:p w14:paraId="614DFB27">
            <w:pPr>
              <w:pStyle w:val="178"/>
            </w:pPr>
            <w:r>
              <w:rPr>
                <w:rFonts w:hint="eastAsia"/>
              </w:rPr>
              <w:t>销项清单、档案更新</w:t>
            </w:r>
          </w:p>
        </w:tc>
        <w:tc>
          <w:tcPr>
            <w:tcW w:w="2126" w:type="dxa"/>
            <w:vAlign w:val="center"/>
          </w:tcPr>
          <w:p w14:paraId="07A8F05F">
            <w:pPr>
              <w:pStyle w:val="178"/>
            </w:pPr>
            <w:r>
              <w:rPr>
                <w:rFonts w:hint="eastAsia"/>
              </w:rPr>
              <w:t>销项记录、版本链、归档索引</w:t>
            </w:r>
          </w:p>
        </w:tc>
        <w:tc>
          <w:tcPr>
            <w:tcW w:w="1973" w:type="dxa"/>
            <w:vAlign w:val="center"/>
          </w:tcPr>
          <w:p w14:paraId="771A20E2">
            <w:pPr>
              <w:pStyle w:val="178"/>
            </w:pPr>
            <w:r>
              <w:rPr>
                <w:rFonts w:hint="eastAsia"/>
              </w:rPr>
              <w:t>未复检合格不得销项、不一致不得销项</w:t>
            </w:r>
          </w:p>
        </w:tc>
      </w:tr>
      <w:bookmarkEnd w:id="26"/>
    </w:tbl>
    <w:p w14:paraId="363321A8">
      <w:pPr>
        <w:pStyle w:val="56"/>
        <w:ind w:firstLine="0" w:firstLineChars="0"/>
        <w:jc w:val="center"/>
      </w:pPr>
      <w:bookmarkStart w:id="57" w:name="BookMark8"/>
      <w:r>
        <w:rPr>
          <w:rFonts w:hint="eastAsia"/>
        </w:rPr>
        <w:drawing>
          <wp:inline distT="0" distB="0" distL="0" distR="0">
            <wp:extent cx="1485900" cy="317500"/>
            <wp:effectExtent l="0" t="0" r="0" b="6350"/>
            <wp:docPr id="160997949" name="图片 5"/>
            <wp:cNvGraphicFramePr/>
            <a:graphic xmlns:a="http://schemas.openxmlformats.org/drawingml/2006/main">
              <a:graphicData uri="http://schemas.openxmlformats.org/drawingml/2006/picture">
                <pic:pic xmlns:pic="http://schemas.openxmlformats.org/drawingml/2006/picture">
                  <pic:nvPicPr>
                    <pic:cNvPr id="160997949" name="图片 5"/>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6826">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8147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98E3">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3169">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5DA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11A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23A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DAFB">
    <w:pPr>
      <w:pStyle w:val="61"/>
    </w:pPr>
    <w:r>
      <w:fldChar w:fldCharType="begin"/>
    </w:r>
    <w:r>
      <w:instrText xml:space="preserve"> STYLEREF  标准文件_文件编号  \* MERGEFORMAT </w:instrText>
    </w:r>
    <w:r>
      <w:fldChar w:fldCharType="separate"/>
    </w:r>
    <w:r>
      <w:t>T/XJBX 0180—2026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C2F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0180—2026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3CD8">
    <w:pPr>
      <w:pStyle w:val="61"/>
    </w:pPr>
    <w:r>
      <w:fldChar w:fldCharType="begin"/>
    </w:r>
    <w:r>
      <w:instrText xml:space="preserve"> STYLEREF  标准文件_文件编号  \* MERGEFORMAT </w:instrText>
    </w:r>
    <w:r>
      <w:fldChar w:fldCharType="separate"/>
    </w:r>
    <w:r>
      <w:t>T/XJBX 0180—2026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21D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0180—2026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B28B">
    <w:pPr>
      <w:pStyle w:val="61"/>
    </w:pPr>
    <w:r>
      <w:fldChar w:fldCharType="begin"/>
    </w:r>
    <w:r>
      <w:instrText xml:space="preserve"> STYLEREF  标准文件_文件编号  \* MERGEFORMAT </w:instrText>
    </w:r>
    <w:r>
      <w:fldChar w:fldCharType="separate"/>
    </w:r>
    <w:r>
      <w:t>T/XJBX 0180—2026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B55A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0180—2026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05A"/>
    <w:rsid w:val="000539DD"/>
    <w:rsid w:val="00053BD3"/>
    <w:rsid w:val="000556ED"/>
    <w:rsid w:val="00055FE2"/>
    <w:rsid w:val="0005616F"/>
    <w:rsid w:val="00060C2E"/>
    <w:rsid w:val="00061033"/>
    <w:rsid w:val="000619E9"/>
    <w:rsid w:val="000622D4"/>
    <w:rsid w:val="0006357D"/>
    <w:rsid w:val="000651B7"/>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11A"/>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33A"/>
    <w:rsid w:val="006015CE"/>
    <w:rsid w:val="00604784"/>
    <w:rsid w:val="006051AE"/>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D9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172"/>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9E"/>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116"/>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28C"/>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90E"/>
    <w:rsid w:val="00A0096C"/>
    <w:rsid w:val="00A01757"/>
    <w:rsid w:val="00A028C0"/>
    <w:rsid w:val="00A02BAE"/>
    <w:rsid w:val="00A06A6B"/>
    <w:rsid w:val="00A07E47"/>
    <w:rsid w:val="00A129D0"/>
    <w:rsid w:val="00A12C33"/>
    <w:rsid w:val="00A138BA"/>
    <w:rsid w:val="00A14C8E"/>
    <w:rsid w:val="00A153D9"/>
    <w:rsid w:val="00A15F09"/>
    <w:rsid w:val="00A162DD"/>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0DA"/>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D3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82A"/>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DB2"/>
    <w:rsid w:val="00D4162B"/>
    <w:rsid w:val="00D4514F"/>
    <w:rsid w:val="00D451E2"/>
    <w:rsid w:val="00D45E89"/>
    <w:rsid w:val="00D45E8D"/>
    <w:rsid w:val="00D466AE"/>
    <w:rsid w:val="00D4734F"/>
    <w:rsid w:val="00D51BF3"/>
    <w:rsid w:val="00D57F52"/>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5674"/>
    <w:rsid w:val="00EE613F"/>
    <w:rsid w:val="00EE7295"/>
    <w:rsid w:val="00EE7869"/>
    <w:rsid w:val="00EF054A"/>
    <w:rsid w:val="00EF3235"/>
    <w:rsid w:val="00EF5301"/>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5CE"/>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CA770A0"/>
    <w:rsid w:val="7822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C20DBA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005F16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74CCAB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C64C3"/>
    <w:rsid w:val="00232C79"/>
    <w:rsid w:val="002C05A0"/>
    <w:rsid w:val="002F2235"/>
    <w:rsid w:val="00366D6E"/>
    <w:rsid w:val="005E6634"/>
    <w:rsid w:val="007146E1"/>
    <w:rsid w:val="00896142"/>
    <w:rsid w:val="00AE1DC6"/>
    <w:rsid w:val="00CF782A"/>
    <w:rsid w:val="00D35DB2"/>
    <w:rsid w:val="00E51851"/>
    <w:rsid w:val="00F35A8C"/>
    <w:rsid w:val="00FA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5545</Words>
  <Characters>5862</Characters>
  <Lines>101</Lines>
  <Paragraphs>28</Paragraphs>
  <TotalTime>122</TotalTime>
  <ScaleCrop>false</ScaleCrop>
  <LinksUpToDate>false</LinksUpToDate>
  <CharactersWithSpaces>5955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2026-01-15T02:20:30Z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E51ACB11F91340FEACD0EF75A6D6D83D_12</vt:lpwstr>
  </property>
</Properties>
</file>