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93.16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93.160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P 55"/>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P 55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78"/>
            </w:textInput>
          </w:ffData>
        </w:fldChar>
      </w:r>
      <w:bookmarkStart w:id="6" w:name="NSTD_CODE_F"/>
      <w:r>
        <w:instrText xml:space="preserve"> FORMTEXT </w:instrText>
      </w:r>
      <w:r>
        <w:fldChar w:fldCharType="separate"/>
      </w:r>
      <w:r>
        <w:t>0178</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水利工程软土地基智能加固施工技术规范"/>
            </w:textInput>
          </w:ffData>
        </w:fldChar>
      </w:r>
      <w:bookmarkStart w:id="9" w:name="CSTD_NAME"/>
      <w:r>
        <w:instrText xml:space="preserve"> FORMTEXT </w:instrText>
      </w:r>
      <w:r>
        <w:fldChar w:fldCharType="separate"/>
      </w:r>
      <w:r>
        <w:t>水利工程软土地基智能加固施工技术规范</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intelligent reinforcement construction technology of soft soil foundations in water conservancy projects"/>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Specification for intelligent reinforcement construction technology of soft soil foundations in water conservancy projects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CD2A7C7">
      <w:pPr>
        <w:pStyle w:val="91"/>
        <w:spacing w:after="360"/>
      </w:pPr>
      <w:bookmarkStart w:id="21" w:name="BookMark1"/>
      <w:r>
        <w:rPr>
          <w:rFonts w:hint="eastAsia"/>
          <w:spacing w:val="320"/>
        </w:rPr>
        <w:t>目</w:t>
      </w:r>
      <w:r>
        <w:rPr>
          <w:rFonts w:hint="eastAsia"/>
        </w:rPr>
        <w:t>次</w:t>
      </w:r>
    </w:p>
    <w:p w14:paraId="5C08EAF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"_Toc219057431"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_Toc219057431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D29D9C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"_Toc219057432"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_Toc219057432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2994399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"_Toc219057433"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_Toc219057433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671A28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"_Toc219057434"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_Toc219057434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07504F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"_Toc219057435"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_Toc219057435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44D1F9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"_Toc219057436"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_Toc219057436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DC2FC1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"_Toc219057437" </w:instrText>
      </w:r>
      <w:r>
        <w:fldChar w:fldCharType="separate"/>
      </w:r>
      <w:r>
        <w:rPr>
          <w:rStyle w:val="32"/>
          <w:rFonts w:hint="eastAsia"/>
        </w:rPr>
        <w:t>5</w:t>
      </w:r>
      <w:r>
        <w:rPr>
          <w:rStyle w:val="32"/>
        </w:rPr>
        <w:t xml:space="preserve"> </w:t>
      </w:r>
      <w:r>
        <w:rPr>
          <w:rStyle w:val="32"/>
          <w:rFonts w:hint="eastAsia"/>
        </w:rPr>
        <w:t xml:space="preserve"> 施工准备与试验段实施</w:t>
      </w:r>
      <w:r>
        <w:rPr>
          <w:rFonts w:hint="eastAsia"/>
        </w:rPr>
        <w:tab/>
      </w:r>
      <w:r>
        <w:rPr>
          <w:rFonts w:hint="eastAsia"/>
        </w:rPr>
        <w:fldChar w:fldCharType="begin"/>
      </w:r>
      <w:r>
        <w:rPr>
          <w:rFonts w:hint="eastAsia"/>
        </w:rPr>
        <w:instrText xml:space="preserve"> </w:instrText>
      </w:r>
      <w:r>
        <w:instrText xml:space="preserve">PAGEREF _Toc219057437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C4CE1D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"_Toc219057438" </w:instrText>
      </w:r>
      <w:r>
        <w:fldChar w:fldCharType="separate"/>
      </w:r>
      <w:r>
        <w:rPr>
          <w:rStyle w:val="32"/>
          <w:rFonts w:hint="eastAsia"/>
        </w:rPr>
        <w:t>6</w:t>
      </w:r>
      <w:r>
        <w:rPr>
          <w:rStyle w:val="32"/>
        </w:rPr>
        <w:t xml:space="preserve"> </w:t>
      </w:r>
      <w:r>
        <w:rPr>
          <w:rStyle w:val="32"/>
          <w:rFonts w:hint="eastAsia"/>
        </w:rPr>
        <w:t xml:space="preserve"> 智能化系统配置与数据采集要求</w:t>
      </w:r>
      <w:r>
        <w:rPr>
          <w:rFonts w:hint="eastAsia"/>
        </w:rPr>
        <w:tab/>
      </w:r>
      <w:r>
        <w:rPr>
          <w:rFonts w:hint="eastAsia"/>
        </w:rPr>
        <w:fldChar w:fldCharType="begin"/>
      </w:r>
      <w:r>
        <w:rPr>
          <w:rFonts w:hint="eastAsia"/>
        </w:rPr>
        <w:instrText xml:space="preserve"> </w:instrText>
      </w:r>
      <w:r>
        <w:instrText xml:space="preserve">PAGEREF _Toc219057438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C80712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"_Toc219057439" </w:instrText>
      </w:r>
      <w:r>
        <w:fldChar w:fldCharType="separate"/>
      </w:r>
      <w:r>
        <w:rPr>
          <w:rStyle w:val="32"/>
          <w:rFonts w:hint="eastAsia"/>
        </w:rPr>
        <w:t>7</w:t>
      </w:r>
      <w:r>
        <w:rPr>
          <w:rStyle w:val="32"/>
        </w:rPr>
        <w:t xml:space="preserve"> </w:t>
      </w:r>
      <w:r>
        <w:rPr>
          <w:rStyle w:val="32"/>
          <w:rFonts w:hint="eastAsia"/>
        </w:rPr>
        <w:t xml:space="preserve"> 主要加固工法施工控制要求</w:t>
      </w:r>
      <w:r>
        <w:rPr>
          <w:rFonts w:hint="eastAsia"/>
        </w:rPr>
        <w:tab/>
      </w:r>
      <w:r>
        <w:rPr>
          <w:rFonts w:hint="eastAsia"/>
        </w:rPr>
        <w:fldChar w:fldCharType="begin"/>
      </w:r>
      <w:r>
        <w:rPr>
          <w:rFonts w:hint="eastAsia"/>
        </w:rPr>
        <w:instrText xml:space="preserve"> </w:instrText>
      </w:r>
      <w:r>
        <w:instrText xml:space="preserve">PAGEREF _Toc219057439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6810D8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"_Toc219057440" </w:instrText>
      </w:r>
      <w:r>
        <w:fldChar w:fldCharType="separate"/>
      </w:r>
      <w:r>
        <w:rPr>
          <w:rStyle w:val="32"/>
          <w:rFonts w:hint="eastAsia"/>
        </w:rPr>
        <w:t>8</w:t>
      </w:r>
      <w:r>
        <w:rPr>
          <w:rStyle w:val="32"/>
        </w:rPr>
        <w:t xml:space="preserve"> </w:t>
      </w:r>
      <w:r>
        <w:rPr>
          <w:rStyle w:val="32"/>
          <w:rFonts w:hint="eastAsia"/>
        </w:rPr>
        <w:t xml:space="preserve"> 过程质量控制与检验评定</w:t>
      </w:r>
      <w:r>
        <w:rPr>
          <w:rFonts w:hint="eastAsia"/>
        </w:rPr>
        <w:tab/>
      </w:r>
      <w:r>
        <w:rPr>
          <w:rFonts w:hint="eastAsia"/>
        </w:rPr>
        <w:fldChar w:fldCharType="begin"/>
      </w:r>
      <w:r>
        <w:rPr>
          <w:rFonts w:hint="eastAsia"/>
        </w:rPr>
        <w:instrText xml:space="preserve"> </w:instrText>
      </w:r>
      <w:r>
        <w:instrText xml:space="preserve">PAGEREF _Toc219057440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6FEFD3E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"_Toc219057441" </w:instrText>
      </w:r>
      <w:r>
        <w:fldChar w:fldCharType="separate"/>
      </w:r>
      <w:r>
        <w:rPr>
          <w:rStyle w:val="32"/>
          <w:rFonts w:hint="eastAsia"/>
        </w:rPr>
        <w:t>9</w:t>
      </w:r>
      <w:r>
        <w:rPr>
          <w:rStyle w:val="32"/>
        </w:rPr>
        <w:t xml:space="preserve"> </w:t>
      </w:r>
      <w:r>
        <w:rPr>
          <w:rStyle w:val="32"/>
          <w:rFonts w:hint="eastAsia"/>
        </w:rPr>
        <w:t xml:space="preserve"> 监测预警与风险处置</w:t>
      </w:r>
      <w:r>
        <w:rPr>
          <w:rFonts w:hint="eastAsia"/>
        </w:rPr>
        <w:tab/>
      </w:r>
      <w:r>
        <w:rPr>
          <w:rFonts w:hint="eastAsia"/>
        </w:rPr>
        <w:fldChar w:fldCharType="begin"/>
      </w:r>
      <w:r>
        <w:rPr>
          <w:rFonts w:hint="eastAsia"/>
        </w:rPr>
        <w:instrText xml:space="preserve"> </w:instrText>
      </w:r>
      <w:r>
        <w:instrText xml:space="preserve">PAGEREF _Toc219057441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5EA1D83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"_Toc219057442" </w:instrText>
      </w:r>
      <w:r>
        <w:fldChar w:fldCharType="separate"/>
      </w:r>
      <w:r>
        <w:rPr>
          <w:rStyle w:val="32"/>
          <w:rFonts w:hint="eastAsia"/>
        </w:rPr>
        <w:t>10</w:t>
      </w:r>
      <w:r>
        <w:rPr>
          <w:rStyle w:val="32"/>
        </w:rPr>
        <w:t xml:space="preserve"> </w:t>
      </w:r>
      <w:r>
        <w:rPr>
          <w:rStyle w:val="32"/>
          <w:rFonts w:hint="eastAsia"/>
        </w:rPr>
        <w:t xml:space="preserve"> 安全生产与环境保护</w:t>
      </w:r>
      <w:r>
        <w:rPr>
          <w:rFonts w:hint="eastAsia"/>
        </w:rPr>
        <w:tab/>
      </w:r>
      <w:r>
        <w:rPr>
          <w:rFonts w:hint="eastAsia"/>
        </w:rPr>
        <w:fldChar w:fldCharType="begin"/>
      </w:r>
      <w:r>
        <w:rPr>
          <w:rFonts w:hint="eastAsia"/>
        </w:rPr>
        <w:instrText xml:space="preserve"> </w:instrText>
      </w:r>
      <w:r>
        <w:instrText xml:space="preserve">PAGEREF _Toc219057442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01F02A3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"_Toc219057443" </w:instrText>
      </w:r>
      <w:r>
        <w:fldChar w:fldCharType="separate"/>
      </w:r>
      <w:r>
        <w:rPr>
          <w:rStyle w:val="32"/>
          <w:rFonts w:hint="eastAsia"/>
        </w:rPr>
        <w:t>11</w:t>
      </w:r>
      <w:r>
        <w:rPr>
          <w:rStyle w:val="32"/>
        </w:rPr>
        <w:t xml:space="preserve"> </w:t>
      </w:r>
      <w:r>
        <w:rPr>
          <w:rStyle w:val="32"/>
          <w:rFonts w:hint="eastAsia"/>
        </w:rPr>
        <w:t xml:space="preserve"> 竣工验收与数字化交付</w:t>
      </w:r>
      <w:r>
        <w:rPr>
          <w:rFonts w:hint="eastAsia"/>
        </w:rPr>
        <w:tab/>
      </w:r>
      <w:r>
        <w:rPr>
          <w:rFonts w:hint="eastAsia"/>
        </w:rPr>
        <w:fldChar w:fldCharType="begin"/>
      </w:r>
      <w:r>
        <w:rPr>
          <w:rFonts w:hint="eastAsia"/>
        </w:rPr>
        <w:instrText xml:space="preserve"> </w:instrText>
      </w:r>
      <w:r>
        <w:instrText xml:space="preserve">PAGEREF _Toc219057443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2C5E8AE5">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057431"/>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285DCCF3">
      <w:pPr>
        <w:pStyle w:val="56"/>
        <w:spacing w:line="360" w:lineRule="auto"/>
        <w:ind w:firstLine="420"/>
      </w:pPr>
      <w:r>
        <w:rPr>
          <w:rFonts w:hint="eastAsia"/>
        </w:rPr>
        <w:t>本文件起草单位：南通兴洋水利勘测设计有限公司。</w:t>
      </w:r>
    </w:p>
    <w:p w14:paraId="55F4A5D1">
      <w:pPr>
        <w:pStyle w:val="56"/>
        <w:spacing w:line="360" w:lineRule="auto"/>
        <w:ind w:firstLine="420"/>
      </w:pPr>
      <w:r>
        <w:rPr>
          <w:rFonts w:hint="eastAsia"/>
        </w:rPr>
        <w:t>本文件主要起草人：吴兴北。</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057432"/>
      <w:bookmarkStart w:id="25" w:name="BookMark3"/>
      <w:r>
        <w:rPr>
          <w:spacing w:val="320"/>
        </w:rPr>
        <w:t>引</w:t>
      </w:r>
      <w:r>
        <w:t>言</w:t>
      </w:r>
      <w:bookmarkEnd w:id="24"/>
    </w:p>
    <w:p w14:paraId="1208D461">
      <w:pPr>
        <w:pStyle w:val="56"/>
        <w:spacing w:line="360" w:lineRule="auto"/>
        <w:ind w:firstLine="420"/>
      </w:pPr>
      <w:r>
        <w:rPr>
          <w:rFonts w:hint="eastAsia"/>
        </w:rPr>
        <w:t>软土地基广泛分布于河湖冲积平原、滨海滩涂、湖沼洼地与库区回水段等水利工程建设区域，其典型特征表现为含水量高、压缩性大、强度低、渗透性差与固结时间长。水闸、泵站、堤防、渠系建筑物、涵洞与护岸等结构物在软土地基上施工与运营过程中，易发生沉降过大、差异沉降、侧向位移、渗流变形与稳定性不足等问题，进而诱发结构开裂、止水失效、闸室偏移、堤身滑动及附属设施损坏等工程风险。随着水利工程向高标准防洪、长寿命运行与精细化运维方向发展，传统加固施工在参数控制、质量一致性、隐蔽工程可追溯、过程风险预警与多工序协同方面暴露出不足，亟需通过智能化技术手段提升软土地基加固的过程可控性与结果可靠性。</w:t>
      </w:r>
    </w:p>
    <w:p w14:paraId="58929C36">
      <w:pPr>
        <w:pStyle w:val="56"/>
        <w:spacing w:line="360" w:lineRule="auto"/>
        <w:ind w:firstLine="420"/>
      </w:pPr>
      <w:r>
        <w:rPr>
          <w:rFonts w:hint="eastAsia"/>
        </w:rPr>
        <w:t>智能加固是指在软土地基加固施工全流程中，综合应用传感监测、定位测量、自动化控制、数据采集与分析、施工过程仿真与数字化交付等技术，实现关键参数实时感知、施工工况动态调整、质量指标在线判定、风险趋势提前预警与全过程数据留痕归档。通过将深层搅拌、旋喷、强夯置换、真空预压与堆载预压、砂井与塑料排水板、注浆加固、桩网复合地基等工法与智能化控制体系融合，可显著提升加固均匀性与质量稳定性，降低返工与过度施工风险，强化施工安全与环境影响控制，并为竣工验收与后续运维提供结构化数据资产。</w:t>
      </w:r>
    </w:p>
    <w:p w14:paraId="7F4A69FE">
      <w:pPr>
        <w:pStyle w:val="56"/>
        <w:spacing w:line="360" w:lineRule="auto"/>
        <w:ind w:firstLine="420"/>
      </w:pPr>
      <w:r>
        <w:rPr>
          <w:rFonts w:hint="eastAsia"/>
        </w:rPr>
        <w:t>为统一水利工程软土地基智能加固的施工组织、设备配置、关键参数控制、过程监测、质量检验与数据归档要求，本文件提出软土地基智能加固施工技术规范，重点规范以下内容：工程勘察与加固设计信息对接、施工准备与试验段验证、智能化系统组成与数据采集要求、主要工法的关键控制参数与自动控制逻辑、过程质量控制与检验评定、风险监测预警与应急处置、环境保护与安全管理、竣工资料与数字化交付等。本文件适用于水利工程建设与改扩建项目中软土地基加固施工与质量验收管理，可为建设单位、设计单位、施工单位、监理单位与检测单位提供统一的技术依据与执行框架。</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水利工程软土地基智能加固施工技术规范</w:t>
          </w:r>
        </w:p>
      </w:sdtContent>
    </w:sdt>
    <w:bookmarkEnd w:id="27"/>
    <w:p w14:paraId="3DB22445">
      <w:pPr>
        <w:pStyle w:val="104"/>
        <w:spacing w:before="240" w:after="240" w:line="360" w:lineRule="auto"/>
      </w:pPr>
      <w:bookmarkStart w:id="28" w:name="_Toc26986771"/>
      <w:bookmarkStart w:id="29" w:name="_Toc17233325"/>
      <w:bookmarkStart w:id="30" w:name="_Toc24884218"/>
      <w:bookmarkStart w:id="31" w:name="_Toc24884211"/>
      <w:bookmarkStart w:id="32" w:name="_Toc26718930"/>
      <w:bookmarkStart w:id="33" w:name="_Toc26986530"/>
      <w:bookmarkStart w:id="34" w:name="_Toc97192964"/>
      <w:bookmarkStart w:id="35" w:name="_Toc219057433"/>
      <w:bookmarkStart w:id="36" w:name="_Toc26648465"/>
      <w:bookmarkStart w:id="37" w:name="_Toc17233333"/>
      <w:r>
        <w:rPr>
          <w:rFonts w:hint="eastAsia"/>
        </w:rPr>
        <w:t>范围</w:t>
      </w:r>
      <w:bookmarkEnd w:id="28"/>
      <w:bookmarkEnd w:id="29"/>
      <w:bookmarkEnd w:id="30"/>
      <w:bookmarkEnd w:id="31"/>
      <w:bookmarkEnd w:id="32"/>
      <w:bookmarkEnd w:id="33"/>
      <w:bookmarkEnd w:id="34"/>
      <w:bookmarkEnd w:id="35"/>
      <w:bookmarkEnd w:id="36"/>
      <w:bookmarkEnd w:id="37"/>
    </w:p>
    <w:p w14:paraId="079E2CE1">
      <w:pPr>
        <w:pStyle w:val="56"/>
        <w:spacing w:line="360" w:lineRule="auto"/>
        <w:ind w:firstLine="420"/>
      </w:pPr>
      <w:bookmarkStart w:id="38" w:name="_Toc24884212"/>
      <w:bookmarkStart w:id="39" w:name="_Toc17233334"/>
      <w:bookmarkStart w:id="40" w:name="_Toc17233326"/>
      <w:bookmarkStart w:id="41" w:name="_Toc24884219"/>
      <w:bookmarkStart w:id="42" w:name="_Toc26648466"/>
      <w:r>
        <w:rPr>
          <w:rFonts w:hint="eastAsia"/>
        </w:rPr>
        <w:t>本文件规定了水利工程软土地基智能加固施工的总体要求、施工准备与试验段实施、智能化系统配置与数据采集要求、主要加固工法施工控制要求、过程质量控制与检验评定、监测预警与风险处置、安全生产与环境保护、竣工验收与数字化交付等内容。</w:t>
      </w:r>
    </w:p>
    <w:p w14:paraId="76265264">
      <w:pPr>
        <w:pStyle w:val="56"/>
        <w:spacing w:line="360" w:lineRule="auto"/>
        <w:ind w:firstLine="420"/>
      </w:pPr>
      <w:r>
        <w:rPr>
          <w:rFonts w:hint="eastAsia"/>
        </w:rPr>
        <w:t>本文件适用于水闸、泵站、堤防、护岸、渠系建筑物、涵洞及其附属工程等水利工程建设与改扩建项目的软土地基加固施工与质量管理。对交通、市政等工程中的软土地基智能加固可参照执行。对于冻土、湿陷性黄土、膨胀土等特殊土场地的加固，除满足本文件外，尚应符合相关专项规范要求。</w:t>
      </w:r>
    </w:p>
    <w:p w14:paraId="3733B2AD">
      <w:pPr>
        <w:pStyle w:val="104"/>
        <w:spacing w:before="240" w:after="240" w:line="360" w:lineRule="auto"/>
      </w:pPr>
      <w:bookmarkStart w:id="43" w:name="_Toc26986531"/>
      <w:bookmarkStart w:id="44" w:name="_Toc219057434"/>
      <w:bookmarkStart w:id="45" w:name="_Toc26986772"/>
      <w:bookmarkStart w:id="46" w:name="_Toc26718931"/>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088CF84">
      <w:pPr>
        <w:pStyle w:val="56"/>
        <w:spacing w:line="360" w:lineRule="auto"/>
        <w:ind w:firstLine="420"/>
      </w:pPr>
      <w:r>
        <w:rPr>
          <w:rFonts w:hint="eastAsia"/>
        </w:rPr>
        <w:t>GB 50202 建筑地基基础工程施工质量验收标准</w:t>
      </w:r>
    </w:p>
    <w:p w14:paraId="1B8DBCBE">
      <w:pPr>
        <w:pStyle w:val="56"/>
        <w:spacing w:line="360" w:lineRule="auto"/>
        <w:ind w:firstLine="420"/>
      </w:pPr>
      <w:r>
        <w:rPr>
          <w:rFonts w:hint="eastAsia"/>
        </w:rPr>
        <w:t>GB 50007 建筑地基基础设计规范</w:t>
      </w:r>
    </w:p>
    <w:p w14:paraId="2F6FC22E">
      <w:pPr>
        <w:pStyle w:val="56"/>
        <w:spacing w:line="360" w:lineRule="auto"/>
        <w:ind w:firstLine="420"/>
      </w:pPr>
      <w:r>
        <w:rPr>
          <w:rFonts w:hint="eastAsia"/>
        </w:rPr>
        <w:t>GB/T 1.1—2</w:t>
      </w:r>
      <w:r>
        <w:t>020</w:t>
      </w:r>
      <w:r>
        <w:rPr>
          <w:rFonts w:hint="eastAsia"/>
        </w:rPr>
        <w:t xml:space="preserve"> 标准化工作导则 </w:t>
      </w:r>
      <w:r>
        <w:t xml:space="preserve"> </w:t>
      </w:r>
      <w:r>
        <w:rPr>
          <w:rFonts w:hint="eastAsia"/>
        </w:rPr>
        <w:t>第1部分：标准化文件的结构和起草规则</w:t>
      </w:r>
    </w:p>
    <w:p w14:paraId="07A7F860">
      <w:pPr>
        <w:pStyle w:val="56"/>
        <w:spacing w:line="360" w:lineRule="auto"/>
        <w:ind w:firstLine="420"/>
      </w:pPr>
      <w:r>
        <w:rPr>
          <w:rFonts w:hint="eastAsia"/>
        </w:rPr>
        <w:t>GB/T 50430 工程建设施工企业质量管理规范</w:t>
      </w:r>
    </w:p>
    <w:p w14:paraId="51F02A4E">
      <w:pPr>
        <w:pStyle w:val="104"/>
        <w:spacing w:before="240" w:after="240" w:line="360" w:lineRule="auto"/>
      </w:pPr>
      <w:bookmarkStart w:id="48" w:name="_Toc97192966"/>
      <w:bookmarkStart w:id="49" w:name="_Toc219057435"/>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2690E92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软土地基 soft soil foundation</w:t>
      </w:r>
    </w:p>
    <w:p w14:paraId="0335B7B0">
      <w:pPr>
        <w:pStyle w:val="56"/>
        <w:spacing w:line="360" w:lineRule="auto"/>
        <w:ind w:firstLine="420"/>
      </w:pPr>
      <w:r>
        <w:rPr>
          <w:rFonts w:hint="eastAsia"/>
        </w:rPr>
        <w:t>由高含水量、低强度、高压缩性、低渗透性土层构成，且在工程荷载作用下易产生显著沉降和稳定性问题的地基。</w:t>
      </w:r>
    </w:p>
    <w:p w14:paraId="061FEBB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智能加固 intelligent ground improvement</w:t>
      </w:r>
    </w:p>
    <w:p w14:paraId="7CAA3BB2">
      <w:pPr>
        <w:pStyle w:val="56"/>
        <w:spacing w:line="360" w:lineRule="auto"/>
        <w:ind w:firstLine="420"/>
      </w:pPr>
      <w:r>
        <w:rPr>
          <w:rFonts w:hint="eastAsia"/>
        </w:rPr>
        <w:t>在地基加固施工全过程中，综合应用传感监测、定位测量、自动控制、数据分析与数字化交付等技术，实现关键参数实时感知、施工过程动态调控、质量指标在线判定与全过程数据留痕的加固实施方式。</w:t>
      </w:r>
    </w:p>
    <w:p w14:paraId="2E3EAE2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加固单元 improvement unit</w:t>
      </w:r>
    </w:p>
    <w:p w14:paraId="6DCA62AD">
      <w:pPr>
        <w:pStyle w:val="56"/>
        <w:spacing w:line="360" w:lineRule="auto"/>
        <w:ind w:firstLine="420"/>
      </w:pPr>
      <w:r>
        <w:rPr>
          <w:rFonts w:hint="eastAsia"/>
        </w:rPr>
        <w:t>在施工控制与质量评价中作为最小管理对象的区块或作业单元，可按施工分区、桩位网格、分段分层或工序批次划分，并具有相对一致的施工参数与地层条件。</w:t>
      </w:r>
    </w:p>
    <w:p w14:paraId="2E5B5C3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关键控制参数 key control parameter</w:t>
      </w:r>
    </w:p>
    <w:p w14:paraId="7807190E">
      <w:pPr>
        <w:pStyle w:val="56"/>
        <w:spacing w:line="360" w:lineRule="auto"/>
        <w:ind w:firstLine="420"/>
      </w:pPr>
      <w:r>
        <w:rPr>
          <w:rFonts w:hint="eastAsia"/>
        </w:rPr>
        <w:t>对加固效果与质量稳定性具有决定性影响、且需被实时采集与控制的施工参数，包括但不限于深度、压力、流量、转速、提升速度、浆液配比、能量输入、真空度、排水量等。</w:t>
      </w:r>
    </w:p>
    <w:p w14:paraId="4B94CCE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过程监测 process monitoring</w:t>
      </w:r>
    </w:p>
    <w:p w14:paraId="4E5D49B2">
      <w:pPr>
        <w:pStyle w:val="56"/>
        <w:spacing w:line="360" w:lineRule="auto"/>
        <w:ind w:firstLine="420"/>
      </w:pPr>
      <w:r>
        <w:rPr>
          <w:rFonts w:hint="eastAsia"/>
        </w:rPr>
        <w:t>对施工参数、地基变形、孔压、地下水位、振动与环境影响等进行连续或高频采集、分析与报警的活动，用于指导施工调控与风险预警。</w:t>
      </w:r>
    </w:p>
    <w:p w14:paraId="440150D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试验段 trial section</w:t>
      </w:r>
    </w:p>
    <w:p w14:paraId="36492598">
      <w:pPr>
        <w:pStyle w:val="56"/>
        <w:spacing w:line="360" w:lineRule="auto"/>
        <w:ind w:firstLine="420"/>
      </w:pPr>
      <w:r>
        <w:rPr>
          <w:rFonts w:hint="eastAsia"/>
        </w:rPr>
        <w:t>在正式大面积施工前选取代表性区段实施的验证性施工，用于校核地层适配性、确定关键参数、验证工艺路线与检验评定方法，并形成参数固化成果。</w:t>
      </w:r>
    </w:p>
    <w:p w14:paraId="7362E3F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在线质量判定 online quality assessment</w:t>
      </w:r>
    </w:p>
    <w:p w14:paraId="78867F12">
      <w:pPr>
        <w:pStyle w:val="56"/>
        <w:spacing w:line="360" w:lineRule="auto"/>
        <w:ind w:firstLine="420"/>
      </w:pPr>
      <w:r>
        <w:rPr>
          <w:rFonts w:hint="eastAsia"/>
        </w:rPr>
        <w:t>基于实时采集的施工参数与监测数据，按照预设判定规则对施工质量状态进行即时评估并输出合格性结论或调整建议的过程。</w:t>
      </w:r>
    </w:p>
    <w:p w14:paraId="71703F8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数字化交付 digital delivery</w:t>
      </w:r>
    </w:p>
    <w:p w14:paraId="11ED0D72">
      <w:pPr>
        <w:pStyle w:val="56"/>
        <w:spacing w:line="360" w:lineRule="auto"/>
        <w:ind w:firstLine="420"/>
      </w:pPr>
      <w:r>
        <w:rPr>
          <w:rFonts w:hint="eastAsia"/>
        </w:rPr>
        <w:t>将施工全过程数据、质量检验记录、监测成果、竣工图及模型等按统一数据结构整理归档并交付的成果形态，用于竣工验收、运维管理与追溯审计。</w:t>
      </w:r>
    </w:p>
    <w:p w14:paraId="16239EA4">
      <w:pPr>
        <w:pStyle w:val="104"/>
        <w:spacing w:before="240" w:after="240" w:line="360" w:lineRule="auto"/>
      </w:pPr>
      <w:bookmarkStart w:id="51" w:name="_Toc219057436"/>
      <w:r>
        <w:rPr>
          <w:rFonts w:hint="eastAsia"/>
        </w:rPr>
        <w:t>总体要求</w:t>
      </w:r>
      <w:bookmarkEnd w:id="51"/>
    </w:p>
    <w:p w14:paraId="71CB3599">
      <w:pPr>
        <w:pStyle w:val="105"/>
        <w:spacing w:before="120" w:after="120" w:line="360" w:lineRule="auto"/>
      </w:pPr>
      <w:r>
        <w:rPr>
          <w:rFonts w:hint="eastAsia"/>
        </w:rPr>
        <w:t>基本要求</w:t>
      </w:r>
    </w:p>
    <w:p w14:paraId="323F72F1">
      <w:pPr>
        <w:pStyle w:val="165"/>
        <w:spacing w:line="360" w:lineRule="auto"/>
      </w:pPr>
      <w:r>
        <w:rPr>
          <w:rFonts w:hint="eastAsia"/>
        </w:rPr>
        <w:t>软土地基智能加固施工应遵循先试验验证后规模实施的原则，实施全过程质量控制与风险管控，确保加固效果满足设计与运行要求。</w:t>
      </w:r>
    </w:p>
    <w:p w14:paraId="19702C2B">
      <w:pPr>
        <w:pStyle w:val="165"/>
        <w:spacing w:line="360" w:lineRule="auto"/>
      </w:pPr>
      <w:r>
        <w:rPr>
          <w:rFonts w:hint="eastAsia"/>
        </w:rPr>
        <w:t>智能加固施工应实现关键控制参数可采集可校核可追溯，施工过程应支持动态调控与异常报警，施工成果应形成数字化交付资料并与竣工验收衔接。</w:t>
      </w:r>
    </w:p>
    <w:p w14:paraId="65CF70BA">
      <w:pPr>
        <w:pStyle w:val="165"/>
        <w:spacing w:line="360" w:lineRule="auto"/>
      </w:pPr>
      <w:r>
        <w:rPr>
          <w:rFonts w:hint="eastAsia"/>
        </w:rPr>
        <w:t>施工单位应结合地层条件与目标指标，选择适用工法与设备组合，建立参数控制边界和调控策略，严禁未经验证擅自扩大参数范围或变更工艺路线。</w:t>
      </w:r>
    </w:p>
    <w:p w14:paraId="2C93144C">
      <w:pPr>
        <w:pStyle w:val="105"/>
        <w:spacing w:before="120" w:after="120" w:line="360" w:lineRule="auto"/>
      </w:pPr>
      <w:r>
        <w:rPr>
          <w:rFonts w:hint="eastAsia"/>
        </w:rPr>
        <w:t>智能化系统总体架构要求</w:t>
      </w:r>
    </w:p>
    <w:p w14:paraId="0B224282">
      <w:pPr>
        <w:pStyle w:val="165"/>
        <w:spacing w:line="360" w:lineRule="auto"/>
      </w:pPr>
      <w:r>
        <w:rPr>
          <w:rFonts w:hint="eastAsia"/>
        </w:rPr>
        <w:t>智能化系统宜包括现场感知层、控制执行层、数据传输层、平台应用层和数据存储层，并满足稳定运行与断点续传要求。</w:t>
      </w:r>
    </w:p>
    <w:p w14:paraId="031E5523">
      <w:pPr>
        <w:pStyle w:val="165"/>
        <w:spacing w:line="360" w:lineRule="auto"/>
      </w:pPr>
      <w:r>
        <w:rPr>
          <w:rFonts w:hint="eastAsia"/>
        </w:rPr>
        <w:t>现场感知层应覆盖关键控制参数采集和必要的地基响应监测。采集对象应与所选工法匹配，并明确采样频率与精度要求。</w:t>
      </w:r>
    </w:p>
    <w:p w14:paraId="5B67A3DF">
      <w:pPr>
        <w:pStyle w:val="165"/>
        <w:spacing w:line="360" w:lineRule="auto"/>
      </w:pPr>
      <w:r>
        <w:rPr>
          <w:rFonts w:hint="eastAsia"/>
        </w:rPr>
        <w:t>控制执行层应具备参数闭环控制能力或半自动辅助控制能力，至少应支持深度控制和时间或速度控制，宜支持压力流量转速与提升速度等多参数联动控制。</w:t>
      </w:r>
    </w:p>
    <w:p w14:paraId="41D21D70">
      <w:pPr>
        <w:pStyle w:val="165"/>
        <w:spacing w:line="360" w:lineRule="auto"/>
      </w:pPr>
      <w:r>
        <w:rPr>
          <w:rFonts w:hint="eastAsia"/>
        </w:rPr>
        <w:t>平台应用层应支持施工任务管理、参数曲线显示、异常报警、质量判定规则调用、数据导出与审计追溯。对同一区段多台设备协同施工的，平台应支持统一时钟同步与统一坐标基准。</w:t>
      </w:r>
    </w:p>
    <w:p w14:paraId="4DC26FA7">
      <w:pPr>
        <w:pStyle w:val="105"/>
        <w:spacing w:before="120" w:after="120" w:line="360" w:lineRule="auto"/>
      </w:pPr>
      <w:r>
        <w:rPr>
          <w:rFonts w:hint="eastAsia"/>
        </w:rPr>
        <w:t>施工组织与职责要求</w:t>
      </w:r>
    </w:p>
    <w:p w14:paraId="7FE4893C">
      <w:pPr>
        <w:pStyle w:val="165"/>
        <w:spacing w:line="360" w:lineRule="auto"/>
      </w:pPr>
      <w:r>
        <w:rPr>
          <w:rFonts w:hint="eastAsia"/>
        </w:rPr>
        <w:t>建设单位应明确智能化施工目标和数据交付要求，组织设计交底与风险交底，协调测量基准和监测点位布设条件。</w:t>
      </w:r>
    </w:p>
    <w:p w14:paraId="0EAC1BB0">
      <w:pPr>
        <w:pStyle w:val="165"/>
        <w:spacing w:line="360" w:lineRule="auto"/>
      </w:pPr>
      <w:r>
        <w:rPr>
          <w:rFonts w:hint="eastAsia"/>
        </w:rPr>
        <w:t>设计单位应提供加固范围与目标指标，明确关键控制参数建议值或控制区间，提出试验段验证要点与必要的复核指标。</w:t>
      </w:r>
    </w:p>
    <w:p w14:paraId="7DEEDCA9">
      <w:pPr>
        <w:pStyle w:val="165"/>
        <w:spacing w:line="360" w:lineRule="auto"/>
      </w:pPr>
      <w:r>
        <w:rPr>
          <w:rFonts w:hint="eastAsia"/>
        </w:rPr>
        <w:t>施工单位应建立智能加固施工管理体系，明确项目负责人、技术负责人、数据管理员、设备管理员与质量负责人职责，形成班组作业标准与数据留痕流程。</w:t>
      </w:r>
    </w:p>
    <w:p w14:paraId="057B20C8">
      <w:pPr>
        <w:pStyle w:val="165"/>
        <w:spacing w:line="360" w:lineRule="auto"/>
      </w:pPr>
      <w:r>
        <w:rPr>
          <w:rFonts w:hint="eastAsia"/>
        </w:rPr>
        <w:t>监理单位应对试验段成果确认、参数固化、关键工序旁站、异常处置闭环和资料完整性进行控制，必要时组织第三方检测复核。</w:t>
      </w:r>
    </w:p>
    <w:p w14:paraId="62B72DE9">
      <w:pPr>
        <w:pStyle w:val="165"/>
        <w:spacing w:line="360" w:lineRule="auto"/>
      </w:pPr>
      <w:r>
        <w:rPr>
          <w:rFonts w:hint="eastAsia"/>
        </w:rPr>
        <w:t>检测单位应按委托范围开展取样检测、强度与变形指标复核、桩体或加固体质量检测与监测数据核验，并出具可追溯的检测记录与报告。</w:t>
      </w:r>
    </w:p>
    <w:p w14:paraId="66B92BE5">
      <w:pPr>
        <w:pStyle w:val="105"/>
        <w:spacing w:before="120" w:after="120" w:line="360" w:lineRule="auto"/>
      </w:pPr>
      <w:r>
        <w:rPr>
          <w:rFonts w:hint="eastAsia"/>
        </w:rPr>
        <w:t>施工准备与条件核验要求</w:t>
      </w:r>
    </w:p>
    <w:p w14:paraId="6E0A7730">
      <w:pPr>
        <w:pStyle w:val="165"/>
        <w:spacing w:line="360" w:lineRule="auto"/>
      </w:pPr>
      <w:r>
        <w:rPr>
          <w:rFonts w:hint="eastAsia"/>
        </w:rPr>
        <w:t>施工前应完成勘察资料复核和现场踏勘，核验软土层厚度、地下水位、障碍物分布、施工通道与供电供水条件，识别邻近建构筑物与既有堤防的变形敏感风险。</w:t>
      </w:r>
    </w:p>
    <w:p w14:paraId="5541B5E2">
      <w:pPr>
        <w:pStyle w:val="165"/>
        <w:spacing w:line="360" w:lineRule="auto"/>
      </w:pPr>
      <w:r>
        <w:rPr>
          <w:rFonts w:hint="eastAsia"/>
        </w:rPr>
        <w:t>施工前应完成测量控制网建立与复核，明确坐标基准与高程基准，桩位或作业网格应实现可放样可复测可复核。</w:t>
      </w:r>
    </w:p>
    <w:p w14:paraId="6C9EF846">
      <w:pPr>
        <w:pStyle w:val="165"/>
        <w:spacing w:line="360" w:lineRule="auto"/>
      </w:pPr>
      <w:r>
        <w:rPr>
          <w:rFonts w:hint="eastAsia"/>
        </w:rPr>
        <w:t>施工前应完成材料与设备进场验收。浆材与外加剂应具备合格证明与复验记录，关键设备应具备出厂合格证明与校准或检定记录。</w:t>
      </w:r>
    </w:p>
    <w:p w14:paraId="1D1B99EA">
      <w:pPr>
        <w:pStyle w:val="165"/>
        <w:spacing w:line="360" w:lineRule="auto"/>
      </w:pPr>
      <w:r>
        <w:rPr>
          <w:rFonts w:hint="eastAsia"/>
        </w:rPr>
        <w:t>对涉及堤防和基坑以及临水作业的项目，应在施工组织设计中明确施工期稳定控制措施与应急预案，并落实临时排水与防汛要求。</w:t>
      </w:r>
    </w:p>
    <w:p w14:paraId="75FAC727">
      <w:pPr>
        <w:pStyle w:val="105"/>
        <w:spacing w:before="120" w:after="120" w:line="360" w:lineRule="auto"/>
      </w:pPr>
      <w:r>
        <w:rPr>
          <w:rFonts w:hint="eastAsia"/>
        </w:rPr>
        <w:t>关键控制参数管理要求</w:t>
      </w:r>
    </w:p>
    <w:p w14:paraId="7C4DAB42">
      <w:pPr>
        <w:pStyle w:val="165"/>
        <w:spacing w:line="360" w:lineRule="auto"/>
      </w:pPr>
      <w:r>
        <w:rPr>
          <w:rFonts w:hint="eastAsia"/>
        </w:rPr>
        <w:t>应建立关键控制参数清单与控制区间。清单应与工法和地层条件匹配，并在试验段后固化为作业指导参数。</w:t>
      </w:r>
    </w:p>
    <w:p w14:paraId="5DAD6B13">
      <w:pPr>
        <w:pStyle w:val="165"/>
        <w:spacing w:line="360" w:lineRule="auto"/>
      </w:pPr>
      <w:r>
        <w:rPr>
          <w:rFonts w:hint="eastAsia"/>
        </w:rPr>
        <w:t>关键控制参数应实行分级控制。对直接影响加固体连续性与强度的参数应实施强制控制，对影响均匀性与施工效率的参数宜实施优化控制。</w:t>
      </w:r>
    </w:p>
    <w:p w14:paraId="303A0322">
      <w:pPr>
        <w:pStyle w:val="165"/>
        <w:spacing w:line="360" w:lineRule="auto"/>
      </w:pPr>
      <w:r>
        <w:rPr>
          <w:rFonts w:hint="eastAsia"/>
        </w:rPr>
        <w:t>关键控制参数应实施实时记录与异常报警。出现超限、突变、丢失或逻辑冲突时应触发报警并记录原因，未完成纠偏不得继续大面积施工。</w:t>
      </w:r>
    </w:p>
    <w:p w14:paraId="08C1548E">
      <w:pPr>
        <w:pStyle w:val="165"/>
        <w:spacing w:line="360" w:lineRule="auto"/>
      </w:pPr>
      <w:r>
        <w:rPr>
          <w:rFonts w:hint="eastAsia"/>
        </w:rPr>
        <w:t>参数调整应符合变更管理要求。参数调整应说明触发条件、调整幅度、验证方法与影响范围，并留存审批或确认记录。</w:t>
      </w:r>
    </w:p>
    <w:p w14:paraId="48AEF807">
      <w:pPr>
        <w:pStyle w:val="105"/>
        <w:spacing w:before="120" w:after="120" w:line="360" w:lineRule="auto"/>
      </w:pPr>
      <w:r>
        <w:rPr>
          <w:rFonts w:hint="eastAsia"/>
        </w:rPr>
        <w:t>过程监测与在线判定要求</w:t>
      </w:r>
    </w:p>
    <w:p w14:paraId="457A0AA3">
      <w:pPr>
        <w:pStyle w:val="165"/>
        <w:spacing w:line="360" w:lineRule="auto"/>
      </w:pPr>
      <w:r>
        <w:rPr>
          <w:rFonts w:hint="eastAsia"/>
        </w:rPr>
        <w:t>过程监测应与风险源相匹配。对沉降与侧向位移敏感区段宜布设沉降与水平位移监测，对孔压消散关键区段宜布设孔隙水压力监测，对邻近既有结构物宜布设变形与振动监测。</w:t>
      </w:r>
    </w:p>
    <w:p w14:paraId="1B159E3F">
      <w:pPr>
        <w:pStyle w:val="165"/>
        <w:spacing w:line="360" w:lineRule="auto"/>
      </w:pPr>
      <w:r>
        <w:rPr>
          <w:rFonts w:hint="eastAsia"/>
        </w:rPr>
        <w:t>在线判定应建立规则集。规则集应明确判定指标、阈值与触发动作，阈值宜依据试验段成果、设计指标与风险控制要求确定。</w:t>
      </w:r>
    </w:p>
    <w:p w14:paraId="573F61E7">
      <w:pPr>
        <w:pStyle w:val="165"/>
        <w:spacing w:line="360" w:lineRule="auto"/>
      </w:pPr>
      <w:r>
        <w:rPr>
          <w:rFonts w:hint="eastAsia"/>
        </w:rPr>
        <w:t>在线判定结果应形成可追溯记录。记录应包含时间、位置、设备编号、参数曲线摘要、判定结论与处置措施，并与检验批和加固单元关联。</w:t>
      </w:r>
    </w:p>
    <w:p w14:paraId="357759DA">
      <w:pPr>
        <w:pStyle w:val="105"/>
        <w:spacing w:before="120" w:after="120" w:line="360" w:lineRule="auto"/>
      </w:pPr>
      <w:r>
        <w:rPr>
          <w:rFonts w:hint="eastAsia"/>
        </w:rPr>
        <w:t>试验段与参数固化要求</w:t>
      </w:r>
    </w:p>
    <w:p w14:paraId="380D7BFB">
      <w:pPr>
        <w:pStyle w:val="165"/>
        <w:spacing w:line="360" w:lineRule="auto"/>
      </w:pPr>
      <w:r>
        <w:rPr>
          <w:rFonts w:hint="eastAsia"/>
        </w:rPr>
        <w:t>施工前应设置试验段。试验段应具有代表性地层条件与施工环境，试验段长度与加固单元数量应满足参数验证与质量检测需要。</w:t>
      </w:r>
    </w:p>
    <w:p w14:paraId="341E551D">
      <w:pPr>
        <w:pStyle w:val="165"/>
        <w:spacing w:line="360" w:lineRule="auto"/>
      </w:pPr>
      <w:r>
        <w:rPr>
          <w:rFonts w:hint="eastAsia"/>
        </w:rPr>
        <w:t>试验段应完成工艺路线验证、参数区间优化、成型质量验证与检测方法验证。必要时应对不同参数组合进行对比，形成最优参数推荐。</w:t>
      </w:r>
    </w:p>
    <w:p w14:paraId="3769B1CB">
      <w:pPr>
        <w:pStyle w:val="165"/>
        <w:spacing w:line="360" w:lineRule="auto"/>
      </w:pPr>
      <w:r>
        <w:rPr>
          <w:rFonts w:hint="eastAsia"/>
        </w:rPr>
        <w:t>试验段成果应形成参数固化文件。文件应至少包括适用工法、设备配置、关键参数控制区间、质量判定规则、检测频次与合格判据。参数固化文件经监理确认后方可用于大面积施工。</w:t>
      </w:r>
    </w:p>
    <w:p w14:paraId="7BAEB999">
      <w:pPr>
        <w:pStyle w:val="105"/>
        <w:spacing w:before="120" w:after="120" w:line="360" w:lineRule="auto"/>
      </w:pPr>
      <w:r>
        <w:rPr>
          <w:rFonts w:hint="eastAsia"/>
        </w:rPr>
        <w:t>数据管理与数字化交付要求</w:t>
      </w:r>
    </w:p>
    <w:p w14:paraId="6AD7710B">
      <w:pPr>
        <w:pStyle w:val="165"/>
        <w:spacing w:line="360" w:lineRule="auto"/>
      </w:pPr>
      <w:r>
        <w:rPr>
          <w:rFonts w:hint="eastAsia"/>
        </w:rPr>
        <w:t>应建立数据编码与关联规则。设备编号、作业单元编号、桩号或网格编号、检验批编号与监测点编号应具有关联关系，确保数据可归集可追溯。</w:t>
      </w:r>
    </w:p>
    <w:p w14:paraId="5C717F58">
      <w:pPr>
        <w:pStyle w:val="165"/>
        <w:spacing w:line="360" w:lineRule="auto"/>
      </w:pPr>
      <w:r>
        <w:rPr>
          <w:rFonts w:hint="eastAsia"/>
        </w:rPr>
        <w:t>数据应满足完整性与真实性要求。原始数据不得随意删改，确需更正时应保留更正痕迹与更正依据，并记录更正人和更正时间。</w:t>
      </w:r>
    </w:p>
    <w:p w14:paraId="7132FA3D">
      <w:pPr>
        <w:pStyle w:val="165"/>
        <w:spacing w:line="360" w:lineRule="auto"/>
      </w:pPr>
      <w:r>
        <w:rPr>
          <w:rFonts w:hint="eastAsia"/>
        </w:rPr>
        <w:t>数据存储应满足安全与备份要求。施工现场宜采用本地存储与云端或中心端同步备份机制，关键数据应具备断网条件下的连续记录能力。</w:t>
      </w:r>
    </w:p>
    <w:p w14:paraId="4E298868">
      <w:pPr>
        <w:pStyle w:val="165"/>
        <w:spacing w:line="360" w:lineRule="auto"/>
      </w:pPr>
      <w:r>
        <w:rPr>
          <w:rFonts w:hint="eastAsia"/>
        </w:rPr>
        <w:t>数字化交付成果应包含施工参数数据、监测数据、质量检验记录、隐蔽工程记录、异常处置记录、竣工图与必要的模型或图层文件，并满足验收与运维使用要求。</w:t>
      </w:r>
    </w:p>
    <w:p w14:paraId="5AFC89A9">
      <w:pPr>
        <w:pStyle w:val="165"/>
        <w:numPr>
          <w:ilvl w:val="0"/>
          <w:numId w:val="0"/>
        </w:numPr>
        <w:spacing w:line="360" w:lineRule="auto"/>
        <w:rPr>
          <w:rFonts w:hint="eastAsia"/>
        </w:rPr>
      </w:pPr>
    </w:p>
    <w:p w14:paraId="073B95B9">
      <w:pPr>
        <w:pStyle w:val="104"/>
        <w:spacing w:before="240" w:after="240" w:line="360" w:lineRule="auto"/>
      </w:pPr>
      <w:bookmarkStart w:id="52" w:name="_Toc219057437"/>
      <w:r>
        <w:rPr>
          <w:rFonts w:hint="eastAsia"/>
        </w:rPr>
        <w:t>施工准备与试验段实施</w:t>
      </w:r>
      <w:bookmarkEnd w:id="52"/>
    </w:p>
    <w:p w14:paraId="45B9F816">
      <w:pPr>
        <w:pStyle w:val="105"/>
        <w:spacing w:before="120" w:after="120" w:line="360" w:lineRule="auto"/>
      </w:pPr>
      <w:r>
        <w:rPr>
          <w:rFonts w:hint="eastAsia"/>
        </w:rPr>
        <w:t>一般要求</w:t>
      </w:r>
    </w:p>
    <w:p w14:paraId="67DD8EF9">
      <w:pPr>
        <w:pStyle w:val="165"/>
        <w:spacing w:line="360" w:lineRule="auto"/>
      </w:pPr>
      <w:r>
        <w:rPr>
          <w:rFonts w:hint="eastAsia"/>
        </w:rPr>
        <w:t>施工准备应围绕场地条件、测量基准、材料设备、智能化系统、人员组织与安全环境控制开展，确保具备连续施工与数据稳定采集条件。</w:t>
      </w:r>
    </w:p>
    <w:p w14:paraId="01A53AC6">
      <w:pPr>
        <w:pStyle w:val="165"/>
        <w:spacing w:line="360" w:lineRule="auto"/>
      </w:pPr>
      <w:r>
        <w:rPr>
          <w:rFonts w:hint="eastAsia"/>
        </w:rPr>
        <w:t>试验段实施应作为参数固化与质量判定规则建立的关键环节。试验段不得流于形式，应形成可复用的控制参数体系与检验评定方法，并经确认后用于规模化施工。</w:t>
      </w:r>
    </w:p>
    <w:p w14:paraId="4FF696A7">
      <w:pPr>
        <w:pStyle w:val="105"/>
        <w:spacing w:before="120" w:after="120" w:line="360" w:lineRule="auto"/>
      </w:pPr>
      <w:r>
        <w:rPr>
          <w:rFonts w:hint="eastAsia"/>
        </w:rPr>
        <w:t>场地与施工条件准备</w:t>
      </w:r>
    </w:p>
    <w:p w14:paraId="57232B65">
      <w:pPr>
        <w:pStyle w:val="165"/>
        <w:spacing w:line="360" w:lineRule="auto"/>
      </w:pPr>
      <w:r>
        <w:rPr>
          <w:rFonts w:hint="eastAsia"/>
        </w:rPr>
        <w:t>施工场地应满足设备进出与稳定作业要求。场地应进行平整与压实处理，软弱表层应采取换填或铺设垫层等措施，满足加固设备行走与定位精度要求。对临水或易积水场地应设置排水系统与防汛措施。</w:t>
      </w:r>
    </w:p>
    <w:p w14:paraId="166ACFE7">
      <w:pPr>
        <w:pStyle w:val="165"/>
        <w:spacing w:line="360" w:lineRule="auto"/>
      </w:pPr>
      <w:r>
        <w:rPr>
          <w:rFonts w:hint="eastAsia"/>
        </w:rPr>
        <w:t>施工道路与平台应满足承载与安全要求。大型搅拌机、旋喷钻机、强夯设备等作业设备通行路线应进行承载验算或试压验证，必要时设置钢板或道垫，防止设备倾覆与沉陷。</w:t>
      </w:r>
    </w:p>
    <w:p w14:paraId="68CDD3AB">
      <w:pPr>
        <w:pStyle w:val="165"/>
        <w:spacing w:line="360" w:lineRule="auto"/>
      </w:pPr>
      <w:r>
        <w:rPr>
          <w:rFonts w:hint="eastAsia"/>
        </w:rPr>
        <w:t>地下与地上障碍物应提前核查与处置。对既有管线、暗沟、旧构筑物基础、抛石与块石等障碍物应进行探测与标识，并按方案清除或避让。</w:t>
      </w:r>
    </w:p>
    <w:p w14:paraId="5E1DDA04">
      <w:pPr>
        <w:pStyle w:val="165"/>
        <w:spacing w:line="360" w:lineRule="auto"/>
      </w:pPr>
      <w:r>
        <w:rPr>
          <w:rFonts w:hint="eastAsia"/>
        </w:rPr>
        <w:t>施工水电与浆液供应系统应满足连续施工要求。供水供电容量应与最大并行设备数量匹配，浆液制备与输送系统应具备稳定的配比控制与流量保障能力。</w:t>
      </w:r>
    </w:p>
    <w:p w14:paraId="031E838B">
      <w:pPr>
        <w:pStyle w:val="105"/>
        <w:spacing w:before="120" w:after="120" w:line="360" w:lineRule="auto"/>
      </w:pPr>
      <w:r>
        <w:rPr>
          <w:rFonts w:hint="eastAsia"/>
        </w:rPr>
        <w:t>测量放样与控制网要求</w:t>
      </w:r>
    </w:p>
    <w:p w14:paraId="27104864">
      <w:pPr>
        <w:pStyle w:val="165"/>
        <w:spacing w:line="360" w:lineRule="auto"/>
      </w:pPr>
      <w:r>
        <w:rPr>
          <w:rFonts w:hint="eastAsia"/>
        </w:rPr>
        <w:t>应建立施工测量控制网并复核。控制网应满足平面与高程精度要求，控制点应采取防护措施并定期复测。</w:t>
      </w:r>
    </w:p>
    <w:p w14:paraId="7DC2365A">
      <w:pPr>
        <w:pStyle w:val="165"/>
        <w:spacing w:line="360" w:lineRule="auto"/>
      </w:pPr>
      <w:r>
        <w:rPr>
          <w:rFonts w:hint="eastAsia"/>
        </w:rPr>
        <w:t>加固网格或桩位放样应满足智能化定位与复核要求。放样成果应包括坐标与高程信息，宜配套电子放样文件供平台调用，实现“放样与采集同一基准”。</w:t>
      </w:r>
    </w:p>
    <w:p w14:paraId="4AA225F6">
      <w:pPr>
        <w:pStyle w:val="165"/>
        <w:spacing w:line="360" w:lineRule="auto"/>
      </w:pPr>
      <w:r>
        <w:rPr>
          <w:rFonts w:hint="eastAsia"/>
        </w:rPr>
        <w:t>放样复核应形成记录。复核应覆盖关键控制点与抽检桩位，记录应注明复核方法、复核偏差与处理措施。</w:t>
      </w:r>
    </w:p>
    <w:p w14:paraId="46617143">
      <w:pPr>
        <w:pStyle w:val="105"/>
        <w:spacing w:before="120" w:after="120" w:line="360" w:lineRule="auto"/>
      </w:pPr>
      <w:r>
        <w:rPr>
          <w:rFonts w:hint="eastAsia"/>
        </w:rPr>
        <w:t>材料与设备准备</w:t>
      </w:r>
    </w:p>
    <w:p w14:paraId="5B9E12B3">
      <w:pPr>
        <w:pStyle w:val="165"/>
        <w:spacing w:line="360" w:lineRule="auto"/>
      </w:pPr>
      <w:r>
        <w:rPr>
          <w:rFonts w:hint="eastAsia"/>
        </w:rPr>
        <w:t>材料准备应满足质量可控与批次可追溯要求。水泥、粉煤灰、矿粉、石灰、化学浆材及外加剂等应按规定进行进场验收与复验，建立批次台账与使用记录。</w:t>
      </w:r>
    </w:p>
    <w:p w14:paraId="6D464BA7">
      <w:pPr>
        <w:pStyle w:val="165"/>
        <w:spacing w:line="360" w:lineRule="auto"/>
      </w:pPr>
      <w:r>
        <w:rPr>
          <w:rFonts w:hint="eastAsia"/>
        </w:rPr>
        <w:t>设备准备应满足工法与地层适配。主要设备包括搅拌设备、旋喷设备、注浆设备、真空预压设备、排水板插设设备、强夯设备等。设备能力应满足设计深度与产能要求。</w:t>
      </w:r>
    </w:p>
    <w:p w14:paraId="423EBB86">
      <w:pPr>
        <w:pStyle w:val="165"/>
        <w:spacing w:line="360" w:lineRule="auto"/>
      </w:pPr>
      <w:r>
        <w:rPr>
          <w:rFonts w:hint="eastAsia"/>
        </w:rPr>
        <w:t>关键计量器具与传感器应校准。压力表、流量计、转速传感器、深度编码器、计量泵、称量系统、真空表与数据采集模块等应具备校准或检定记录，并在施工期间按规定进行核验。</w:t>
      </w:r>
    </w:p>
    <w:p w14:paraId="2EC14B43">
      <w:pPr>
        <w:pStyle w:val="165"/>
        <w:spacing w:line="360" w:lineRule="auto"/>
      </w:pPr>
      <w:r>
        <w:rPr>
          <w:rFonts w:hint="eastAsia"/>
        </w:rPr>
        <w:t>智能化系统联调应在试验段前完成。联调内容应包括设备采集通道校验、时间同步、坐标基准校验、数据上传与备份、报警逻辑测试与离线模式切换测试。</w:t>
      </w:r>
    </w:p>
    <w:p w14:paraId="34405156">
      <w:pPr>
        <w:pStyle w:val="105"/>
        <w:spacing w:before="120" w:after="120" w:line="360" w:lineRule="auto"/>
      </w:pPr>
      <w:r>
        <w:rPr>
          <w:rFonts w:hint="eastAsia"/>
        </w:rPr>
        <w:t>试验段设置原则</w:t>
      </w:r>
    </w:p>
    <w:p w14:paraId="35E9C321">
      <w:pPr>
        <w:pStyle w:val="165"/>
        <w:spacing w:line="360" w:lineRule="auto"/>
      </w:pPr>
      <w:r>
        <w:rPr>
          <w:rFonts w:hint="eastAsia"/>
        </w:rPr>
        <w:t>试验段位置应具有代表性。应选择软土厚度、含水状态与施工环境具代表性的区段，避免仅选择条件最优区段造成参数失真。</w:t>
      </w:r>
    </w:p>
    <w:p w14:paraId="7C26A699">
      <w:pPr>
        <w:pStyle w:val="165"/>
        <w:spacing w:line="360" w:lineRule="auto"/>
      </w:pPr>
      <w:r>
        <w:rPr>
          <w:rFonts w:hint="eastAsia"/>
        </w:rPr>
        <w:t>试验段规模应满足验证需求。试验段应包含足够数量的加固单元或桩位，以支撑参数对比、质量检测与统计评价。</w:t>
      </w:r>
    </w:p>
    <w:p w14:paraId="270D79A2">
      <w:pPr>
        <w:pStyle w:val="165"/>
        <w:spacing w:line="360" w:lineRule="auto"/>
      </w:pPr>
      <w:r>
        <w:rPr>
          <w:rFonts w:hint="eastAsia"/>
        </w:rPr>
        <w:t>试验段工法应覆盖拟采用的主要工法与关键变型。存在多工法组合或多参数组合时，试验段宜采用对比设计，明确对比指标与评价方法。</w:t>
      </w:r>
    </w:p>
    <w:p w14:paraId="5B530FBC">
      <w:pPr>
        <w:pStyle w:val="105"/>
        <w:spacing w:before="120" w:after="120" w:line="360" w:lineRule="auto"/>
      </w:pPr>
      <w:r>
        <w:rPr>
          <w:rFonts w:hint="eastAsia"/>
        </w:rPr>
        <w:t>试验段实施流程</w:t>
      </w:r>
    </w:p>
    <w:p w14:paraId="468BCC5F">
      <w:pPr>
        <w:pStyle w:val="165"/>
        <w:spacing w:line="360" w:lineRule="auto"/>
      </w:pPr>
      <w:r>
        <w:rPr>
          <w:rFonts w:hint="eastAsia"/>
        </w:rPr>
        <w:t>试验段实施应遵循工序控制。一般流程包括施工技术交底、设备定位与校核、材料制备与配比确认、施工参数设定、施工过程数据采集与监测、成型质量初检、异常处置与参数调整、检测取样与试验、成果分析与参数固化。</w:t>
      </w:r>
    </w:p>
    <w:p w14:paraId="455E0656">
      <w:pPr>
        <w:pStyle w:val="165"/>
        <w:spacing w:line="360" w:lineRule="auto"/>
      </w:pPr>
      <w:r>
        <w:rPr>
          <w:rFonts w:hint="eastAsia"/>
        </w:rPr>
        <w:t>试验段施工应实施旁站与记录。监理应对关键工序旁站，对参数超限与报警事件应及时核查原因并形成处置意见。</w:t>
      </w:r>
    </w:p>
    <w:p w14:paraId="1E627134">
      <w:pPr>
        <w:pStyle w:val="165"/>
        <w:spacing w:line="360" w:lineRule="auto"/>
      </w:pPr>
      <w:r>
        <w:rPr>
          <w:rFonts w:hint="eastAsia"/>
        </w:rPr>
        <w:t>试验段应开展必要检测。检测内容应与工法匹配，例如搅拌桩取芯与无侧限抗压强度，旋喷桩成桩直径与强度，注浆体扩散范围与加固效果，预压固结度与孔压消散，强夯后地基承载力与沉降控制效果等。</w:t>
      </w:r>
    </w:p>
    <w:p w14:paraId="55E110D5">
      <w:pPr>
        <w:pStyle w:val="165"/>
        <w:spacing w:line="360" w:lineRule="auto"/>
      </w:pPr>
      <w:r>
        <w:rPr>
          <w:rFonts w:hint="eastAsia"/>
        </w:rPr>
        <w:t>试验段成果应进行分析评审。应对成型质量、强度指标、均匀性、施工效率、材料消耗、参数稳定性与监测响应进行综合评价，形成参数推荐区间与调整策略。</w:t>
      </w:r>
    </w:p>
    <w:p w14:paraId="2A49A6E8">
      <w:pPr>
        <w:pStyle w:val="105"/>
        <w:spacing w:before="120" w:after="120" w:line="360" w:lineRule="auto"/>
      </w:pPr>
      <w:r>
        <w:rPr>
          <w:rFonts w:hint="eastAsia"/>
        </w:rPr>
        <w:t>参数固化与作业指导</w:t>
      </w:r>
    </w:p>
    <w:p w14:paraId="7A5B711F">
      <w:pPr>
        <w:pStyle w:val="165"/>
        <w:spacing w:line="360" w:lineRule="auto"/>
      </w:pPr>
      <w:r>
        <w:rPr>
          <w:rFonts w:hint="eastAsia"/>
        </w:rPr>
        <w:t>参数固化应形成文件化成果。成果应明确适用地层条件、适用工法、关键控制参数目标值与允许偏差、报警阈值与处置动作、检验频次与合格判据、质量缺陷判定与返工原则。</w:t>
      </w:r>
    </w:p>
    <w:p w14:paraId="6F47731E">
      <w:pPr>
        <w:pStyle w:val="165"/>
        <w:spacing w:line="360" w:lineRule="auto"/>
      </w:pPr>
      <w:r>
        <w:rPr>
          <w:rFonts w:hint="eastAsia"/>
        </w:rPr>
        <w:t>参数固化应经确认后执行。参数固化文件宜由施工单位编制，监理单位审核确认，必要时经建设单位与设计单位共同确认。</w:t>
      </w:r>
    </w:p>
    <w:p w14:paraId="2A62EE40">
      <w:pPr>
        <w:pStyle w:val="165"/>
        <w:spacing w:line="360" w:lineRule="auto"/>
      </w:pPr>
      <w:r>
        <w:rPr>
          <w:rFonts w:hint="eastAsia"/>
        </w:rPr>
        <w:t>参数固化后应执行变更控制。规模化施工期间如需调整参数，应按第4章要求履行变更与再验证程序，并限定影响范围。</w:t>
      </w:r>
    </w:p>
    <w:p w14:paraId="7291646F">
      <w:pPr>
        <w:pStyle w:val="105"/>
        <w:spacing w:before="120" w:after="120" w:line="360" w:lineRule="auto"/>
      </w:pPr>
      <w:r>
        <w:rPr>
          <w:rFonts w:hint="eastAsia"/>
        </w:rPr>
        <w:t>试验段资料与数据归集</w:t>
      </w:r>
    </w:p>
    <w:p w14:paraId="3D8E3D2C">
      <w:pPr>
        <w:pStyle w:val="165"/>
        <w:spacing w:line="360" w:lineRule="auto"/>
      </w:pPr>
      <w:r>
        <w:rPr>
          <w:rFonts w:hint="eastAsia"/>
        </w:rPr>
        <w:t>试验段应形成完整数据包。数据包应至少包含施工参数原始数据、关键曲线截图或报表、报警与处置记录、监测数据、检测报告、现场照片与视频索引、试验段成果分析报告与参数固化文件。</w:t>
      </w:r>
    </w:p>
    <w:p w14:paraId="305AD961">
      <w:pPr>
        <w:pStyle w:val="165"/>
        <w:spacing w:line="360" w:lineRule="auto"/>
      </w:pPr>
      <w:r>
        <w:rPr>
          <w:rFonts w:hint="eastAsia"/>
        </w:rPr>
        <w:t>试验段数据包应作为后续施工的基准数据。后续施工数据应与试验段对照，用于判断参数漂移、材料波动与施工质量稳定性。</w:t>
      </w:r>
    </w:p>
    <w:p w14:paraId="6D26B713">
      <w:pPr>
        <w:pStyle w:val="104"/>
        <w:spacing w:before="240" w:after="240" w:line="360" w:lineRule="auto"/>
      </w:pPr>
      <w:bookmarkStart w:id="53" w:name="_Toc219057438"/>
      <w:r>
        <w:rPr>
          <w:rFonts w:hint="eastAsia"/>
        </w:rPr>
        <w:t>智能化系统配置与数据采集要求</w:t>
      </w:r>
      <w:bookmarkEnd w:id="53"/>
    </w:p>
    <w:p w14:paraId="2F857925">
      <w:pPr>
        <w:pStyle w:val="105"/>
        <w:spacing w:before="120" w:after="120" w:line="360" w:lineRule="auto"/>
      </w:pPr>
      <w:r>
        <w:rPr>
          <w:rFonts w:hint="eastAsia"/>
        </w:rPr>
        <w:t>一般要求</w:t>
      </w:r>
    </w:p>
    <w:p w14:paraId="4939581E">
      <w:pPr>
        <w:pStyle w:val="165"/>
        <w:spacing w:line="360" w:lineRule="auto"/>
      </w:pPr>
      <w:r>
        <w:rPr>
          <w:rFonts w:hint="eastAsia"/>
        </w:rPr>
        <w:t>智能化系统应服务于软土地基加固施工的参数控制、质量判定与风险预警，做到采集对象明确、数据链路稳定、记录连续完整、定位准确可复核。</w:t>
      </w:r>
    </w:p>
    <w:p w14:paraId="002DCCB5">
      <w:pPr>
        <w:pStyle w:val="165"/>
        <w:spacing w:line="360" w:lineRule="auto"/>
      </w:pPr>
      <w:r>
        <w:rPr>
          <w:rFonts w:hint="eastAsia"/>
        </w:rPr>
        <w:t>智能化系统配置应与工法、设备能力与现场环境相匹配。应避免“有采集无控制”或“有数据无判定”的配置方式，关键工法应至少实现关键控制参数的实时采集与超限报警，宜实现闭环控制或半闭环辅助控制。</w:t>
      </w:r>
    </w:p>
    <w:p w14:paraId="076DF343">
      <w:pPr>
        <w:pStyle w:val="165"/>
        <w:spacing w:line="360" w:lineRule="auto"/>
      </w:pPr>
      <w:r>
        <w:rPr>
          <w:rFonts w:hint="eastAsia"/>
        </w:rPr>
        <w:t>系统应具备异常工况下的数据保障能力。断网、断电、设备重启等情况下应能实现本地缓存、断点续传与数据完整性校验，确保原始数据不缺失、不篡改、可追溯。</w:t>
      </w:r>
    </w:p>
    <w:p w14:paraId="1EE1B280">
      <w:pPr>
        <w:pStyle w:val="105"/>
        <w:spacing w:before="120" w:after="120" w:line="360" w:lineRule="auto"/>
      </w:pPr>
      <w:r>
        <w:rPr>
          <w:rFonts w:hint="eastAsia"/>
        </w:rPr>
        <w:t>系统组成与功能要求</w:t>
      </w:r>
    </w:p>
    <w:p w14:paraId="7D71E8D6">
      <w:pPr>
        <w:pStyle w:val="65"/>
        <w:spacing w:before="120" w:after="120" w:line="360" w:lineRule="auto"/>
      </w:pPr>
      <w:r>
        <w:rPr>
          <w:rFonts w:hint="eastAsia"/>
        </w:rPr>
        <w:t>感知采集模块</w:t>
      </w:r>
    </w:p>
    <w:p w14:paraId="60B47181">
      <w:pPr>
        <w:pStyle w:val="56"/>
        <w:spacing w:line="360" w:lineRule="auto"/>
        <w:ind w:firstLine="420"/>
      </w:pPr>
      <w:r>
        <w:rPr>
          <w:rFonts w:hint="eastAsia"/>
        </w:rPr>
        <w:t>应包括深度与位移采集、压力采集、流量采集、转速采集、扭矩或电流采集、配比与称量采集、真空度与排水量采集、环境与振动采集等模块。采集模块应具备校准接口与自检功能。</w:t>
      </w:r>
    </w:p>
    <w:p w14:paraId="61E7C860">
      <w:pPr>
        <w:pStyle w:val="65"/>
        <w:spacing w:before="120" w:after="120" w:line="360" w:lineRule="auto"/>
      </w:pPr>
      <w:r>
        <w:rPr>
          <w:rFonts w:hint="eastAsia"/>
        </w:rPr>
        <w:t>定位与时间同步模块</w:t>
      </w:r>
    </w:p>
    <w:p w14:paraId="34F389F4">
      <w:pPr>
        <w:pStyle w:val="56"/>
        <w:spacing w:line="360" w:lineRule="auto"/>
        <w:ind w:firstLine="420"/>
      </w:pPr>
      <w:r>
        <w:rPr>
          <w:rFonts w:hint="eastAsia"/>
        </w:rPr>
        <w:t>宜采用GNSS与RTK或全站仪联动定位方式，确保作业位置与网格或桩位一致。系统应统一时间源并实现设备时间同步，保证多设备数据可对齐分析。</w:t>
      </w:r>
    </w:p>
    <w:p w14:paraId="556983A8">
      <w:pPr>
        <w:pStyle w:val="65"/>
        <w:spacing w:before="120" w:after="120" w:line="360" w:lineRule="auto"/>
      </w:pPr>
      <w:r>
        <w:rPr>
          <w:rFonts w:hint="eastAsia"/>
        </w:rPr>
        <w:t>控制执行模块</w:t>
      </w:r>
    </w:p>
    <w:p w14:paraId="6852918B">
      <w:pPr>
        <w:pStyle w:val="56"/>
        <w:spacing w:line="360" w:lineRule="auto"/>
        <w:ind w:firstLine="420"/>
      </w:pPr>
      <w:r>
        <w:rPr>
          <w:rFonts w:hint="eastAsia"/>
        </w:rPr>
        <w:t>应支持参数设定、控制指令下发、联锁保护与应急停机。对深度、提升速度、喷射压力与流量、搅拌转速等关键参数，宜支持闭环控制或限幅控制。</w:t>
      </w:r>
    </w:p>
    <w:p w14:paraId="7461A764">
      <w:pPr>
        <w:pStyle w:val="65"/>
        <w:spacing w:before="120" w:after="120" w:line="360" w:lineRule="auto"/>
      </w:pPr>
      <w:r>
        <w:rPr>
          <w:rFonts w:hint="eastAsia"/>
        </w:rPr>
        <w:t>数据传输与存储模块</w:t>
      </w:r>
    </w:p>
    <w:p w14:paraId="05D3A3D8">
      <w:pPr>
        <w:pStyle w:val="56"/>
        <w:spacing w:line="360" w:lineRule="auto"/>
        <w:ind w:firstLine="420"/>
      </w:pPr>
      <w:r>
        <w:rPr>
          <w:rFonts w:hint="eastAsia"/>
        </w:rPr>
        <w:t>应支持现场有线或无线传输，传输协议应满足稳定性与安全性要求。数据存储应支持本地与中心端双存储，建立备份与权限管理机制。</w:t>
      </w:r>
    </w:p>
    <w:p w14:paraId="11004298">
      <w:pPr>
        <w:pStyle w:val="65"/>
        <w:spacing w:before="120" w:after="120" w:line="360" w:lineRule="auto"/>
      </w:pPr>
      <w:r>
        <w:rPr>
          <w:rFonts w:hint="eastAsia"/>
        </w:rPr>
        <w:t>平台应用模块</w:t>
      </w:r>
    </w:p>
    <w:p w14:paraId="1C97E692">
      <w:pPr>
        <w:pStyle w:val="56"/>
        <w:spacing w:line="360" w:lineRule="auto"/>
        <w:ind w:firstLine="420"/>
      </w:pPr>
      <w:r>
        <w:rPr>
          <w:rFonts w:hint="eastAsia"/>
        </w:rPr>
        <w:t>平台应支持施工任务管理、实时曲线与历史回放、报警管理、质量判定规则调用、统计报表、数据导出与审计追溯。平台应支持按加固单元或检验批进行数据归集与合格性汇总。</w:t>
      </w:r>
    </w:p>
    <w:p w14:paraId="49F67C6B">
      <w:pPr>
        <w:pStyle w:val="105"/>
        <w:spacing w:before="120" w:after="120" w:line="360" w:lineRule="auto"/>
      </w:pPr>
      <w:r>
        <w:rPr>
          <w:rFonts w:hint="eastAsia"/>
        </w:rPr>
        <w:t>数据采集范围与频率要求</w:t>
      </w:r>
    </w:p>
    <w:p w14:paraId="4FF4BA64">
      <w:pPr>
        <w:pStyle w:val="165"/>
        <w:spacing w:line="360" w:lineRule="auto"/>
      </w:pPr>
      <w:r>
        <w:rPr>
          <w:rFonts w:hint="eastAsia"/>
        </w:rPr>
        <w:t>关键控制参数应实现全过程采集。对影响成型连续性、强度与均匀性的参数，应覆盖从开钻或插入至成型完成的全过程，不得仅记录阶段性点值。</w:t>
      </w:r>
    </w:p>
    <w:p w14:paraId="4FB41392">
      <w:pPr>
        <w:pStyle w:val="165"/>
        <w:spacing w:line="360" w:lineRule="auto"/>
      </w:pPr>
      <w:r>
        <w:rPr>
          <w:rFonts w:hint="eastAsia"/>
        </w:rPr>
        <w:t>采样频率应满足判定需求。对深度、提升速度、压力、流量与转速等动态参数，采样频率宜满足能够识别突变与短时超限事件的要求。对真空度与排水量等变化相对缓慢参数，可采用较低频率采集，但应保证变化趋势可识别。</w:t>
      </w:r>
    </w:p>
    <w:p w14:paraId="510E8F34">
      <w:pPr>
        <w:pStyle w:val="165"/>
        <w:spacing w:line="360" w:lineRule="auto"/>
      </w:pPr>
      <w:r>
        <w:rPr>
          <w:rFonts w:hint="eastAsia"/>
        </w:rPr>
        <w:t>监测数据与施工数据宜同步采集。对孔压、沉降、位移等监测数据，应明确采集周期与报警阈值，并与施工时序关联，以支撑施工调控与风险研判。</w:t>
      </w:r>
    </w:p>
    <w:p w14:paraId="18B0DF36">
      <w:pPr>
        <w:pStyle w:val="105"/>
        <w:spacing w:before="120" w:after="120" w:line="360" w:lineRule="auto"/>
      </w:pPr>
      <w:r>
        <w:rPr>
          <w:rFonts w:hint="eastAsia"/>
        </w:rPr>
        <w:t>数据质量控制要求</w:t>
      </w:r>
    </w:p>
    <w:p w14:paraId="5F8A48AA">
      <w:pPr>
        <w:pStyle w:val="165"/>
        <w:spacing w:line="360" w:lineRule="auto"/>
      </w:pPr>
      <w:r>
        <w:rPr>
          <w:rFonts w:hint="eastAsia"/>
        </w:rPr>
        <w:t>数据应满足准确性与一致性要求。传感器量程与精度应与控制区间匹配，采集数据应进行单位统一、零点校正与漂移校核。</w:t>
      </w:r>
    </w:p>
    <w:p w14:paraId="0012F519">
      <w:pPr>
        <w:pStyle w:val="165"/>
        <w:spacing w:line="360" w:lineRule="auto"/>
      </w:pPr>
      <w:r>
        <w:rPr>
          <w:rFonts w:hint="eastAsia"/>
        </w:rPr>
        <w:t>数据应满足完整性要求。应建立数据完整性校验规则，识别缺失段、重复段、时间倒序、深度回跳与异常平直段等典型问题，并触发报警或复核流程。</w:t>
      </w:r>
    </w:p>
    <w:p w14:paraId="36F6A737">
      <w:pPr>
        <w:pStyle w:val="165"/>
        <w:spacing w:line="360" w:lineRule="auto"/>
      </w:pPr>
      <w:r>
        <w:rPr>
          <w:rFonts w:hint="eastAsia"/>
        </w:rPr>
        <w:t>数据应满足真实性与防篡改要求。原始数据应只读存储并保留哈希校验或签名机制，数据更正应保留版本与更正记录，禁止无痕覆盖。</w:t>
      </w:r>
    </w:p>
    <w:p w14:paraId="69DB2A7F">
      <w:pPr>
        <w:pStyle w:val="165"/>
        <w:spacing w:line="360" w:lineRule="auto"/>
      </w:pPr>
      <w:r>
        <w:rPr>
          <w:rFonts w:hint="eastAsia"/>
        </w:rPr>
        <w:t>数据应满足可定位要求。每条数据记录应至少关联设备编号、作业位置、作业单元编号、时间戳与关键状态标识，确保可追溯到具体桩位或网格单元。</w:t>
      </w:r>
    </w:p>
    <w:p w14:paraId="7802BD46">
      <w:pPr>
        <w:pStyle w:val="105"/>
        <w:spacing w:before="120" w:after="120" w:line="360" w:lineRule="auto"/>
      </w:pPr>
      <w:r>
        <w:rPr>
          <w:rFonts w:hint="eastAsia"/>
        </w:rPr>
        <w:t>报警与联锁要求</w:t>
      </w:r>
    </w:p>
    <w:p w14:paraId="31D9A760">
      <w:pPr>
        <w:pStyle w:val="165"/>
        <w:spacing w:line="360" w:lineRule="auto"/>
      </w:pPr>
      <w:r>
        <w:rPr>
          <w:rFonts w:hint="eastAsia"/>
        </w:rPr>
        <w:t>报警规则应分级设置。应至少设置提示、预警与超限三级，并明确各级触发的处置动作与责任人。</w:t>
      </w:r>
    </w:p>
    <w:p w14:paraId="6B131570">
      <w:pPr>
        <w:pStyle w:val="165"/>
        <w:spacing w:line="360" w:lineRule="auto"/>
      </w:pPr>
      <w:r>
        <w:rPr>
          <w:rFonts w:hint="eastAsia"/>
        </w:rPr>
        <w:t>对关键参数超限应设置联锁。对可能导致成型中断或质量缺陷的超限事件，系统宜触发自动降速、限压、停机或锁定出库等联锁动作，并记录联锁触发原因。</w:t>
      </w:r>
    </w:p>
    <w:p w14:paraId="2F89F710">
      <w:pPr>
        <w:pStyle w:val="165"/>
        <w:spacing w:line="360" w:lineRule="auto"/>
      </w:pPr>
      <w:r>
        <w:rPr>
          <w:rFonts w:hint="eastAsia"/>
        </w:rPr>
        <w:t>报警处置应形成闭环。报警事件应记录时间、位置、参数值、持续时长、处置措施与复核结论，并与检验批关联，未闭环不得判定该单元合格。</w:t>
      </w:r>
    </w:p>
    <w:p w14:paraId="2916DD18">
      <w:pPr>
        <w:pStyle w:val="105"/>
        <w:spacing w:before="120" w:after="120" w:line="360" w:lineRule="auto"/>
      </w:pPr>
      <w:r>
        <w:rPr>
          <w:rFonts w:hint="eastAsia"/>
        </w:rPr>
        <w:t>典型工法关键控制参数对照</w:t>
      </w:r>
    </w:p>
    <w:p w14:paraId="65A32B75">
      <w:pPr>
        <w:pStyle w:val="56"/>
        <w:spacing w:line="360" w:lineRule="auto"/>
        <w:ind w:firstLine="420"/>
      </w:pPr>
      <w:r>
        <w:rPr>
          <w:rFonts w:hint="eastAsia"/>
        </w:rPr>
        <w:t>本文件设置一项对照表，用于明确不同工法的关键控制参数与采集要求，作为智能化系统配置与现场验收的依据。</w:t>
      </w:r>
    </w:p>
    <w:p w14:paraId="2370F36D">
      <w:pPr>
        <w:pStyle w:val="112"/>
        <w:spacing w:before="120" w:after="120" w:line="360" w:lineRule="auto"/>
      </w:pPr>
      <w:r>
        <w:rPr>
          <w:rFonts w:hint="eastAsia"/>
        </w:rPr>
        <w:t>典型工法与关键控制参数对照</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2835"/>
        <w:gridCol w:w="2977"/>
        <w:gridCol w:w="2114"/>
      </w:tblGrid>
      <w:tr w14:paraId="233F3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vAlign w:val="center"/>
          </w:tcPr>
          <w:p w14:paraId="27F1C81B">
            <w:pPr>
              <w:pStyle w:val="178"/>
            </w:pPr>
            <w:r>
              <w:rPr>
                <w:rFonts w:hint="eastAsia"/>
              </w:rPr>
              <w:t>工法类型</w:t>
            </w:r>
          </w:p>
        </w:tc>
        <w:tc>
          <w:tcPr>
            <w:tcW w:w="2835" w:type="dxa"/>
            <w:tcBorders>
              <w:top w:val="single" w:color="auto" w:sz="8" w:space="0"/>
              <w:bottom w:val="single" w:color="auto" w:sz="8" w:space="0"/>
            </w:tcBorders>
            <w:vAlign w:val="center"/>
          </w:tcPr>
          <w:p w14:paraId="0196742D">
            <w:pPr>
              <w:pStyle w:val="178"/>
            </w:pPr>
            <w:r>
              <w:rPr>
                <w:rFonts w:hint="eastAsia"/>
              </w:rPr>
              <w:t>关键控制参数</w:t>
            </w:r>
          </w:p>
        </w:tc>
        <w:tc>
          <w:tcPr>
            <w:tcW w:w="2977" w:type="dxa"/>
            <w:tcBorders>
              <w:top w:val="single" w:color="auto" w:sz="8" w:space="0"/>
              <w:bottom w:val="single" w:color="auto" w:sz="8" w:space="0"/>
            </w:tcBorders>
            <w:vAlign w:val="center"/>
          </w:tcPr>
          <w:p w14:paraId="03F396F4">
            <w:pPr>
              <w:pStyle w:val="178"/>
            </w:pPr>
            <w:r>
              <w:rPr>
                <w:rFonts w:hint="eastAsia"/>
              </w:rPr>
              <w:t>关键采集与控制要点</w:t>
            </w:r>
          </w:p>
        </w:tc>
        <w:tc>
          <w:tcPr>
            <w:tcW w:w="2114" w:type="dxa"/>
            <w:tcBorders>
              <w:top w:val="single" w:color="auto" w:sz="8" w:space="0"/>
              <w:bottom w:val="single" w:color="auto" w:sz="8" w:space="0"/>
            </w:tcBorders>
            <w:vAlign w:val="center"/>
          </w:tcPr>
          <w:p w14:paraId="32F2AF63">
            <w:pPr>
              <w:pStyle w:val="178"/>
            </w:pPr>
            <w:r>
              <w:rPr>
                <w:rFonts w:hint="eastAsia"/>
              </w:rPr>
              <w:t>典型报警关注点</w:t>
            </w:r>
          </w:p>
        </w:tc>
      </w:tr>
      <w:tr w14:paraId="3EFC1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vAlign w:val="center"/>
          </w:tcPr>
          <w:p w14:paraId="4B16C1E8">
            <w:pPr>
              <w:pStyle w:val="178"/>
            </w:pPr>
            <w:r>
              <w:rPr>
                <w:rFonts w:hint="eastAsia"/>
              </w:rPr>
              <w:t>深层搅拌加固</w:t>
            </w:r>
          </w:p>
        </w:tc>
        <w:tc>
          <w:tcPr>
            <w:tcW w:w="2835" w:type="dxa"/>
            <w:tcBorders>
              <w:top w:val="single" w:color="auto" w:sz="8" w:space="0"/>
            </w:tcBorders>
            <w:vAlign w:val="center"/>
          </w:tcPr>
          <w:p w14:paraId="4319B11E">
            <w:pPr>
              <w:pStyle w:val="178"/>
            </w:pPr>
            <w:r>
              <w:rPr>
                <w:rFonts w:hint="eastAsia"/>
              </w:rPr>
              <w:t>深度、搅拌转速、提升速度、下沉速度、浆液流量、浆液配比、注浆压力、扭矩或电流</w:t>
            </w:r>
          </w:p>
        </w:tc>
        <w:tc>
          <w:tcPr>
            <w:tcW w:w="2977" w:type="dxa"/>
            <w:tcBorders>
              <w:top w:val="single" w:color="auto" w:sz="8" w:space="0"/>
            </w:tcBorders>
            <w:vAlign w:val="center"/>
          </w:tcPr>
          <w:p w14:paraId="4BACA729">
            <w:pPr>
              <w:pStyle w:val="178"/>
            </w:pPr>
            <w:r>
              <w:rPr>
                <w:rFonts w:hint="eastAsia"/>
              </w:rPr>
              <w:t>深度与转速联动控制、浆液供给连续性、校核提升速度与搅拌时间</w:t>
            </w:r>
          </w:p>
        </w:tc>
        <w:tc>
          <w:tcPr>
            <w:tcW w:w="2114" w:type="dxa"/>
            <w:tcBorders>
              <w:top w:val="single" w:color="auto" w:sz="8" w:space="0"/>
            </w:tcBorders>
            <w:vAlign w:val="center"/>
          </w:tcPr>
          <w:p w14:paraId="3995B2E0">
            <w:pPr>
              <w:pStyle w:val="178"/>
            </w:pPr>
            <w:r>
              <w:rPr>
                <w:rFonts w:hint="eastAsia"/>
              </w:rPr>
              <w:t>深度不足、断浆、转速异常、扭矩突变</w:t>
            </w:r>
          </w:p>
        </w:tc>
      </w:tr>
      <w:tr w14:paraId="0BE8E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67791424">
            <w:pPr>
              <w:pStyle w:val="178"/>
            </w:pPr>
            <w:r>
              <w:rPr>
                <w:rFonts w:hint="eastAsia"/>
              </w:rPr>
              <w:t>高压旋喷加固</w:t>
            </w:r>
          </w:p>
        </w:tc>
        <w:tc>
          <w:tcPr>
            <w:tcW w:w="2835" w:type="dxa"/>
            <w:vAlign w:val="center"/>
          </w:tcPr>
          <w:p w14:paraId="2B06A503">
            <w:pPr>
              <w:pStyle w:val="178"/>
            </w:pPr>
            <w:r>
              <w:rPr>
                <w:rFonts w:hint="eastAsia"/>
              </w:rPr>
              <w:t>深度、喷射压力、浆液流量、提升速度、旋转速度、空压流量</w:t>
            </w:r>
          </w:p>
        </w:tc>
        <w:tc>
          <w:tcPr>
            <w:tcW w:w="2977" w:type="dxa"/>
            <w:vAlign w:val="center"/>
          </w:tcPr>
          <w:p w14:paraId="38F52833">
            <w:pPr>
              <w:pStyle w:val="178"/>
            </w:pPr>
            <w:r>
              <w:rPr>
                <w:rFonts w:hint="eastAsia"/>
              </w:rPr>
              <w:t>压力流量稳定控制、提升速度与喷射能量匹配、位置偏差控制</w:t>
            </w:r>
          </w:p>
        </w:tc>
        <w:tc>
          <w:tcPr>
            <w:tcW w:w="2114" w:type="dxa"/>
            <w:vAlign w:val="center"/>
          </w:tcPr>
          <w:p w14:paraId="30140AA3">
            <w:pPr>
              <w:pStyle w:val="178"/>
            </w:pPr>
            <w:r>
              <w:rPr>
                <w:rFonts w:hint="eastAsia"/>
              </w:rPr>
              <w:t>压力波动、流量不足、提升过快、偏位超限</w:t>
            </w:r>
          </w:p>
        </w:tc>
      </w:tr>
      <w:tr w14:paraId="44DB4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02108673">
            <w:pPr>
              <w:pStyle w:val="178"/>
            </w:pPr>
            <w:r>
              <w:rPr>
                <w:rFonts w:hint="eastAsia"/>
              </w:rPr>
              <w:t>注浆加固</w:t>
            </w:r>
          </w:p>
        </w:tc>
        <w:tc>
          <w:tcPr>
            <w:tcW w:w="2835" w:type="dxa"/>
            <w:vAlign w:val="center"/>
          </w:tcPr>
          <w:p w14:paraId="4F02A6FE">
            <w:pPr>
              <w:pStyle w:val="178"/>
            </w:pPr>
            <w:r>
              <w:rPr>
                <w:rFonts w:hint="eastAsia"/>
              </w:rPr>
              <w:t>注浆压力、注浆流量、注浆量、注浆时间、浆液配比、回浆量</w:t>
            </w:r>
          </w:p>
        </w:tc>
        <w:tc>
          <w:tcPr>
            <w:tcW w:w="2977" w:type="dxa"/>
            <w:vAlign w:val="center"/>
          </w:tcPr>
          <w:p w14:paraId="33CD477A">
            <w:pPr>
              <w:pStyle w:val="178"/>
            </w:pPr>
            <w:r>
              <w:rPr>
                <w:rFonts w:hint="eastAsia"/>
              </w:rPr>
              <w:t>分段分级注浆、压流量曲线识别串浆与跑浆</w:t>
            </w:r>
          </w:p>
        </w:tc>
        <w:tc>
          <w:tcPr>
            <w:tcW w:w="2114" w:type="dxa"/>
            <w:vAlign w:val="center"/>
          </w:tcPr>
          <w:p w14:paraId="653BDEB2">
            <w:pPr>
              <w:pStyle w:val="178"/>
            </w:pPr>
            <w:r>
              <w:rPr>
                <w:rFonts w:hint="eastAsia"/>
              </w:rPr>
              <w:t>压力异常下降、回浆异常、跑浆突增</w:t>
            </w:r>
          </w:p>
        </w:tc>
      </w:tr>
    </w:tbl>
    <w:p w14:paraId="77507908">
      <w:pPr>
        <w:pStyle w:val="56"/>
        <w:spacing w:before="120" w:beforeLines="50" w:after="120" w:afterLines="50"/>
        <w:ind w:firstLine="0" w:firstLineChars="0"/>
        <w:jc w:val="center"/>
        <w:rPr>
          <w:rFonts w:ascii="黑体" w:hAnsi="黑体" w:eastAsia="黑体"/>
        </w:rPr>
      </w:pPr>
      <w:r>
        <w:rPr>
          <w:rFonts w:hint="eastAsia" w:ascii="黑体" w:hAnsi="黑体" w:eastAsia="黑体"/>
        </w:rPr>
        <w:t>表1  典型工法与关键控制参数对照</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2835"/>
        <w:gridCol w:w="2977"/>
        <w:gridCol w:w="2114"/>
      </w:tblGrid>
      <w:tr w14:paraId="347BF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vAlign w:val="center"/>
          </w:tcPr>
          <w:p w14:paraId="6540208A">
            <w:pPr>
              <w:pStyle w:val="178"/>
            </w:pPr>
            <w:r>
              <w:rPr>
                <w:rFonts w:hint="eastAsia"/>
              </w:rPr>
              <w:t>工法类型</w:t>
            </w:r>
          </w:p>
        </w:tc>
        <w:tc>
          <w:tcPr>
            <w:tcW w:w="2835" w:type="dxa"/>
            <w:tcBorders>
              <w:top w:val="single" w:color="auto" w:sz="8" w:space="0"/>
              <w:bottom w:val="single" w:color="auto" w:sz="8" w:space="0"/>
            </w:tcBorders>
            <w:vAlign w:val="center"/>
          </w:tcPr>
          <w:p w14:paraId="682D390E">
            <w:pPr>
              <w:pStyle w:val="178"/>
            </w:pPr>
            <w:r>
              <w:rPr>
                <w:rFonts w:hint="eastAsia"/>
              </w:rPr>
              <w:t>关键控制参数</w:t>
            </w:r>
          </w:p>
        </w:tc>
        <w:tc>
          <w:tcPr>
            <w:tcW w:w="2977" w:type="dxa"/>
            <w:tcBorders>
              <w:top w:val="single" w:color="auto" w:sz="8" w:space="0"/>
              <w:bottom w:val="single" w:color="auto" w:sz="8" w:space="0"/>
            </w:tcBorders>
            <w:vAlign w:val="center"/>
          </w:tcPr>
          <w:p w14:paraId="29F2AFA5">
            <w:pPr>
              <w:pStyle w:val="178"/>
            </w:pPr>
            <w:r>
              <w:rPr>
                <w:rFonts w:hint="eastAsia"/>
              </w:rPr>
              <w:t>关键采集与控制要点</w:t>
            </w:r>
          </w:p>
        </w:tc>
        <w:tc>
          <w:tcPr>
            <w:tcW w:w="2114" w:type="dxa"/>
            <w:tcBorders>
              <w:top w:val="single" w:color="auto" w:sz="8" w:space="0"/>
              <w:bottom w:val="single" w:color="auto" w:sz="8" w:space="0"/>
            </w:tcBorders>
            <w:vAlign w:val="center"/>
          </w:tcPr>
          <w:p w14:paraId="5E491373">
            <w:pPr>
              <w:pStyle w:val="178"/>
            </w:pPr>
            <w:r>
              <w:rPr>
                <w:rFonts w:hint="eastAsia"/>
              </w:rPr>
              <w:t>典型报警关注点</w:t>
            </w:r>
          </w:p>
        </w:tc>
      </w:tr>
      <w:tr w14:paraId="7BE09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4CB8107F">
            <w:pPr>
              <w:pStyle w:val="178"/>
            </w:pPr>
            <w:r>
              <w:rPr>
                <w:rFonts w:hint="eastAsia"/>
              </w:rPr>
              <w:t>真空预压与排水</w:t>
            </w:r>
          </w:p>
        </w:tc>
        <w:tc>
          <w:tcPr>
            <w:tcW w:w="2835" w:type="dxa"/>
            <w:vAlign w:val="center"/>
          </w:tcPr>
          <w:p w14:paraId="4C5DBAF7">
            <w:pPr>
              <w:pStyle w:val="178"/>
            </w:pPr>
            <w:r>
              <w:rPr>
                <w:rFonts w:hint="eastAsia"/>
              </w:rPr>
              <w:t>真空度、真空持续时间、排水量、孔压、固结度、指标沉降</w:t>
            </w:r>
          </w:p>
        </w:tc>
        <w:tc>
          <w:tcPr>
            <w:tcW w:w="2977" w:type="dxa"/>
            <w:vAlign w:val="center"/>
          </w:tcPr>
          <w:p w14:paraId="42DA85F9">
            <w:pPr>
              <w:pStyle w:val="178"/>
            </w:pPr>
            <w:r>
              <w:rPr>
                <w:rFonts w:hint="eastAsia"/>
              </w:rPr>
              <w:t>真空度稳定控制、漏气识别、孔压消散与沉降协同判定</w:t>
            </w:r>
          </w:p>
        </w:tc>
        <w:tc>
          <w:tcPr>
            <w:tcW w:w="2114" w:type="dxa"/>
            <w:vAlign w:val="center"/>
          </w:tcPr>
          <w:p w14:paraId="54527F0B">
            <w:pPr>
              <w:pStyle w:val="178"/>
            </w:pPr>
            <w:r>
              <w:rPr>
                <w:rFonts w:hint="eastAsia"/>
              </w:rPr>
              <w:t>真空度下降、排水异常、孔压不降</w:t>
            </w:r>
          </w:p>
        </w:tc>
      </w:tr>
      <w:tr w14:paraId="062B1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73132613">
            <w:pPr>
              <w:pStyle w:val="178"/>
            </w:pPr>
            <w:r>
              <w:rPr>
                <w:rFonts w:hint="eastAsia"/>
              </w:rPr>
              <w:t>堆载预压</w:t>
            </w:r>
          </w:p>
        </w:tc>
        <w:tc>
          <w:tcPr>
            <w:tcW w:w="2835" w:type="dxa"/>
            <w:vAlign w:val="center"/>
          </w:tcPr>
          <w:p w14:paraId="40A8AE4C">
            <w:pPr>
              <w:pStyle w:val="178"/>
            </w:pPr>
            <w:r>
              <w:rPr>
                <w:rFonts w:hint="eastAsia"/>
              </w:rPr>
              <w:t>堆载高度、速率、分级加载时间、沉降、孔压、位移</w:t>
            </w:r>
          </w:p>
        </w:tc>
        <w:tc>
          <w:tcPr>
            <w:tcW w:w="2977" w:type="dxa"/>
            <w:vAlign w:val="center"/>
          </w:tcPr>
          <w:p w14:paraId="22337C24">
            <w:pPr>
              <w:pStyle w:val="178"/>
            </w:pPr>
            <w:r>
              <w:rPr>
                <w:rFonts w:hint="eastAsia"/>
              </w:rPr>
              <w:t>分级加载与停歇控制、超载与偏载识别、变形阈值联动报警</w:t>
            </w:r>
          </w:p>
        </w:tc>
        <w:tc>
          <w:tcPr>
            <w:tcW w:w="2114" w:type="dxa"/>
            <w:vAlign w:val="center"/>
          </w:tcPr>
          <w:p w14:paraId="2C2E4573">
            <w:pPr>
              <w:pStyle w:val="178"/>
            </w:pPr>
            <w:r>
              <w:rPr>
                <w:rFonts w:hint="eastAsia"/>
              </w:rPr>
              <w:t>沉降速率过大、孔压上升、位移突增</w:t>
            </w:r>
          </w:p>
        </w:tc>
      </w:tr>
      <w:tr w14:paraId="30637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3DBDAC5E">
            <w:pPr>
              <w:pStyle w:val="178"/>
            </w:pPr>
            <w:r>
              <w:rPr>
                <w:rFonts w:hint="eastAsia"/>
              </w:rPr>
              <w:t>强夯置换</w:t>
            </w:r>
          </w:p>
        </w:tc>
        <w:tc>
          <w:tcPr>
            <w:tcW w:w="2835" w:type="dxa"/>
            <w:vAlign w:val="center"/>
          </w:tcPr>
          <w:p w14:paraId="308A6B64">
            <w:pPr>
              <w:pStyle w:val="178"/>
            </w:pPr>
            <w:r>
              <w:rPr>
                <w:rFonts w:hint="eastAsia"/>
              </w:rPr>
              <w:t>夯击能量、夯击遍数、夯点间距、夯沉量、振动</w:t>
            </w:r>
          </w:p>
        </w:tc>
        <w:tc>
          <w:tcPr>
            <w:tcW w:w="2977" w:type="dxa"/>
            <w:vAlign w:val="center"/>
          </w:tcPr>
          <w:p w14:paraId="49469B9E">
            <w:pPr>
              <w:pStyle w:val="178"/>
            </w:pPr>
            <w:r>
              <w:rPr>
                <w:rFonts w:hint="eastAsia"/>
              </w:rPr>
              <w:t>能量与夯沉闭环管理、夯点定位与遍数控制</w:t>
            </w:r>
          </w:p>
        </w:tc>
        <w:tc>
          <w:tcPr>
            <w:tcW w:w="2114" w:type="dxa"/>
            <w:vAlign w:val="center"/>
          </w:tcPr>
          <w:p w14:paraId="34CCD065">
            <w:pPr>
              <w:pStyle w:val="178"/>
            </w:pPr>
            <w:r>
              <w:rPr>
                <w:rFonts w:hint="eastAsia"/>
              </w:rPr>
              <w:t>夯沉异常、振动超限、夯点偏位</w:t>
            </w:r>
          </w:p>
        </w:tc>
      </w:tr>
      <w:tr w14:paraId="07D0C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73E2884B">
            <w:pPr>
              <w:pStyle w:val="178"/>
            </w:pPr>
            <w:r>
              <w:rPr>
                <w:rFonts w:hint="eastAsia"/>
              </w:rPr>
              <w:t>桩网复合地基</w:t>
            </w:r>
          </w:p>
        </w:tc>
        <w:tc>
          <w:tcPr>
            <w:tcW w:w="2835" w:type="dxa"/>
            <w:vAlign w:val="center"/>
          </w:tcPr>
          <w:p w14:paraId="5493A2FA">
            <w:pPr>
              <w:pStyle w:val="178"/>
            </w:pPr>
            <w:r>
              <w:rPr>
                <w:rFonts w:hint="eastAsia"/>
              </w:rPr>
              <w:t>桩位偏差、桩长、桩径或成型质量、承载与沉降、连接层厚度</w:t>
            </w:r>
          </w:p>
        </w:tc>
        <w:tc>
          <w:tcPr>
            <w:tcW w:w="2977" w:type="dxa"/>
            <w:vAlign w:val="center"/>
          </w:tcPr>
          <w:p w14:paraId="3EE022DE">
            <w:pPr>
              <w:pStyle w:val="178"/>
            </w:pPr>
            <w:r>
              <w:rPr>
                <w:rFonts w:hint="eastAsia"/>
              </w:rPr>
              <w:t>桩位与桩长在线控制、连接层施工质量与整体性</w:t>
            </w:r>
          </w:p>
        </w:tc>
        <w:tc>
          <w:tcPr>
            <w:tcW w:w="2114" w:type="dxa"/>
            <w:vAlign w:val="center"/>
          </w:tcPr>
          <w:p w14:paraId="37A67484">
            <w:pPr>
              <w:pStyle w:val="178"/>
            </w:pPr>
            <w:r>
              <w:rPr>
                <w:rFonts w:hint="eastAsia"/>
              </w:rPr>
              <w:t>桩位偏差超限、桩长不足、连接层厚度不足</w:t>
            </w:r>
          </w:p>
        </w:tc>
      </w:tr>
    </w:tbl>
    <w:p w14:paraId="55FAA00C">
      <w:pPr>
        <w:pStyle w:val="105"/>
        <w:spacing w:before="120" w:after="120" w:line="360" w:lineRule="auto"/>
      </w:pPr>
      <w:r>
        <w:rPr>
          <w:rFonts w:hint="eastAsia"/>
        </w:rPr>
        <w:t>数据归集与交付格式要求</w:t>
      </w:r>
    </w:p>
    <w:p w14:paraId="05ECA476">
      <w:pPr>
        <w:pStyle w:val="165"/>
        <w:spacing w:line="360" w:lineRule="auto"/>
      </w:pPr>
      <w:r>
        <w:rPr>
          <w:rFonts w:hint="eastAsia"/>
        </w:rPr>
        <w:t>数据归集应以加固单元为主线。施工参数数据、报警事件、监测数据与检测数据应按单元编号归集，并形成合格性汇总。</w:t>
      </w:r>
    </w:p>
    <w:p w14:paraId="30BB5231">
      <w:pPr>
        <w:pStyle w:val="165"/>
        <w:spacing w:line="360" w:lineRule="auto"/>
      </w:pPr>
      <w:r>
        <w:rPr>
          <w:rFonts w:hint="eastAsia"/>
        </w:rPr>
        <w:t>数据导出格式应统一。宜提供原始数据文件、统计报表与曲线图三类成果，并明确字段定义、单位与编码规则，满足第三方复核与竣工归档需要。</w:t>
      </w:r>
    </w:p>
    <w:p w14:paraId="587FB51A">
      <w:pPr>
        <w:pStyle w:val="165"/>
        <w:spacing w:line="360" w:lineRule="auto"/>
      </w:pPr>
      <w:r>
        <w:rPr>
          <w:rFonts w:hint="eastAsia"/>
        </w:rPr>
        <w:t>数字化交付应包含元数据说明。元数据应包括设备型号与校准信息、采样频率与精度、判定规则版本、数据生成时间与责任人信息，确保数据可解释。</w:t>
      </w:r>
    </w:p>
    <w:p w14:paraId="7E375CCA">
      <w:pPr>
        <w:pStyle w:val="104"/>
        <w:spacing w:before="240" w:after="240" w:line="360" w:lineRule="auto"/>
      </w:pPr>
      <w:bookmarkStart w:id="54" w:name="_Toc219057439"/>
      <w:r>
        <w:rPr>
          <w:rFonts w:hint="eastAsia"/>
        </w:rPr>
        <w:t>主要加固工法施工控制要求</w:t>
      </w:r>
      <w:bookmarkEnd w:id="54"/>
    </w:p>
    <w:p w14:paraId="2C506068">
      <w:pPr>
        <w:pStyle w:val="105"/>
        <w:spacing w:before="120" w:after="120" w:line="360" w:lineRule="auto"/>
      </w:pPr>
      <w:r>
        <w:rPr>
          <w:rFonts w:hint="eastAsia"/>
        </w:rPr>
        <w:t>一般要求</w:t>
      </w:r>
    </w:p>
    <w:p w14:paraId="6F6CD2BE">
      <w:pPr>
        <w:pStyle w:val="165"/>
        <w:spacing w:line="360" w:lineRule="auto"/>
      </w:pPr>
      <w:r>
        <w:rPr>
          <w:rFonts w:hint="eastAsia"/>
        </w:rPr>
        <w:t>主要加固工法的施工控制应以试验段参数固化成果为依据，结合地层差异与现场约束进行动态优化，确保加固体连续性、强度指标与均匀性满足设计要求。</w:t>
      </w:r>
    </w:p>
    <w:p w14:paraId="1E58CAB4">
      <w:pPr>
        <w:pStyle w:val="165"/>
        <w:spacing w:line="360" w:lineRule="auto"/>
      </w:pPr>
      <w:r>
        <w:rPr>
          <w:rFonts w:hint="eastAsia"/>
        </w:rPr>
        <w:t>各工法施工应实现关键控制参数全过程采集与留痕。参数超限或异常事件应按报警机制处置并形成闭环记录，未闭环不得进入下一道工序或不得判定检验批合格。</w:t>
      </w:r>
    </w:p>
    <w:p w14:paraId="776D58FA">
      <w:pPr>
        <w:pStyle w:val="165"/>
        <w:spacing w:line="360" w:lineRule="auto"/>
      </w:pPr>
      <w:r>
        <w:rPr>
          <w:rFonts w:hint="eastAsia"/>
        </w:rPr>
        <w:t>工法组合施工应明确先后顺序与互相影响。存在排水预压与桩类加固组合、搅拌与旋喷组合、注浆与桩网复合组合等情形时，应在施工方案中明确耦合影响、间隔时间与监测控制指标。</w:t>
      </w:r>
    </w:p>
    <w:p w14:paraId="1D165696">
      <w:pPr>
        <w:pStyle w:val="105"/>
        <w:spacing w:before="120" w:after="120" w:line="360" w:lineRule="auto"/>
      </w:pPr>
      <w:r>
        <w:rPr>
          <w:rFonts w:hint="eastAsia"/>
        </w:rPr>
        <w:t>深层搅拌加固施工控制</w:t>
      </w:r>
    </w:p>
    <w:p w14:paraId="2963971D">
      <w:pPr>
        <w:pStyle w:val="165"/>
        <w:spacing w:line="360" w:lineRule="auto"/>
      </w:pPr>
      <w:r>
        <w:rPr>
          <w:rFonts w:hint="eastAsia"/>
        </w:rPr>
        <w:t>适用条件与工艺要求</w:t>
      </w:r>
    </w:p>
    <w:p w14:paraId="30DC562B">
      <w:pPr>
        <w:pStyle w:val="56"/>
        <w:spacing w:line="360" w:lineRule="auto"/>
        <w:ind w:firstLine="420"/>
      </w:pPr>
      <w:r>
        <w:rPr>
          <w:rFonts w:hint="eastAsia"/>
        </w:rPr>
        <w:t>深层搅拌适用于饱和软粘土、淤泥质土等以强度提升与变形控制为目标的场景。应根据设计要求选择单轴或多轴搅拌形式，并明确桩径、桩长、搭接方式与布置密度。</w:t>
      </w:r>
    </w:p>
    <w:p w14:paraId="191B63F7">
      <w:pPr>
        <w:pStyle w:val="165"/>
        <w:spacing w:line="360" w:lineRule="auto"/>
      </w:pPr>
      <w:r>
        <w:rPr>
          <w:rFonts w:hint="eastAsia"/>
        </w:rPr>
        <w:t>施工流程</w:t>
      </w:r>
    </w:p>
    <w:p w14:paraId="7E64A0B2">
      <w:pPr>
        <w:pStyle w:val="56"/>
        <w:spacing w:line="360" w:lineRule="auto"/>
        <w:ind w:firstLine="420"/>
      </w:pPr>
      <w:r>
        <w:rPr>
          <w:rFonts w:hint="eastAsia"/>
        </w:rPr>
        <w:t>一般流程包括放样定位、下沉成孔或插入、预搅拌、注浆搅拌、复搅拌、提升成型、桩头处理与现场初检。</w:t>
      </w:r>
    </w:p>
    <w:p w14:paraId="51508990">
      <w:pPr>
        <w:pStyle w:val="56"/>
        <w:spacing w:line="360" w:lineRule="auto"/>
        <w:ind w:firstLine="420"/>
      </w:pPr>
    </w:p>
    <w:p w14:paraId="6C1195AE">
      <w:pPr>
        <w:pStyle w:val="56"/>
        <w:spacing w:line="360" w:lineRule="auto"/>
        <w:ind w:firstLine="420"/>
        <w:rPr>
          <w:rFonts w:hint="eastAsia"/>
        </w:rPr>
      </w:pPr>
    </w:p>
    <w:p w14:paraId="5BCA3A0C">
      <w:pPr>
        <w:pStyle w:val="165"/>
        <w:spacing w:line="360" w:lineRule="auto"/>
      </w:pPr>
      <w:r>
        <w:rPr>
          <w:rFonts w:hint="eastAsia"/>
        </w:rPr>
        <w:t>关键控制参数</w:t>
      </w:r>
    </w:p>
    <w:p w14:paraId="40A65066">
      <w:pPr>
        <w:pStyle w:val="56"/>
        <w:spacing w:line="360" w:lineRule="auto"/>
        <w:ind w:firstLine="420"/>
      </w:pPr>
      <w:r>
        <w:rPr>
          <w:rFonts w:hint="eastAsia"/>
        </w:rPr>
        <w:t>应控制深度、下沉与提升速度、搅拌转速、搅拌时间、浆液配比、注浆压力与流量、单位体积掺量以及扭矩或电流反馈。系统宜对深度与转速实施联动控制，对断浆与转速异常实施联锁。</w:t>
      </w:r>
    </w:p>
    <w:p w14:paraId="5A7535C3">
      <w:pPr>
        <w:pStyle w:val="165"/>
        <w:spacing w:line="360" w:lineRule="auto"/>
      </w:pPr>
      <w:r>
        <w:rPr>
          <w:rFonts w:hint="eastAsia"/>
        </w:rPr>
        <w:t>质量缺陷识别与纠偏</w:t>
      </w:r>
    </w:p>
    <w:p w14:paraId="5DA246A7">
      <w:pPr>
        <w:pStyle w:val="56"/>
        <w:spacing w:line="360" w:lineRule="auto"/>
        <w:ind w:firstLine="420"/>
      </w:pPr>
      <w:r>
        <w:rPr>
          <w:rFonts w:hint="eastAsia"/>
        </w:rPr>
        <w:t>常见缺陷包括桩体夹泥、断桩、缩颈、强度不足、偏位超限与浆液不均。出现扭矩突变、流量异常、提升速度过快或深度不足等信号时，应立即停机复核，必要时采取复搅拌、补桩或局部加密措施，并记录纠偏范围与复核结果。</w:t>
      </w:r>
    </w:p>
    <w:p w14:paraId="28022BCF">
      <w:pPr>
        <w:pStyle w:val="105"/>
        <w:spacing w:before="120" w:after="120" w:line="360" w:lineRule="auto"/>
      </w:pPr>
      <w:r>
        <w:rPr>
          <w:rFonts w:hint="eastAsia"/>
        </w:rPr>
        <w:t>高压旋喷加固施工控制</w:t>
      </w:r>
    </w:p>
    <w:p w14:paraId="425658B7">
      <w:pPr>
        <w:pStyle w:val="65"/>
        <w:spacing w:before="120" w:after="120" w:line="360" w:lineRule="auto"/>
      </w:pPr>
      <w:r>
        <w:rPr>
          <w:rFonts w:hint="eastAsia"/>
        </w:rPr>
        <w:t>适用条件与工艺要求</w:t>
      </w:r>
    </w:p>
    <w:p w14:paraId="1118CA85">
      <w:pPr>
        <w:pStyle w:val="56"/>
        <w:spacing w:line="360" w:lineRule="auto"/>
        <w:ind w:firstLine="420"/>
      </w:pPr>
      <w:r>
        <w:rPr>
          <w:rFonts w:hint="eastAsia"/>
        </w:rPr>
        <w:t>高压旋喷适用于需形成高强度加固体或止水帷幕的场景。应根据土层条件选择单管、双管或三管工艺，并明确喷射直径、喷射深度、搭接方式与成墙连续性要求。</w:t>
      </w:r>
    </w:p>
    <w:p w14:paraId="653CF99A">
      <w:pPr>
        <w:pStyle w:val="65"/>
        <w:spacing w:before="120" w:after="120" w:line="360" w:lineRule="auto"/>
      </w:pPr>
      <w:r>
        <w:rPr>
          <w:rFonts w:hint="eastAsia"/>
        </w:rPr>
        <w:t>施工流程</w:t>
      </w:r>
    </w:p>
    <w:p w14:paraId="4092313E">
      <w:pPr>
        <w:pStyle w:val="56"/>
        <w:spacing w:line="360" w:lineRule="auto"/>
        <w:ind w:firstLine="420"/>
      </w:pPr>
      <w:r>
        <w:rPr>
          <w:rFonts w:hint="eastAsia"/>
        </w:rPr>
        <w:t>一般流程包括定位成孔、下放喷射管至设计深度、启动喷射与旋转、按控制速度提升、分段成型、停喷回收与桩头处理。</w:t>
      </w:r>
    </w:p>
    <w:p w14:paraId="47309469">
      <w:pPr>
        <w:pStyle w:val="65"/>
        <w:spacing w:before="120" w:after="120" w:line="360" w:lineRule="auto"/>
      </w:pPr>
      <w:r>
        <w:rPr>
          <w:rFonts w:hint="eastAsia"/>
        </w:rPr>
        <w:t>关键控制参数</w:t>
      </w:r>
    </w:p>
    <w:p w14:paraId="6A25DD75">
      <w:pPr>
        <w:pStyle w:val="56"/>
        <w:spacing w:line="360" w:lineRule="auto"/>
        <w:ind w:firstLine="420"/>
      </w:pPr>
      <w:r>
        <w:rPr>
          <w:rFonts w:hint="eastAsia"/>
        </w:rPr>
        <w:t>应控制喷射压力、浆液流量、提升速度、旋转速度、空压流量与喷嘴状态，并校核喷射能量输入与成型直径匹配。系统应对压力波动与流量不足设置报警，对提升速度超限与偏位超限设置联锁。</w:t>
      </w:r>
    </w:p>
    <w:p w14:paraId="4704DF28">
      <w:pPr>
        <w:pStyle w:val="65"/>
        <w:spacing w:before="120" w:after="120" w:line="360" w:lineRule="auto"/>
      </w:pPr>
      <w:r>
        <w:rPr>
          <w:rFonts w:hint="eastAsia"/>
        </w:rPr>
        <w:t>质量缺陷识别与纠偏</w:t>
      </w:r>
    </w:p>
    <w:p w14:paraId="10A99148">
      <w:pPr>
        <w:pStyle w:val="56"/>
        <w:spacing w:line="360" w:lineRule="auto"/>
        <w:ind w:firstLine="420"/>
      </w:pPr>
      <w:r>
        <w:rPr>
          <w:rFonts w:hint="eastAsia"/>
        </w:rPr>
        <w:t>常见缺陷包括成型直径不足、偏斜、离析、串孔、抬冒浆与空洞。出现压力突降、回浆异常、孔口冒浆异常或提升速度不稳定时，应暂停施工核查喷嘴、管路与地层情况，必要时调整参数或实施补喷与加密。</w:t>
      </w:r>
    </w:p>
    <w:p w14:paraId="572E92DE">
      <w:pPr>
        <w:pStyle w:val="105"/>
        <w:spacing w:before="120" w:after="120" w:line="360" w:lineRule="auto"/>
      </w:pPr>
      <w:r>
        <w:rPr>
          <w:rFonts w:hint="eastAsia"/>
        </w:rPr>
        <w:t>注浆加固施工控制</w:t>
      </w:r>
    </w:p>
    <w:p w14:paraId="7EF35F66">
      <w:pPr>
        <w:pStyle w:val="65"/>
        <w:spacing w:before="120" w:after="120" w:line="360" w:lineRule="auto"/>
      </w:pPr>
      <w:r>
        <w:rPr>
          <w:rFonts w:hint="eastAsia"/>
        </w:rPr>
        <w:t>适用条件与工艺要求</w:t>
      </w:r>
    </w:p>
    <w:p w14:paraId="15A980DB">
      <w:pPr>
        <w:pStyle w:val="56"/>
        <w:spacing w:line="360" w:lineRule="auto"/>
        <w:ind w:firstLine="420"/>
      </w:pPr>
      <w:r>
        <w:rPr>
          <w:rFonts w:hint="eastAsia"/>
        </w:rPr>
        <w:t>注浆适用于局部软弱区加固、渗漏通道封堵与结构基础补强等场景。应根据目标选择渗透注浆、劈裂注浆或充填注浆，并明确浆材类型、凝结时间与分段分级注浆策略。</w:t>
      </w:r>
    </w:p>
    <w:p w14:paraId="5B50A586">
      <w:pPr>
        <w:pStyle w:val="65"/>
        <w:spacing w:before="120" w:after="120" w:line="360" w:lineRule="auto"/>
      </w:pPr>
      <w:r>
        <w:rPr>
          <w:rFonts w:hint="eastAsia"/>
        </w:rPr>
        <w:t>施工流程</w:t>
      </w:r>
    </w:p>
    <w:p w14:paraId="608F2B97">
      <w:pPr>
        <w:pStyle w:val="56"/>
        <w:spacing w:line="360" w:lineRule="auto"/>
        <w:ind w:firstLine="420"/>
      </w:pPr>
      <w:r>
        <w:rPr>
          <w:rFonts w:hint="eastAsia"/>
        </w:rPr>
        <w:t>一般流程包括钻孔与清孔、安设注浆管、分段封孔、分级加压注浆、稳压与终止判据判断、封孔与记录归档。</w:t>
      </w:r>
    </w:p>
    <w:p w14:paraId="6096B86E">
      <w:pPr>
        <w:pStyle w:val="56"/>
        <w:spacing w:line="360" w:lineRule="auto"/>
        <w:ind w:firstLine="420"/>
        <w:rPr>
          <w:rFonts w:hint="eastAsia"/>
        </w:rPr>
      </w:pPr>
    </w:p>
    <w:p w14:paraId="7ABE1A64">
      <w:pPr>
        <w:pStyle w:val="65"/>
        <w:spacing w:before="120" w:after="120" w:line="360" w:lineRule="auto"/>
      </w:pPr>
      <w:r>
        <w:rPr>
          <w:rFonts w:hint="eastAsia"/>
        </w:rPr>
        <w:t>关键控制参数</w:t>
      </w:r>
    </w:p>
    <w:p w14:paraId="533A743E">
      <w:pPr>
        <w:pStyle w:val="56"/>
        <w:spacing w:line="360" w:lineRule="auto"/>
        <w:ind w:firstLine="420"/>
      </w:pPr>
      <w:r>
        <w:rPr>
          <w:rFonts w:hint="eastAsia"/>
        </w:rPr>
        <w:t>应控制注浆压力、注浆流量、注浆量、注浆时间、浆液配比与回浆量，并通过压流量曲线识别跑浆、串浆与抬升风险。系统宜对压力异常下降与回浆异常设置报警。</w:t>
      </w:r>
    </w:p>
    <w:p w14:paraId="635FB1CF">
      <w:pPr>
        <w:pStyle w:val="65"/>
        <w:spacing w:before="120" w:after="120" w:line="360" w:lineRule="auto"/>
      </w:pPr>
      <w:r>
        <w:rPr>
          <w:rFonts w:hint="eastAsia"/>
        </w:rPr>
        <w:t>质量缺陷识别与纠偏</w:t>
      </w:r>
    </w:p>
    <w:p w14:paraId="468B7A87">
      <w:pPr>
        <w:pStyle w:val="56"/>
        <w:spacing w:line="360" w:lineRule="auto"/>
        <w:ind w:firstLine="420"/>
      </w:pPr>
      <w:r>
        <w:rPr>
          <w:rFonts w:hint="eastAsia"/>
        </w:rPr>
        <w:t>常见问题包括跑浆、串浆、注浆体不连续与地表抬升。出现压力快速下降或回浆突增时，应立即停浆查明泄漏通道并调整封孔措施或改用快凝浆材，必要时降低注浆强度并加强变形监测。</w:t>
      </w:r>
    </w:p>
    <w:p w14:paraId="42B6F2A7">
      <w:pPr>
        <w:pStyle w:val="105"/>
        <w:spacing w:before="120" w:after="120" w:line="360" w:lineRule="auto"/>
      </w:pPr>
      <w:r>
        <w:rPr>
          <w:rFonts w:hint="eastAsia"/>
        </w:rPr>
        <w:t>真空预压与排水板加固施工控制</w:t>
      </w:r>
    </w:p>
    <w:p w14:paraId="3E443DA3">
      <w:pPr>
        <w:pStyle w:val="65"/>
        <w:spacing w:before="120" w:after="120" w:line="360" w:lineRule="auto"/>
      </w:pPr>
      <w:r>
        <w:rPr>
          <w:rFonts w:hint="eastAsia"/>
        </w:rPr>
        <w:t>适用条件与工艺要求</w:t>
      </w:r>
    </w:p>
    <w:p w14:paraId="1600BF74">
      <w:pPr>
        <w:pStyle w:val="56"/>
        <w:spacing w:line="360" w:lineRule="auto"/>
        <w:ind w:firstLine="420"/>
      </w:pPr>
      <w:r>
        <w:rPr>
          <w:rFonts w:hint="eastAsia"/>
        </w:rPr>
        <w:t>真空预压与排水板适用于大面积软土固结排水与沉降控制场景。应明确排水板间距、插设深度、封闭膜结构、真空系统能力与监测指标体系。</w:t>
      </w:r>
    </w:p>
    <w:p w14:paraId="23F40B50">
      <w:pPr>
        <w:pStyle w:val="65"/>
        <w:spacing w:before="120" w:after="120" w:line="360" w:lineRule="auto"/>
      </w:pPr>
      <w:r>
        <w:rPr>
          <w:rFonts w:hint="eastAsia"/>
        </w:rPr>
        <w:t>施工流程</w:t>
      </w:r>
    </w:p>
    <w:p w14:paraId="450D65ED">
      <w:pPr>
        <w:pStyle w:val="56"/>
        <w:spacing w:line="360" w:lineRule="auto"/>
        <w:ind w:firstLine="420"/>
      </w:pPr>
      <w:r>
        <w:rPr>
          <w:rFonts w:hint="eastAsia"/>
        </w:rPr>
        <w:t>一般流程包括场地整平、砂垫层或排水层铺设、排水板插设、集排水系统布设、铺膜封闭与密封处理、抽真空维持、监测与维护、卸载与场地恢复。</w:t>
      </w:r>
    </w:p>
    <w:p w14:paraId="73876072">
      <w:pPr>
        <w:pStyle w:val="65"/>
        <w:spacing w:before="120" w:after="120" w:line="360" w:lineRule="auto"/>
      </w:pPr>
      <w:r>
        <w:rPr>
          <w:rFonts w:hint="eastAsia"/>
        </w:rPr>
        <w:t>关键控制参数</w:t>
      </w:r>
    </w:p>
    <w:p w14:paraId="209D13BD">
      <w:pPr>
        <w:pStyle w:val="56"/>
        <w:spacing w:line="360" w:lineRule="auto"/>
        <w:ind w:firstLine="420"/>
      </w:pPr>
      <w:r>
        <w:rPr>
          <w:rFonts w:hint="eastAsia"/>
        </w:rPr>
        <w:t>应控制排水板插设深度与垂直度、真空度与稳定性、抽真空持续时间、排水量、孔压消散与沉降速率。系统应对真空度下降与排水异常设置报警，并与漏气点巡查联动。</w:t>
      </w:r>
    </w:p>
    <w:p w14:paraId="41C87DB7">
      <w:pPr>
        <w:pStyle w:val="65"/>
        <w:spacing w:before="120" w:after="120" w:line="360" w:lineRule="auto"/>
      </w:pPr>
      <w:r>
        <w:rPr>
          <w:rFonts w:hint="eastAsia"/>
        </w:rPr>
        <w:t>质量缺陷识别与纠偏</w:t>
      </w:r>
    </w:p>
    <w:p w14:paraId="5387F7BA">
      <w:pPr>
        <w:pStyle w:val="56"/>
        <w:spacing w:line="360" w:lineRule="auto"/>
        <w:ind w:firstLine="420"/>
      </w:pPr>
      <w:r>
        <w:rPr>
          <w:rFonts w:hint="eastAsia"/>
        </w:rPr>
        <w:t>常见缺陷包括漏气、封膜破损、排水板断裂或堵塞、孔压消散不达预期。出现真空度持续下降或孔压不降时，应开展分区漏气排查、封膜修补、集排水系统疏通与局部加密排水板等措施。</w:t>
      </w:r>
    </w:p>
    <w:p w14:paraId="42F88325">
      <w:pPr>
        <w:pStyle w:val="105"/>
        <w:spacing w:before="120" w:after="120" w:line="360" w:lineRule="auto"/>
      </w:pPr>
      <w:r>
        <w:rPr>
          <w:rFonts w:hint="eastAsia"/>
        </w:rPr>
        <w:t>堆载预压施工控制</w:t>
      </w:r>
    </w:p>
    <w:p w14:paraId="571C9785">
      <w:pPr>
        <w:pStyle w:val="65"/>
        <w:spacing w:before="120" w:after="120" w:line="360" w:lineRule="auto"/>
      </w:pPr>
      <w:r>
        <w:rPr>
          <w:rFonts w:hint="eastAsia"/>
        </w:rPr>
        <w:t>适用条件与工艺要求</w:t>
      </w:r>
    </w:p>
    <w:p w14:paraId="78CD8E7A">
      <w:pPr>
        <w:pStyle w:val="56"/>
        <w:spacing w:line="360" w:lineRule="auto"/>
        <w:ind w:firstLine="420"/>
      </w:pPr>
      <w:r>
        <w:rPr>
          <w:rFonts w:hint="eastAsia"/>
        </w:rPr>
        <w:t>堆载预压适用于软土固结与强度增长的场景，常与排水板配合使用。应明确分级加载方案、停歇时间、最大堆载高度与稳定控制指标。</w:t>
      </w:r>
    </w:p>
    <w:p w14:paraId="66922841">
      <w:pPr>
        <w:pStyle w:val="65"/>
        <w:spacing w:before="120" w:after="120" w:line="360" w:lineRule="auto"/>
      </w:pPr>
      <w:r>
        <w:rPr>
          <w:rFonts w:hint="eastAsia"/>
        </w:rPr>
        <w:t>施工流程</w:t>
      </w:r>
    </w:p>
    <w:p w14:paraId="2706D0D3">
      <w:pPr>
        <w:pStyle w:val="56"/>
        <w:spacing w:line="360" w:lineRule="auto"/>
        <w:ind w:firstLine="420"/>
      </w:pPr>
      <w:r>
        <w:rPr>
          <w:rFonts w:hint="eastAsia"/>
        </w:rPr>
        <w:t>一般流程包括分层堆载、分级停歇、监测数据判读、达到指标后卸载与整平。</w:t>
      </w:r>
    </w:p>
    <w:p w14:paraId="75D1D768">
      <w:pPr>
        <w:pStyle w:val="56"/>
        <w:spacing w:line="360" w:lineRule="auto"/>
        <w:ind w:firstLine="420"/>
      </w:pPr>
    </w:p>
    <w:p w14:paraId="3D6EAE90">
      <w:pPr>
        <w:pStyle w:val="56"/>
        <w:spacing w:line="360" w:lineRule="auto"/>
        <w:ind w:firstLine="420"/>
      </w:pPr>
    </w:p>
    <w:p w14:paraId="05A63D8C">
      <w:pPr>
        <w:pStyle w:val="56"/>
        <w:spacing w:line="360" w:lineRule="auto"/>
        <w:ind w:firstLine="420"/>
        <w:rPr>
          <w:rFonts w:hint="eastAsia"/>
        </w:rPr>
      </w:pPr>
    </w:p>
    <w:p w14:paraId="142544A6">
      <w:pPr>
        <w:pStyle w:val="65"/>
        <w:spacing w:before="120" w:after="120" w:line="360" w:lineRule="auto"/>
      </w:pPr>
      <w:r>
        <w:rPr>
          <w:rFonts w:hint="eastAsia"/>
        </w:rPr>
        <w:t>关键控制参数</w:t>
      </w:r>
    </w:p>
    <w:p w14:paraId="6EFB12B6">
      <w:pPr>
        <w:pStyle w:val="56"/>
        <w:spacing w:line="360" w:lineRule="auto"/>
        <w:ind w:firstLine="420"/>
      </w:pPr>
      <w:r>
        <w:rPr>
          <w:rFonts w:hint="eastAsia"/>
        </w:rPr>
        <w:t>应控制堆载高度与加载速率、分级停歇时间、沉降速率、侧向位移与孔压响应。系统应对沉降速率过大与侧向位移突增设置报警，并触发暂停加载或卸载措施。</w:t>
      </w:r>
    </w:p>
    <w:p w14:paraId="2B9A9463">
      <w:pPr>
        <w:pStyle w:val="65"/>
        <w:spacing w:before="120" w:after="120" w:line="360" w:lineRule="auto"/>
      </w:pPr>
      <w:r>
        <w:rPr>
          <w:rFonts w:hint="eastAsia"/>
        </w:rPr>
        <w:t>风险控制</w:t>
      </w:r>
    </w:p>
    <w:p w14:paraId="616141E9">
      <w:pPr>
        <w:pStyle w:val="56"/>
        <w:spacing w:line="360" w:lineRule="auto"/>
        <w:ind w:firstLine="420"/>
      </w:pPr>
      <w:r>
        <w:rPr>
          <w:rFonts w:hint="eastAsia"/>
        </w:rPr>
        <w:t>堆载预压应重点防控滑移与失稳风险。邻近堤坡、基坑或既有结构物时，应设置控制断面与报警阈值，并预设应急卸载方案。</w:t>
      </w:r>
    </w:p>
    <w:p w14:paraId="559CB031">
      <w:pPr>
        <w:pStyle w:val="105"/>
        <w:spacing w:before="120" w:after="120" w:line="360" w:lineRule="auto"/>
      </w:pPr>
      <w:r>
        <w:rPr>
          <w:rFonts w:hint="eastAsia"/>
        </w:rPr>
        <w:t>强夯置换施工控制</w:t>
      </w:r>
    </w:p>
    <w:p w14:paraId="22737D93">
      <w:pPr>
        <w:pStyle w:val="65"/>
        <w:spacing w:before="120" w:after="120" w:line="360" w:lineRule="auto"/>
      </w:pPr>
      <w:r>
        <w:rPr>
          <w:rFonts w:hint="eastAsia"/>
        </w:rPr>
        <w:t>适用条件与工艺要求</w:t>
      </w:r>
    </w:p>
    <w:p w14:paraId="25643183">
      <w:pPr>
        <w:pStyle w:val="56"/>
        <w:spacing w:line="360" w:lineRule="auto"/>
        <w:ind w:firstLine="420"/>
      </w:pPr>
      <w:r>
        <w:rPr>
          <w:rFonts w:hint="eastAsia"/>
        </w:rPr>
        <w:t>强夯置换适用于软弱地基表层改良与置换加固场景。应明确夯击能级、夯点布置、夯击遍数与置换材料要求，并评估振动影响。</w:t>
      </w:r>
    </w:p>
    <w:p w14:paraId="286D34D6">
      <w:pPr>
        <w:pStyle w:val="65"/>
        <w:spacing w:before="120" w:after="120" w:line="360" w:lineRule="auto"/>
      </w:pPr>
      <w:r>
        <w:rPr>
          <w:rFonts w:hint="eastAsia"/>
        </w:rPr>
        <w:t>施工流程</w:t>
      </w:r>
    </w:p>
    <w:p w14:paraId="29150BE1">
      <w:pPr>
        <w:pStyle w:val="56"/>
        <w:spacing w:line="360" w:lineRule="auto"/>
        <w:ind w:firstLine="420"/>
      </w:pPr>
      <w:r>
        <w:rPr>
          <w:rFonts w:hint="eastAsia"/>
        </w:rPr>
        <w:t>一般流程包括夯点放样、分遍夯击、夯坑回填置换、整平与复夯、质量检测与评定。</w:t>
      </w:r>
    </w:p>
    <w:p w14:paraId="180F6137">
      <w:pPr>
        <w:pStyle w:val="65"/>
        <w:spacing w:before="120" w:after="120" w:line="360" w:lineRule="auto"/>
      </w:pPr>
      <w:r>
        <w:rPr>
          <w:rFonts w:hint="eastAsia"/>
        </w:rPr>
        <w:t>关键控制参数</w:t>
      </w:r>
    </w:p>
    <w:p w14:paraId="6124B2DF">
      <w:pPr>
        <w:pStyle w:val="56"/>
        <w:spacing w:line="360" w:lineRule="auto"/>
        <w:ind w:firstLine="420"/>
      </w:pPr>
      <w:r>
        <w:rPr>
          <w:rFonts w:hint="eastAsia"/>
        </w:rPr>
        <w:t>应控制夯击能量、夯击遍数、夯点间距、夯沉量与振动指标。系统应对夯点偏位、夯沉异常与振动超限设置报警。</w:t>
      </w:r>
    </w:p>
    <w:p w14:paraId="4E6320C1">
      <w:pPr>
        <w:pStyle w:val="65"/>
        <w:spacing w:before="120" w:after="120" w:line="360" w:lineRule="auto"/>
      </w:pPr>
      <w:r>
        <w:rPr>
          <w:rFonts w:hint="eastAsia"/>
        </w:rPr>
        <w:t>质量缺陷识别与纠偏</w:t>
      </w:r>
    </w:p>
    <w:p w14:paraId="06BAD6F0">
      <w:pPr>
        <w:pStyle w:val="56"/>
        <w:spacing w:line="360" w:lineRule="auto"/>
        <w:ind w:firstLine="420"/>
      </w:pPr>
      <w:r>
        <w:rPr>
          <w:rFonts w:hint="eastAsia"/>
        </w:rPr>
        <w:t>出现夯沉不足或振动影响超限时，应调整能级或夯点布置，必要时采取隔振措施或调整施工时段。</w:t>
      </w:r>
    </w:p>
    <w:p w14:paraId="1683E1A9">
      <w:pPr>
        <w:pStyle w:val="105"/>
        <w:spacing w:before="120" w:after="120" w:line="360" w:lineRule="auto"/>
      </w:pPr>
      <w:r>
        <w:rPr>
          <w:rFonts w:hint="eastAsia"/>
        </w:rPr>
        <w:t>桩网复合地基施工控制</w:t>
      </w:r>
    </w:p>
    <w:p w14:paraId="78BC2C75">
      <w:pPr>
        <w:pStyle w:val="65"/>
        <w:spacing w:before="120" w:after="120" w:line="360" w:lineRule="auto"/>
      </w:pPr>
      <w:r>
        <w:rPr>
          <w:rFonts w:hint="eastAsia"/>
        </w:rPr>
        <w:t>适用条件与工艺要求</w:t>
      </w:r>
    </w:p>
    <w:p w14:paraId="056BA09F">
      <w:pPr>
        <w:pStyle w:val="56"/>
        <w:spacing w:line="360" w:lineRule="auto"/>
        <w:ind w:firstLine="420"/>
      </w:pPr>
      <w:r>
        <w:rPr>
          <w:rFonts w:hint="eastAsia"/>
        </w:rPr>
        <w:t>桩网复合地基适用于承载与沉降控制要求高的水利建筑物基础与堤防加固。应明确桩型、桩长、桩径、桩间距、连接层材料与厚度以及加筋材料参数。</w:t>
      </w:r>
    </w:p>
    <w:p w14:paraId="5BACE907">
      <w:pPr>
        <w:pStyle w:val="65"/>
        <w:spacing w:before="120" w:after="120" w:line="360" w:lineRule="auto"/>
      </w:pPr>
      <w:r>
        <w:rPr>
          <w:rFonts w:hint="eastAsia"/>
        </w:rPr>
        <w:t>施工流程</w:t>
      </w:r>
    </w:p>
    <w:p w14:paraId="7878F2AD">
      <w:pPr>
        <w:pStyle w:val="56"/>
        <w:spacing w:line="360" w:lineRule="auto"/>
        <w:ind w:firstLine="420"/>
      </w:pPr>
      <w:r>
        <w:rPr>
          <w:rFonts w:hint="eastAsia"/>
        </w:rPr>
        <w:t>一般流程包括桩施工与成型质量控制、桩顶处理、连接层铺设与压实、加筋材料铺设、上部结构施工与监测。</w:t>
      </w:r>
    </w:p>
    <w:p w14:paraId="059AA84A">
      <w:pPr>
        <w:pStyle w:val="65"/>
        <w:spacing w:before="120" w:after="120" w:line="360" w:lineRule="auto"/>
      </w:pPr>
      <w:r>
        <w:rPr>
          <w:rFonts w:hint="eastAsia"/>
        </w:rPr>
        <w:t>关键控制参数</w:t>
      </w:r>
    </w:p>
    <w:p w14:paraId="2DECEBE3">
      <w:pPr>
        <w:pStyle w:val="56"/>
        <w:spacing w:line="360" w:lineRule="auto"/>
        <w:ind w:firstLine="420"/>
      </w:pPr>
      <w:r>
        <w:rPr>
          <w:rFonts w:hint="eastAsia"/>
        </w:rPr>
        <w:t>应控制桩位偏差、桩长与成型质量、连接层厚度与压实度、加筋材料搭接与张拉控制以及整体沉降与差异沉降。对桩位偏差与桩长不足应设置联锁或返工判定。</w:t>
      </w:r>
    </w:p>
    <w:p w14:paraId="5F864F4C">
      <w:pPr>
        <w:pStyle w:val="65"/>
        <w:spacing w:before="120" w:after="120" w:line="360" w:lineRule="auto"/>
      </w:pPr>
      <w:r>
        <w:rPr>
          <w:rFonts w:hint="eastAsia"/>
        </w:rPr>
        <w:t>质量缺陷识别与纠偏</w:t>
      </w:r>
    </w:p>
    <w:p w14:paraId="24027484">
      <w:pPr>
        <w:pStyle w:val="56"/>
        <w:spacing w:line="360" w:lineRule="auto"/>
        <w:ind w:firstLine="420"/>
      </w:pPr>
      <w:r>
        <w:rPr>
          <w:rFonts w:hint="eastAsia"/>
        </w:rPr>
        <w:t>常见问题包括桩位偏差超限、桩长不足、连接层厚度不足或压实不达标、加筋层破损与搭接不足。出现问题应按检验批进行返工或补强，并通过监测复核整体效果。</w:t>
      </w:r>
    </w:p>
    <w:p w14:paraId="32EF268C">
      <w:pPr>
        <w:pStyle w:val="104"/>
        <w:spacing w:before="240" w:after="240" w:line="360" w:lineRule="auto"/>
      </w:pPr>
      <w:bookmarkStart w:id="55" w:name="_Toc219057440"/>
      <w:r>
        <w:rPr>
          <w:rFonts w:hint="eastAsia"/>
        </w:rPr>
        <w:t>过程质量控制与检验评定</w:t>
      </w:r>
      <w:bookmarkEnd w:id="55"/>
    </w:p>
    <w:p w14:paraId="3A9CED48">
      <w:pPr>
        <w:pStyle w:val="105"/>
        <w:spacing w:before="120" w:after="120" w:line="360" w:lineRule="auto"/>
      </w:pPr>
      <w:r>
        <w:rPr>
          <w:rFonts w:hint="eastAsia"/>
        </w:rPr>
        <w:t>一般要求</w:t>
      </w:r>
    </w:p>
    <w:p w14:paraId="250B3843">
      <w:pPr>
        <w:pStyle w:val="165"/>
        <w:spacing w:line="360" w:lineRule="auto"/>
      </w:pPr>
      <w:r>
        <w:rPr>
          <w:rFonts w:hint="eastAsia"/>
        </w:rPr>
        <w:t>过程质量控制应以加固单元为最小管理对象，以检验批为质量验收对象，形成施工参数控制、在线判定、现场抽检与第三方检测复核相结合的质量控制体系。</w:t>
      </w:r>
    </w:p>
    <w:p w14:paraId="7D890C35">
      <w:pPr>
        <w:pStyle w:val="165"/>
        <w:spacing w:line="360" w:lineRule="auto"/>
      </w:pPr>
      <w:r>
        <w:rPr>
          <w:rFonts w:hint="eastAsia"/>
        </w:rPr>
        <w:t>质量控制应覆盖材料质量、设备状态、施工过程参数、成型质量与地基响应监测，确保加固效果满足设计目标指标并满足后续结构施工条件。</w:t>
      </w:r>
    </w:p>
    <w:p w14:paraId="40D6892A">
      <w:pPr>
        <w:pStyle w:val="165"/>
        <w:spacing w:line="360" w:lineRule="auto"/>
      </w:pPr>
      <w:r>
        <w:rPr>
          <w:rFonts w:hint="eastAsia"/>
        </w:rPr>
        <w:t>质量检验应坚持数据与实体一致原则。在线采集数据、检验记录、检测报告与现场实体状态不一致时不得判定合格，应查明原因并采取纠偏措施。</w:t>
      </w:r>
    </w:p>
    <w:p w14:paraId="49E60097">
      <w:pPr>
        <w:pStyle w:val="105"/>
        <w:spacing w:before="120" w:after="120" w:line="360" w:lineRule="auto"/>
      </w:pPr>
      <w:r>
        <w:rPr>
          <w:rFonts w:hint="eastAsia"/>
        </w:rPr>
        <w:t>检验单元与检验批划分</w:t>
      </w:r>
    </w:p>
    <w:p w14:paraId="1182DBDC">
      <w:pPr>
        <w:pStyle w:val="165"/>
        <w:spacing w:line="360" w:lineRule="auto"/>
      </w:pPr>
      <w:r>
        <w:rPr>
          <w:rFonts w:hint="eastAsia"/>
        </w:rPr>
        <w:t>加固单元划分应与施工组织相一致，可按施工分区、作业班次、设备台班、桩位网格或分段分层划分。加固单元应具备相对一致的地层条件与参数体系，便于质量统计与问题定位。</w:t>
      </w:r>
    </w:p>
    <w:p w14:paraId="03EC5C6F">
      <w:pPr>
        <w:pStyle w:val="165"/>
        <w:spacing w:line="360" w:lineRule="auto"/>
      </w:pPr>
      <w:r>
        <w:rPr>
          <w:rFonts w:hint="eastAsia"/>
        </w:rPr>
        <w:t>检验批划分应满足可检验可追溯原则。检验批宜由若干加固单元组成，且应明确起止范围、数量、作业时间窗口与责任班组。</w:t>
      </w:r>
    </w:p>
    <w:p w14:paraId="0A8C8925">
      <w:pPr>
        <w:pStyle w:val="165"/>
        <w:spacing w:line="360" w:lineRule="auto"/>
      </w:pPr>
      <w:r>
        <w:rPr>
          <w:rFonts w:hint="eastAsia"/>
        </w:rPr>
        <w:t>桩类工法检验批宜按同一工法、同一参数版本、同一地层分布范围划分。预压类工法检验批宜按封闭分区与抽真空系统分区划分。强夯类工法检验批宜按夯击分区与遍数划分。</w:t>
      </w:r>
    </w:p>
    <w:p w14:paraId="66E2DBA5">
      <w:pPr>
        <w:pStyle w:val="105"/>
        <w:spacing w:before="120" w:after="120" w:line="360" w:lineRule="auto"/>
      </w:pPr>
      <w:r>
        <w:rPr>
          <w:rFonts w:hint="eastAsia"/>
        </w:rPr>
        <w:t>质量控制项目设置</w:t>
      </w:r>
    </w:p>
    <w:p w14:paraId="365E8E16">
      <w:pPr>
        <w:pStyle w:val="165"/>
        <w:spacing w:line="360" w:lineRule="auto"/>
      </w:pPr>
      <w:r>
        <w:rPr>
          <w:rFonts w:hint="eastAsia"/>
        </w:rPr>
        <w:t>质量控制项目应按工法设置，宜包括材料与配比控制项目、过程参数控制项目、成型质量控制项目与效果验证项目。</w:t>
      </w:r>
    </w:p>
    <w:p w14:paraId="43CD0C62">
      <w:pPr>
        <w:pStyle w:val="165"/>
        <w:spacing w:line="360" w:lineRule="auto"/>
      </w:pPr>
      <w:r>
        <w:rPr>
          <w:rFonts w:hint="eastAsia"/>
        </w:rPr>
        <w:t>桩类工法的核心控制项目宜包括桩长或加固深度、成型直径或截面尺寸、桩位偏差、连续性与完整性、强度指标与均匀性指标。</w:t>
      </w:r>
    </w:p>
    <w:p w14:paraId="1B68FC12">
      <w:pPr>
        <w:pStyle w:val="165"/>
        <w:spacing w:line="360" w:lineRule="auto"/>
      </w:pPr>
      <w:r>
        <w:rPr>
          <w:rFonts w:hint="eastAsia"/>
        </w:rPr>
        <w:t>预压与排水类工法的核心控制项目宜包括真空度或堆载高度、维持时间、排水量、孔压消散、沉降与固结度指标。</w:t>
      </w:r>
    </w:p>
    <w:p w14:paraId="479BEE96">
      <w:pPr>
        <w:pStyle w:val="165"/>
        <w:spacing w:line="360" w:lineRule="auto"/>
      </w:pPr>
      <w:r>
        <w:rPr>
          <w:rFonts w:hint="eastAsia"/>
        </w:rPr>
        <w:t>强夯置换类工法的核心控制项目宜包括夯击能级、遍数、夯点间距、夯沉量、地表整平与置换材料质量，并关注振动控制指标。</w:t>
      </w:r>
    </w:p>
    <w:p w14:paraId="1F68721B">
      <w:pPr>
        <w:pStyle w:val="165"/>
        <w:spacing w:line="360" w:lineRule="auto"/>
      </w:pPr>
      <w:r>
        <w:rPr>
          <w:rFonts w:hint="eastAsia"/>
        </w:rPr>
        <w:t>工法组合区段应设置组合控制项目。应关注工序衔接质量、间隔时间、监测响应一致性与整体沉降差异控制。</w:t>
      </w:r>
    </w:p>
    <w:p w14:paraId="50FBD043">
      <w:pPr>
        <w:pStyle w:val="165"/>
        <w:numPr>
          <w:ilvl w:val="0"/>
          <w:numId w:val="0"/>
        </w:numPr>
        <w:spacing w:line="360" w:lineRule="auto"/>
        <w:rPr>
          <w:rFonts w:hint="eastAsia"/>
        </w:rPr>
      </w:pPr>
    </w:p>
    <w:p w14:paraId="414AD4D4">
      <w:pPr>
        <w:pStyle w:val="105"/>
        <w:spacing w:before="120" w:after="120" w:line="360" w:lineRule="auto"/>
      </w:pPr>
      <w:r>
        <w:rPr>
          <w:rFonts w:hint="eastAsia"/>
        </w:rPr>
        <w:t>在线判定与离线检测衔接</w:t>
      </w:r>
    </w:p>
    <w:p w14:paraId="46948ED2">
      <w:pPr>
        <w:pStyle w:val="165"/>
        <w:spacing w:line="360" w:lineRule="auto"/>
      </w:pPr>
      <w:r>
        <w:rPr>
          <w:rFonts w:hint="eastAsia"/>
        </w:rPr>
        <w:t>在线判定应作为过程控制的重要依据，用于及时发现参数漂移、断浆断喷、真空度泄漏与异常变形等问题，并触发纠偏或停工措施。</w:t>
      </w:r>
    </w:p>
    <w:p w14:paraId="1586A60C">
      <w:pPr>
        <w:pStyle w:val="165"/>
        <w:spacing w:line="360" w:lineRule="auto"/>
      </w:pPr>
      <w:r>
        <w:rPr>
          <w:rFonts w:hint="eastAsia"/>
        </w:rPr>
        <w:t>在线判定不得替代必要的实体检测。对于设计要求明确的强度、承载与变形指标，应按规定进行取样试验、现场检测或监测验证，并将结果与在线判定进行一致性校核。</w:t>
      </w:r>
    </w:p>
    <w:p w14:paraId="3F01A2E1">
      <w:pPr>
        <w:pStyle w:val="165"/>
        <w:spacing w:line="360" w:lineRule="auto"/>
      </w:pPr>
      <w:r>
        <w:rPr>
          <w:rFonts w:hint="eastAsia"/>
        </w:rPr>
        <w:t>在线判定与离线检测应采用同一加固单元编码体系。检测点位选择宜覆盖参数边界、地层变化区与风险敏感区，避免仅选择条件最优点位。</w:t>
      </w:r>
    </w:p>
    <w:p w14:paraId="7186C6A4">
      <w:pPr>
        <w:pStyle w:val="165"/>
        <w:spacing w:line="360" w:lineRule="auto"/>
      </w:pPr>
      <w:r>
        <w:rPr>
          <w:rFonts w:hint="eastAsia"/>
        </w:rPr>
        <w:t>当在线判定为异常但离线检测数据不足以解释时，应优先补充检测或扩大抽检范围，直至异常原因查明并形成闭环。</w:t>
      </w:r>
    </w:p>
    <w:p w14:paraId="642A9ADF">
      <w:pPr>
        <w:pStyle w:val="105"/>
        <w:spacing w:before="120" w:after="120" w:line="360" w:lineRule="auto"/>
      </w:pPr>
      <w:r>
        <w:rPr>
          <w:rFonts w:hint="eastAsia"/>
        </w:rPr>
        <w:t>抽检原则与检测频次控制</w:t>
      </w:r>
    </w:p>
    <w:p w14:paraId="5D88BDB2">
      <w:pPr>
        <w:pStyle w:val="165"/>
        <w:spacing w:line="360" w:lineRule="auto"/>
      </w:pPr>
      <w:r>
        <w:rPr>
          <w:rFonts w:hint="eastAsia"/>
        </w:rPr>
        <w:t>抽检应体现风险分级与质量波动特征。对试验段外首次大面积施工、地层变化明显、参数调整后或异常事件后区段，应提高抽检频次。</w:t>
      </w:r>
    </w:p>
    <w:p w14:paraId="3E4ACDC4">
      <w:pPr>
        <w:pStyle w:val="165"/>
        <w:spacing w:line="360" w:lineRule="auto"/>
      </w:pPr>
      <w:r>
        <w:rPr>
          <w:rFonts w:hint="eastAsia"/>
        </w:rPr>
        <w:t>抽检点位应覆盖关键位置。对堤防与水工建筑物基础，应覆盖迎水侧、背水侧、结构边缘、荷载集中区、穿堤建筑物周边与软弱夹层区。</w:t>
      </w:r>
    </w:p>
    <w:p w14:paraId="54287392">
      <w:pPr>
        <w:pStyle w:val="165"/>
        <w:spacing w:line="360" w:lineRule="auto"/>
      </w:pPr>
      <w:r>
        <w:rPr>
          <w:rFonts w:hint="eastAsia"/>
        </w:rPr>
        <w:t>抽检方法应与工法匹配。搅拌桩宜采用取芯与无侧限抗压强度试验，必要时辅以桩身完整性检测。旋喷桩宜采用成桩直径核验与取芯强度试验，必要时辅以旁孔检查。注浆加固宜采用钻孔取样、旁压或波速等方法综合评价。预压与排水宜采用孔压沉降联合判定固结度。强夯置换宜采用载荷试验、动力触探或静力触探等验证承载与密实效果。</w:t>
      </w:r>
    </w:p>
    <w:p w14:paraId="285226B2">
      <w:pPr>
        <w:pStyle w:val="165"/>
        <w:spacing w:line="360" w:lineRule="auto"/>
      </w:pPr>
      <w:r>
        <w:rPr>
          <w:rFonts w:hint="eastAsia"/>
        </w:rPr>
        <w:t>检测频次应在施工方案中明确并满足行业标准要求。本文件仅提出原则性要求，具体频次与合格判据应以设计文件与现行水利行业标准为准，并结合试验段成果进行优化。</w:t>
      </w:r>
    </w:p>
    <w:p w14:paraId="5DAC73EA">
      <w:pPr>
        <w:pStyle w:val="105"/>
        <w:spacing w:before="120" w:after="120" w:line="360" w:lineRule="auto"/>
      </w:pPr>
      <w:r>
        <w:rPr>
          <w:rFonts w:hint="eastAsia"/>
        </w:rPr>
        <w:t>过程验收与工序交接</w:t>
      </w:r>
    </w:p>
    <w:p w14:paraId="463959FD">
      <w:pPr>
        <w:pStyle w:val="165"/>
        <w:spacing w:line="360" w:lineRule="auto"/>
      </w:pPr>
      <w:r>
        <w:rPr>
          <w:rFonts w:hint="eastAsia"/>
        </w:rPr>
        <w:t>关键工序应实施过程验收。桩位放样、设备校准、浆液配比确认、首件施工、封膜验收、抽真空系统验收、分级加载验收、强夯首遍验收等应作为控制点纳入过程验收。</w:t>
      </w:r>
    </w:p>
    <w:p w14:paraId="6930CDED">
      <w:pPr>
        <w:pStyle w:val="165"/>
        <w:spacing w:line="360" w:lineRule="auto"/>
      </w:pPr>
      <w:r>
        <w:rPr>
          <w:rFonts w:hint="eastAsia"/>
        </w:rPr>
        <w:t>工序交接应满足条件方可转序。桩类工法完成后应完成桩头处理与必要的成型质量初检，预压工法达到固结指标后方可卸载或进入下一工序，强夯完成后应完成整平与密实验证。</w:t>
      </w:r>
    </w:p>
    <w:p w14:paraId="3C2EDBDE">
      <w:pPr>
        <w:pStyle w:val="165"/>
        <w:spacing w:line="360" w:lineRule="auto"/>
      </w:pPr>
      <w:r>
        <w:rPr>
          <w:rFonts w:hint="eastAsia"/>
        </w:rPr>
        <w:t>工序交接资料应齐全。交接资料应至少包含参数数据汇总、检验记录、报警处置闭环记录与必要的检测报告索引。</w:t>
      </w:r>
    </w:p>
    <w:p w14:paraId="0FFB8F87">
      <w:pPr>
        <w:pStyle w:val="105"/>
        <w:spacing w:before="120" w:after="120" w:line="360" w:lineRule="auto"/>
      </w:pPr>
      <w:r>
        <w:rPr>
          <w:rFonts w:hint="eastAsia"/>
        </w:rPr>
        <w:t>质量缺陷判定与处置</w:t>
      </w:r>
    </w:p>
    <w:p w14:paraId="4E8A481C">
      <w:pPr>
        <w:pStyle w:val="165"/>
        <w:spacing w:line="360" w:lineRule="auto"/>
      </w:pPr>
      <w:r>
        <w:rPr>
          <w:rFonts w:hint="eastAsia"/>
        </w:rPr>
        <w:t>质量缺陷应按影响程度分类管理。对影响结构安全与整体稳定的缺陷应判定为严重缺陷并立即处置，对影响局部性能的缺陷应判定为一般缺陷并限期整改。</w:t>
      </w:r>
    </w:p>
    <w:p w14:paraId="730E99C2">
      <w:pPr>
        <w:pStyle w:val="165"/>
        <w:spacing w:line="360" w:lineRule="auto"/>
      </w:pPr>
      <w:r>
        <w:rPr>
          <w:rFonts w:hint="eastAsia"/>
        </w:rPr>
        <w:t>典型严重缺陷宜包括深度不足或桩长不足且无法通过补强满足要求、成型连续性中断导致整体性不足、强度显著不达标、真空预压真空度长期无法维持且固结指标不满足、堆载引发明显失稳趋势、强夯振动超限造成周边结构风险等。</w:t>
      </w:r>
    </w:p>
    <w:p w14:paraId="79CEEF40">
      <w:pPr>
        <w:pStyle w:val="165"/>
        <w:spacing w:line="360" w:lineRule="auto"/>
      </w:pPr>
      <w:r>
        <w:rPr>
          <w:rFonts w:hint="eastAsia"/>
        </w:rPr>
        <w:t>缺陷处置应形成方案并复核。处置方案应明确处置范围、工法与参数、复检方法与合格判据，并与数据平台中的缺陷记录关联。</w:t>
      </w:r>
    </w:p>
    <w:p w14:paraId="089E0AD3">
      <w:pPr>
        <w:pStyle w:val="165"/>
        <w:spacing w:line="360" w:lineRule="auto"/>
      </w:pPr>
      <w:r>
        <w:rPr>
          <w:rFonts w:hint="eastAsia"/>
        </w:rPr>
        <w:t>缺陷返工或补强后应开展复验。复验结论合格方可销项，并更新检验批状态与数字化交付资料。</w:t>
      </w:r>
    </w:p>
    <w:p w14:paraId="74FD9119">
      <w:pPr>
        <w:pStyle w:val="105"/>
        <w:spacing w:before="120" w:after="120" w:line="360" w:lineRule="auto"/>
      </w:pPr>
      <w:r>
        <w:rPr>
          <w:rFonts w:hint="eastAsia"/>
        </w:rPr>
        <w:t>质量评定与验收资料</w:t>
      </w:r>
    </w:p>
    <w:p w14:paraId="29B0E972">
      <w:pPr>
        <w:pStyle w:val="165"/>
        <w:spacing w:line="360" w:lineRule="auto"/>
      </w:pPr>
      <w:r>
        <w:rPr>
          <w:rFonts w:hint="eastAsia"/>
        </w:rPr>
        <w:t>质量评定应以检验批为基本单元，形成分项工程与分部工程质量评定结论。评定应包含在线判定汇总与离线检测结论，并对异常与处置闭环进行说明。</w:t>
      </w:r>
    </w:p>
    <w:p w14:paraId="11881F63">
      <w:pPr>
        <w:pStyle w:val="165"/>
        <w:spacing w:line="360" w:lineRule="auto"/>
      </w:pPr>
      <w:r>
        <w:rPr>
          <w:rFonts w:hint="eastAsia"/>
        </w:rPr>
        <w:t>验收资料应完整。资料宜包括施工组织设计与专项方案、试验段成果与参数固化文件、材料复验与设备校准记录、施工参数原始数据与统计报表、监测数据与报警处置记录、检验记录与检测报告、隐蔽工程记录、竣工图与数字化交付清单。</w:t>
      </w:r>
    </w:p>
    <w:p w14:paraId="078C02A2">
      <w:pPr>
        <w:pStyle w:val="165"/>
        <w:spacing w:line="360" w:lineRule="auto"/>
      </w:pPr>
      <w:r>
        <w:rPr>
          <w:rFonts w:hint="eastAsia"/>
        </w:rPr>
        <w:t>验收资料应可追溯。资料应按加固单元与检验批编码归档，确保能够追溯到施工时间、设备、人员、参数版本与检测点位。</w:t>
      </w:r>
    </w:p>
    <w:p w14:paraId="7D8C00C5">
      <w:pPr>
        <w:pStyle w:val="104"/>
        <w:spacing w:before="240" w:after="240" w:line="360" w:lineRule="auto"/>
      </w:pPr>
      <w:bookmarkStart w:id="56" w:name="_Toc219057441"/>
      <w:r>
        <w:rPr>
          <w:rFonts w:hint="eastAsia"/>
        </w:rPr>
        <w:t>监测预警与风险处置</w:t>
      </w:r>
      <w:bookmarkEnd w:id="56"/>
    </w:p>
    <w:p w14:paraId="71C72ABA">
      <w:pPr>
        <w:pStyle w:val="105"/>
        <w:spacing w:before="120" w:after="120" w:line="360" w:lineRule="auto"/>
      </w:pPr>
      <w:r>
        <w:rPr>
          <w:rFonts w:hint="eastAsia"/>
        </w:rPr>
        <w:t>一般要求</w:t>
      </w:r>
    </w:p>
    <w:p w14:paraId="3DC4CE98">
      <w:pPr>
        <w:pStyle w:val="165"/>
        <w:spacing w:line="360" w:lineRule="auto"/>
      </w:pPr>
      <w:r>
        <w:rPr>
          <w:rFonts w:hint="eastAsia"/>
        </w:rPr>
        <w:t>监测预警应贯穿软土地基智能加固施工全过程，围绕地基变形、孔隙水压力、地下水位、周边结构响应与环境影响等关键风险源实施动态监测，形成早识别、早预警、早处置的风险管控机制。</w:t>
      </w:r>
    </w:p>
    <w:p w14:paraId="3CDBCA99">
      <w:pPr>
        <w:pStyle w:val="165"/>
        <w:spacing w:line="360" w:lineRule="auto"/>
      </w:pPr>
      <w:r>
        <w:rPr>
          <w:rFonts w:hint="eastAsia"/>
        </w:rPr>
        <w:t>监测预警应与施工控制联动。监测数据应纳入智能化平台统一管理，与施工参数、工序时序与作业位置关联，实现异常趋势自动识别、预警触发与处置闭环留痕。</w:t>
      </w:r>
    </w:p>
    <w:p w14:paraId="06E1825D">
      <w:pPr>
        <w:pStyle w:val="165"/>
        <w:spacing w:line="360" w:lineRule="auto"/>
      </w:pPr>
      <w:r>
        <w:rPr>
          <w:rFonts w:hint="eastAsia"/>
        </w:rPr>
        <w:t>监测预警应坚持分级响应原则。应根据风险严重程度设置预警等级与对应处置动作，明确停工条件与复工条件，避免过度报警或漏报。</w:t>
      </w:r>
    </w:p>
    <w:p w14:paraId="47D17E1A">
      <w:pPr>
        <w:pStyle w:val="105"/>
        <w:spacing w:before="120" w:after="120" w:line="360" w:lineRule="auto"/>
      </w:pPr>
      <w:r>
        <w:rPr>
          <w:rFonts w:hint="eastAsia"/>
        </w:rPr>
        <w:t>监测项目与布设原则</w:t>
      </w:r>
    </w:p>
    <w:p w14:paraId="7B0C1E92">
      <w:pPr>
        <w:pStyle w:val="165"/>
        <w:spacing w:line="360" w:lineRule="auto"/>
      </w:pPr>
      <w:r>
        <w:rPr>
          <w:rFonts w:hint="eastAsia"/>
        </w:rPr>
        <w:t>监测项目应结合工程类型与风险源确定。宜包括地表沉降、水平位移、孔隙水压力、地下水位、堤坡稳定相关变形、周边建构筑物沉降与倾斜、振动与噪声等。</w:t>
      </w:r>
    </w:p>
    <w:p w14:paraId="119B4C43">
      <w:pPr>
        <w:pStyle w:val="165"/>
        <w:spacing w:line="360" w:lineRule="auto"/>
      </w:pPr>
      <w:r>
        <w:rPr>
          <w:rFonts w:hint="eastAsia"/>
        </w:rPr>
        <w:t>监测布设应遵循重点覆盖原则。对堤防迎水侧与背水侧、堤脚与堤顶、建筑物基础边缘、荷载集中区、穿堤建筑物周边、地层突变区、软弱夹层区以及邻近既有结构物区段，应加密布点。</w:t>
      </w:r>
    </w:p>
    <w:p w14:paraId="7FE95FB5">
      <w:pPr>
        <w:pStyle w:val="165"/>
        <w:spacing w:line="360" w:lineRule="auto"/>
      </w:pPr>
      <w:r>
        <w:rPr>
          <w:rFonts w:hint="eastAsia"/>
        </w:rPr>
        <w:t>监测断面应与施工分区匹配。监测点位应与加固单元编码关联，便于按分区判读与快速定位复核。</w:t>
      </w:r>
    </w:p>
    <w:p w14:paraId="072509AF">
      <w:pPr>
        <w:pStyle w:val="165"/>
        <w:spacing w:line="360" w:lineRule="auto"/>
      </w:pPr>
      <w:r>
        <w:rPr>
          <w:rFonts w:hint="eastAsia"/>
        </w:rPr>
        <w:t>监测点位应满足可保护可复测要求。点位应设置明显标识并采取防护措施，避免施工扰动导致点位丢失或数据失真。</w:t>
      </w:r>
    </w:p>
    <w:p w14:paraId="6A5C0B6B">
      <w:pPr>
        <w:pStyle w:val="105"/>
        <w:spacing w:before="120" w:after="120" w:line="360" w:lineRule="auto"/>
      </w:pPr>
      <w:r>
        <w:rPr>
          <w:rFonts w:hint="eastAsia"/>
        </w:rPr>
        <w:t>数据采集与质量控制</w:t>
      </w:r>
    </w:p>
    <w:p w14:paraId="6C8F9284">
      <w:pPr>
        <w:pStyle w:val="165"/>
        <w:spacing w:line="360" w:lineRule="auto"/>
      </w:pPr>
      <w:r>
        <w:rPr>
          <w:rFonts w:hint="eastAsia"/>
        </w:rPr>
        <w:t>监测数据采集频率应满足预警需求。对风险敏感区段或关键工序阶段，采集频率应提高，确保能够识别沉降速率突变、孔压异常回升与位移突增等短期变化。</w:t>
      </w:r>
    </w:p>
    <w:p w14:paraId="7A6EDA09">
      <w:pPr>
        <w:pStyle w:val="165"/>
        <w:spacing w:line="360" w:lineRule="auto"/>
      </w:pPr>
      <w:r>
        <w:rPr>
          <w:rFonts w:hint="eastAsia"/>
        </w:rPr>
        <w:t>监测数据应实施质量校核。应识别漂移、跳变、失真与异常平直段等问题，必要时进行现场复测比对。监测数据异常但缺乏工程解释时，应先排除仪器故障与点位扰动因素。</w:t>
      </w:r>
    </w:p>
    <w:p w14:paraId="2CA0A8A3">
      <w:pPr>
        <w:pStyle w:val="165"/>
        <w:spacing w:line="360" w:lineRule="auto"/>
      </w:pPr>
      <w:r>
        <w:rPr>
          <w:rFonts w:hint="eastAsia"/>
        </w:rPr>
        <w:t>监测数据应与施工时序同步。智能化平台应记录关键工序开始与结束时间、设备作业轨迹与参数变化，以支撑监测响应归因分析。</w:t>
      </w:r>
    </w:p>
    <w:p w14:paraId="7B785E79">
      <w:pPr>
        <w:pStyle w:val="105"/>
        <w:spacing w:before="120" w:after="120" w:line="360" w:lineRule="auto"/>
      </w:pPr>
      <w:r>
        <w:rPr>
          <w:rFonts w:hint="eastAsia"/>
        </w:rPr>
        <w:t>预警阈值设置原则</w:t>
      </w:r>
    </w:p>
    <w:p w14:paraId="064A7394">
      <w:pPr>
        <w:pStyle w:val="165"/>
        <w:spacing w:line="360" w:lineRule="auto"/>
      </w:pPr>
      <w:r>
        <w:rPr>
          <w:rFonts w:hint="eastAsia"/>
        </w:rPr>
        <w:t>预警阈值应依据设计控制指标、试验段监测响应、类似工程经验与风险承受能力综合确定，并区分不同监测项目设置。</w:t>
      </w:r>
    </w:p>
    <w:p w14:paraId="57B14DA3">
      <w:pPr>
        <w:pStyle w:val="165"/>
        <w:spacing w:line="360" w:lineRule="auto"/>
      </w:pPr>
      <w:r>
        <w:rPr>
          <w:rFonts w:hint="eastAsia"/>
        </w:rPr>
        <w:t>预警阈值应包含累计值阈值与速率阈值。对沉降与位移等变形项目，除控制累计量外，应重点控制速率变化，避免短期快速变形引发稳定风险。</w:t>
      </w:r>
    </w:p>
    <w:p w14:paraId="323AF5E2">
      <w:pPr>
        <w:pStyle w:val="165"/>
        <w:spacing w:line="360" w:lineRule="auto"/>
      </w:pPr>
      <w:r>
        <w:rPr>
          <w:rFonts w:hint="eastAsia"/>
        </w:rPr>
        <w:t>对孔隙水压力与地下水位，应设置异常回升或消散不足阈值。对真空预压与堆载预压，应将孔压消散与沉降发展作为核心判定依据。</w:t>
      </w:r>
    </w:p>
    <w:p w14:paraId="280C7A70">
      <w:pPr>
        <w:pStyle w:val="165"/>
        <w:spacing w:line="360" w:lineRule="auto"/>
      </w:pPr>
      <w:r>
        <w:rPr>
          <w:rFonts w:hint="eastAsia"/>
        </w:rPr>
        <w:t>对振动监测，应设置邻近结构物允许振动阈值，并结合施工时段与敏感目标要求采取分时控制。</w:t>
      </w:r>
    </w:p>
    <w:p w14:paraId="06171004">
      <w:pPr>
        <w:pStyle w:val="105"/>
        <w:spacing w:before="120" w:after="120" w:line="360" w:lineRule="auto"/>
      </w:pPr>
      <w:r>
        <w:rPr>
          <w:rFonts w:hint="eastAsia"/>
        </w:rPr>
        <w:t>预警分级与响应要求</w:t>
      </w:r>
    </w:p>
    <w:p w14:paraId="2721C02A">
      <w:pPr>
        <w:pStyle w:val="165"/>
        <w:spacing w:line="360" w:lineRule="auto"/>
      </w:pPr>
      <w:r>
        <w:rPr>
          <w:rFonts w:hint="eastAsia"/>
        </w:rPr>
        <w:t>预警宜分为三级，包括提示级、预警级与严重预警级。各等级应对应不同处置动作与报告层级。</w:t>
      </w:r>
    </w:p>
    <w:p w14:paraId="1E84AD89">
      <w:pPr>
        <w:pStyle w:val="65"/>
        <w:spacing w:before="120" w:after="120" w:line="360" w:lineRule="auto"/>
      </w:pPr>
      <w:r>
        <w:rPr>
          <w:rFonts w:hint="eastAsia"/>
        </w:rPr>
        <w:t>提示级</w:t>
      </w:r>
    </w:p>
    <w:p w14:paraId="283C55E0">
      <w:pPr>
        <w:pStyle w:val="56"/>
        <w:spacing w:line="360" w:lineRule="auto"/>
        <w:ind w:firstLine="420"/>
      </w:pPr>
      <w:r>
        <w:rPr>
          <w:rFonts w:hint="eastAsia"/>
        </w:rPr>
        <w:t>当监测值接近阈值或出现轻微异常趋势时，应提示现场关注，要求加密观测与核查施工参数，必要时进行小幅参数优化。</w:t>
      </w:r>
    </w:p>
    <w:p w14:paraId="3F8E86B6">
      <w:pPr>
        <w:pStyle w:val="65"/>
        <w:spacing w:before="120" w:after="120" w:line="360" w:lineRule="auto"/>
      </w:pPr>
      <w:r>
        <w:rPr>
          <w:rFonts w:hint="eastAsia"/>
        </w:rPr>
        <w:t>预警级</w:t>
      </w:r>
    </w:p>
    <w:p w14:paraId="67CEFB5F">
      <w:pPr>
        <w:pStyle w:val="56"/>
        <w:spacing w:line="360" w:lineRule="auto"/>
        <w:ind w:firstLine="420"/>
      </w:pPr>
      <w:r>
        <w:rPr>
          <w:rFonts w:hint="eastAsia"/>
        </w:rPr>
        <w:t>当监测值达到预警阈值或异常趋势明显时，应立即组织核查，采取调整施工参数、降低加载速率、暂停局部作业、增加支护或排水措施等控制手段，并形成书面处置记录。</w:t>
      </w:r>
    </w:p>
    <w:p w14:paraId="0CCA84FD">
      <w:pPr>
        <w:pStyle w:val="65"/>
        <w:spacing w:before="120" w:after="120" w:line="360" w:lineRule="auto"/>
      </w:pPr>
      <w:r>
        <w:rPr>
          <w:rFonts w:hint="eastAsia"/>
        </w:rPr>
        <w:t>严重预警级</w:t>
      </w:r>
    </w:p>
    <w:p w14:paraId="12A215DB">
      <w:pPr>
        <w:pStyle w:val="56"/>
        <w:spacing w:line="360" w:lineRule="auto"/>
        <w:ind w:firstLine="420"/>
      </w:pPr>
      <w:r>
        <w:rPr>
          <w:rFonts w:hint="eastAsia"/>
        </w:rPr>
        <w:t>当监测值达到严重阈值或出现可能导致失稳、结构损伤或安全事故的征兆时，应立即停工并启动应急处置，采取卸载、降真空、加固支护、封闭警戒、人员撤离等措施，同时按规定报告相关单位。严重预警解除前不得复工。</w:t>
      </w:r>
    </w:p>
    <w:p w14:paraId="35017772">
      <w:pPr>
        <w:pStyle w:val="105"/>
        <w:spacing w:before="120" w:after="120" w:line="360" w:lineRule="auto"/>
      </w:pPr>
      <w:r>
        <w:rPr>
          <w:rFonts w:hint="eastAsia"/>
        </w:rPr>
        <w:t>风险处置流程与闭环要求</w:t>
      </w:r>
    </w:p>
    <w:p w14:paraId="63690629">
      <w:pPr>
        <w:pStyle w:val="165"/>
        <w:spacing w:line="360" w:lineRule="auto"/>
      </w:pPr>
      <w:r>
        <w:rPr>
          <w:rFonts w:hint="eastAsia"/>
        </w:rPr>
        <w:t>风险处置应按闭环流程执行，流程宜包括预警触发、现场核查、原因分析、处置方案确定、措施实施、效果验证、记录归档与复工确认。</w:t>
      </w:r>
    </w:p>
    <w:p w14:paraId="57F6C84E">
      <w:pPr>
        <w:pStyle w:val="165"/>
        <w:spacing w:line="360" w:lineRule="auto"/>
      </w:pPr>
      <w:r>
        <w:rPr>
          <w:rFonts w:hint="eastAsia"/>
        </w:rPr>
        <w:t>原因分析应综合施工参数与监测响应。应判别异常是否由参数超限、工序不当、地层突变、排水系统失效、真空泄漏、堆载偏载、设备故障或外部环境因素导致。</w:t>
      </w:r>
    </w:p>
    <w:p w14:paraId="16234923">
      <w:pPr>
        <w:pStyle w:val="165"/>
        <w:spacing w:line="360" w:lineRule="auto"/>
      </w:pPr>
      <w:r>
        <w:rPr>
          <w:rFonts w:hint="eastAsia"/>
        </w:rPr>
        <w:t>处置措施应分级实施。对局部异常可采取局部停工与参数调整，对区域性异常应扩大控制范围并可能需要专项方案与专家论证。</w:t>
      </w:r>
    </w:p>
    <w:p w14:paraId="0251CB21">
      <w:pPr>
        <w:pStyle w:val="165"/>
        <w:spacing w:line="360" w:lineRule="auto"/>
      </w:pPr>
      <w:r>
        <w:rPr>
          <w:rFonts w:hint="eastAsia"/>
        </w:rPr>
        <w:t>效果验证应明确判据。处置后应通过监测数据趋势恢复、参数恢复稳定、必要的复测与检测验证确认风险已受控，方可进入下一工序或恢复规模化施工。</w:t>
      </w:r>
    </w:p>
    <w:p w14:paraId="38BB3F4D">
      <w:pPr>
        <w:pStyle w:val="165"/>
        <w:spacing w:line="360" w:lineRule="auto"/>
      </w:pPr>
      <w:r>
        <w:rPr>
          <w:rFonts w:hint="eastAsia"/>
        </w:rPr>
        <w:t>处置记录应可追溯。记录应包含触发时间、点位与位置、阈值与实测值、处置措施、责任人、实施时间、验证结论与复工确认意见，并与加固单元与检验批关联。</w:t>
      </w:r>
    </w:p>
    <w:p w14:paraId="5CA2FB53">
      <w:pPr>
        <w:pStyle w:val="105"/>
        <w:spacing w:before="120" w:after="120" w:line="360" w:lineRule="auto"/>
      </w:pPr>
      <w:r>
        <w:rPr>
          <w:rFonts w:hint="eastAsia"/>
        </w:rPr>
        <w:t>停工条件与复工条件</w:t>
      </w:r>
    </w:p>
    <w:p w14:paraId="0CF3BD9C">
      <w:pPr>
        <w:pStyle w:val="165"/>
        <w:spacing w:line="360" w:lineRule="auto"/>
      </w:pPr>
      <w:r>
        <w:rPr>
          <w:rFonts w:hint="eastAsia"/>
        </w:rPr>
        <w:t>停工条件应在专项方案中明确，并至少包括以下情形：严重预警触发；出现滑移裂缝或明显渗涌等险情征兆；邻近结构物变形达到控制阈值；堆载或设备作业导致稳定性显著降低；关键监测系统失效且无法保证安全判读。</w:t>
      </w:r>
    </w:p>
    <w:p w14:paraId="73AF253B">
      <w:pPr>
        <w:pStyle w:val="165"/>
        <w:spacing w:line="360" w:lineRule="auto"/>
      </w:pPr>
      <w:r>
        <w:rPr>
          <w:rFonts w:hint="eastAsia"/>
        </w:rPr>
        <w:t>复工条件应至少包括风险原因查明并形成处置方案；处置措施实施完成并验收；监测指标恢复至允许范围内且趋势稳定；必要的专家评审或监理确认完成；智能化系统与监测系统恢复正常并完成校验。</w:t>
      </w:r>
    </w:p>
    <w:p w14:paraId="6DB0E883">
      <w:pPr>
        <w:pStyle w:val="105"/>
        <w:spacing w:before="120" w:after="120" w:line="360" w:lineRule="auto"/>
      </w:pPr>
      <w:r>
        <w:rPr>
          <w:rFonts w:hint="eastAsia"/>
        </w:rPr>
        <w:t>信息报送与复盘改进</w:t>
      </w:r>
    </w:p>
    <w:p w14:paraId="1DFDA665">
      <w:pPr>
        <w:pStyle w:val="165"/>
        <w:spacing w:line="360" w:lineRule="auto"/>
      </w:pPr>
      <w:r>
        <w:rPr>
          <w:rFonts w:hint="eastAsia"/>
        </w:rPr>
        <w:t>预警信息应按等级报送。预警级与严重预警级应及时报送建设单位与监理单位，严重预警级应按规定报送相关主管部门或应急管理机制。</w:t>
      </w:r>
    </w:p>
    <w:p w14:paraId="554ABEE0">
      <w:pPr>
        <w:pStyle w:val="165"/>
        <w:spacing w:line="360" w:lineRule="auto"/>
      </w:pPr>
      <w:r>
        <w:rPr>
          <w:rFonts w:hint="eastAsia"/>
        </w:rPr>
        <w:t>重大预警事件应组织复盘。复盘应分析触发原因、处置有效性与管理薄弱环节，形成改进措施并更新参数固化文件与预警阈值设置，防止重复发生。</w:t>
      </w:r>
    </w:p>
    <w:p w14:paraId="7AA32807">
      <w:pPr>
        <w:pStyle w:val="104"/>
        <w:spacing w:before="240" w:after="240" w:line="360" w:lineRule="auto"/>
      </w:pPr>
      <w:bookmarkStart w:id="57" w:name="_Toc219057442"/>
      <w:r>
        <w:rPr>
          <w:rFonts w:hint="eastAsia"/>
        </w:rPr>
        <w:t>安全生产与环境保护</w:t>
      </w:r>
      <w:bookmarkEnd w:id="57"/>
    </w:p>
    <w:p w14:paraId="4047702E">
      <w:pPr>
        <w:pStyle w:val="105"/>
        <w:spacing w:before="120" w:after="120" w:line="360" w:lineRule="auto"/>
      </w:pPr>
      <w:r>
        <w:rPr>
          <w:rFonts w:hint="eastAsia"/>
        </w:rPr>
        <w:t>一般要求</w:t>
      </w:r>
    </w:p>
    <w:p w14:paraId="25BEC398">
      <w:pPr>
        <w:pStyle w:val="165"/>
        <w:spacing w:line="360" w:lineRule="auto"/>
      </w:pPr>
      <w:r>
        <w:rPr>
          <w:rFonts w:hint="eastAsia"/>
        </w:rPr>
        <w:t>软土地基智能加固施工应建立安全生产与环境保护管理体系，落实风险辨识、技术交底、作业许可、过程检查与应急准备要求，确保人员安全、工程安全与环境安全。</w:t>
      </w:r>
    </w:p>
    <w:p w14:paraId="344064AB">
      <w:pPr>
        <w:pStyle w:val="165"/>
        <w:spacing w:line="360" w:lineRule="auto"/>
      </w:pPr>
      <w:r>
        <w:rPr>
          <w:rFonts w:hint="eastAsia"/>
        </w:rPr>
        <w:t>安全与环境控制应与工法特征相匹配。涉及临水作业、堤防作业、基坑作业、真空预压与堆载预压、强夯振动、浆液制备与注入等高风险作业时，应编制专项方案并实施重点管控。</w:t>
      </w:r>
    </w:p>
    <w:p w14:paraId="59C390B4">
      <w:pPr>
        <w:pStyle w:val="165"/>
        <w:spacing w:line="360" w:lineRule="auto"/>
      </w:pPr>
      <w:r>
        <w:rPr>
          <w:rFonts w:hint="eastAsia"/>
        </w:rPr>
        <w:t>安全与环境事件应纳入智能化平台留痕管理。关键检查记录、隐患整改、预警处置、停工复工与环境监测数据应实现可追溯。</w:t>
      </w:r>
    </w:p>
    <w:p w14:paraId="73AF4C68">
      <w:pPr>
        <w:pStyle w:val="165"/>
        <w:numPr>
          <w:ilvl w:val="0"/>
          <w:numId w:val="0"/>
        </w:numPr>
        <w:spacing w:line="360" w:lineRule="auto"/>
        <w:rPr>
          <w:rFonts w:hint="eastAsia"/>
        </w:rPr>
      </w:pPr>
    </w:p>
    <w:p w14:paraId="2ECC73D2">
      <w:pPr>
        <w:pStyle w:val="105"/>
        <w:spacing w:before="120" w:after="120" w:line="360" w:lineRule="auto"/>
      </w:pPr>
      <w:r>
        <w:rPr>
          <w:rFonts w:hint="eastAsia"/>
        </w:rPr>
        <w:t>临水作业与堤防稳定安全</w:t>
      </w:r>
    </w:p>
    <w:p w14:paraId="0985C705">
      <w:pPr>
        <w:pStyle w:val="165"/>
        <w:spacing w:line="360" w:lineRule="auto"/>
      </w:pPr>
      <w:r>
        <w:rPr>
          <w:rFonts w:hint="eastAsia"/>
        </w:rPr>
        <w:t>临水与堤防作业应设置安全控制区。应明确作业边界、警戒标识、救生设施配置与人员通行路线，防止人员坠水与机械滑移。</w:t>
      </w:r>
    </w:p>
    <w:p w14:paraId="24829A9C">
      <w:pPr>
        <w:pStyle w:val="165"/>
        <w:spacing w:line="360" w:lineRule="auto"/>
      </w:pPr>
      <w:r>
        <w:rPr>
          <w:rFonts w:hint="eastAsia"/>
        </w:rPr>
        <w:t>堤防加固施工应重点防控稳定性风险。堆载预压、强夯与大型设备集中作业前应核查堤身稳定条件，必要时采用分区分步施工、限载限速与设置临时加固支护措施。</w:t>
      </w:r>
    </w:p>
    <w:p w14:paraId="528481E2">
      <w:pPr>
        <w:pStyle w:val="165"/>
        <w:spacing w:line="360" w:lineRule="auto"/>
      </w:pPr>
      <w:r>
        <w:rPr>
          <w:rFonts w:hint="eastAsia"/>
        </w:rPr>
        <w:t>对堤坡与堤脚应实施变形监测与巡查。出现裂缝、鼓胀、渗水浑水与局部塌陷等异常迹象时，应立即停止相关作业并按第9章启动风险处置。</w:t>
      </w:r>
    </w:p>
    <w:p w14:paraId="493A54F6">
      <w:pPr>
        <w:pStyle w:val="165"/>
        <w:spacing w:line="360" w:lineRule="auto"/>
      </w:pPr>
      <w:r>
        <w:rPr>
          <w:rFonts w:hint="eastAsia"/>
        </w:rPr>
        <w:t>施工期防汛要求应落实。汛期施工应设置防汛值守与应急物资，明确降雨预警阈值、停工撤离条件与防洪导流措施，确保突发洪水或强降雨条件下工程与人员安全。</w:t>
      </w:r>
    </w:p>
    <w:p w14:paraId="1743BBC2">
      <w:pPr>
        <w:pStyle w:val="105"/>
        <w:spacing w:before="120" w:after="120" w:line="360" w:lineRule="auto"/>
      </w:pPr>
      <w:r>
        <w:rPr>
          <w:rFonts w:hint="eastAsia"/>
        </w:rPr>
        <w:t>设备作业安全</w:t>
      </w:r>
    </w:p>
    <w:p w14:paraId="77B8FC39">
      <w:pPr>
        <w:pStyle w:val="165"/>
        <w:spacing w:line="360" w:lineRule="auto"/>
      </w:pPr>
      <w:r>
        <w:rPr>
          <w:rFonts w:hint="eastAsia"/>
        </w:rPr>
        <w:t>大型设备作业前应核查地基承载与稳定。设备作业平台应满足承载要求并具备防滑与防陷措施，必要时铺设钢板或道垫并进行试行走验证。</w:t>
      </w:r>
    </w:p>
    <w:p w14:paraId="3889D442">
      <w:pPr>
        <w:pStyle w:val="165"/>
        <w:spacing w:line="360" w:lineRule="auto"/>
      </w:pPr>
      <w:r>
        <w:rPr>
          <w:rFonts w:hint="eastAsia"/>
        </w:rPr>
        <w:t>设备起落与回转半径范围内应设置警戒。搅拌设备、旋喷钻机、起重设备与强夯设备作业时应设专人指挥，严禁无关人员进入危险区域。</w:t>
      </w:r>
    </w:p>
    <w:p w14:paraId="223B777E">
      <w:pPr>
        <w:pStyle w:val="165"/>
        <w:spacing w:line="360" w:lineRule="auto"/>
      </w:pPr>
      <w:r>
        <w:rPr>
          <w:rFonts w:hint="eastAsia"/>
        </w:rPr>
        <w:t>设备电气与液压系统应定期检查。供电线路应符合临时用电管理要求，漏电保护装置应齐全有效。液压管路应防止爆管喷射伤害，并设置防护与应急处置措施。</w:t>
      </w:r>
    </w:p>
    <w:p w14:paraId="363BD8CB">
      <w:pPr>
        <w:pStyle w:val="165"/>
        <w:spacing w:line="360" w:lineRule="auto"/>
      </w:pPr>
      <w:r>
        <w:rPr>
          <w:rFonts w:hint="eastAsia"/>
        </w:rPr>
        <w:t>夜间施工应满足照明与视距要求。智能化定位与采集设备应保证夜间数据采集稳定，关键区域应设置足够照明并采取防眩措施。</w:t>
      </w:r>
    </w:p>
    <w:p w14:paraId="50DE9D0D">
      <w:pPr>
        <w:pStyle w:val="105"/>
        <w:spacing w:before="120" w:after="120" w:line="360" w:lineRule="auto"/>
      </w:pPr>
      <w:r>
        <w:rPr>
          <w:rFonts w:hint="eastAsia"/>
        </w:rPr>
        <w:t>浆液与化学品安全管理</w:t>
      </w:r>
    </w:p>
    <w:p w14:paraId="2099032A">
      <w:pPr>
        <w:pStyle w:val="165"/>
        <w:spacing w:line="360" w:lineRule="auto"/>
      </w:pPr>
      <w:r>
        <w:rPr>
          <w:rFonts w:hint="eastAsia"/>
        </w:rPr>
        <w:t>浆材与化学品应分类管理并建立台账。水泥、石灰、化学浆材、外加剂与速凝剂等应按批次验收、标识与储存，防止误用混用与失效。</w:t>
      </w:r>
    </w:p>
    <w:p w14:paraId="1073AF95">
      <w:pPr>
        <w:pStyle w:val="165"/>
        <w:spacing w:line="360" w:lineRule="auto"/>
      </w:pPr>
      <w:r>
        <w:rPr>
          <w:rFonts w:hint="eastAsia"/>
        </w:rPr>
        <w:t>浆液制备区应设置防尘与防泄漏措施。搅拌站应设置围挡与硬化地面，配置集水与沉淀设施，防止浆液外溢进入水体或渗入土体。</w:t>
      </w:r>
    </w:p>
    <w:p w14:paraId="0F1CD068">
      <w:pPr>
        <w:pStyle w:val="165"/>
        <w:spacing w:line="360" w:lineRule="auto"/>
      </w:pPr>
      <w:r>
        <w:rPr>
          <w:rFonts w:hint="eastAsia"/>
        </w:rPr>
        <w:t>化学品使用应落实防护。使用具有腐蚀性或刺激性的化学浆材时，应配备个人防护用品与冲洗设施，明确应急处置流程与泄漏处置材料。</w:t>
      </w:r>
    </w:p>
    <w:p w14:paraId="75C1B3BB">
      <w:pPr>
        <w:pStyle w:val="165"/>
        <w:spacing w:line="360" w:lineRule="auto"/>
      </w:pPr>
      <w:r>
        <w:rPr>
          <w:rFonts w:hint="eastAsia"/>
        </w:rPr>
        <w:t>浆液管路与接头应防止爆管。高压旋喷与注浆作业应对管路耐压能力进行核验，作业中应监控压力变化，严禁带压拆装。</w:t>
      </w:r>
    </w:p>
    <w:p w14:paraId="78B63DEA">
      <w:pPr>
        <w:pStyle w:val="105"/>
        <w:spacing w:before="120" w:after="120" w:line="360" w:lineRule="auto"/>
      </w:pPr>
      <w:r>
        <w:rPr>
          <w:rFonts w:hint="eastAsia"/>
        </w:rPr>
        <w:t>噪声振动与周边影响控制</w:t>
      </w:r>
    </w:p>
    <w:p w14:paraId="73275BAD">
      <w:pPr>
        <w:pStyle w:val="165"/>
        <w:spacing w:line="360" w:lineRule="auto"/>
      </w:pPr>
      <w:r>
        <w:rPr>
          <w:rFonts w:hint="eastAsia"/>
        </w:rPr>
        <w:t>强夯与大型机械作业应开展振动影响评估。邻近既有建筑物、堤防关键部位、精密设备或敏感设施时，应设置振动监测并按阈值控制能级与施工时段。</w:t>
      </w:r>
    </w:p>
    <w:p w14:paraId="187FB521">
      <w:pPr>
        <w:pStyle w:val="165"/>
        <w:spacing w:line="360" w:lineRule="auto"/>
      </w:pPr>
      <w:r>
        <w:rPr>
          <w:rFonts w:hint="eastAsia"/>
        </w:rPr>
        <w:t>噪声控制应符合属地管理要求。夜间施工应按规定办理许可并采取降噪措施，例如设置隔声屏、优化设备选型与维护状态。</w:t>
      </w:r>
    </w:p>
    <w:p w14:paraId="1E141E9B">
      <w:pPr>
        <w:pStyle w:val="165"/>
        <w:spacing w:line="360" w:lineRule="auto"/>
      </w:pPr>
      <w:r>
        <w:rPr>
          <w:rFonts w:hint="eastAsia"/>
        </w:rPr>
        <w:t>对可能引发周边沉降或位移的工序，应加强监测并及时通报。对周边结构物设置的沉降点与倾斜点应纳入预警体系，防止损害扩大。</w:t>
      </w:r>
    </w:p>
    <w:p w14:paraId="269C9497">
      <w:pPr>
        <w:pStyle w:val="105"/>
        <w:spacing w:before="120" w:after="120" w:line="360" w:lineRule="auto"/>
      </w:pPr>
      <w:r>
        <w:rPr>
          <w:rFonts w:hint="eastAsia"/>
        </w:rPr>
        <w:t>废浆废水与固体废弃物处置</w:t>
      </w:r>
    </w:p>
    <w:p w14:paraId="0DF6EB65">
      <w:pPr>
        <w:pStyle w:val="165"/>
        <w:spacing w:line="360" w:lineRule="auto"/>
      </w:pPr>
      <w:r>
        <w:rPr>
          <w:rFonts w:hint="eastAsia"/>
        </w:rPr>
        <w:t>废浆与废水应集中收集处理。旋喷与注浆回浆、搅拌溢浆与场地冲洗水应进入沉淀池或处理设施，不得直接排入河道或市政雨水系统。</w:t>
      </w:r>
    </w:p>
    <w:p w14:paraId="2FC9E7D8">
      <w:pPr>
        <w:pStyle w:val="165"/>
        <w:spacing w:line="360" w:lineRule="auto"/>
      </w:pPr>
      <w:r>
        <w:rPr>
          <w:rFonts w:hint="eastAsia"/>
        </w:rPr>
        <w:t>固体废弃物应分类处置。废包装材料、废滤布、废封膜材料与试验取样残渣等应分类收集并按规定处置。对含化学浆材残留物的废弃物应按相关要求管理。</w:t>
      </w:r>
    </w:p>
    <w:p w14:paraId="1B32CA0D">
      <w:pPr>
        <w:pStyle w:val="165"/>
        <w:spacing w:line="360" w:lineRule="auto"/>
      </w:pPr>
      <w:r>
        <w:rPr>
          <w:rFonts w:hint="eastAsia"/>
        </w:rPr>
        <w:t>泥浆与沉淀物外运应防止二次污染。外运车辆应采取覆盖与防滴漏措施，运输路线应避免污染敏感区域。</w:t>
      </w:r>
    </w:p>
    <w:p w14:paraId="2E91413B">
      <w:pPr>
        <w:pStyle w:val="105"/>
        <w:spacing w:before="120" w:after="120" w:line="360" w:lineRule="auto"/>
      </w:pPr>
      <w:r>
        <w:rPr>
          <w:rFonts w:hint="eastAsia"/>
        </w:rPr>
        <w:t>水体与土壤保护要求</w:t>
      </w:r>
    </w:p>
    <w:p w14:paraId="75DA6A03">
      <w:pPr>
        <w:pStyle w:val="165"/>
        <w:spacing w:line="360" w:lineRule="auto"/>
      </w:pPr>
      <w:r>
        <w:rPr>
          <w:rFonts w:hint="eastAsia"/>
        </w:rPr>
        <w:t>临近水体施工应设置防护。应设置围挡、截排水沟与沉淀设施，防止泥浆与粉尘入河。对水源保护区或生态敏感区施工应执行更严格的环保要求。</w:t>
      </w:r>
    </w:p>
    <w:p w14:paraId="4D338B56">
      <w:pPr>
        <w:pStyle w:val="165"/>
        <w:spacing w:line="360" w:lineRule="auto"/>
      </w:pPr>
      <w:r>
        <w:rPr>
          <w:rFonts w:hint="eastAsia"/>
        </w:rPr>
        <w:t>土壤保护应控制化学品渗漏风险。化学品储存区应设置防渗托盘或防渗池，发生泄漏应立即围堵收集并按应急预案处置。</w:t>
      </w:r>
    </w:p>
    <w:p w14:paraId="274C4F42">
      <w:pPr>
        <w:pStyle w:val="165"/>
        <w:spacing w:line="360" w:lineRule="auto"/>
      </w:pPr>
      <w:r>
        <w:rPr>
          <w:rFonts w:hint="eastAsia"/>
        </w:rPr>
        <w:t>对涉及地下水的工法应关注污染迁移。注浆与化学加固施工应控制浆液扩散边界，避免对地下水产生不利影响，并在必要时开展地下水监测。</w:t>
      </w:r>
    </w:p>
    <w:p w14:paraId="70EB5F70">
      <w:pPr>
        <w:pStyle w:val="105"/>
        <w:spacing w:before="120" w:after="120" w:line="360" w:lineRule="auto"/>
      </w:pPr>
      <w:r>
        <w:rPr>
          <w:rFonts w:hint="eastAsia"/>
        </w:rPr>
        <w:t>安全检查与应急管理</w:t>
      </w:r>
    </w:p>
    <w:p w14:paraId="2C348319">
      <w:pPr>
        <w:pStyle w:val="165"/>
        <w:spacing w:line="360" w:lineRule="auto"/>
      </w:pPr>
      <w:r>
        <w:rPr>
          <w:rFonts w:hint="eastAsia"/>
        </w:rPr>
        <w:t>应建立安全检查制度。应对临时用电、设备状态、作业许可、个人防护、警戒设置、材料储存、废水废浆处置与防汛措施进行定期检查，并形成整改闭环。</w:t>
      </w:r>
    </w:p>
    <w:p w14:paraId="18A31CFE">
      <w:pPr>
        <w:pStyle w:val="165"/>
        <w:spacing w:line="360" w:lineRule="auto"/>
      </w:pPr>
      <w:r>
        <w:rPr>
          <w:rFonts w:hint="eastAsia"/>
        </w:rPr>
        <w:t>应急预案应覆盖主要风险。预案宜包括坠水与溺水救援、设备倾覆或伤害事故、高压爆管、化学品泄漏、堤防险情、强降雨与洪水应急、火灾与触电等情形。</w:t>
      </w:r>
    </w:p>
    <w:p w14:paraId="5193D328">
      <w:pPr>
        <w:pStyle w:val="165"/>
        <w:spacing w:line="360" w:lineRule="auto"/>
      </w:pPr>
      <w:r>
        <w:rPr>
          <w:rFonts w:hint="eastAsia"/>
        </w:rPr>
        <w:t>应急演练应在关键工序前开展。涉及堆载预压、强夯、临水作业与化学注浆的项目，应在开工前或关键阶段前组织专项演练并记录评估结果。</w:t>
      </w:r>
    </w:p>
    <w:p w14:paraId="7E9E3CC5">
      <w:pPr>
        <w:pStyle w:val="104"/>
        <w:spacing w:before="240" w:after="240" w:line="360" w:lineRule="auto"/>
      </w:pPr>
      <w:bookmarkStart w:id="58" w:name="_Toc219057443"/>
      <w:r>
        <w:rPr>
          <w:rFonts w:hint="eastAsia"/>
        </w:rPr>
        <w:t>竣工验收与数字化交付</w:t>
      </w:r>
      <w:bookmarkEnd w:id="58"/>
    </w:p>
    <w:p w14:paraId="31097F3A">
      <w:pPr>
        <w:pStyle w:val="105"/>
        <w:spacing w:before="120" w:after="120" w:line="360" w:lineRule="auto"/>
      </w:pPr>
      <w:r>
        <w:rPr>
          <w:rFonts w:hint="eastAsia"/>
        </w:rPr>
        <w:t>一般要求</w:t>
      </w:r>
    </w:p>
    <w:p w14:paraId="69578E12">
      <w:pPr>
        <w:pStyle w:val="165"/>
        <w:spacing w:line="360" w:lineRule="auto"/>
      </w:pPr>
      <w:r>
        <w:rPr>
          <w:rFonts w:hint="eastAsia"/>
        </w:rPr>
        <w:t>竣工验收应在加固施工完成、质量检验与监测指标满足要求、缺陷整改闭环完成、资料齐全且数字化成果符合交付要求后组织实施。</w:t>
      </w:r>
    </w:p>
    <w:p w14:paraId="0FB53482">
      <w:pPr>
        <w:pStyle w:val="165"/>
        <w:spacing w:line="360" w:lineRule="auto"/>
      </w:pPr>
      <w:r>
        <w:rPr>
          <w:rFonts w:hint="eastAsia"/>
        </w:rPr>
        <w:t>竣工验收应坚持实体质量与数据成果并重原则。实体检测结果、监测验证结果与在线采集数据应相互印证，任一关键结论无法支撑设计目标时不得通过验收。</w:t>
      </w:r>
    </w:p>
    <w:p w14:paraId="282AB479">
      <w:pPr>
        <w:pStyle w:val="165"/>
        <w:spacing w:line="360" w:lineRule="auto"/>
      </w:pPr>
      <w:r>
        <w:rPr>
          <w:rFonts w:hint="eastAsia"/>
        </w:rPr>
        <w:t>数字化交付成果应满足可追溯、可复核与可运维要求。交付成果应能够支撑后续结构施工质量追溯、运行期变形与渗流监测比对以及改扩建工程的资料复用。</w:t>
      </w:r>
    </w:p>
    <w:p w14:paraId="6AA12C36">
      <w:pPr>
        <w:pStyle w:val="105"/>
        <w:spacing w:before="120" w:after="120" w:line="360" w:lineRule="auto"/>
      </w:pPr>
      <w:r>
        <w:rPr>
          <w:rFonts w:hint="eastAsia"/>
        </w:rPr>
        <w:t>验收条件</w:t>
      </w:r>
    </w:p>
    <w:p w14:paraId="1A675212">
      <w:pPr>
        <w:pStyle w:val="165"/>
        <w:spacing w:line="360" w:lineRule="auto"/>
      </w:pPr>
      <w:r>
        <w:rPr>
          <w:rFonts w:hint="eastAsia"/>
        </w:rPr>
        <w:t>加固工程实体应完成并满足设计与规范要求。涉及分期施工或分区验收的，应明确各分区边界与接口处理要求。</w:t>
      </w:r>
    </w:p>
    <w:p w14:paraId="6C417ACB">
      <w:pPr>
        <w:pStyle w:val="165"/>
        <w:spacing w:line="360" w:lineRule="auto"/>
      </w:pPr>
      <w:r>
        <w:rPr>
          <w:rFonts w:hint="eastAsia"/>
        </w:rPr>
        <w:t>试验段成果与参数固化文件应齐全，规模化施工应按固化参数实施，参数变更应具备完整审批与再验证记录。</w:t>
      </w:r>
    </w:p>
    <w:p w14:paraId="43579E72">
      <w:pPr>
        <w:pStyle w:val="165"/>
        <w:spacing w:line="360" w:lineRule="auto"/>
      </w:pPr>
      <w:r>
        <w:rPr>
          <w:rFonts w:hint="eastAsia"/>
        </w:rPr>
        <w:t>检验批、分项工程与分部工程质量评定资料应完整，关键检测报告应齐全有效，检测数据应与加固单元编码一致。</w:t>
      </w:r>
    </w:p>
    <w:p w14:paraId="571B1935">
      <w:pPr>
        <w:pStyle w:val="165"/>
        <w:spacing w:line="360" w:lineRule="auto"/>
      </w:pPr>
      <w:r>
        <w:rPr>
          <w:rFonts w:hint="eastAsia"/>
        </w:rPr>
        <w:t>监测数据应满足验收判定要求。预压与排水类工法应满足固结度与孔压消散等指标，桩类工法应满足强度与完整性等指标，堆载与强夯类工法应满足稳定控制与承载变形指标。</w:t>
      </w:r>
    </w:p>
    <w:p w14:paraId="16C90FE2">
      <w:pPr>
        <w:pStyle w:val="165"/>
        <w:spacing w:line="360" w:lineRule="auto"/>
      </w:pPr>
      <w:r>
        <w:rPr>
          <w:rFonts w:hint="eastAsia"/>
        </w:rPr>
        <w:t>重大缺陷与预警事件应完成处置闭环并形成复核结论。未销项的安全风险、环境风险或质量缺陷不得进入竣工验收。</w:t>
      </w:r>
    </w:p>
    <w:p w14:paraId="695295A2">
      <w:pPr>
        <w:pStyle w:val="105"/>
        <w:spacing w:before="120" w:after="120" w:line="360" w:lineRule="auto"/>
      </w:pPr>
      <w:r>
        <w:rPr>
          <w:rFonts w:hint="eastAsia"/>
        </w:rPr>
        <w:t>验收内容</w:t>
      </w:r>
    </w:p>
    <w:p w14:paraId="7D556162">
      <w:pPr>
        <w:pStyle w:val="65"/>
        <w:spacing w:before="120" w:after="120" w:line="360" w:lineRule="auto"/>
      </w:pPr>
      <w:r>
        <w:rPr>
          <w:rFonts w:hint="eastAsia"/>
        </w:rPr>
        <w:t>实体质量验收</w:t>
      </w:r>
    </w:p>
    <w:p w14:paraId="53EA9F0B">
      <w:pPr>
        <w:pStyle w:val="56"/>
        <w:spacing w:line="360" w:lineRule="auto"/>
        <w:ind w:firstLine="420"/>
      </w:pPr>
      <w:r>
        <w:rPr>
          <w:rFonts w:hint="eastAsia"/>
        </w:rPr>
        <w:t>应核验加固范围、加固体布置与数量、关键部位施工质量、检验批评定结果与抽检复核结果，并对存在风险的区段实施重点复核。</w:t>
      </w:r>
    </w:p>
    <w:p w14:paraId="40706435">
      <w:pPr>
        <w:pStyle w:val="65"/>
        <w:spacing w:before="120" w:after="120" w:line="360" w:lineRule="auto"/>
      </w:pPr>
      <w:r>
        <w:rPr>
          <w:rFonts w:hint="eastAsia"/>
        </w:rPr>
        <w:t>过程控制验收</w:t>
      </w:r>
    </w:p>
    <w:p w14:paraId="5301709C">
      <w:pPr>
        <w:pStyle w:val="56"/>
        <w:spacing w:line="360" w:lineRule="auto"/>
        <w:ind w:firstLine="420"/>
      </w:pPr>
      <w:r>
        <w:rPr>
          <w:rFonts w:hint="eastAsia"/>
        </w:rPr>
        <w:t>应核验智能化系统数据记录完整性、关键控制参数合规性、报警事件处置闭环情况、参数变更与再验证情况以及监测预警响应有效性。</w:t>
      </w:r>
    </w:p>
    <w:p w14:paraId="7077CCFE">
      <w:pPr>
        <w:pStyle w:val="65"/>
        <w:spacing w:before="120" w:after="120" w:line="360" w:lineRule="auto"/>
      </w:pPr>
      <w:r>
        <w:rPr>
          <w:rFonts w:hint="eastAsia"/>
        </w:rPr>
        <w:t>资料与数据成果验收</w:t>
      </w:r>
    </w:p>
    <w:p w14:paraId="25C19DBA">
      <w:pPr>
        <w:pStyle w:val="56"/>
        <w:spacing w:line="360" w:lineRule="auto"/>
        <w:ind w:firstLine="420"/>
      </w:pPr>
      <w:r>
        <w:rPr>
          <w:rFonts w:hint="eastAsia"/>
        </w:rPr>
        <w:t>应核验资料完整性、数据字段一致性、编码关联正确性、数据可追溯性与备份完整性，确保数字化交付可用于复核与运维。</w:t>
      </w:r>
    </w:p>
    <w:p w14:paraId="3A0F2D10">
      <w:pPr>
        <w:pStyle w:val="105"/>
        <w:spacing w:before="120" w:after="120" w:line="360" w:lineRule="auto"/>
      </w:pPr>
      <w:r>
        <w:rPr>
          <w:rFonts w:hint="eastAsia"/>
        </w:rPr>
        <w:t>数字化交付成果要求</w:t>
      </w:r>
    </w:p>
    <w:p w14:paraId="77374401">
      <w:pPr>
        <w:pStyle w:val="65"/>
        <w:spacing w:before="120" w:after="120" w:line="360" w:lineRule="auto"/>
      </w:pPr>
      <w:r>
        <w:rPr>
          <w:rFonts w:hint="eastAsia"/>
        </w:rPr>
        <w:t>交付内容组成</w:t>
      </w:r>
    </w:p>
    <w:p w14:paraId="1E38E043">
      <w:pPr>
        <w:pStyle w:val="56"/>
        <w:spacing w:line="360" w:lineRule="auto"/>
        <w:ind w:firstLine="420"/>
      </w:pPr>
      <w:r>
        <w:rPr>
          <w:rFonts w:hint="eastAsia"/>
        </w:rPr>
        <w:t>数字化交付成果宜至少包括以下内容：</w:t>
      </w:r>
    </w:p>
    <w:p w14:paraId="07003499">
      <w:pPr>
        <w:pStyle w:val="56"/>
        <w:spacing w:line="360" w:lineRule="auto"/>
        <w:ind w:firstLine="420"/>
      </w:pPr>
      <w:r>
        <w:rPr>
          <w:rFonts w:hint="eastAsia"/>
        </w:rPr>
        <w:t>a) 加固单元与检验批编码体系及其对应关系说明；</w:t>
      </w:r>
    </w:p>
    <w:p w14:paraId="2DEE8549">
      <w:pPr>
        <w:pStyle w:val="56"/>
        <w:spacing w:line="360" w:lineRule="auto"/>
        <w:ind w:firstLine="420"/>
      </w:pPr>
      <w:r>
        <w:rPr>
          <w:rFonts w:hint="eastAsia"/>
        </w:rPr>
        <w:t>b) 施工参数原始数据与统计报表，包括深度压力流量转速提升速度真空度排水量等关键参数曲线与汇总；</w:t>
      </w:r>
    </w:p>
    <w:p w14:paraId="327C01BC">
      <w:pPr>
        <w:pStyle w:val="56"/>
        <w:spacing w:line="360" w:lineRule="auto"/>
        <w:ind w:firstLine="420"/>
      </w:pPr>
      <w:r>
        <w:rPr>
          <w:rFonts w:hint="eastAsia"/>
        </w:rPr>
        <w:t>c) 报警事件与处置闭环记录，包括触发阈值实测值持续时长处置措施与验证结论；</w:t>
      </w:r>
    </w:p>
    <w:p w14:paraId="5A5B5652">
      <w:pPr>
        <w:pStyle w:val="56"/>
        <w:spacing w:line="360" w:lineRule="auto"/>
        <w:ind w:firstLine="420"/>
      </w:pPr>
      <w:r>
        <w:rPr>
          <w:rFonts w:hint="eastAsia"/>
        </w:rPr>
        <w:t>d) 监测数据成果，包括沉降位移孔压地下水位振动等数据与预警记录；</w:t>
      </w:r>
    </w:p>
    <w:p w14:paraId="7D0B7D7F">
      <w:pPr>
        <w:pStyle w:val="56"/>
        <w:spacing w:line="360" w:lineRule="auto"/>
        <w:ind w:firstLine="420"/>
      </w:pPr>
      <w:r>
        <w:rPr>
          <w:rFonts w:hint="eastAsia"/>
        </w:rPr>
        <w:t>e) 检验检测资料索引与电子版报告，包括取样位置与加固单元关联信息；</w:t>
      </w:r>
    </w:p>
    <w:p w14:paraId="3CDA7F0D">
      <w:pPr>
        <w:pStyle w:val="56"/>
        <w:spacing w:line="360" w:lineRule="auto"/>
        <w:ind w:firstLine="420"/>
      </w:pPr>
      <w:r>
        <w:rPr>
          <w:rFonts w:hint="eastAsia"/>
        </w:rPr>
        <w:t>f) 隐蔽工程记录与影像资料索引；</w:t>
      </w:r>
    </w:p>
    <w:p w14:paraId="2548F0C3">
      <w:pPr>
        <w:pStyle w:val="56"/>
        <w:spacing w:line="360" w:lineRule="auto"/>
        <w:ind w:firstLine="420"/>
      </w:pPr>
      <w:r>
        <w:rPr>
          <w:rFonts w:hint="eastAsia"/>
        </w:rPr>
        <w:t>g) 竣工图与必要的地理信息图层，包含加固范围边界桩位网格监测点位与重要风险点位；</w:t>
      </w:r>
    </w:p>
    <w:p w14:paraId="7A4936E9">
      <w:pPr>
        <w:pStyle w:val="56"/>
        <w:spacing w:line="360" w:lineRule="auto"/>
        <w:ind w:firstLine="420"/>
      </w:pPr>
      <w:r>
        <w:rPr>
          <w:rFonts w:hint="eastAsia"/>
        </w:rPr>
        <w:t>h) 试验段成果与参数固化文件以及参数变更记录；</w:t>
      </w:r>
    </w:p>
    <w:p w14:paraId="0FBFD542">
      <w:pPr>
        <w:pStyle w:val="56"/>
        <w:spacing w:line="360" w:lineRule="auto"/>
        <w:ind w:firstLine="420"/>
      </w:pPr>
      <w:r>
        <w:rPr>
          <w:rFonts w:hint="eastAsia"/>
        </w:rPr>
        <w:t>i) 质量评定与验收文件，包含分项分部评定结论与验收会议纪要等。</w:t>
      </w:r>
    </w:p>
    <w:p w14:paraId="0D53290A">
      <w:pPr>
        <w:pStyle w:val="65"/>
        <w:spacing w:before="120" w:after="120" w:line="360" w:lineRule="auto"/>
      </w:pPr>
      <w:r>
        <w:rPr>
          <w:rFonts w:hint="eastAsia"/>
        </w:rPr>
        <w:t>数据结构与字段要求</w:t>
      </w:r>
    </w:p>
    <w:p w14:paraId="3603C728">
      <w:pPr>
        <w:pStyle w:val="56"/>
        <w:spacing w:line="360" w:lineRule="auto"/>
        <w:ind w:firstLine="420"/>
      </w:pPr>
      <w:r>
        <w:rPr>
          <w:rFonts w:hint="eastAsia"/>
        </w:rPr>
        <w:t>交付数据应明确字段定义、单位、坐标基准与时间基准。每条记录应至少包含项目编号、加固单元编号、位置标识、设备编号、时间戳与参数值。对曲线类数据应提供采样频率与缺失数据处理说明。</w:t>
      </w:r>
    </w:p>
    <w:p w14:paraId="7A74EA5B">
      <w:pPr>
        <w:pStyle w:val="65"/>
        <w:spacing w:before="120" w:after="120" w:line="360" w:lineRule="auto"/>
      </w:pPr>
      <w:r>
        <w:rPr>
          <w:rFonts w:hint="eastAsia"/>
        </w:rPr>
        <w:t>数据安全与版本控制</w:t>
      </w:r>
    </w:p>
    <w:p w14:paraId="6997FD2A">
      <w:pPr>
        <w:pStyle w:val="56"/>
        <w:spacing w:line="360" w:lineRule="auto"/>
        <w:ind w:firstLine="420"/>
      </w:pPr>
      <w:r>
        <w:rPr>
          <w:rFonts w:hint="eastAsia"/>
        </w:rPr>
        <w:t>交付数据应提供校验信息与版本信息。原始数据与处理后数据应分别存储并具备对应关系，数据更正应保留更正痕迹与依据。交付介质应满足长期保存要求并提供至少一份备份。</w:t>
      </w:r>
    </w:p>
    <w:p w14:paraId="2B849107">
      <w:pPr>
        <w:pStyle w:val="105"/>
        <w:spacing w:before="120" w:after="120" w:line="360" w:lineRule="auto"/>
      </w:pPr>
      <w:r>
        <w:rPr>
          <w:rFonts w:hint="eastAsia"/>
        </w:rPr>
        <w:t>资料归档与移交</w:t>
      </w:r>
    </w:p>
    <w:p w14:paraId="3818AC27">
      <w:pPr>
        <w:pStyle w:val="165"/>
        <w:spacing w:line="360" w:lineRule="auto"/>
      </w:pPr>
      <w:r>
        <w:rPr>
          <w:rFonts w:hint="eastAsia"/>
        </w:rPr>
        <w:t>资料归档应符合水利工程档案管理要求。纸质资料与电子资料应一致，电子资料应建立目录与索引。</w:t>
      </w:r>
    </w:p>
    <w:p w14:paraId="4ED5466E">
      <w:pPr>
        <w:pStyle w:val="165"/>
        <w:spacing w:line="360" w:lineRule="auto"/>
      </w:pPr>
      <w:r>
        <w:rPr>
          <w:rFonts w:hint="eastAsia"/>
        </w:rPr>
        <w:t>资料移交应明确责任边界。施工单位应向建设单位移交完整的竣工资料与数字化交付成果，监理单位应移交旁站记录与质量控制文件，检测单位应移交检测报告与原始记录索引。</w:t>
      </w:r>
    </w:p>
    <w:p w14:paraId="65CC8789">
      <w:pPr>
        <w:pStyle w:val="165"/>
        <w:spacing w:line="360" w:lineRule="auto"/>
      </w:pPr>
      <w:r>
        <w:rPr>
          <w:rFonts w:hint="eastAsia"/>
        </w:rPr>
        <w:t>资料应支持运维使用。对堤防与重要水工建筑物基础，应将加固参数与监测基线数据纳入运维档案，为运行期变形监测与安全鉴定提供对比基准。</w:t>
      </w:r>
    </w:p>
    <w:p w14:paraId="150D3EC1">
      <w:pPr>
        <w:pStyle w:val="105"/>
        <w:spacing w:before="120" w:after="120" w:line="360" w:lineRule="auto"/>
      </w:pPr>
      <w:r>
        <w:rPr>
          <w:rFonts w:hint="eastAsia"/>
        </w:rPr>
        <w:t>运行期建议与复核要求</w:t>
      </w:r>
    </w:p>
    <w:p w14:paraId="39AE4502">
      <w:pPr>
        <w:pStyle w:val="165"/>
        <w:spacing w:line="360" w:lineRule="auto"/>
      </w:pPr>
      <w:r>
        <w:rPr>
          <w:rFonts w:hint="eastAsia"/>
        </w:rPr>
        <w:t>对一级风险敏感区段或采用新型工法与新设备的项目，宜在运行初期设置复核监测计划，跟踪沉降与孔压变化趋势，验证加固效果长期稳定性。</w:t>
      </w:r>
    </w:p>
    <w:p w14:paraId="48801EE5">
      <w:pPr>
        <w:pStyle w:val="165"/>
        <w:spacing w:line="360" w:lineRule="auto"/>
      </w:pPr>
      <w:r>
        <w:rPr>
          <w:rFonts w:hint="eastAsia"/>
        </w:rPr>
        <w:t>运行期发现异常沉降、渗流异常或结构开裂等情况时，应结合本文件的数字化交付数据开展溯源分析，必要时组织专项检测与补强。</w:t>
      </w:r>
    </w:p>
    <w:bookmarkEnd w:id="26"/>
    <w:p w14:paraId="6154002B">
      <w:pPr>
        <w:pStyle w:val="56"/>
        <w:ind w:firstLine="0" w:firstLineChars="0"/>
        <w:jc w:val="center"/>
      </w:pPr>
      <w:bookmarkStart w:id="59" w:name="BookMark8"/>
      <w:r>
        <w:drawing>
          <wp:inline distT="0" distB="0" distL="0" distR="0">
            <wp:extent cx="1485900" cy="317500"/>
            <wp:effectExtent l="0" t="0" r="0" b="6350"/>
            <wp:docPr id="1254640910" name="图片 1"/>
            <wp:cNvGraphicFramePr/>
            <a:graphic xmlns:a="http://schemas.openxmlformats.org/drawingml/2006/main">
              <a:graphicData uri="http://schemas.openxmlformats.org/drawingml/2006/picture">
                <pic:pic xmlns:pic="http://schemas.openxmlformats.org/drawingml/2006/picture">
                  <pic:nvPicPr>
                    <pic:cNvPr id="1254640910" name="图片 1"/>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bookmarkStart w:id="60" w:name="_GoBack"/>
      <w:bookmarkEnd w:id="60"/>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D1A94">
    <w:pPr>
      <w:pStyle w:val="51"/>
    </w:pPr>
    <w:r>
      <w:fldChar w:fldCharType="begin"/>
    </w:r>
    <w:r>
      <w:instrText xml:space="preserve"> PAGE   \* MERGEFORMAT \* MERGEFORMAT </w:instrText>
    </w:r>
    <w:r>
      <w:fldChar w:fldCharType="separate"/>
    </w:r>
    <w: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9874F">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D6B20">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989A6">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9CC8">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3EE65">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E9DB">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E3455">
    <w:pPr>
      <w:pStyle w:val="61"/>
    </w:pPr>
    <w:r>
      <w:fldChar w:fldCharType="begin"/>
    </w:r>
    <w:r>
      <w:instrText xml:space="preserve"> STYLEREF  标准文件_文件编号  \* MERGEFORMAT </w:instrText>
    </w:r>
    <w:r>
      <w:fldChar w:fldCharType="separate"/>
    </w:r>
    <w:r>
      <w:t>T/XJBX 0178—2026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090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0178—2026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0178—2026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0178—2026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DC7B9">
    <w:pPr>
      <w:pStyle w:val="61"/>
    </w:pPr>
    <w:r>
      <w:fldChar w:fldCharType="begin"/>
    </w:r>
    <w:r>
      <w:instrText xml:space="preserve"> STYLEREF  标准文件_文件编号  \* MERGEFORMAT </w:instrText>
    </w:r>
    <w:r>
      <w:fldChar w:fldCharType="separate"/>
    </w:r>
    <w:r>
      <w:t>T/XJBX 0178—2026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C180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0178—2026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E912">
    <w:pPr>
      <w:pStyle w:val="61"/>
    </w:pPr>
    <w:r>
      <w:fldChar w:fldCharType="begin"/>
    </w:r>
    <w:r>
      <w:instrText xml:space="preserve"> STYLEREF  标准文件_文件编号  \* MERGEFORMAT </w:instrText>
    </w:r>
    <w:r>
      <w:fldChar w:fldCharType="separate"/>
    </w:r>
    <w:r>
      <w:t>T/XJBX 0178—2026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E7803">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0178—2026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4C3D"/>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9FA"/>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693"/>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34A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2D5C"/>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197"/>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0A0D"/>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3E77"/>
    <w:rsid w:val="008454F8"/>
    <w:rsid w:val="0085173A"/>
    <w:rsid w:val="008603CE"/>
    <w:rsid w:val="008620FC"/>
    <w:rsid w:val="008627A5"/>
    <w:rsid w:val="00863E05"/>
    <w:rsid w:val="00865ACA"/>
    <w:rsid w:val="00865D28"/>
    <w:rsid w:val="00865F85"/>
    <w:rsid w:val="00867C10"/>
    <w:rsid w:val="00870439"/>
    <w:rsid w:val="00870DA1"/>
    <w:rsid w:val="00875C61"/>
    <w:rsid w:val="00883F93"/>
    <w:rsid w:val="00884DB3"/>
    <w:rsid w:val="00885A9D"/>
    <w:rsid w:val="008864F6"/>
    <w:rsid w:val="00887039"/>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1D9D"/>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566"/>
    <w:rsid w:val="00C16ED2"/>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690B"/>
    <w:rsid w:val="00C71372"/>
    <w:rsid w:val="00C72410"/>
    <w:rsid w:val="00C7287F"/>
    <w:rsid w:val="00C80CB8"/>
    <w:rsid w:val="00C819F8"/>
    <w:rsid w:val="00C8248C"/>
    <w:rsid w:val="00C84E33"/>
    <w:rsid w:val="00C86D6F"/>
    <w:rsid w:val="00C905FC"/>
    <w:rsid w:val="00C92D03"/>
    <w:rsid w:val="00C92D75"/>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664E"/>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A50"/>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9E3205A"/>
    <w:rsid w:val="661A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5FA9F8EC">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5EA2F0B">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5193194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2C79"/>
    <w:rsid w:val="005E6634"/>
    <w:rsid w:val="007146E1"/>
    <w:rsid w:val="00887039"/>
    <w:rsid w:val="008C00CC"/>
    <w:rsid w:val="00A959D6"/>
    <w:rsid w:val="00AE1DC6"/>
    <w:rsid w:val="00C02496"/>
    <w:rsid w:val="00E51851"/>
    <w:rsid w:val="00F35A8C"/>
    <w:rsid w:val="00FA1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29</Pages>
  <Words>7326</Words>
  <Characters>7637</Characters>
  <Lines>139</Lines>
  <Paragraphs>39</Paragraphs>
  <TotalTime>401</TotalTime>
  <ScaleCrop>false</ScaleCrop>
  <LinksUpToDate>false</LinksUpToDate>
  <CharactersWithSpaces>7733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2026-01-15T02:19:21Z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FEED444468974856A57327A14C8FC395_12</vt:lpwstr>
  </property>
</Properties>
</file>