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16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11.160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47"/>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 47</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7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0176</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急救医疗设备应急调配响应管理技术规范"/>
            </w:textInput>
          </w:ffData>
        </w:fldChar>
      </w:r>
      <w:bookmarkStart w:id="9" w:name="CSTD_NAME"/>
      <w:r>
        <w:instrText xml:space="preserve"> FORMTEXT </w:instrText>
      </w:r>
      <w:r>
        <w:fldChar w:fldCharType="separate"/>
      </w:r>
      <w:r>
        <w:t>急救医疗设备应急调配响应管理技术规范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emergency allocation and response management technology of emergency medical equipment"/>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emergency allocation and response management technology of emergency medical equipment</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363CFD">
      <w:pPr>
        <w:pStyle w:val="91"/>
        <w:spacing w:after="360"/>
      </w:pPr>
      <w:bookmarkStart w:id="21" w:name="BookMark1"/>
      <w:r>
        <w:rPr>
          <w:rFonts w:hint="eastAsia"/>
          <w:spacing w:val="320"/>
        </w:rPr>
        <w:t>目</w:t>
      </w:r>
      <w:r>
        <w:rPr>
          <w:rFonts w:hint="eastAsia"/>
        </w:rPr>
        <w:t>次</w:t>
      </w:r>
    </w:p>
    <w:p w14:paraId="3084A0D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"_Toc219034700"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_Toc219034700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B1C193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"_Toc219034701"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_Toc219034701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001735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"_Toc219034702"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_Toc219034702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2B3526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"_Toc219034703"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_Toc219034703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46E472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"_Toc219034704"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_Toc219034704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ABE94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"_Toc219034705"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_Toc219034705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F20068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"_Toc219034706" </w:instrText>
      </w:r>
      <w:r>
        <w:fldChar w:fldCharType="separate"/>
      </w:r>
      <w:r>
        <w:rPr>
          <w:rStyle w:val="32"/>
          <w:rFonts w:hint="eastAsia"/>
        </w:rPr>
        <w:t>5</w:t>
      </w:r>
      <w:r>
        <w:rPr>
          <w:rStyle w:val="32"/>
        </w:rPr>
        <w:t xml:space="preserve"> </w:t>
      </w:r>
      <w:r>
        <w:rPr>
          <w:rStyle w:val="32"/>
          <w:rFonts w:hint="eastAsia"/>
        </w:rPr>
        <w:t xml:space="preserve"> 响应分级与启动条件</w:t>
      </w:r>
      <w:r>
        <w:rPr>
          <w:rFonts w:hint="eastAsia"/>
        </w:rPr>
        <w:tab/>
      </w:r>
      <w:r>
        <w:rPr>
          <w:rFonts w:hint="eastAsia"/>
        </w:rPr>
        <w:fldChar w:fldCharType="begin"/>
      </w:r>
      <w:r>
        <w:rPr>
          <w:rFonts w:hint="eastAsia"/>
        </w:rPr>
        <w:instrText xml:space="preserve"> </w:instrText>
      </w:r>
      <w:r>
        <w:instrText xml:space="preserve">PAGEREF _Toc219034706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AA65CE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"_Toc219034707" </w:instrText>
      </w:r>
      <w:r>
        <w:fldChar w:fldCharType="separate"/>
      </w:r>
      <w:r>
        <w:rPr>
          <w:rStyle w:val="32"/>
          <w:rFonts w:hint="eastAsia"/>
        </w:rPr>
        <w:t>6</w:t>
      </w:r>
      <w:r>
        <w:rPr>
          <w:rStyle w:val="32"/>
        </w:rPr>
        <w:t xml:space="preserve"> </w:t>
      </w:r>
      <w:r>
        <w:rPr>
          <w:rStyle w:val="32"/>
          <w:rFonts w:hint="eastAsia"/>
        </w:rPr>
        <w:t xml:space="preserve"> 调配决策与任务下达</w:t>
      </w:r>
      <w:r>
        <w:rPr>
          <w:rFonts w:hint="eastAsia"/>
        </w:rPr>
        <w:tab/>
      </w:r>
      <w:r>
        <w:rPr>
          <w:rFonts w:hint="eastAsia"/>
        </w:rPr>
        <w:fldChar w:fldCharType="begin"/>
      </w:r>
      <w:r>
        <w:rPr>
          <w:rFonts w:hint="eastAsia"/>
        </w:rPr>
        <w:instrText xml:space="preserve"> </w:instrText>
      </w:r>
      <w:r>
        <w:instrText xml:space="preserve">PAGEREF _Toc219034707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B47D6D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"_Toc219034708" </w:instrText>
      </w:r>
      <w:r>
        <w:fldChar w:fldCharType="separate"/>
      </w:r>
      <w:r>
        <w:rPr>
          <w:rStyle w:val="32"/>
          <w:rFonts w:hint="eastAsia"/>
        </w:rPr>
        <w:t>7</w:t>
      </w:r>
      <w:r>
        <w:rPr>
          <w:rStyle w:val="32"/>
        </w:rPr>
        <w:t xml:space="preserve"> </w:t>
      </w:r>
      <w:r>
        <w:rPr>
          <w:rStyle w:val="32"/>
          <w:rFonts w:hint="eastAsia"/>
        </w:rPr>
        <w:t xml:space="preserve"> 出入库与交接管理</w:t>
      </w:r>
      <w:r>
        <w:rPr>
          <w:rFonts w:hint="eastAsia"/>
        </w:rPr>
        <w:tab/>
      </w:r>
      <w:r>
        <w:rPr>
          <w:rFonts w:hint="eastAsia"/>
        </w:rPr>
        <w:fldChar w:fldCharType="begin"/>
      </w:r>
      <w:r>
        <w:rPr>
          <w:rFonts w:hint="eastAsia"/>
        </w:rPr>
        <w:instrText xml:space="preserve"> </w:instrText>
      </w:r>
      <w:r>
        <w:instrText xml:space="preserve">PAGEREF _Toc219034708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E09379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"_Toc219034709" </w:instrText>
      </w:r>
      <w:r>
        <w:fldChar w:fldCharType="separate"/>
      </w:r>
      <w:r>
        <w:rPr>
          <w:rStyle w:val="32"/>
          <w:rFonts w:hint="eastAsia"/>
        </w:rPr>
        <w:t>8</w:t>
      </w:r>
      <w:r>
        <w:rPr>
          <w:rStyle w:val="32"/>
        </w:rPr>
        <w:t xml:space="preserve"> </w:t>
      </w:r>
      <w:r>
        <w:rPr>
          <w:rStyle w:val="32"/>
          <w:rFonts w:hint="eastAsia"/>
        </w:rPr>
        <w:t xml:space="preserve"> 运输投送与现场部署</w:t>
      </w:r>
      <w:r>
        <w:rPr>
          <w:rFonts w:hint="eastAsia"/>
        </w:rPr>
        <w:tab/>
      </w:r>
      <w:r>
        <w:rPr>
          <w:rFonts w:hint="eastAsia"/>
        </w:rPr>
        <w:fldChar w:fldCharType="begin"/>
      </w:r>
      <w:r>
        <w:rPr>
          <w:rFonts w:hint="eastAsia"/>
        </w:rPr>
        <w:instrText xml:space="preserve"> </w:instrText>
      </w:r>
      <w:r>
        <w:instrText xml:space="preserve">PAGEREF _Toc219034709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2A76F8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"_Toc219034710" </w:instrText>
      </w:r>
      <w:r>
        <w:fldChar w:fldCharType="separate"/>
      </w:r>
      <w:r>
        <w:rPr>
          <w:rStyle w:val="32"/>
          <w:rFonts w:hint="eastAsia"/>
        </w:rPr>
        <w:t>9</w:t>
      </w:r>
      <w:r>
        <w:rPr>
          <w:rStyle w:val="32"/>
        </w:rPr>
        <w:t xml:space="preserve"> </w:t>
      </w:r>
      <w:r>
        <w:rPr>
          <w:rStyle w:val="32"/>
          <w:rFonts w:hint="eastAsia"/>
        </w:rPr>
        <w:t xml:space="preserve"> 使用过程管理与安全控制</w:t>
      </w:r>
      <w:r>
        <w:rPr>
          <w:rFonts w:hint="eastAsia"/>
        </w:rPr>
        <w:tab/>
      </w:r>
      <w:r>
        <w:rPr>
          <w:rFonts w:hint="eastAsia"/>
        </w:rPr>
        <w:fldChar w:fldCharType="begin"/>
      </w:r>
      <w:r>
        <w:rPr>
          <w:rFonts w:hint="eastAsia"/>
        </w:rPr>
        <w:instrText xml:space="preserve"> </w:instrText>
      </w:r>
      <w:r>
        <w:instrText xml:space="preserve">PAGEREF _Toc219034710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C6D902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"_Toc219034711" </w:instrText>
      </w:r>
      <w:r>
        <w:fldChar w:fldCharType="separate"/>
      </w:r>
      <w:r>
        <w:rPr>
          <w:rStyle w:val="32"/>
          <w:rFonts w:hint="eastAsia"/>
        </w:rPr>
        <w:t>10</w:t>
      </w:r>
      <w:r>
        <w:rPr>
          <w:rStyle w:val="32"/>
        </w:rPr>
        <w:t xml:space="preserve"> </w:t>
      </w:r>
      <w:r>
        <w:rPr>
          <w:rStyle w:val="32"/>
          <w:rFonts w:hint="eastAsia"/>
        </w:rPr>
        <w:t xml:space="preserve"> 回收消杀维护与再保障</w:t>
      </w:r>
      <w:r>
        <w:rPr>
          <w:rFonts w:hint="eastAsia"/>
        </w:rPr>
        <w:tab/>
      </w:r>
      <w:r>
        <w:rPr>
          <w:rFonts w:hint="eastAsia"/>
        </w:rPr>
        <w:fldChar w:fldCharType="begin"/>
      </w:r>
      <w:r>
        <w:rPr>
          <w:rFonts w:hint="eastAsia"/>
        </w:rPr>
        <w:instrText xml:space="preserve"> </w:instrText>
      </w:r>
      <w:r>
        <w:instrText xml:space="preserve">PAGEREF _Toc219034711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71A5B5FF">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034700"/>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5C7D1E13">
      <w:pPr>
        <w:pStyle w:val="56"/>
        <w:spacing w:line="360" w:lineRule="auto"/>
        <w:ind w:firstLine="420"/>
      </w:pPr>
      <w:r>
        <w:rPr>
          <w:rFonts w:hint="eastAsia"/>
        </w:rPr>
        <w:t>本文件起草单位：东莞市长安医院。</w:t>
      </w:r>
    </w:p>
    <w:p w14:paraId="55F4A5D1">
      <w:pPr>
        <w:pStyle w:val="56"/>
        <w:spacing w:line="360" w:lineRule="auto"/>
        <w:ind w:firstLine="420"/>
      </w:pPr>
      <w:r>
        <w:rPr>
          <w:rFonts w:hint="eastAsia"/>
        </w:rPr>
        <w:t>本文件主要起草人：陈建勤。</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034701"/>
      <w:bookmarkStart w:id="25" w:name="BookMark3"/>
      <w:r>
        <w:rPr>
          <w:spacing w:val="320"/>
        </w:rPr>
        <w:t>引</w:t>
      </w:r>
      <w:r>
        <w:t>言</w:t>
      </w:r>
      <w:bookmarkEnd w:id="24"/>
    </w:p>
    <w:p w14:paraId="59A1A349">
      <w:pPr>
        <w:pStyle w:val="56"/>
        <w:spacing w:line="360" w:lineRule="auto"/>
        <w:ind w:firstLine="420"/>
      </w:pPr>
      <w:r>
        <w:rPr>
          <w:rFonts w:hint="eastAsia"/>
        </w:rPr>
        <w:t>急救医疗设备是突发事件应急处置与日常院前院内急救体系运行的重要物资基础，涵盖除颤监护、呼吸支持、急救转运、生命体征监测、输注给药、创伤处置、检验检测与信息通信等关键装备。在重大交通事故、自然灾害、公共卫生事件、大型活动医疗保障及区域性医疗资源挤兑等场景下，急救医疗设备需求具有突发性、时效性与不确定性特征，且常伴随跨机构、跨区域、跨部门的协同调配与快速投送要求。若应急调配响应管理缺乏统一的分级机制、资源底数不清、指挥链条不顺、响应流程不闭环、设备状态与可用性信息不透明，易造成调配延误、重复调拨、关键设备短缺或闲置、现场适配性不足以及设备交接不规范等问题，进而影响救治效率与患者预后，并放大公共安全风险。</w:t>
      </w:r>
    </w:p>
    <w:p w14:paraId="4DB2EFD1">
      <w:pPr>
        <w:pStyle w:val="56"/>
        <w:spacing w:line="360" w:lineRule="auto"/>
        <w:ind w:firstLine="420"/>
      </w:pPr>
      <w:r>
        <w:rPr>
          <w:rFonts w:hint="eastAsia"/>
        </w:rPr>
        <w:t>为规范急救医疗设备应急调配与响应管理活动，提高资源配置效率与响应能力，本文件提出急救医疗设备应急调配响应管理的技术要求，围绕预案体系、资源目录与分级储备、监测预警、响应分级与启动条件、调配决策与任务下达、设备出入库与交接、运输投送与现场部署、使用过程监测、回收消杀与维护校验、数据记录与绩效评估等关键环节，建立可执行、可追溯、可量化的管理框架。本文件强调以需求牵引与风险分级为主线，突出关键设备优先保障与全流程闭环控制，推动应急调配从经验驱动向数据驱动与标准化协同转变。</w:t>
      </w:r>
    </w:p>
    <w:p w14:paraId="7F4A69FE">
      <w:pPr>
        <w:pStyle w:val="56"/>
        <w:spacing w:line="360" w:lineRule="auto"/>
        <w:ind w:firstLine="420"/>
      </w:pPr>
      <w:r>
        <w:rPr>
          <w:rFonts w:hint="eastAsia"/>
        </w:rPr>
        <w:t>本文件适用于医疗机构、院前急救机构、区域医疗应急物资保障中心、卫生健康行政管理部门及承担重大活动医疗保障任务的单位开展急救医疗设备应急调配响应管理工作。对跨区域联动、军地协同与社会力量参与的应急保障活动，可参照本文件执行。</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急救医疗设备应急调配响应管理技术规范</w:t>
          </w:r>
        </w:p>
      </w:sdtContent>
    </w:sdt>
    <w:bookmarkEnd w:id="27"/>
    <w:p w14:paraId="3DB22445">
      <w:pPr>
        <w:pStyle w:val="104"/>
        <w:spacing w:before="240" w:after="240" w:line="360" w:lineRule="auto"/>
      </w:pPr>
      <w:bookmarkStart w:id="28" w:name="_Toc97192964"/>
      <w:bookmarkStart w:id="29" w:name="_Toc219034702"/>
      <w:bookmarkStart w:id="30" w:name="_Toc26986771"/>
      <w:bookmarkStart w:id="31" w:name="_Toc24884218"/>
      <w:bookmarkStart w:id="32" w:name="_Toc17233333"/>
      <w:bookmarkStart w:id="33" w:name="_Toc17233325"/>
      <w:bookmarkStart w:id="34" w:name="_Toc26986530"/>
      <w:bookmarkStart w:id="35" w:name="_Toc26648465"/>
      <w:bookmarkStart w:id="36" w:name="_Toc24884211"/>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52CDA518">
      <w:pPr>
        <w:pStyle w:val="56"/>
        <w:spacing w:line="360" w:lineRule="auto"/>
        <w:ind w:firstLine="420"/>
      </w:pPr>
      <w:bookmarkStart w:id="38" w:name="_Toc26648466"/>
      <w:bookmarkStart w:id="39" w:name="_Toc17233326"/>
      <w:bookmarkStart w:id="40" w:name="_Toc24884212"/>
      <w:bookmarkStart w:id="41" w:name="_Toc17233334"/>
      <w:bookmarkStart w:id="42" w:name="_Toc24884219"/>
      <w:r>
        <w:rPr>
          <w:rFonts w:hint="eastAsia"/>
        </w:rPr>
        <w:t>本文件规定了急救医疗设备应急调配响应管理的总体要求、响应分级与启动条件、调配决策与任务下达、出入库与交接管理、运输投送与现场部署、使用过程管理与安全控制、回收消杀维护与再保障等内容。</w:t>
      </w:r>
    </w:p>
    <w:p w14:paraId="76265264">
      <w:pPr>
        <w:pStyle w:val="56"/>
        <w:spacing w:line="360" w:lineRule="auto"/>
        <w:ind w:firstLine="420"/>
      </w:pPr>
      <w:r>
        <w:rPr>
          <w:rFonts w:hint="eastAsia"/>
        </w:rPr>
        <w:t>本文件适用于医疗机构、院前急救机构、区域医疗应急物资保障中心、卫生健康行政管理部门及承担重大活动医疗保障任务的单位开展急救医疗设备应急调配响应管理工作。社会力量参与的应急设备保障、跨区域联动调配与军地协同保障可参照本文件执行。</w:t>
      </w:r>
    </w:p>
    <w:p w14:paraId="3733B2AD">
      <w:pPr>
        <w:pStyle w:val="104"/>
        <w:spacing w:before="240" w:after="240" w:line="360" w:lineRule="auto"/>
      </w:pPr>
      <w:bookmarkStart w:id="43" w:name="_Toc26986772"/>
      <w:bookmarkStart w:id="44" w:name="_Toc219034703"/>
      <w:bookmarkStart w:id="45" w:name="_Toc26986531"/>
      <w:bookmarkStart w:id="46" w:name="_Toc97192965"/>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6E2E9A">
      <w:pPr>
        <w:pStyle w:val="56"/>
        <w:spacing w:line="360" w:lineRule="auto"/>
        <w:ind w:firstLine="420"/>
      </w:pPr>
      <w:r>
        <w:rPr>
          <w:rFonts w:hint="eastAsia"/>
        </w:rPr>
        <w:t>GB 9706.1 医用电气设备 第1部分：基本安全和基本性能通用要求</w:t>
      </w:r>
    </w:p>
    <w:p w14:paraId="29FEBCF6">
      <w:pPr>
        <w:pStyle w:val="56"/>
        <w:spacing w:line="360" w:lineRule="auto"/>
        <w:ind w:firstLine="420"/>
      </w:pPr>
      <w:r>
        <w:rPr>
          <w:rFonts w:hint="eastAsia"/>
        </w:rPr>
        <w:t>GB 15982 医院消毒卫生标准</w:t>
      </w:r>
    </w:p>
    <w:p w14:paraId="583B432E">
      <w:pPr>
        <w:pStyle w:val="56"/>
        <w:spacing w:line="360" w:lineRule="auto"/>
        <w:ind w:firstLine="420"/>
      </w:pPr>
      <w:r>
        <w:rPr>
          <w:rFonts w:hint="eastAsia"/>
        </w:rPr>
        <w:t xml:space="preserve">GB/T 1.1 标准化工作导则 </w:t>
      </w:r>
      <w:r>
        <w:t xml:space="preserve"> </w:t>
      </w:r>
      <w:r>
        <w:rPr>
          <w:rFonts w:hint="eastAsia"/>
        </w:rPr>
        <w:t>第1部分：标准化文件的结构和起草规则</w:t>
      </w:r>
    </w:p>
    <w:p w14:paraId="07A7F860">
      <w:pPr>
        <w:pStyle w:val="56"/>
        <w:spacing w:line="360" w:lineRule="auto"/>
        <w:ind w:firstLine="420"/>
      </w:pPr>
      <w:r>
        <w:t>WS 310.1</w:t>
      </w:r>
      <w:r>
        <w:rPr>
          <w:rFonts w:hint="eastAsia"/>
        </w:rPr>
        <w:t>—</w:t>
      </w:r>
      <w:r>
        <w:t>2016</w:t>
      </w:r>
      <w:r>
        <w:rPr>
          <w:rFonts w:hint="eastAsia"/>
        </w:rPr>
        <w:t xml:space="preserve"> 医院消毒供应中心  第1部分：管理规范</w:t>
      </w:r>
    </w:p>
    <w:p w14:paraId="51F02A4E">
      <w:pPr>
        <w:pStyle w:val="104"/>
        <w:spacing w:before="240" w:after="240" w:line="360" w:lineRule="auto"/>
      </w:pPr>
      <w:bookmarkStart w:id="48" w:name="_Toc219034704"/>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1DB674C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急救医疗设备 emergency medical equipment</w:t>
      </w:r>
    </w:p>
    <w:p w14:paraId="4AE289FA">
      <w:pPr>
        <w:pStyle w:val="56"/>
        <w:spacing w:line="360" w:lineRule="auto"/>
        <w:ind w:firstLine="420"/>
      </w:pPr>
      <w:r>
        <w:rPr>
          <w:rFonts w:hint="eastAsia"/>
        </w:rPr>
        <w:t>用于院前院内急救和紧急救治的医疗设备及其必要配套附件，包含生命支持、监护诊断、转运处置、检验检测、通信定位与信息记录等装备。</w:t>
      </w:r>
    </w:p>
    <w:p w14:paraId="145A3BB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应急调配 emergency dispatching</w:t>
      </w:r>
    </w:p>
    <w:p w14:paraId="34DCF6C0">
      <w:pPr>
        <w:pStyle w:val="56"/>
        <w:spacing w:line="360" w:lineRule="auto"/>
        <w:ind w:firstLine="420"/>
      </w:pPr>
      <w:r>
        <w:rPr>
          <w:rFonts w:hint="eastAsia"/>
        </w:rPr>
        <w:t>在突发事件或特殊保障任务条件下，依据指挥决策对急救医疗设备实施跨部门或跨机构的快速调拨、投送、部署与回收的全过程活动。</w:t>
      </w:r>
    </w:p>
    <w:p w14:paraId="51A7E0D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响应 response</w:t>
      </w:r>
    </w:p>
    <w:p w14:paraId="5317259D">
      <w:pPr>
        <w:pStyle w:val="56"/>
        <w:spacing w:line="360" w:lineRule="auto"/>
        <w:ind w:firstLine="420"/>
      </w:pPr>
      <w:r>
        <w:rPr>
          <w:rFonts w:hint="eastAsia"/>
        </w:rPr>
        <w:t>在监测预警触发或任务指令下，启动人员、设备、车辆、信息系统与保障资源，按规定流程开展设备调配与投送的行动状态。</w:t>
      </w:r>
    </w:p>
    <w:p w14:paraId="3A6EF3F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响应分级 response level</w:t>
      </w:r>
    </w:p>
    <w:p w14:paraId="4E3EB7BC">
      <w:pPr>
        <w:pStyle w:val="56"/>
        <w:spacing w:line="360" w:lineRule="auto"/>
        <w:ind w:firstLine="420"/>
      </w:pPr>
      <w:r>
        <w:rPr>
          <w:rFonts w:hint="eastAsia"/>
        </w:rPr>
        <w:t>依据事件影响范围、伤病员规模、救治复杂度、资源缺口程度与时效要求等因素，对应急调配响应强度、指挥权限与资源动员范围进行等级划分的管理方式。</w:t>
      </w:r>
    </w:p>
    <w:p w14:paraId="14BDA4D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设备资源目录 equipment resource catalog</w:t>
      </w:r>
    </w:p>
    <w:p w14:paraId="54053B18">
      <w:pPr>
        <w:pStyle w:val="56"/>
        <w:spacing w:line="360" w:lineRule="auto"/>
        <w:ind w:firstLine="420"/>
      </w:pPr>
      <w:r>
        <w:rPr>
          <w:rFonts w:hint="eastAsia"/>
        </w:rPr>
        <w:t>对可用于应急调配的设备品类、型号配置、数量、状态、所在位置、可用条件与配套耗材等信息进行结构化描述的清单。</w:t>
      </w:r>
    </w:p>
    <w:p w14:paraId="28281B7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可用状态 availability status</w:t>
      </w:r>
    </w:p>
    <w:p w14:paraId="3CD9E3CA">
      <w:pPr>
        <w:pStyle w:val="56"/>
        <w:spacing w:line="360" w:lineRule="auto"/>
        <w:ind w:firstLine="420"/>
      </w:pPr>
      <w:r>
        <w:rPr>
          <w:rFonts w:hint="eastAsia"/>
        </w:rPr>
        <w:t>设备在规定条件下满足安全使用、功能完好、附件齐全、校验有效、可在规定时间内出库并投入现场使用的状态。</w:t>
      </w:r>
    </w:p>
    <w:p w14:paraId="683ECDB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调配单 dispatch order</w:t>
      </w:r>
    </w:p>
    <w:p w14:paraId="631A8253">
      <w:pPr>
        <w:pStyle w:val="56"/>
        <w:spacing w:line="360" w:lineRule="auto"/>
        <w:ind w:firstLine="420"/>
      </w:pPr>
      <w:r>
        <w:rPr>
          <w:rFonts w:hint="eastAsia"/>
        </w:rPr>
        <w:t>由指挥或管理机构签发的设备调配指令性文件或电子指令，明确调配对象、数量、目的地、时限、承运方式、交接责任与回收要求。</w:t>
      </w:r>
    </w:p>
    <w:p w14:paraId="6D88CEE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交接 transfer handover</w:t>
      </w:r>
    </w:p>
    <w:p w14:paraId="140DF86E">
      <w:pPr>
        <w:pStyle w:val="56"/>
        <w:spacing w:line="360" w:lineRule="auto"/>
        <w:ind w:firstLine="420"/>
      </w:pPr>
      <w:r>
        <w:rPr>
          <w:rFonts w:hint="eastAsia"/>
        </w:rPr>
        <w:t>设备在出库、运输、到达、部署、返库等环节的责任与实物移交过程，包含清点、验收、签收、状态确认与记录留痕。</w:t>
      </w:r>
    </w:p>
    <w:p w14:paraId="1C7DDCF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现场部署 on site deployment</w:t>
      </w:r>
    </w:p>
    <w:p w14:paraId="63F7805F">
      <w:pPr>
        <w:pStyle w:val="56"/>
        <w:spacing w:line="360" w:lineRule="auto"/>
        <w:ind w:firstLine="420"/>
      </w:pPr>
      <w:r>
        <w:rPr>
          <w:rFonts w:hint="eastAsia"/>
        </w:rPr>
        <w:t>设备到达救援现场或接收单位后，完成安装调试、功能核验、附件耗材配置、人员交底与投入使用的过程。</w:t>
      </w:r>
    </w:p>
    <w:p w14:paraId="36B2D93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回收与再保障 recovery and re readiness</w:t>
      </w:r>
    </w:p>
    <w:p w14:paraId="11ED0D72">
      <w:pPr>
        <w:pStyle w:val="56"/>
        <w:spacing w:line="360" w:lineRule="auto"/>
        <w:ind w:firstLine="420"/>
      </w:pPr>
      <w:r>
        <w:rPr>
          <w:rFonts w:hint="eastAsia"/>
        </w:rPr>
        <w:t>设备完成任务后实施回收、清洁消杀、故障检修、性能校验、补充耗材与再入库，使其恢复至可用状态的活动。</w:t>
      </w:r>
    </w:p>
    <w:p w14:paraId="22879BD0">
      <w:pPr>
        <w:pStyle w:val="104"/>
        <w:spacing w:before="240" w:after="240" w:line="360" w:lineRule="auto"/>
      </w:pPr>
      <w:bookmarkStart w:id="51" w:name="_Toc219034705"/>
      <w:r>
        <w:rPr>
          <w:rFonts w:hint="eastAsia"/>
        </w:rPr>
        <w:t>总体要求</w:t>
      </w:r>
      <w:bookmarkEnd w:id="51"/>
    </w:p>
    <w:p w14:paraId="318FBAC8">
      <w:pPr>
        <w:pStyle w:val="105"/>
        <w:spacing w:before="120" w:after="120" w:line="360" w:lineRule="auto"/>
      </w:pPr>
      <w:r>
        <w:rPr>
          <w:rFonts w:hint="eastAsia"/>
        </w:rPr>
        <w:t>管理目标</w:t>
      </w:r>
    </w:p>
    <w:p w14:paraId="1D7316F0">
      <w:pPr>
        <w:pStyle w:val="165"/>
        <w:spacing w:line="360" w:lineRule="auto"/>
      </w:pPr>
      <w:r>
        <w:rPr>
          <w:rFonts w:hint="eastAsia"/>
        </w:rPr>
        <w:t>急救医疗设备应急调配响应管理应以快速响应、精准匹配、安全可控、全程可追溯为目标，保障突发事件和重大保障任务中的关键设备供给，支持现场救治效率提升与医疗安全风险控制。</w:t>
      </w:r>
    </w:p>
    <w:p w14:paraId="3684C99A">
      <w:pPr>
        <w:pStyle w:val="165"/>
        <w:spacing w:line="360" w:lineRule="auto"/>
      </w:pPr>
      <w:r>
        <w:rPr>
          <w:rFonts w:hint="eastAsia"/>
        </w:rPr>
        <w:t>管理体系应实现资源底数清晰、状态信息实时、调配决策有据、任务下达顺畅、交接责任明确、现场部署可用、回收再保障闭环，确保应急资源在全生命周期内保持可用性。</w:t>
      </w:r>
    </w:p>
    <w:p w14:paraId="190A2655">
      <w:pPr>
        <w:pStyle w:val="105"/>
        <w:spacing w:before="120" w:after="120" w:line="360" w:lineRule="auto"/>
      </w:pPr>
      <w:r>
        <w:rPr>
          <w:rFonts w:hint="eastAsia"/>
        </w:rPr>
        <w:t>组织体系与职责</w:t>
      </w:r>
    </w:p>
    <w:p w14:paraId="6C16CADB">
      <w:pPr>
        <w:pStyle w:val="65"/>
        <w:spacing w:before="120" w:after="120" w:line="360" w:lineRule="auto"/>
      </w:pPr>
      <w:r>
        <w:rPr>
          <w:rFonts w:hint="eastAsia"/>
        </w:rPr>
        <w:t>指挥与管理职责</w:t>
      </w:r>
    </w:p>
    <w:p w14:paraId="3EC3CF47">
      <w:pPr>
        <w:pStyle w:val="56"/>
        <w:spacing w:line="360" w:lineRule="auto"/>
        <w:ind w:firstLine="420"/>
      </w:pPr>
      <w:r>
        <w:rPr>
          <w:rFonts w:hint="eastAsia"/>
        </w:rPr>
        <w:t>应建立与突发事件应急体系相衔接的设备调配指挥与管理机制，明确牵头单位、指挥权限、联络渠道与跨机构协调方式。牵头单位应负责响应分级判定、调配决策组织、资源统筹与任务下达，必要时组织跨区域联动。</w:t>
      </w:r>
    </w:p>
    <w:p w14:paraId="4C1061E5">
      <w:pPr>
        <w:pStyle w:val="65"/>
        <w:spacing w:before="120" w:after="120" w:line="360" w:lineRule="auto"/>
      </w:pPr>
      <w:r>
        <w:rPr>
          <w:rFonts w:hint="eastAsia"/>
        </w:rPr>
        <w:t>资源提供单位职责</w:t>
      </w:r>
    </w:p>
    <w:p w14:paraId="3730CF82">
      <w:pPr>
        <w:pStyle w:val="56"/>
        <w:spacing w:line="360" w:lineRule="auto"/>
        <w:ind w:firstLine="420"/>
      </w:pPr>
      <w:r>
        <w:rPr>
          <w:rFonts w:hint="eastAsia"/>
        </w:rPr>
        <w:t>资源提供单位应建立设备应急保障岗位体系，负责本单位设备资源目录维护、可用状态维护、出入库管理、交接签收、运输协同与回收再保障。资源提供单位应确保纳入调配范围的设备满足安全使用与校验有效要求。</w:t>
      </w:r>
    </w:p>
    <w:p w14:paraId="39F2E8FF">
      <w:pPr>
        <w:pStyle w:val="65"/>
        <w:spacing w:before="120" w:after="120" w:line="360" w:lineRule="auto"/>
      </w:pPr>
      <w:r>
        <w:rPr>
          <w:rFonts w:hint="eastAsia"/>
        </w:rPr>
        <w:t>接收与使用单位职责</w:t>
      </w:r>
    </w:p>
    <w:p w14:paraId="105B53D1">
      <w:pPr>
        <w:pStyle w:val="56"/>
        <w:spacing w:line="360" w:lineRule="auto"/>
        <w:ind w:firstLine="420"/>
      </w:pPr>
      <w:r>
        <w:rPr>
          <w:rFonts w:hint="eastAsia"/>
        </w:rPr>
        <w:t>接收与使用单位应负责现场部署、功能核验、使用过程安全管理、耗材补给管理、运行状态反馈与任务结束后的归还交接。使用单位应指定设备责任人，落实操作培训与风险控制措施。</w:t>
      </w:r>
    </w:p>
    <w:p w14:paraId="20869ED5">
      <w:pPr>
        <w:pStyle w:val="65"/>
        <w:spacing w:before="120" w:after="120" w:line="360" w:lineRule="auto"/>
      </w:pPr>
      <w:r>
        <w:rPr>
          <w:rFonts w:hint="eastAsia"/>
        </w:rPr>
        <w:t>保障与支撑单位职责</w:t>
      </w:r>
    </w:p>
    <w:p w14:paraId="37375609">
      <w:pPr>
        <w:pStyle w:val="56"/>
        <w:spacing w:line="360" w:lineRule="auto"/>
        <w:ind w:firstLine="420"/>
      </w:pPr>
      <w:r>
        <w:rPr>
          <w:rFonts w:hint="eastAsia"/>
        </w:rPr>
        <w:t>承担运输投送、消杀维护、信息系统运维与后勤保障的单位应按职责提供车辆、人员、消杀条件、维修校验能力与信息支撑，保证调配任务按时完成并满足感染控制与医疗电气安全要求。</w:t>
      </w:r>
    </w:p>
    <w:p w14:paraId="67212ED8">
      <w:pPr>
        <w:pStyle w:val="105"/>
        <w:spacing w:before="120" w:after="120" w:line="360" w:lineRule="auto"/>
      </w:pPr>
      <w:r>
        <w:rPr>
          <w:rFonts w:hint="eastAsia"/>
        </w:rPr>
        <w:t>资源目录与分级储备要求</w:t>
      </w:r>
    </w:p>
    <w:p w14:paraId="670B2382">
      <w:pPr>
        <w:pStyle w:val="65"/>
        <w:spacing w:before="120" w:after="120" w:line="360" w:lineRule="auto"/>
      </w:pPr>
      <w:r>
        <w:rPr>
          <w:rFonts w:hint="eastAsia"/>
        </w:rPr>
        <w:t>资源目录管理</w:t>
      </w:r>
    </w:p>
    <w:p w14:paraId="0014A21C">
      <w:pPr>
        <w:pStyle w:val="56"/>
        <w:spacing w:line="360" w:lineRule="auto"/>
        <w:ind w:firstLine="420"/>
      </w:pPr>
      <w:r>
        <w:rPr>
          <w:rFonts w:hint="eastAsia"/>
        </w:rPr>
        <w:t>应建立统一的设备资源目录，覆盖设备品类、型号规格、数量、所在位置、可用状态、关键附件耗材配置、校验到期信息、出库准备时间、运输要求与现场适配条件等要素。资源目录应至少实现日常更新与响应期间实时更新。</w:t>
      </w:r>
    </w:p>
    <w:p w14:paraId="50C234E0">
      <w:pPr>
        <w:pStyle w:val="65"/>
        <w:spacing w:before="120" w:after="120" w:line="360" w:lineRule="auto"/>
      </w:pPr>
      <w:r>
        <w:rPr>
          <w:rFonts w:hint="eastAsia"/>
        </w:rPr>
        <w:t>分级储备管理</w:t>
      </w:r>
    </w:p>
    <w:p w14:paraId="1BAC99A3">
      <w:pPr>
        <w:pStyle w:val="56"/>
        <w:spacing w:line="360" w:lineRule="auto"/>
        <w:ind w:firstLine="420"/>
      </w:pPr>
      <w:r>
        <w:rPr>
          <w:rFonts w:hint="eastAsia"/>
        </w:rPr>
        <w:t>设备储备应按响应分级与风险场景实行分级配置，突出生命支持类与监护类设备优先保障。储备策略应兼顾集中储备与分散储备，结合区域服务半径、交通条件与任务类型确定库点布局。</w:t>
      </w:r>
    </w:p>
    <w:p w14:paraId="023E0D39">
      <w:pPr>
        <w:pStyle w:val="65"/>
        <w:spacing w:before="120" w:after="120" w:line="360" w:lineRule="auto"/>
      </w:pPr>
      <w:r>
        <w:rPr>
          <w:rFonts w:hint="eastAsia"/>
        </w:rPr>
        <w:t>可用状态管理</w:t>
      </w:r>
    </w:p>
    <w:p w14:paraId="4A138B01">
      <w:pPr>
        <w:pStyle w:val="56"/>
        <w:spacing w:line="360" w:lineRule="auto"/>
        <w:ind w:firstLine="420"/>
      </w:pPr>
      <w:r>
        <w:rPr>
          <w:rFonts w:hint="eastAsia"/>
        </w:rPr>
        <w:t>纳入应急调配范围的设备应保持可用状态，至少满足功能完好、附件齐全、耗材可用、消杀合规、校验有效、电源适配与安全标识完整。对暂不可用设备应及时标注原因与预计恢复时间，不得纳入可用资源数量统计。</w:t>
      </w:r>
    </w:p>
    <w:p w14:paraId="2AFDE5F5">
      <w:pPr>
        <w:pStyle w:val="105"/>
        <w:spacing w:before="120" w:after="120" w:line="360" w:lineRule="auto"/>
      </w:pPr>
      <w:r>
        <w:rPr>
          <w:rFonts w:hint="eastAsia"/>
        </w:rPr>
        <w:t>监测预警与启动准备要求</w:t>
      </w:r>
    </w:p>
    <w:p w14:paraId="78D77FE0">
      <w:pPr>
        <w:pStyle w:val="65"/>
        <w:spacing w:before="120" w:after="120" w:line="360" w:lineRule="auto"/>
      </w:pPr>
      <w:r>
        <w:rPr>
          <w:rFonts w:hint="eastAsia"/>
        </w:rPr>
        <w:t>监测预警</w:t>
      </w:r>
    </w:p>
    <w:p w14:paraId="645A5FC3">
      <w:pPr>
        <w:pStyle w:val="56"/>
        <w:spacing w:line="360" w:lineRule="auto"/>
        <w:ind w:firstLine="420"/>
      </w:pPr>
      <w:r>
        <w:rPr>
          <w:rFonts w:hint="eastAsia"/>
        </w:rPr>
        <w:t>应建立基于事件信息、急救量变化、床位负荷、关键设备使用率、耗材消耗速度与区域联动信息的监测预警机制。达到预警阈值时应提前开展资源盘点、预调拨准备与运输能力确认。</w:t>
      </w:r>
    </w:p>
    <w:p w14:paraId="5960517C">
      <w:pPr>
        <w:pStyle w:val="65"/>
        <w:spacing w:before="120" w:after="120" w:line="360" w:lineRule="auto"/>
      </w:pPr>
      <w:r>
        <w:rPr>
          <w:rFonts w:hint="eastAsia"/>
        </w:rPr>
        <w:t>启动准备</w:t>
      </w:r>
    </w:p>
    <w:p w14:paraId="1ED3A79F">
      <w:pPr>
        <w:pStyle w:val="56"/>
        <w:spacing w:line="360" w:lineRule="auto"/>
        <w:ind w:firstLine="420"/>
      </w:pPr>
      <w:r>
        <w:rPr>
          <w:rFonts w:hint="eastAsia"/>
        </w:rPr>
        <w:t>应急调配响应启动前应完成关键准备工作，包括指挥通讯联通测试、资源目录核对、可用状态抽查、出库文书准备、运输车辆与路线确认、现场接收点位与联系人确认、感染控制与生物安全要求确认。</w:t>
      </w:r>
    </w:p>
    <w:p w14:paraId="77C36771">
      <w:pPr>
        <w:pStyle w:val="105"/>
        <w:spacing w:before="120" w:after="120" w:line="360" w:lineRule="auto"/>
      </w:pPr>
      <w:r>
        <w:rPr>
          <w:rFonts w:hint="eastAsia"/>
        </w:rPr>
        <w:t>响应时效与优先级要求</w:t>
      </w:r>
    </w:p>
    <w:p w14:paraId="41DDAB73">
      <w:pPr>
        <w:pStyle w:val="65"/>
        <w:spacing w:before="120" w:after="120" w:line="360" w:lineRule="auto"/>
      </w:pPr>
      <w:r>
        <w:rPr>
          <w:rFonts w:hint="eastAsia"/>
        </w:rPr>
        <w:t>响应时效</w:t>
      </w:r>
    </w:p>
    <w:p w14:paraId="0BC77747">
      <w:pPr>
        <w:pStyle w:val="56"/>
        <w:spacing w:line="360" w:lineRule="auto"/>
        <w:ind w:firstLine="420"/>
      </w:pPr>
      <w:r>
        <w:rPr>
          <w:rFonts w:hint="eastAsia"/>
        </w:rPr>
        <w:t>应根据响应等级设置目标时效要求，覆盖指令下达时效、出库准备时效、运输投送时效与现场可用时效。时效指标应可量化并纳入绩效评估。</w:t>
      </w:r>
    </w:p>
    <w:p w14:paraId="09163765">
      <w:pPr>
        <w:pStyle w:val="65"/>
        <w:spacing w:before="120" w:after="120" w:line="360" w:lineRule="auto"/>
      </w:pPr>
      <w:r>
        <w:rPr>
          <w:rFonts w:hint="eastAsia"/>
        </w:rPr>
        <w:t>优先级规则</w:t>
      </w:r>
    </w:p>
    <w:p w14:paraId="33BFA094">
      <w:pPr>
        <w:pStyle w:val="56"/>
        <w:spacing w:line="360" w:lineRule="auto"/>
        <w:ind w:firstLine="420"/>
      </w:pPr>
      <w:r>
        <w:rPr>
          <w:rFonts w:hint="eastAsia"/>
        </w:rPr>
        <w:t>当资源不足时，应执行优先级规则，优先保障生命支持与抢救处置关键环节所需设备，并优先保障重症救治、院前救治与高风险人群救治需求。对同类需求冲突时，应由指挥机构依据事件态势与救治策略统一裁决。</w:t>
      </w:r>
    </w:p>
    <w:p w14:paraId="21855920">
      <w:pPr>
        <w:pStyle w:val="105"/>
        <w:spacing w:before="120" w:after="120" w:line="360" w:lineRule="auto"/>
      </w:pPr>
      <w:r>
        <w:rPr>
          <w:rFonts w:hint="eastAsia"/>
        </w:rPr>
        <w:t>安全管理要求</w:t>
      </w:r>
    </w:p>
    <w:p w14:paraId="4E595794">
      <w:pPr>
        <w:pStyle w:val="65"/>
        <w:spacing w:before="120" w:after="120" w:line="360" w:lineRule="auto"/>
      </w:pPr>
      <w:r>
        <w:rPr>
          <w:rFonts w:hint="eastAsia"/>
        </w:rPr>
        <w:t>医疗安全与电气安全</w:t>
      </w:r>
    </w:p>
    <w:p w14:paraId="36AD6419">
      <w:pPr>
        <w:pStyle w:val="56"/>
        <w:spacing w:line="360" w:lineRule="auto"/>
        <w:ind w:firstLine="420"/>
      </w:pPr>
      <w:r>
        <w:rPr>
          <w:rFonts w:hint="eastAsia"/>
        </w:rPr>
        <w:t>设备应满足基本安全与基本性能要求。运输与现场部署应防止冲击、跌落、进水与电磁干扰。设备通电前应完成外观检查与功能核验，使用过程应落实报警管理与用电安全措施。</w:t>
      </w:r>
    </w:p>
    <w:p w14:paraId="62A8B7DB">
      <w:pPr>
        <w:pStyle w:val="65"/>
        <w:spacing w:before="120" w:after="120" w:line="360" w:lineRule="auto"/>
      </w:pPr>
      <w:r>
        <w:rPr>
          <w:rFonts w:hint="eastAsia"/>
        </w:rPr>
        <w:t>感染控制</w:t>
      </w:r>
    </w:p>
    <w:p w14:paraId="72FB7433">
      <w:pPr>
        <w:pStyle w:val="56"/>
        <w:spacing w:line="360" w:lineRule="auto"/>
        <w:ind w:firstLine="420"/>
      </w:pPr>
      <w:r>
        <w:rPr>
          <w:rFonts w:hint="eastAsia"/>
        </w:rPr>
        <w:t>涉及污染区或传染病事件的调配任务，应落实设备分区管理与消杀要求。使用后回收应按规定流程进行清洁消杀与污染判定，防止交叉污染。</w:t>
      </w:r>
    </w:p>
    <w:p w14:paraId="4AB83565">
      <w:pPr>
        <w:pStyle w:val="65"/>
        <w:spacing w:before="120" w:after="120" w:line="360" w:lineRule="auto"/>
      </w:pPr>
      <w:r>
        <w:rPr>
          <w:rFonts w:hint="eastAsia"/>
        </w:rPr>
        <w:t>信息安全与隐私保护</w:t>
      </w:r>
    </w:p>
    <w:p w14:paraId="7601EE7E">
      <w:pPr>
        <w:pStyle w:val="56"/>
        <w:spacing w:line="360" w:lineRule="auto"/>
        <w:ind w:firstLine="420"/>
      </w:pPr>
      <w:r>
        <w:rPr>
          <w:rFonts w:hint="eastAsia"/>
        </w:rPr>
        <w:t>涉及设备联网、数据采集与患者信息记录的设备，应落实访问控制、数据加密、日志留存与最小授权原则，确保数据安全与隐私合规。</w:t>
      </w:r>
    </w:p>
    <w:p w14:paraId="57BA3FBE">
      <w:pPr>
        <w:pStyle w:val="105"/>
        <w:spacing w:before="120" w:after="120" w:line="360" w:lineRule="auto"/>
      </w:pPr>
      <w:r>
        <w:rPr>
          <w:rFonts w:hint="eastAsia"/>
        </w:rPr>
        <w:t>记录留痕与可追溯要求</w:t>
      </w:r>
    </w:p>
    <w:p w14:paraId="7D60595C">
      <w:pPr>
        <w:pStyle w:val="165"/>
        <w:spacing w:line="360" w:lineRule="auto"/>
      </w:pPr>
      <w:r>
        <w:rPr>
          <w:rFonts w:hint="eastAsia"/>
        </w:rPr>
        <w:t>应急调配全过程应实现记录留痕。记录应覆盖响应启动、调配决策、调配单下达、出库清点、运输交接、现场部署、使用状态反馈、回收消杀、维修校验与再入库等环节。</w:t>
      </w:r>
    </w:p>
    <w:p w14:paraId="2A62EE40">
      <w:pPr>
        <w:pStyle w:val="165"/>
        <w:spacing w:line="360" w:lineRule="auto"/>
      </w:pPr>
      <w:r>
        <w:rPr>
          <w:rFonts w:hint="eastAsia"/>
        </w:rPr>
        <w:t>记录宜采用信息化方式形成电子台账，并支持快速检索与统计分析。纸质记录应与电子记录一致，并纳入档案管理。</w:t>
      </w:r>
    </w:p>
    <w:p w14:paraId="590B7A6C">
      <w:pPr>
        <w:pStyle w:val="104"/>
        <w:spacing w:before="240" w:after="240" w:line="360" w:lineRule="auto"/>
      </w:pPr>
      <w:bookmarkStart w:id="52" w:name="_Toc219034706"/>
      <w:r>
        <w:rPr>
          <w:rFonts w:hint="eastAsia"/>
        </w:rPr>
        <w:t>响应分级与启动条件</w:t>
      </w:r>
      <w:bookmarkEnd w:id="52"/>
    </w:p>
    <w:p w14:paraId="66E593BC">
      <w:pPr>
        <w:pStyle w:val="105"/>
        <w:spacing w:before="120" w:after="120" w:line="360" w:lineRule="auto"/>
      </w:pPr>
      <w:r>
        <w:rPr>
          <w:rFonts w:hint="eastAsia"/>
        </w:rPr>
        <w:t>分级原则</w:t>
      </w:r>
    </w:p>
    <w:p w14:paraId="081A018F">
      <w:pPr>
        <w:pStyle w:val="165"/>
        <w:spacing w:line="360" w:lineRule="auto"/>
      </w:pPr>
      <w:r>
        <w:rPr>
          <w:rFonts w:hint="eastAsia"/>
        </w:rPr>
        <w:t>急救医疗设备应急调配响应分级应综合事件影响范围、伤病员规模与危重比例、救治复杂度、关键设备缺口程度、调配距离与时效要求、现有资源可用状态以及跨机构协同强度等因素确定。</w:t>
      </w:r>
    </w:p>
    <w:p w14:paraId="550133BC">
      <w:pPr>
        <w:pStyle w:val="165"/>
        <w:spacing w:line="360" w:lineRule="auto"/>
      </w:pPr>
      <w:r>
        <w:rPr>
          <w:rFonts w:hint="eastAsia"/>
        </w:rPr>
        <w:t>分级应与动员范围、指挥权限、资源调用层级与时效目标相匹配。等级越高，动员范围越广，指挥权限越集中，调配流程越简化，投送时效要求越严格。</w:t>
      </w:r>
    </w:p>
    <w:p w14:paraId="3F863197">
      <w:pPr>
        <w:pStyle w:val="165"/>
        <w:spacing w:line="360" w:lineRule="auto"/>
      </w:pPr>
      <w:r>
        <w:rPr>
          <w:rFonts w:hint="eastAsia"/>
        </w:rPr>
        <w:t>分级判定应以保障生命支持关键设备为优先。出现除颤、呼吸支持、转运监护等关键设备不足且影响抢救的情形时，应优先提高响应等级。</w:t>
      </w:r>
    </w:p>
    <w:p w14:paraId="3DF7FA98">
      <w:pPr>
        <w:pStyle w:val="105"/>
        <w:spacing w:before="120" w:after="120" w:line="360" w:lineRule="auto"/>
      </w:pPr>
      <w:r>
        <w:rPr>
          <w:rFonts w:hint="eastAsia"/>
        </w:rPr>
        <w:t>响应等级设置</w:t>
      </w:r>
    </w:p>
    <w:p w14:paraId="5656039D">
      <w:pPr>
        <w:pStyle w:val="65"/>
        <w:spacing w:before="120" w:after="120" w:line="360" w:lineRule="auto"/>
      </w:pPr>
      <w:r>
        <w:rPr>
          <w:rFonts w:hint="eastAsia"/>
        </w:rPr>
        <w:t>一级响应</w:t>
      </w:r>
    </w:p>
    <w:p w14:paraId="10C597E0">
      <w:pPr>
        <w:pStyle w:val="56"/>
        <w:spacing w:line="360" w:lineRule="auto"/>
        <w:ind w:firstLine="420"/>
      </w:pPr>
      <w:r>
        <w:rPr>
          <w:rFonts w:hint="eastAsia"/>
        </w:rPr>
        <w:t>适用于特别重大事件或跨区域重大事件，需省级或跨区域统筹调配，涉及多机构协同与多批次持续投送，现场救治与转运压力极大，关键设备缺口显著且需快速补齐。</w:t>
      </w:r>
    </w:p>
    <w:p w14:paraId="31AE5623">
      <w:pPr>
        <w:pStyle w:val="65"/>
        <w:spacing w:before="120" w:after="120" w:line="360" w:lineRule="auto"/>
      </w:pPr>
      <w:r>
        <w:rPr>
          <w:rFonts w:hint="eastAsia"/>
        </w:rPr>
        <w:t>二级响应</w:t>
      </w:r>
    </w:p>
    <w:p w14:paraId="0CBFDACC">
      <w:pPr>
        <w:pStyle w:val="56"/>
        <w:spacing w:line="360" w:lineRule="auto"/>
        <w:ind w:firstLine="420"/>
      </w:pPr>
      <w:r>
        <w:rPr>
          <w:rFonts w:hint="eastAsia"/>
        </w:rPr>
        <w:t>适用于重大事件或区域性医疗挤兑事件，需市级或区域层面统筹调配，涉及多家医院与院前急救机构联动，关键设备出现明显缺口或预测将出现缺口。</w:t>
      </w:r>
    </w:p>
    <w:p w14:paraId="16AE5733">
      <w:pPr>
        <w:pStyle w:val="65"/>
        <w:spacing w:before="120" w:after="120" w:line="360" w:lineRule="auto"/>
      </w:pPr>
      <w:r>
        <w:rPr>
          <w:rFonts w:hint="eastAsia"/>
        </w:rPr>
        <w:t>三级响应</w:t>
      </w:r>
    </w:p>
    <w:p w14:paraId="35EDB1BA">
      <w:pPr>
        <w:pStyle w:val="56"/>
        <w:spacing w:line="360" w:lineRule="auto"/>
        <w:ind w:firstLine="420"/>
      </w:pPr>
      <w:r>
        <w:rPr>
          <w:rFonts w:hint="eastAsia"/>
        </w:rPr>
        <w:t>适用于较大事件或特定区域短时需求峰值，主要在本区域内部统筹调配，可能需要跨院区或跨单位调拨，部分关键设备存在短缺风险。</w:t>
      </w:r>
    </w:p>
    <w:p w14:paraId="4DBE4FEF">
      <w:pPr>
        <w:pStyle w:val="56"/>
        <w:spacing w:line="360" w:lineRule="auto"/>
        <w:ind w:firstLine="420"/>
      </w:pPr>
    </w:p>
    <w:p w14:paraId="36175DC7">
      <w:pPr>
        <w:pStyle w:val="56"/>
        <w:spacing w:line="360" w:lineRule="auto"/>
        <w:ind w:firstLine="420"/>
        <w:rPr>
          <w:rFonts w:hint="eastAsia"/>
        </w:rPr>
      </w:pPr>
    </w:p>
    <w:p w14:paraId="5A976B0C">
      <w:pPr>
        <w:pStyle w:val="65"/>
        <w:spacing w:before="120" w:after="120" w:line="360" w:lineRule="auto"/>
      </w:pPr>
      <w:r>
        <w:rPr>
          <w:rFonts w:hint="eastAsia"/>
        </w:rPr>
        <w:t>四级响应</w:t>
      </w:r>
    </w:p>
    <w:p w14:paraId="305AD961">
      <w:pPr>
        <w:pStyle w:val="56"/>
        <w:spacing w:line="360" w:lineRule="auto"/>
        <w:ind w:firstLine="420"/>
      </w:pPr>
      <w:r>
        <w:rPr>
          <w:rFonts w:hint="eastAsia"/>
        </w:rPr>
        <w:t>适用于一般事件或单点任务保障，主要由单一单位内部调配解决，设备缺口可通过内部储备与常规调拨补齐。</w:t>
      </w:r>
    </w:p>
    <w:p w14:paraId="6327044B">
      <w:pPr>
        <w:pStyle w:val="105"/>
        <w:spacing w:before="120" w:after="120" w:line="360" w:lineRule="auto"/>
      </w:pPr>
      <w:r>
        <w:rPr>
          <w:rFonts w:hint="eastAsia"/>
        </w:rPr>
        <w:t>启动条件</w:t>
      </w:r>
    </w:p>
    <w:p w14:paraId="2D57340F">
      <w:pPr>
        <w:pStyle w:val="165"/>
        <w:spacing w:line="360" w:lineRule="auto"/>
      </w:pPr>
      <w:r>
        <w:rPr>
          <w:rFonts w:hint="eastAsia"/>
        </w:rPr>
        <w:t>启动条件应包括事件驱动条件与资源驱动条件两类。事件驱动条件基于事件等级与任务指令触发，资源驱动条件基于关键设备缺口、使用率和耗材消耗速度触发。</w:t>
      </w:r>
    </w:p>
    <w:p w14:paraId="35210BAA">
      <w:pPr>
        <w:pStyle w:val="165"/>
        <w:spacing w:line="360" w:lineRule="auto"/>
      </w:pPr>
      <w:r>
        <w:rPr>
          <w:rFonts w:hint="eastAsia"/>
        </w:rPr>
        <w:t>具备下列情形之一时，应启动不低于三级响应：</w:t>
      </w:r>
    </w:p>
    <w:p w14:paraId="4FC94D20">
      <w:pPr>
        <w:pStyle w:val="56"/>
        <w:spacing w:line="360" w:lineRule="auto"/>
        <w:ind w:firstLine="420"/>
      </w:pPr>
      <w:r>
        <w:rPr>
          <w:rFonts w:hint="eastAsia"/>
        </w:rPr>
        <w:t>a) 接到突发事件医疗救援指令或重大活动医疗保障指令，需在规定时限内投送设备；</w:t>
      </w:r>
    </w:p>
    <w:p w14:paraId="78A0B2B1">
      <w:pPr>
        <w:pStyle w:val="56"/>
        <w:spacing w:line="360" w:lineRule="auto"/>
        <w:ind w:firstLine="420"/>
      </w:pPr>
      <w:r>
        <w:rPr>
          <w:rFonts w:hint="eastAsia"/>
        </w:rPr>
        <w:t>b) 院前急救或急诊抢救量在短时段内显著攀升，预测关键设备不足以支撑连续救治；</w:t>
      </w:r>
    </w:p>
    <w:p w14:paraId="47F429FC">
      <w:pPr>
        <w:pStyle w:val="56"/>
        <w:spacing w:line="360" w:lineRule="auto"/>
        <w:ind w:firstLine="420"/>
      </w:pPr>
      <w:r>
        <w:rPr>
          <w:rFonts w:hint="eastAsia"/>
        </w:rPr>
        <w:t>c) 重点设备可用状态数量下降至预警阈值，且预计恢复时间不能满足救治需求；</w:t>
      </w:r>
    </w:p>
    <w:p w14:paraId="6FE182B2">
      <w:pPr>
        <w:pStyle w:val="56"/>
        <w:spacing w:line="360" w:lineRule="auto"/>
        <w:ind w:firstLine="420"/>
      </w:pPr>
      <w:r>
        <w:rPr>
          <w:rFonts w:hint="eastAsia"/>
        </w:rPr>
        <w:t>d) 发生区域性停电、洪涝、火灾等导致设备损坏或院区功能受限，需要替代设备支撑连续运行。</w:t>
      </w:r>
    </w:p>
    <w:p w14:paraId="6B3AB4A0">
      <w:pPr>
        <w:pStyle w:val="165"/>
        <w:spacing w:line="360" w:lineRule="auto"/>
      </w:pPr>
      <w:r>
        <w:rPr>
          <w:rFonts w:hint="eastAsia"/>
        </w:rPr>
        <w:t>具备下列情形之一时，应启动二级及以上响应：</w:t>
      </w:r>
    </w:p>
    <w:p w14:paraId="46305DA7">
      <w:pPr>
        <w:pStyle w:val="56"/>
        <w:spacing w:line="360" w:lineRule="auto"/>
        <w:ind w:firstLine="420"/>
      </w:pPr>
      <w:r>
        <w:rPr>
          <w:rFonts w:hint="eastAsia"/>
        </w:rPr>
        <w:t>a) 事件影响范围扩大或伤病员持续涌入，需跨医院或跨区域连续投送关键设备；</w:t>
      </w:r>
    </w:p>
    <w:p w14:paraId="4885AF80">
      <w:pPr>
        <w:pStyle w:val="56"/>
        <w:spacing w:line="360" w:lineRule="auto"/>
        <w:ind w:firstLine="420"/>
      </w:pPr>
      <w:r>
        <w:rPr>
          <w:rFonts w:hint="eastAsia"/>
        </w:rPr>
        <w:t>b) 关键设备缺口已影响抢救流程或已出现因设备不足导致的转运延迟或治疗延迟；</w:t>
      </w:r>
    </w:p>
    <w:p w14:paraId="4BAAA78D">
      <w:pPr>
        <w:pStyle w:val="56"/>
        <w:spacing w:line="360" w:lineRule="auto"/>
        <w:ind w:firstLine="420"/>
      </w:pPr>
      <w:r>
        <w:rPr>
          <w:rFonts w:hint="eastAsia"/>
        </w:rPr>
        <w:t>c) 发生传染病事件或污染事件，需成批投送隔离救治相关设备并同步保障消杀与回收；</w:t>
      </w:r>
    </w:p>
    <w:p w14:paraId="2E0EF112">
      <w:pPr>
        <w:pStyle w:val="56"/>
        <w:spacing w:line="360" w:lineRule="auto"/>
        <w:ind w:firstLine="420"/>
      </w:pPr>
      <w:r>
        <w:rPr>
          <w:rFonts w:hint="eastAsia"/>
        </w:rPr>
        <w:t>d) 指挥机构研判需启动区域联动或上级统筹调配的情形。</w:t>
      </w:r>
    </w:p>
    <w:p w14:paraId="502A4D5A">
      <w:pPr>
        <w:pStyle w:val="165"/>
        <w:spacing w:line="360" w:lineRule="auto"/>
      </w:pPr>
      <w:r>
        <w:rPr>
          <w:rFonts w:hint="eastAsia"/>
        </w:rPr>
        <w:t>具备下列情形之一时，应启动一级响应：</w:t>
      </w:r>
    </w:p>
    <w:p w14:paraId="01E642E1">
      <w:pPr>
        <w:pStyle w:val="56"/>
        <w:spacing w:line="360" w:lineRule="auto"/>
        <w:ind w:firstLine="420"/>
      </w:pPr>
      <w:r>
        <w:rPr>
          <w:rFonts w:hint="eastAsia"/>
        </w:rPr>
        <w:t>a) 特别重大事件或跨区域事件，需上级统筹协调多地资源并持续保障；</w:t>
      </w:r>
    </w:p>
    <w:p w14:paraId="79A0594C">
      <w:pPr>
        <w:pStyle w:val="56"/>
        <w:spacing w:line="360" w:lineRule="auto"/>
        <w:ind w:firstLine="420"/>
      </w:pPr>
      <w:r>
        <w:rPr>
          <w:rFonts w:hint="eastAsia"/>
        </w:rPr>
        <w:t>b) 本区域关键设备储备无法满足最低救治需求，且需快速外部支援；</w:t>
      </w:r>
    </w:p>
    <w:p w14:paraId="3D73E3F5">
      <w:pPr>
        <w:pStyle w:val="56"/>
        <w:spacing w:line="360" w:lineRule="auto"/>
        <w:ind w:firstLine="420"/>
      </w:pPr>
      <w:r>
        <w:rPr>
          <w:rFonts w:hint="eastAsia"/>
        </w:rPr>
        <w:t>c) 事件导致多处医疗机构功能受损，需集中资源重建急救能力。</w:t>
      </w:r>
    </w:p>
    <w:p w14:paraId="010EF312">
      <w:pPr>
        <w:pStyle w:val="165"/>
        <w:spacing w:line="360" w:lineRule="auto"/>
      </w:pPr>
      <w:r>
        <w:rPr>
          <w:rFonts w:hint="eastAsia"/>
        </w:rPr>
        <w:t>启动决策应形成记录。记录应包括启动等级、启动时间、决策依据、调配目标、主要风险点与信息发布范围。</w:t>
      </w:r>
    </w:p>
    <w:p w14:paraId="63212D4E">
      <w:pPr>
        <w:pStyle w:val="105"/>
        <w:spacing w:before="120" w:after="120" w:line="360" w:lineRule="auto"/>
      </w:pPr>
      <w:r>
        <w:rPr>
          <w:rFonts w:hint="eastAsia"/>
        </w:rPr>
        <w:t>解除条件与降级条件</w:t>
      </w:r>
    </w:p>
    <w:p w14:paraId="03004A80">
      <w:pPr>
        <w:pStyle w:val="165"/>
        <w:spacing w:line="360" w:lineRule="auto"/>
      </w:pPr>
      <w:r>
        <w:rPr>
          <w:rFonts w:hint="eastAsia"/>
        </w:rPr>
        <w:t>当事件态势稳定，新增伤病员明显减少，关键设备缺口消除且设备可用状态恢复至预警阈值以上时，可按程序降级或解除响应。</w:t>
      </w:r>
    </w:p>
    <w:p w14:paraId="7765725F">
      <w:pPr>
        <w:pStyle w:val="165"/>
        <w:spacing w:line="360" w:lineRule="auto"/>
      </w:pPr>
      <w:r>
        <w:rPr>
          <w:rFonts w:hint="eastAsia"/>
        </w:rPr>
        <w:t>降级或解除应满足以下条件：设备投送任务完成，现场设备使用强度下降，回收通道与消杀能力满足设备回撤需求，关键设备留置数量满足持续救治需要。</w:t>
      </w:r>
    </w:p>
    <w:p w14:paraId="32551A54">
      <w:pPr>
        <w:pStyle w:val="165"/>
        <w:spacing w:line="360" w:lineRule="auto"/>
      </w:pPr>
      <w:r>
        <w:rPr>
          <w:rFonts w:hint="eastAsia"/>
        </w:rPr>
        <w:t>降级或解除决策应形成记录，并同步明确回收计划、补给计划与恢复常态管理的节点。</w:t>
      </w:r>
    </w:p>
    <w:p w14:paraId="46FBFF59">
      <w:pPr>
        <w:pStyle w:val="56"/>
        <w:ind w:firstLine="420"/>
        <w:rPr>
          <w:rFonts w:hint="eastAsia"/>
        </w:rPr>
      </w:pPr>
    </w:p>
    <w:p w14:paraId="461B1D85">
      <w:pPr>
        <w:pStyle w:val="56"/>
        <w:ind w:firstLine="420"/>
      </w:pPr>
    </w:p>
    <w:p w14:paraId="24075AE1">
      <w:pPr>
        <w:pStyle w:val="56"/>
        <w:ind w:firstLine="420"/>
        <w:rPr>
          <w:rFonts w:hint="eastAsia"/>
        </w:rPr>
      </w:pPr>
    </w:p>
    <w:p w14:paraId="6D594FBD">
      <w:pPr>
        <w:pStyle w:val="56"/>
        <w:ind w:firstLine="420"/>
      </w:pPr>
    </w:p>
    <w:p w14:paraId="695B9E88">
      <w:pPr>
        <w:pStyle w:val="56"/>
        <w:ind w:firstLine="420"/>
        <w:rPr>
          <w:rFonts w:hint="eastAsia"/>
        </w:rPr>
      </w:pPr>
    </w:p>
    <w:p w14:paraId="75A5D523">
      <w:pPr>
        <w:pStyle w:val="105"/>
        <w:spacing w:before="120" w:after="120" w:line="360" w:lineRule="auto"/>
      </w:pPr>
      <w:r>
        <w:rPr>
          <w:rFonts w:hint="eastAsia"/>
        </w:rPr>
        <w:t>响应时限目标</w:t>
      </w:r>
    </w:p>
    <w:p w14:paraId="456BF97F">
      <w:pPr>
        <w:pStyle w:val="56"/>
        <w:spacing w:line="360" w:lineRule="auto"/>
        <w:ind w:firstLine="420"/>
      </w:pPr>
      <w:r>
        <w:rPr>
          <w:rFonts w:hint="eastAsia"/>
        </w:rPr>
        <w:t>各单位应结合区域条件设置时限目标。时限目标宜覆盖指令下达、出库准备、到达交付与现场可用四个时间点，并纳入绩效考核。对生命支持关键设备应设置更严格时限目标。设备分级目录与保障要点见表1。</w:t>
      </w:r>
    </w:p>
    <w:p w14:paraId="285226B2">
      <w:pPr>
        <w:pStyle w:val="112"/>
        <w:spacing w:before="120" w:after="120" w:line="360" w:lineRule="auto"/>
      </w:pPr>
      <w:r>
        <w:rPr>
          <w:rFonts w:hint="eastAsia"/>
        </w:rPr>
        <w:t>设备分级目录与保障要点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2977"/>
        <w:gridCol w:w="2126"/>
        <w:gridCol w:w="1701"/>
        <w:gridCol w:w="1406"/>
      </w:tblGrid>
      <w:tr w14:paraId="56996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124" w:type="dxa"/>
            <w:tcBorders>
              <w:top w:val="single" w:color="auto" w:sz="8" w:space="0"/>
              <w:bottom w:val="single" w:color="auto" w:sz="8" w:space="0"/>
            </w:tcBorders>
            <w:vAlign w:val="center"/>
          </w:tcPr>
          <w:p w14:paraId="5E458942">
            <w:pPr>
              <w:pStyle w:val="178"/>
            </w:pPr>
            <w:r>
              <w:rPr>
                <w:rFonts w:hint="eastAsia"/>
              </w:rPr>
              <w:t>设备类别分级</w:t>
            </w:r>
          </w:p>
        </w:tc>
        <w:tc>
          <w:tcPr>
            <w:tcW w:w="2977" w:type="dxa"/>
            <w:tcBorders>
              <w:top w:val="single" w:color="auto" w:sz="8" w:space="0"/>
              <w:bottom w:val="single" w:color="auto" w:sz="8" w:space="0"/>
            </w:tcBorders>
            <w:vAlign w:val="center"/>
          </w:tcPr>
          <w:p w14:paraId="2CAF87EA">
            <w:pPr>
              <w:pStyle w:val="178"/>
            </w:pPr>
            <w:r>
              <w:rPr>
                <w:rFonts w:hint="eastAsia"/>
              </w:rPr>
              <w:t>典型设备范围</w:t>
            </w:r>
          </w:p>
        </w:tc>
        <w:tc>
          <w:tcPr>
            <w:tcW w:w="2126" w:type="dxa"/>
            <w:tcBorders>
              <w:top w:val="single" w:color="auto" w:sz="8" w:space="0"/>
              <w:bottom w:val="single" w:color="auto" w:sz="8" w:space="0"/>
            </w:tcBorders>
            <w:vAlign w:val="center"/>
          </w:tcPr>
          <w:p w14:paraId="64FDD4CD">
            <w:pPr>
              <w:pStyle w:val="178"/>
            </w:pPr>
            <w:r>
              <w:rPr>
                <w:rFonts w:hint="eastAsia"/>
              </w:rPr>
              <w:t>保障要点</w:t>
            </w:r>
          </w:p>
        </w:tc>
        <w:tc>
          <w:tcPr>
            <w:tcW w:w="1701" w:type="dxa"/>
            <w:tcBorders>
              <w:top w:val="single" w:color="auto" w:sz="8" w:space="0"/>
              <w:bottom w:val="single" w:color="auto" w:sz="8" w:space="0"/>
            </w:tcBorders>
            <w:vAlign w:val="center"/>
          </w:tcPr>
          <w:p w14:paraId="78D9B089">
            <w:pPr>
              <w:pStyle w:val="178"/>
            </w:pPr>
            <w:r>
              <w:rPr>
                <w:rFonts w:hint="eastAsia"/>
              </w:rPr>
              <w:t>最小配套要求</w:t>
            </w:r>
          </w:p>
        </w:tc>
        <w:tc>
          <w:tcPr>
            <w:tcW w:w="1406" w:type="dxa"/>
            <w:tcBorders>
              <w:top w:val="single" w:color="auto" w:sz="8" w:space="0"/>
              <w:bottom w:val="single" w:color="auto" w:sz="8" w:space="0"/>
            </w:tcBorders>
            <w:vAlign w:val="center"/>
          </w:tcPr>
          <w:p w14:paraId="52565F78">
            <w:pPr>
              <w:pStyle w:val="178"/>
            </w:pPr>
            <w:r>
              <w:rPr>
                <w:rFonts w:hint="eastAsia"/>
              </w:rPr>
              <w:t>优先级规则</w:t>
            </w:r>
          </w:p>
        </w:tc>
      </w:tr>
      <w:tr w14:paraId="468AD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56215221">
            <w:pPr>
              <w:pStyle w:val="178"/>
            </w:pPr>
            <w:r>
              <w:rPr>
                <w:rFonts w:hint="eastAsia"/>
              </w:rPr>
              <w:t>一级关键设备</w:t>
            </w:r>
          </w:p>
        </w:tc>
        <w:tc>
          <w:tcPr>
            <w:tcW w:w="2977" w:type="dxa"/>
            <w:tcBorders>
              <w:top w:val="single" w:color="auto" w:sz="8" w:space="0"/>
            </w:tcBorders>
            <w:vAlign w:val="center"/>
          </w:tcPr>
          <w:p w14:paraId="5758A928">
            <w:pPr>
              <w:pStyle w:val="178"/>
            </w:pPr>
            <w:r>
              <w:rPr>
                <w:rFonts w:hint="eastAsia"/>
              </w:rPr>
              <w:t>除颤监护仪、呼吸机、转运呼吸支持设备、转运监护设备、心肺复苏辅助设备</w:t>
            </w:r>
          </w:p>
        </w:tc>
        <w:tc>
          <w:tcPr>
            <w:tcW w:w="2126" w:type="dxa"/>
            <w:tcBorders>
              <w:top w:val="single" w:color="auto" w:sz="8" w:space="0"/>
            </w:tcBorders>
            <w:vAlign w:val="center"/>
          </w:tcPr>
          <w:p w14:paraId="7F5E5651">
            <w:pPr>
              <w:pStyle w:val="178"/>
            </w:pPr>
            <w:r>
              <w:rPr>
                <w:rFonts w:hint="eastAsia"/>
              </w:rPr>
              <w:t>优先保障抢救链路不断档，保障快速部署与连续供电</w:t>
            </w:r>
          </w:p>
        </w:tc>
        <w:tc>
          <w:tcPr>
            <w:tcW w:w="1701" w:type="dxa"/>
            <w:tcBorders>
              <w:top w:val="single" w:color="auto" w:sz="8" w:space="0"/>
            </w:tcBorders>
            <w:vAlign w:val="center"/>
          </w:tcPr>
          <w:p w14:paraId="61226C1E">
            <w:pPr>
              <w:pStyle w:val="178"/>
            </w:pPr>
            <w:r>
              <w:rPr>
                <w:rFonts w:hint="eastAsia"/>
              </w:rPr>
              <w:t>电池与电源适配、关键耗材与管路、备用电极与传感器</w:t>
            </w:r>
          </w:p>
        </w:tc>
        <w:tc>
          <w:tcPr>
            <w:tcW w:w="1406" w:type="dxa"/>
            <w:tcBorders>
              <w:top w:val="single" w:color="auto" w:sz="8" w:space="0"/>
            </w:tcBorders>
            <w:vAlign w:val="center"/>
          </w:tcPr>
          <w:p w14:paraId="009A9D22">
            <w:pPr>
              <w:pStyle w:val="178"/>
            </w:pPr>
            <w:r>
              <w:rPr>
                <w:rFonts w:hint="eastAsia"/>
              </w:rPr>
              <w:t>资源不足时优先投送与留置</w:t>
            </w:r>
          </w:p>
        </w:tc>
      </w:tr>
      <w:tr w14:paraId="0E738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57D43206">
            <w:pPr>
              <w:pStyle w:val="178"/>
            </w:pPr>
            <w:r>
              <w:rPr>
                <w:rFonts w:hint="eastAsia"/>
              </w:rPr>
              <w:t>二级重要设备</w:t>
            </w:r>
          </w:p>
        </w:tc>
        <w:tc>
          <w:tcPr>
            <w:tcW w:w="2977" w:type="dxa"/>
            <w:vAlign w:val="center"/>
          </w:tcPr>
          <w:p w14:paraId="028FED78">
            <w:pPr>
              <w:pStyle w:val="178"/>
            </w:pPr>
            <w:r>
              <w:rPr>
                <w:rFonts w:hint="eastAsia"/>
              </w:rPr>
              <w:t>输注泵、注射泵、氧疗设备、吸引器、便携超声、体温管理设备</w:t>
            </w:r>
          </w:p>
        </w:tc>
        <w:tc>
          <w:tcPr>
            <w:tcW w:w="2126" w:type="dxa"/>
            <w:vAlign w:val="center"/>
          </w:tcPr>
          <w:p w14:paraId="6695CD8A">
            <w:pPr>
              <w:pStyle w:val="178"/>
            </w:pPr>
            <w:r>
              <w:rPr>
                <w:rFonts w:hint="eastAsia"/>
              </w:rPr>
              <w:t>保障重症救治与转运连续性，兼顾院前院内衔接</w:t>
            </w:r>
          </w:p>
        </w:tc>
        <w:tc>
          <w:tcPr>
            <w:tcW w:w="1701" w:type="dxa"/>
            <w:vAlign w:val="center"/>
          </w:tcPr>
          <w:p w14:paraId="1BFB02C6">
            <w:pPr>
              <w:pStyle w:val="178"/>
            </w:pPr>
            <w:r>
              <w:rPr>
                <w:rFonts w:hint="eastAsia"/>
              </w:rPr>
              <w:t>关键耗材、适配接口、消毒与防护材料</w:t>
            </w:r>
          </w:p>
        </w:tc>
        <w:tc>
          <w:tcPr>
            <w:tcW w:w="1406" w:type="dxa"/>
            <w:vAlign w:val="center"/>
          </w:tcPr>
          <w:p w14:paraId="07A63608">
            <w:pPr>
              <w:pStyle w:val="178"/>
            </w:pPr>
            <w:r>
              <w:rPr>
                <w:rFonts w:hint="eastAsia"/>
              </w:rPr>
              <w:t>一级关键设备保障后优先配置</w:t>
            </w:r>
          </w:p>
        </w:tc>
      </w:tr>
      <w:tr w14:paraId="5E6D8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01AA49C4">
            <w:pPr>
              <w:pStyle w:val="178"/>
            </w:pPr>
            <w:r>
              <w:rPr>
                <w:rFonts w:hint="eastAsia"/>
              </w:rPr>
              <w:t>三级保障设备</w:t>
            </w:r>
          </w:p>
        </w:tc>
        <w:tc>
          <w:tcPr>
            <w:tcW w:w="2977" w:type="dxa"/>
            <w:vAlign w:val="center"/>
          </w:tcPr>
          <w:p w14:paraId="7CDCA816">
            <w:pPr>
              <w:pStyle w:val="178"/>
            </w:pPr>
            <w:r>
              <w:rPr>
                <w:rFonts w:hint="eastAsia"/>
              </w:rPr>
              <w:t>急救担架、转运床、负压吸引附件、简易检验设备、照明与通信设备</w:t>
            </w:r>
          </w:p>
        </w:tc>
        <w:tc>
          <w:tcPr>
            <w:tcW w:w="2126" w:type="dxa"/>
            <w:vAlign w:val="center"/>
          </w:tcPr>
          <w:p w14:paraId="38294390">
            <w:pPr>
              <w:pStyle w:val="178"/>
            </w:pPr>
            <w:r>
              <w:rPr>
                <w:rFonts w:hint="eastAsia"/>
              </w:rPr>
              <w:t>保障现场组织与秩序，保障信息传递与记录</w:t>
            </w:r>
          </w:p>
        </w:tc>
        <w:tc>
          <w:tcPr>
            <w:tcW w:w="1701" w:type="dxa"/>
            <w:vAlign w:val="center"/>
          </w:tcPr>
          <w:p w14:paraId="2211BC2A">
            <w:pPr>
              <w:pStyle w:val="178"/>
            </w:pPr>
            <w:r>
              <w:rPr>
                <w:rFonts w:hint="eastAsia"/>
              </w:rPr>
              <w:t>通信电源、备件工具、包装防护</w:t>
            </w:r>
          </w:p>
        </w:tc>
        <w:tc>
          <w:tcPr>
            <w:tcW w:w="1406" w:type="dxa"/>
            <w:vAlign w:val="center"/>
          </w:tcPr>
          <w:p w14:paraId="1D6C4A5D">
            <w:pPr>
              <w:pStyle w:val="178"/>
            </w:pPr>
            <w:r>
              <w:rPr>
                <w:rFonts w:hint="eastAsia"/>
              </w:rPr>
              <w:t>随任务规模增配</w:t>
            </w:r>
          </w:p>
        </w:tc>
      </w:tr>
      <w:tr w14:paraId="3196D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9EBF508">
            <w:pPr>
              <w:pStyle w:val="178"/>
            </w:pPr>
            <w:r>
              <w:rPr>
                <w:rFonts w:hint="eastAsia"/>
              </w:rPr>
              <w:t>四级扩展设备</w:t>
            </w:r>
          </w:p>
        </w:tc>
        <w:tc>
          <w:tcPr>
            <w:tcW w:w="2977" w:type="dxa"/>
            <w:vAlign w:val="center"/>
          </w:tcPr>
          <w:p w14:paraId="5C240042">
            <w:pPr>
              <w:pStyle w:val="178"/>
            </w:pPr>
            <w:r>
              <w:rPr>
                <w:rFonts w:hint="eastAsia"/>
              </w:rPr>
              <w:t>备用监测设备、辅助诊疗设备、训练与演练设备</w:t>
            </w:r>
          </w:p>
        </w:tc>
        <w:tc>
          <w:tcPr>
            <w:tcW w:w="2126" w:type="dxa"/>
            <w:vAlign w:val="center"/>
          </w:tcPr>
          <w:p w14:paraId="6C2AC156">
            <w:pPr>
              <w:pStyle w:val="178"/>
            </w:pPr>
            <w:r>
              <w:rPr>
                <w:rFonts w:hint="eastAsia"/>
              </w:rPr>
              <w:t>用于容量扩展与替补，保障设备轮换与故障替代</w:t>
            </w:r>
          </w:p>
        </w:tc>
        <w:tc>
          <w:tcPr>
            <w:tcW w:w="1701" w:type="dxa"/>
            <w:vAlign w:val="center"/>
          </w:tcPr>
          <w:p w14:paraId="3F47E685">
            <w:pPr>
              <w:pStyle w:val="178"/>
            </w:pPr>
            <w:r>
              <w:rPr>
                <w:rFonts w:hint="eastAsia"/>
              </w:rPr>
              <w:t>维护工具、备用配件、标识标签</w:t>
            </w:r>
          </w:p>
        </w:tc>
        <w:tc>
          <w:tcPr>
            <w:tcW w:w="1406" w:type="dxa"/>
            <w:vAlign w:val="center"/>
          </w:tcPr>
          <w:p w14:paraId="446353E8">
            <w:pPr>
              <w:pStyle w:val="178"/>
            </w:pPr>
            <w:r>
              <w:rPr>
                <w:rFonts w:hint="eastAsia"/>
              </w:rPr>
              <w:t>在资源充足或长期任务时配置</w:t>
            </w:r>
          </w:p>
        </w:tc>
      </w:tr>
    </w:tbl>
    <w:p w14:paraId="1E754A9E">
      <w:pPr>
        <w:pStyle w:val="104"/>
        <w:spacing w:before="240" w:after="240" w:line="360" w:lineRule="auto"/>
      </w:pPr>
      <w:bookmarkStart w:id="53" w:name="_Toc219034707"/>
      <w:r>
        <w:rPr>
          <w:rFonts w:hint="eastAsia"/>
        </w:rPr>
        <w:t>调配决策与任务下达</w:t>
      </w:r>
      <w:bookmarkEnd w:id="53"/>
    </w:p>
    <w:p w14:paraId="5DDBB328">
      <w:pPr>
        <w:pStyle w:val="105"/>
        <w:spacing w:before="120" w:after="120" w:line="360" w:lineRule="auto"/>
      </w:pPr>
      <w:r>
        <w:rPr>
          <w:rFonts w:hint="eastAsia"/>
        </w:rPr>
        <w:t>一般要求</w:t>
      </w:r>
    </w:p>
    <w:p w14:paraId="2E1497E9">
      <w:pPr>
        <w:pStyle w:val="165"/>
        <w:spacing w:line="360" w:lineRule="auto"/>
      </w:pPr>
      <w:r>
        <w:rPr>
          <w:rFonts w:hint="eastAsia"/>
        </w:rPr>
        <w:t>调配决策应坚持统一指挥、分级负责、需求牵引、快速响应与动态调整原则。调配决策应以保障救治关键链路为优先，以设备可用状态与现场适配性为基础，以时效目标为约束，实现资源配置的最优组合。</w:t>
      </w:r>
    </w:p>
    <w:p w14:paraId="1AC485EA">
      <w:pPr>
        <w:pStyle w:val="165"/>
        <w:spacing w:line="360" w:lineRule="auto"/>
      </w:pPr>
      <w:r>
        <w:rPr>
          <w:rFonts w:hint="eastAsia"/>
        </w:rPr>
        <w:t>调配决策与任务下达应形成闭环记录。应记录需求提报、资源核查、决策依据、任务下达、执行反馈、变更处置与任务关闭等信息，确保可追溯与可审计。</w:t>
      </w:r>
    </w:p>
    <w:p w14:paraId="6A64ECD1">
      <w:pPr>
        <w:pStyle w:val="165"/>
        <w:spacing w:line="360" w:lineRule="auto"/>
      </w:pPr>
      <w:r>
        <w:rPr>
          <w:rFonts w:hint="eastAsia"/>
        </w:rPr>
        <w:t>调配过程中涉及跨机构、跨区域与社会力量参与时，应明确接口单位、交接规则与责任边界，避免出现重复调拨、指令冲突或责任不清。</w:t>
      </w:r>
    </w:p>
    <w:p w14:paraId="2BC5BF96">
      <w:pPr>
        <w:pStyle w:val="105"/>
        <w:spacing w:before="120" w:after="120" w:line="360" w:lineRule="auto"/>
      </w:pPr>
      <w:r>
        <w:rPr>
          <w:rFonts w:hint="eastAsia"/>
        </w:rPr>
        <w:t>需求提报与确认</w:t>
      </w:r>
    </w:p>
    <w:p w14:paraId="040E6719">
      <w:pPr>
        <w:pStyle w:val="65"/>
        <w:spacing w:before="120" w:after="120" w:line="360" w:lineRule="auto"/>
      </w:pPr>
      <w:r>
        <w:rPr>
          <w:rFonts w:hint="eastAsia"/>
        </w:rPr>
        <w:t>需求提报主体</w:t>
      </w:r>
    </w:p>
    <w:p w14:paraId="0F4EB05A">
      <w:pPr>
        <w:pStyle w:val="56"/>
        <w:spacing w:line="360" w:lineRule="auto"/>
        <w:ind w:firstLine="420"/>
      </w:pPr>
      <w:r>
        <w:rPr>
          <w:rFonts w:hint="eastAsia"/>
        </w:rPr>
        <w:t>需求可由现场指挥机构、院前急救机构、医疗机构急诊或重症单元、区域应急物资保障中心等提出。需求提报应通过统一渠道提交，并指定联系人与备份联系人。</w:t>
      </w:r>
    </w:p>
    <w:p w14:paraId="4164A694">
      <w:pPr>
        <w:pStyle w:val="65"/>
        <w:spacing w:before="120" w:after="120" w:line="360" w:lineRule="auto"/>
      </w:pPr>
      <w:r>
        <w:rPr>
          <w:rFonts w:hint="eastAsia"/>
        </w:rPr>
        <w:t>需求信息要素</w:t>
      </w:r>
    </w:p>
    <w:p w14:paraId="44AB3B6E">
      <w:pPr>
        <w:pStyle w:val="56"/>
        <w:spacing w:line="360" w:lineRule="auto"/>
        <w:ind w:firstLine="420"/>
      </w:pPr>
      <w:r>
        <w:rPr>
          <w:rFonts w:hint="eastAsia"/>
        </w:rPr>
        <w:t>需求提报应至少包含事件类型与位置、响应等级、预计伤病员数量与危重比例、救治场景与功能需求、设备类别与数量、到达时限、使用周期、现场电力与网络条件、耗材配套需求、接收点位与交接方式。</w:t>
      </w:r>
    </w:p>
    <w:p w14:paraId="2F636EA8">
      <w:pPr>
        <w:pStyle w:val="56"/>
        <w:spacing w:line="360" w:lineRule="auto"/>
        <w:ind w:firstLine="420"/>
        <w:rPr>
          <w:rFonts w:hint="eastAsia"/>
        </w:rPr>
      </w:pPr>
    </w:p>
    <w:p w14:paraId="4DF124A2">
      <w:pPr>
        <w:pStyle w:val="65"/>
        <w:spacing w:before="120" w:after="120" w:line="360" w:lineRule="auto"/>
      </w:pPr>
      <w:r>
        <w:rPr>
          <w:rFonts w:hint="eastAsia"/>
        </w:rPr>
        <w:t>需求确认</w:t>
      </w:r>
    </w:p>
    <w:p w14:paraId="2A6EB2C4">
      <w:pPr>
        <w:pStyle w:val="56"/>
        <w:spacing w:line="360" w:lineRule="auto"/>
        <w:ind w:firstLine="420"/>
      </w:pPr>
      <w:r>
        <w:rPr>
          <w:rFonts w:hint="eastAsia"/>
        </w:rPr>
        <w:t>指挥或管理机构应对需求进行确认与校核。校核内容应包括需求合理性、设备匹配性、数量与时效的可实现性、耗材与电源配套的完整性，以及现场适配风险。对不完整需求应及时补充确认，对冲突需求应按优先级规则裁决。</w:t>
      </w:r>
    </w:p>
    <w:p w14:paraId="13888D31">
      <w:pPr>
        <w:pStyle w:val="105"/>
        <w:spacing w:before="120" w:after="120" w:line="360" w:lineRule="auto"/>
      </w:pPr>
      <w:r>
        <w:rPr>
          <w:rFonts w:hint="eastAsia"/>
        </w:rPr>
        <w:t>资源核查与匹配规则</w:t>
      </w:r>
    </w:p>
    <w:p w14:paraId="4C62E332">
      <w:pPr>
        <w:pStyle w:val="65"/>
        <w:spacing w:before="120" w:after="120" w:line="360" w:lineRule="auto"/>
      </w:pPr>
      <w:r>
        <w:rPr>
          <w:rFonts w:hint="eastAsia"/>
        </w:rPr>
        <w:t>资源核查</w:t>
      </w:r>
    </w:p>
    <w:p w14:paraId="464B12B4">
      <w:pPr>
        <w:pStyle w:val="56"/>
        <w:spacing w:line="360" w:lineRule="auto"/>
        <w:ind w:firstLine="420"/>
      </w:pPr>
      <w:r>
        <w:rPr>
          <w:rFonts w:hint="eastAsia"/>
        </w:rPr>
        <w:t>调配前应核查资源目录与设备可用状态。核查内容应至少包括设备数量、位置、出库准备时间、校验有效期、关键附件耗材配置、运输要求、消杀状态与可用状态标识。</w:t>
      </w:r>
    </w:p>
    <w:p w14:paraId="064B8BD9">
      <w:pPr>
        <w:pStyle w:val="65"/>
        <w:spacing w:before="120" w:after="120" w:line="360" w:lineRule="auto"/>
      </w:pPr>
      <w:r>
        <w:rPr>
          <w:rFonts w:hint="eastAsia"/>
        </w:rPr>
        <w:t>匹配规则</w:t>
      </w:r>
    </w:p>
    <w:p w14:paraId="1B40CA91">
      <w:pPr>
        <w:pStyle w:val="56"/>
        <w:spacing w:line="360" w:lineRule="auto"/>
        <w:ind w:firstLine="420"/>
      </w:pPr>
      <w:r>
        <w:rPr>
          <w:rFonts w:hint="eastAsia"/>
        </w:rPr>
        <w:t>资源匹配应遵循以下规则：</w:t>
      </w:r>
    </w:p>
    <w:p w14:paraId="1FA7E223">
      <w:pPr>
        <w:pStyle w:val="56"/>
        <w:spacing w:line="360" w:lineRule="auto"/>
        <w:ind w:firstLine="420"/>
      </w:pPr>
      <w:r>
        <w:rPr>
          <w:rFonts w:hint="eastAsia"/>
        </w:rPr>
        <w:t>a) 优先匹配一级关键设备，保障生命支持关键链路；</w:t>
      </w:r>
    </w:p>
    <w:p w14:paraId="069B1ACE">
      <w:pPr>
        <w:pStyle w:val="56"/>
        <w:spacing w:line="360" w:lineRule="auto"/>
        <w:ind w:firstLine="420"/>
      </w:pPr>
      <w:r>
        <w:rPr>
          <w:rFonts w:hint="eastAsia"/>
        </w:rPr>
        <w:t>b) 优先选择可用状态明确、校验有效、附件齐全且可快速出库的设备；</w:t>
      </w:r>
    </w:p>
    <w:p w14:paraId="07600C42">
      <w:pPr>
        <w:pStyle w:val="56"/>
        <w:spacing w:line="360" w:lineRule="auto"/>
        <w:ind w:firstLine="420"/>
      </w:pPr>
      <w:r>
        <w:rPr>
          <w:rFonts w:hint="eastAsia"/>
        </w:rPr>
        <w:t>c) 优先选择与现场接口条件兼容的设备，包括供电接口、耗材接口、数据接口与网络条件；</w:t>
      </w:r>
    </w:p>
    <w:p w14:paraId="0AC2F508">
      <w:pPr>
        <w:pStyle w:val="56"/>
        <w:spacing w:line="360" w:lineRule="auto"/>
        <w:ind w:firstLine="420"/>
      </w:pPr>
      <w:r>
        <w:rPr>
          <w:rFonts w:hint="eastAsia"/>
        </w:rPr>
        <w:t>d) 在多点需求并发时，按响应等级、危重比例、救治时效与设备缺口程度排序分配；</w:t>
      </w:r>
    </w:p>
    <w:p w14:paraId="6D98EC6A">
      <w:pPr>
        <w:pStyle w:val="56"/>
        <w:spacing w:line="360" w:lineRule="auto"/>
        <w:ind w:firstLine="420"/>
      </w:pPr>
      <w:r>
        <w:rPr>
          <w:rFonts w:hint="eastAsia"/>
        </w:rPr>
        <w:t>e) 在可替代设备存在时，明确替代条件与功能差异，并在调配单中说明。</w:t>
      </w:r>
    </w:p>
    <w:p w14:paraId="380D3146">
      <w:pPr>
        <w:pStyle w:val="65"/>
        <w:spacing w:before="120" w:after="120" w:line="360" w:lineRule="auto"/>
      </w:pPr>
      <w:r>
        <w:rPr>
          <w:rFonts w:hint="eastAsia"/>
        </w:rPr>
        <w:t>资源不足处置</w:t>
      </w:r>
    </w:p>
    <w:p w14:paraId="4140EEC0">
      <w:pPr>
        <w:pStyle w:val="56"/>
        <w:spacing w:line="360" w:lineRule="auto"/>
        <w:ind w:firstLine="420"/>
      </w:pPr>
      <w:r>
        <w:rPr>
          <w:rFonts w:hint="eastAsia"/>
        </w:rPr>
        <w:t>资源不足时应采取组合策略，包括跨机构调拨、跨区域联动、社会力量调用、以可替代设备补齐、调整投送批次与增设共享使用机制。资源不足处置结论应记录，并同步更新响应等级与风险提示。</w:t>
      </w:r>
    </w:p>
    <w:p w14:paraId="63428266">
      <w:pPr>
        <w:pStyle w:val="105"/>
        <w:spacing w:before="120" w:after="120" w:line="360" w:lineRule="auto"/>
      </w:pPr>
      <w:r>
        <w:rPr>
          <w:rFonts w:hint="eastAsia"/>
        </w:rPr>
        <w:t>调配决策机制</w:t>
      </w:r>
    </w:p>
    <w:p w14:paraId="5E1589D5">
      <w:pPr>
        <w:pStyle w:val="65"/>
        <w:spacing w:before="120" w:after="120" w:line="360" w:lineRule="auto"/>
      </w:pPr>
      <w:r>
        <w:rPr>
          <w:rFonts w:hint="eastAsia"/>
        </w:rPr>
        <w:t>决策权限</w:t>
      </w:r>
    </w:p>
    <w:p w14:paraId="2A9F781B">
      <w:pPr>
        <w:pStyle w:val="56"/>
        <w:spacing w:line="360" w:lineRule="auto"/>
        <w:ind w:firstLine="420"/>
      </w:pPr>
      <w:r>
        <w:rPr>
          <w:rFonts w:hint="eastAsia"/>
        </w:rPr>
        <w:t>调配决策权限应与响应等级对应。四级与三级响应可由牵头单位或区域保障中心授权的调配负责人决策，二级与一级响应应由指挥机构集体研判或授权指挥长决策，并形成会议纪要或电子决策记录。</w:t>
      </w:r>
    </w:p>
    <w:p w14:paraId="6C77595B">
      <w:pPr>
        <w:pStyle w:val="65"/>
        <w:spacing w:before="120" w:after="120" w:line="360" w:lineRule="auto"/>
      </w:pPr>
      <w:r>
        <w:rPr>
          <w:rFonts w:hint="eastAsia"/>
        </w:rPr>
        <w:t>决策依据</w:t>
      </w:r>
    </w:p>
    <w:p w14:paraId="27CD17C3">
      <w:pPr>
        <w:pStyle w:val="56"/>
        <w:spacing w:line="360" w:lineRule="auto"/>
        <w:ind w:firstLine="420"/>
      </w:pPr>
      <w:r>
        <w:rPr>
          <w:rFonts w:hint="eastAsia"/>
        </w:rPr>
        <w:t>决策应基于需求信息、资源核查结果、运输能力与路线条件、现场适配约束、风险评估与时效目标。对关键设备应采用保守策略，避免因过度集中调配造成其他区域救治能力空窗。</w:t>
      </w:r>
    </w:p>
    <w:p w14:paraId="102E0B5B">
      <w:pPr>
        <w:pStyle w:val="65"/>
        <w:spacing w:before="120" w:after="120" w:line="360" w:lineRule="auto"/>
      </w:pPr>
      <w:r>
        <w:rPr>
          <w:rFonts w:hint="eastAsia"/>
        </w:rPr>
        <w:t>动态调整</w:t>
      </w:r>
    </w:p>
    <w:p w14:paraId="081B208C">
      <w:pPr>
        <w:pStyle w:val="56"/>
        <w:spacing w:line="360" w:lineRule="auto"/>
        <w:ind w:firstLine="420"/>
      </w:pPr>
      <w:r>
        <w:rPr>
          <w:rFonts w:hint="eastAsia"/>
        </w:rPr>
        <w:t>调配决策应允许动态调整。事件态势变化、需求变更、交通中断、设备故障或现场条件变化时，应启动变更流程并重新评估优先级与投送方案。</w:t>
      </w:r>
    </w:p>
    <w:p w14:paraId="38CE70A7">
      <w:pPr>
        <w:pStyle w:val="105"/>
        <w:spacing w:before="120" w:after="120" w:line="360" w:lineRule="auto"/>
      </w:pPr>
      <w:r>
        <w:rPr>
          <w:rFonts w:hint="eastAsia"/>
        </w:rPr>
        <w:t>调配单要素与下达要求</w:t>
      </w:r>
    </w:p>
    <w:p w14:paraId="279CC763">
      <w:pPr>
        <w:pStyle w:val="165"/>
        <w:spacing w:line="360" w:lineRule="auto"/>
      </w:pPr>
      <w:r>
        <w:rPr>
          <w:rFonts w:hint="eastAsia"/>
        </w:rPr>
        <w:t>调配单应为任务执行的唯一依据。调配单可为纸质或电子形式，但应具备编号、签发权限与不可抵赖的留痕机制。</w:t>
      </w:r>
    </w:p>
    <w:p w14:paraId="1DD82CD5">
      <w:pPr>
        <w:pStyle w:val="165"/>
        <w:spacing w:line="360" w:lineRule="auto"/>
      </w:pPr>
      <w:r>
        <w:rPr>
          <w:rFonts w:hint="eastAsia"/>
        </w:rPr>
        <w:t>调配单应至少包含以下要素：</w:t>
      </w:r>
    </w:p>
    <w:p w14:paraId="093C9756">
      <w:pPr>
        <w:pStyle w:val="56"/>
        <w:spacing w:line="360" w:lineRule="auto"/>
        <w:ind w:firstLine="420"/>
      </w:pPr>
      <w:r>
        <w:rPr>
          <w:rFonts w:hint="eastAsia"/>
        </w:rPr>
        <w:t>a) 调配单编号、签发单位、签发人、签发时间与响应等级；</w:t>
      </w:r>
    </w:p>
    <w:p w14:paraId="74867B4E">
      <w:pPr>
        <w:pStyle w:val="56"/>
        <w:spacing w:line="360" w:lineRule="auto"/>
        <w:ind w:firstLine="420"/>
      </w:pPr>
      <w:r>
        <w:rPr>
          <w:rFonts w:hint="eastAsia"/>
        </w:rPr>
        <w:t>b) 调出单位、调入单位或目的地、接收点位与现场联系人；</w:t>
      </w:r>
    </w:p>
    <w:p w14:paraId="663560F6">
      <w:pPr>
        <w:pStyle w:val="56"/>
        <w:spacing w:line="360" w:lineRule="auto"/>
        <w:ind w:firstLine="420"/>
      </w:pPr>
      <w:r>
        <w:rPr>
          <w:rFonts w:hint="eastAsia"/>
        </w:rPr>
        <w:t>c) 设备类别、名称、型号、数量、序列号或资产编号、可用状态标识；</w:t>
      </w:r>
    </w:p>
    <w:p w14:paraId="28D5A080">
      <w:pPr>
        <w:pStyle w:val="56"/>
        <w:spacing w:line="360" w:lineRule="auto"/>
        <w:ind w:firstLine="420"/>
      </w:pPr>
      <w:r>
        <w:rPr>
          <w:rFonts w:hint="eastAsia"/>
        </w:rPr>
        <w:t>d) 配套附件与耗材清单、电源适配要求与备用电池数量；</w:t>
      </w:r>
    </w:p>
    <w:p w14:paraId="267B0DE4">
      <w:pPr>
        <w:pStyle w:val="56"/>
        <w:spacing w:line="360" w:lineRule="auto"/>
        <w:ind w:firstLine="420"/>
      </w:pPr>
      <w:r>
        <w:rPr>
          <w:rFonts w:hint="eastAsia"/>
        </w:rPr>
        <w:t>e) 出库时间要求、到达时限、运输方式、承运单位、车辆信息与路线建议；</w:t>
      </w:r>
    </w:p>
    <w:p w14:paraId="59D0B0EE">
      <w:pPr>
        <w:pStyle w:val="56"/>
        <w:spacing w:line="360" w:lineRule="auto"/>
        <w:ind w:firstLine="420"/>
      </w:pPr>
      <w:r>
        <w:rPr>
          <w:rFonts w:hint="eastAsia"/>
        </w:rPr>
        <w:t>f) 交接方式、交接责任人、验收要点与签收规则；</w:t>
      </w:r>
    </w:p>
    <w:p w14:paraId="362070C7">
      <w:pPr>
        <w:pStyle w:val="56"/>
        <w:spacing w:line="360" w:lineRule="auto"/>
        <w:ind w:firstLine="420"/>
      </w:pPr>
      <w:r>
        <w:rPr>
          <w:rFonts w:hint="eastAsia"/>
        </w:rPr>
        <w:t>g) 现场部署要求、功能核验要求、使用注意事项与风险提示；</w:t>
      </w:r>
    </w:p>
    <w:p w14:paraId="159365BA">
      <w:pPr>
        <w:pStyle w:val="56"/>
        <w:spacing w:line="360" w:lineRule="auto"/>
        <w:ind w:firstLine="420"/>
      </w:pPr>
      <w:r>
        <w:rPr>
          <w:rFonts w:hint="eastAsia"/>
        </w:rPr>
        <w:t>h) 回收方式、回收节点、消杀要求、返库时间要求与责任单位；</w:t>
      </w:r>
    </w:p>
    <w:p w14:paraId="5CBCC19E">
      <w:pPr>
        <w:pStyle w:val="56"/>
        <w:spacing w:line="360" w:lineRule="auto"/>
        <w:ind w:firstLine="420"/>
      </w:pPr>
      <w:r>
        <w:rPr>
          <w:rFonts w:hint="eastAsia"/>
        </w:rPr>
        <w:t>i) 变更与取消规则、信息反馈频次与联络渠道。</w:t>
      </w:r>
    </w:p>
    <w:p w14:paraId="0F712EAD">
      <w:pPr>
        <w:pStyle w:val="165"/>
        <w:spacing w:line="360" w:lineRule="auto"/>
      </w:pPr>
      <w:r>
        <w:rPr>
          <w:rFonts w:hint="eastAsia"/>
        </w:rPr>
        <w:t>调配单下达后，调出单位与承运单位应进行任务确认。确认内容应包括设备清单、出库时间、运输路线、到达时限、接收点位与交接安排。确认应形成记录并回传指挥或管理机构。</w:t>
      </w:r>
    </w:p>
    <w:p w14:paraId="372CE360">
      <w:pPr>
        <w:pStyle w:val="105"/>
        <w:spacing w:before="120" w:after="120" w:line="360" w:lineRule="auto"/>
      </w:pPr>
      <w:r>
        <w:rPr>
          <w:rFonts w:hint="eastAsia"/>
        </w:rPr>
        <w:t>信息通报与协同要求</w:t>
      </w:r>
    </w:p>
    <w:p w14:paraId="4E15AFD4">
      <w:pPr>
        <w:pStyle w:val="165"/>
        <w:spacing w:line="360" w:lineRule="auto"/>
      </w:pPr>
      <w:r>
        <w:rPr>
          <w:rFonts w:hint="eastAsia"/>
        </w:rPr>
        <w:t>指挥或管理机构应建立调配信息通报机制。通报内容应包括已下达任务、在途设备清单、预计到达时间、现场接收准备情况、设备使用状态反馈与风险提示。</w:t>
      </w:r>
    </w:p>
    <w:p w14:paraId="7E945342">
      <w:pPr>
        <w:pStyle w:val="165"/>
        <w:spacing w:line="360" w:lineRule="auto"/>
      </w:pPr>
      <w:r>
        <w:rPr>
          <w:rFonts w:hint="eastAsia"/>
        </w:rPr>
        <w:t>信息通报应避免多头发布。对外通报与跨部门共享信息应按授权口径执行，确保信息一致与可控。</w:t>
      </w:r>
    </w:p>
    <w:p w14:paraId="288B7A60">
      <w:pPr>
        <w:pStyle w:val="165"/>
        <w:spacing w:line="360" w:lineRule="auto"/>
      </w:pPr>
      <w:r>
        <w:rPr>
          <w:rFonts w:hint="eastAsia"/>
        </w:rPr>
        <w:t>涉及敏感数据或联网设备时，通报内容应遵循信息安全与隐私保护要求，不得泄露患者信息与敏感位置信息。</w:t>
      </w:r>
    </w:p>
    <w:p w14:paraId="4F3CE5AF">
      <w:pPr>
        <w:pStyle w:val="105"/>
        <w:spacing w:before="120" w:after="120" w:line="360" w:lineRule="auto"/>
      </w:pPr>
      <w:r>
        <w:rPr>
          <w:rFonts w:hint="eastAsia"/>
        </w:rPr>
        <w:t>变更与取消控制</w:t>
      </w:r>
    </w:p>
    <w:p w14:paraId="4CC1FF84">
      <w:pPr>
        <w:pStyle w:val="165"/>
        <w:spacing w:line="360" w:lineRule="auto"/>
      </w:pPr>
      <w:r>
        <w:rPr>
          <w:rFonts w:hint="eastAsia"/>
        </w:rPr>
        <w:t>需求变更、目的地变更、数量变更、到达时限变更或设备替换等情形，应启动变更流程。变更应由原签发权限单位确认，并形成变更记录与新版调配单或补充指令。</w:t>
      </w:r>
    </w:p>
    <w:p w14:paraId="0B4F3F21">
      <w:pPr>
        <w:pStyle w:val="165"/>
        <w:spacing w:line="360" w:lineRule="auto"/>
      </w:pPr>
      <w:r>
        <w:rPr>
          <w:rFonts w:hint="eastAsia"/>
        </w:rPr>
        <w:t>在途变更应优先保障运输安全与设备安全。变更指令应清晰明确，避免驾驶员或承运单位误解。必要时应设置中转交接点并明确责任划分。</w:t>
      </w:r>
    </w:p>
    <w:p w14:paraId="205ECAA9">
      <w:pPr>
        <w:pStyle w:val="165"/>
        <w:spacing w:line="360" w:lineRule="auto"/>
        <w:rPr>
          <w:rFonts w:hint="eastAsia"/>
        </w:rPr>
      </w:pPr>
      <w:r>
        <w:rPr>
          <w:rFonts w:hint="eastAsia"/>
        </w:rPr>
        <w:t>取消任务应明确取消原因、已产生的执行成本、设备回撤安排与资源恢复要求，并更新资源目录与响应状态。</w:t>
      </w:r>
    </w:p>
    <w:p w14:paraId="7A7D99D4">
      <w:pPr>
        <w:pStyle w:val="56"/>
        <w:ind w:firstLine="420"/>
      </w:pPr>
    </w:p>
    <w:p w14:paraId="12B701FA">
      <w:pPr>
        <w:pStyle w:val="56"/>
        <w:ind w:firstLine="420"/>
      </w:pPr>
    </w:p>
    <w:p w14:paraId="3FAE76B0">
      <w:pPr>
        <w:pStyle w:val="56"/>
        <w:ind w:firstLine="420"/>
        <w:rPr>
          <w:rFonts w:hint="eastAsia"/>
        </w:rPr>
      </w:pPr>
    </w:p>
    <w:p w14:paraId="1C4649B8">
      <w:pPr>
        <w:pStyle w:val="104"/>
        <w:spacing w:before="240" w:after="240" w:line="360" w:lineRule="auto"/>
      </w:pPr>
      <w:bookmarkStart w:id="54" w:name="_Toc219034708"/>
      <w:r>
        <w:rPr>
          <w:rFonts w:hint="eastAsia"/>
        </w:rPr>
        <w:t>出入库与交接管理</w:t>
      </w:r>
      <w:bookmarkEnd w:id="54"/>
    </w:p>
    <w:p w14:paraId="74E8F612">
      <w:pPr>
        <w:pStyle w:val="105"/>
        <w:spacing w:before="120" w:after="120" w:line="360" w:lineRule="auto"/>
      </w:pPr>
      <w:r>
        <w:rPr>
          <w:rFonts w:hint="eastAsia"/>
        </w:rPr>
        <w:t>一般要求</w:t>
      </w:r>
    </w:p>
    <w:p w14:paraId="132CC4AD">
      <w:pPr>
        <w:pStyle w:val="165"/>
        <w:spacing w:line="360" w:lineRule="auto"/>
      </w:pPr>
      <w:r>
        <w:rPr>
          <w:rFonts w:hint="eastAsia"/>
        </w:rPr>
        <w:t>出入库与交接管理应以确保设备可用、附件齐全、责任明确、记录完整为目标。出库、在途交接、到达交接、返库交接等各环节应执行同一套交接口径与记录要素，形成可追溯链条。</w:t>
      </w:r>
    </w:p>
    <w:p w14:paraId="0A95E782">
      <w:pPr>
        <w:pStyle w:val="165"/>
        <w:spacing w:line="360" w:lineRule="auto"/>
      </w:pPr>
      <w:r>
        <w:rPr>
          <w:rFonts w:hint="eastAsia"/>
        </w:rPr>
        <w:t>出入库与交接应与调配单一致。设备品名、型号、数量、资产编号或序列号、附件耗材清单、可用状态标识与消杀状态标识应逐项核对。发现不一致时不得直接放行，应按异常处置流程处理并记录。</w:t>
      </w:r>
    </w:p>
    <w:p w14:paraId="13202697">
      <w:pPr>
        <w:pStyle w:val="165"/>
        <w:spacing w:line="360" w:lineRule="auto"/>
      </w:pPr>
      <w:r>
        <w:rPr>
          <w:rFonts w:hint="eastAsia"/>
        </w:rPr>
        <w:t>出入库与交接应优先采用信息化方式留痕，支持条码、二维码或电子标签识别。信息化系统不可用时，应采用纸质清单记录并在系统恢复后补录，确保数据一致。</w:t>
      </w:r>
    </w:p>
    <w:p w14:paraId="4EB3140F">
      <w:pPr>
        <w:pStyle w:val="105"/>
        <w:spacing w:before="120" w:after="120" w:line="360" w:lineRule="auto"/>
      </w:pPr>
      <w:r>
        <w:rPr>
          <w:rFonts w:hint="eastAsia"/>
        </w:rPr>
        <w:t>出库准备与出库审核</w:t>
      </w:r>
    </w:p>
    <w:p w14:paraId="1CD06D37">
      <w:pPr>
        <w:pStyle w:val="165"/>
        <w:spacing w:line="360" w:lineRule="auto"/>
      </w:pPr>
      <w:r>
        <w:rPr>
          <w:rFonts w:hint="eastAsia"/>
        </w:rPr>
        <w:t>出库准备应按调配单组织实施，至少包括设备实物调拨、功能自检、附件耗材配齐、外观与安全检查、消杀状态确认、包装防护、备用电池充电与电量确认、必要的说明书或快速操作卡配置。</w:t>
      </w:r>
    </w:p>
    <w:p w14:paraId="653BE705">
      <w:pPr>
        <w:pStyle w:val="165"/>
        <w:spacing w:line="360" w:lineRule="auto"/>
      </w:pPr>
      <w:r>
        <w:rPr>
          <w:rFonts w:hint="eastAsia"/>
        </w:rPr>
        <w:t>出库审核应由授权人员执行。审核内容应包括设备可用状态、校验有效期、消毒状态或污染风险标识、附件耗材清单完整性、出库时间符合性与运输条件匹配性。审核合格后方可出库。</w:t>
      </w:r>
    </w:p>
    <w:p w14:paraId="0731323B">
      <w:pPr>
        <w:pStyle w:val="165"/>
        <w:spacing w:line="360" w:lineRule="auto"/>
      </w:pPr>
      <w:r>
        <w:rPr>
          <w:rFonts w:hint="eastAsia"/>
        </w:rPr>
        <w:t>对一级关键设备应执行更严格的出库核验。核验宜包含开机自检、关键报警功能检查、电池续航检查、耗材接口适配确认与必要的备件配置确认。</w:t>
      </w:r>
    </w:p>
    <w:p w14:paraId="6820764D">
      <w:pPr>
        <w:pStyle w:val="105"/>
        <w:spacing w:before="120" w:after="120" w:line="360" w:lineRule="auto"/>
      </w:pPr>
      <w:r>
        <w:rPr>
          <w:rFonts w:hint="eastAsia"/>
        </w:rPr>
        <w:t>出库清点与交接要求</w:t>
      </w:r>
    </w:p>
    <w:p w14:paraId="55C489AE">
      <w:pPr>
        <w:pStyle w:val="165"/>
        <w:spacing w:line="360" w:lineRule="auto"/>
      </w:pPr>
      <w:r>
        <w:rPr>
          <w:rFonts w:hint="eastAsia"/>
        </w:rPr>
        <w:t>出库清点应由调出单位与承运单位或接收单位共同完成。清点应逐项核对设备主体、附件、耗材与包装防护材料，并确认资产编号或序列号一致。</w:t>
      </w:r>
    </w:p>
    <w:p w14:paraId="68341E9D">
      <w:pPr>
        <w:pStyle w:val="165"/>
        <w:spacing w:line="360" w:lineRule="auto"/>
      </w:pPr>
      <w:r>
        <w:rPr>
          <w:rFonts w:hint="eastAsia"/>
        </w:rPr>
        <w:t>出库交接应形成交接记录。交接记录应至少包含调配单编号、交接时间地点、交接双方单位与责任人、设备清单、可用状态确认、外观状态描述、附件耗材清单、包装状态、运输注意事项与异常备注。</w:t>
      </w:r>
    </w:p>
    <w:p w14:paraId="0FCA1698">
      <w:pPr>
        <w:pStyle w:val="165"/>
        <w:spacing w:line="360" w:lineRule="auto"/>
      </w:pPr>
      <w:r>
        <w:rPr>
          <w:rFonts w:hint="eastAsia"/>
        </w:rPr>
        <w:t>交接记录应完成签字或电子签章。签收后设备责任由承运单位或接收单位按交接条款承担，除非交接记录明确约定由调出单位继续承担部分责任。</w:t>
      </w:r>
    </w:p>
    <w:p w14:paraId="3F8E39A0">
      <w:pPr>
        <w:pStyle w:val="105"/>
        <w:spacing w:before="120" w:after="120" w:line="360" w:lineRule="auto"/>
      </w:pPr>
      <w:r>
        <w:rPr>
          <w:rFonts w:hint="eastAsia"/>
        </w:rPr>
        <w:t>在途管理与中转交接</w:t>
      </w:r>
    </w:p>
    <w:p w14:paraId="5D733417">
      <w:pPr>
        <w:pStyle w:val="165"/>
        <w:spacing w:line="360" w:lineRule="auto"/>
      </w:pPr>
      <w:r>
        <w:rPr>
          <w:rFonts w:hint="eastAsia"/>
        </w:rPr>
        <w:t>承运单位应按设备特性采取防震、防潮、防雨与防高温措施。对含锂电池设备应避免剧烈冲击与高温暴晒，并落实运输安全要求。</w:t>
      </w:r>
    </w:p>
    <w:p w14:paraId="15956F07">
      <w:pPr>
        <w:pStyle w:val="165"/>
        <w:spacing w:line="360" w:lineRule="auto"/>
      </w:pPr>
      <w:r>
        <w:rPr>
          <w:rFonts w:hint="eastAsia"/>
        </w:rPr>
        <w:t>在途应保持设备清单与交接记录随车同行或以电子方式可随时调阅。出现交通中断、路线变更、延误或事故时，应按信息通报机制及时上报，并采取保护措施。</w:t>
      </w:r>
    </w:p>
    <w:p w14:paraId="0FF5F6F1">
      <w:pPr>
        <w:pStyle w:val="165"/>
        <w:spacing w:line="360" w:lineRule="auto"/>
      </w:pPr>
      <w:r>
        <w:rPr>
          <w:rFonts w:hint="eastAsia"/>
        </w:rPr>
        <w:t>存在中转交接时，应设定中转交接点并明确交接责任。中转交接应重复执行清点核对与签收流程，确保责任链不断裂。</w:t>
      </w:r>
    </w:p>
    <w:p w14:paraId="61D14521">
      <w:pPr>
        <w:pStyle w:val="105"/>
        <w:spacing w:before="120" w:after="120" w:line="360" w:lineRule="auto"/>
      </w:pPr>
      <w:r>
        <w:rPr>
          <w:rFonts w:hint="eastAsia"/>
        </w:rPr>
        <w:t>到达验收与交接要求</w:t>
      </w:r>
    </w:p>
    <w:p w14:paraId="60135F82">
      <w:pPr>
        <w:pStyle w:val="165"/>
        <w:spacing w:line="360" w:lineRule="auto"/>
      </w:pPr>
      <w:r>
        <w:rPr>
          <w:rFonts w:hint="eastAsia"/>
        </w:rPr>
        <w:t>设备到达接收点后，应由接收单位组织验收交接。验收应核对设备清单、资产编号、附件耗材、消杀状态与包装完整性，并对外观损伤、缺件与污染风险进行记录。</w:t>
      </w:r>
    </w:p>
    <w:p w14:paraId="643162E4">
      <w:pPr>
        <w:pStyle w:val="165"/>
        <w:spacing w:line="360" w:lineRule="auto"/>
      </w:pPr>
      <w:r>
        <w:rPr>
          <w:rFonts w:hint="eastAsia"/>
        </w:rPr>
        <w:t>接收交接完成后，应立即进行现场可用性核验。核验宜包括通电检查、关键功能自检、报警检查、附件接口检查与耗材适配检查。核验不合格应立即报告指挥或管理机构，并启动替换或维修保障。</w:t>
      </w:r>
    </w:p>
    <w:p w14:paraId="37C42BD3">
      <w:pPr>
        <w:pStyle w:val="165"/>
        <w:spacing w:line="360" w:lineRule="auto"/>
      </w:pPr>
      <w:r>
        <w:rPr>
          <w:rFonts w:hint="eastAsia"/>
        </w:rPr>
        <w:t>对需要联网或接入信息系统的设备，应在交接后按信息安全要求完成账户授权、网络接入与日志配置，避免出现未授权接入或数据泄露风险。</w:t>
      </w:r>
    </w:p>
    <w:p w14:paraId="42C871E1">
      <w:pPr>
        <w:pStyle w:val="105"/>
        <w:spacing w:before="120" w:after="120" w:line="360" w:lineRule="auto"/>
      </w:pPr>
      <w:r>
        <w:rPr>
          <w:rFonts w:hint="eastAsia"/>
        </w:rPr>
        <w:t>返库交接与入库验收</w:t>
      </w:r>
    </w:p>
    <w:p w14:paraId="20CE4981">
      <w:pPr>
        <w:pStyle w:val="165"/>
        <w:spacing w:line="360" w:lineRule="auto"/>
      </w:pPr>
      <w:r>
        <w:rPr>
          <w:rFonts w:hint="eastAsia"/>
        </w:rPr>
        <w:t>任务结束后设备回收应按调配单要求执行。回收前应清点设备主体与附件耗材，记录使用期间的故障、报警与维修情况，并明确污染区使用史与消杀要求。</w:t>
      </w:r>
    </w:p>
    <w:p w14:paraId="404CA04A">
      <w:pPr>
        <w:pStyle w:val="165"/>
        <w:spacing w:line="360" w:lineRule="auto"/>
      </w:pPr>
      <w:r>
        <w:rPr>
          <w:rFonts w:hint="eastAsia"/>
        </w:rPr>
        <w:t>返库交接应执行责任交接与状态交接。应记录设备外观状态、功能状态、耗材消耗与缺损情况、污染判定与消杀完成情况、维修建议与校验到期情况。</w:t>
      </w:r>
    </w:p>
    <w:p w14:paraId="6DA4E7CF">
      <w:pPr>
        <w:pStyle w:val="165"/>
        <w:spacing w:line="360" w:lineRule="auto"/>
      </w:pPr>
      <w:r>
        <w:rPr>
          <w:rFonts w:hint="eastAsia"/>
        </w:rPr>
        <w:t>入库验收应包括清洁消杀确认、功能核验、必要的性能校验或计量核查、耗材补给、包装复位与可用状态更新。入库验收合格后方可恢复为可用状态并纳入资源目录统计。</w:t>
      </w:r>
    </w:p>
    <w:p w14:paraId="2F4FC303">
      <w:pPr>
        <w:pStyle w:val="105"/>
        <w:spacing w:before="120" w:after="120" w:line="360" w:lineRule="auto"/>
      </w:pPr>
      <w:r>
        <w:rPr>
          <w:rFonts w:hint="eastAsia"/>
        </w:rPr>
        <w:t>异常与争议处置</w:t>
      </w:r>
    </w:p>
    <w:p w14:paraId="6DDB9385">
      <w:pPr>
        <w:pStyle w:val="165"/>
        <w:spacing w:line="360" w:lineRule="auto"/>
      </w:pPr>
      <w:r>
        <w:rPr>
          <w:rFonts w:hint="eastAsia"/>
        </w:rPr>
        <w:t>发现缺件、损坏、污染、序列号不一致或记录不完整等异常时，应立即隔离设备并启动异常处置流程。异常处置应明确责任归属、处置措施、修复时限与替代保障方案。</w:t>
      </w:r>
    </w:p>
    <w:p w14:paraId="5F61EECA">
      <w:pPr>
        <w:pStyle w:val="165"/>
        <w:spacing w:line="360" w:lineRule="auto"/>
      </w:pPr>
      <w:r>
        <w:rPr>
          <w:rFonts w:hint="eastAsia"/>
        </w:rPr>
        <w:t>运输损坏与交接争议应以交接记录为依据进行界定。必要时应调取现场照片、视频、电子签收记录与车辆轨迹信息作为证据。</w:t>
      </w:r>
    </w:p>
    <w:p w14:paraId="4FF76D8C">
      <w:pPr>
        <w:pStyle w:val="165"/>
        <w:spacing w:line="360" w:lineRule="auto"/>
      </w:pPr>
      <w:r>
        <w:rPr>
          <w:rFonts w:hint="eastAsia"/>
        </w:rPr>
        <w:t>对因故障导致无法投入使用的关键设备，应优先保障救治连续性，采取替换投送、现场维修或功能降级使用等措施，并在后续开展原因分析与防再发改进。</w:t>
      </w:r>
    </w:p>
    <w:p w14:paraId="72C7EA70">
      <w:pPr>
        <w:pStyle w:val="104"/>
        <w:spacing w:before="240" w:after="240" w:line="360" w:lineRule="auto"/>
      </w:pPr>
      <w:bookmarkStart w:id="55" w:name="_Toc219034709"/>
      <w:r>
        <w:rPr>
          <w:rFonts w:hint="eastAsia"/>
        </w:rPr>
        <w:t>运输投送与现场部署</w:t>
      </w:r>
      <w:bookmarkEnd w:id="55"/>
    </w:p>
    <w:p w14:paraId="24830B68">
      <w:pPr>
        <w:pStyle w:val="105"/>
        <w:spacing w:before="120" w:after="120" w:line="360" w:lineRule="auto"/>
      </w:pPr>
      <w:r>
        <w:rPr>
          <w:rFonts w:hint="eastAsia"/>
        </w:rPr>
        <w:t>一般要求</w:t>
      </w:r>
    </w:p>
    <w:p w14:paraId="468939E6">
      <w:pPr>
        <w:pStyle w:val="165"/>
        <w:spacing w:line="360" w:lineRule="auto"/>
      </w:pPr>
      <w:r>
        <w:rPr>
          <w:rFonts w:hint="eastAsia"/>
        </w:rPr>
        <w:t>运输投送与现场部署应以时效达成与设备可用为核心。应在满足安全运输与感染控制要求的前提下，确保设备按规定时限到达指定地点并完成部署核验，形成可投入使用状态。</w:t>
      </w:r>
    </w:p>
    <w:p w14:paraId="386A4AC5">
      <w:pPr>
        <w:pStyle w:val="165"/>
        <w:spacing w:line="360" w:lineRule="auto"/>
      </w:pPr>
      <w:r>
        <w:rPr>
          <w:rFonts w:hint="eastAsia"/>
        </w:rPr>
        <w:t>运输投送与现场部署应与调配单一致。运输方式、到达点位、交接方式、随行附件耗材与现场适配要求不得擅自变更。确需变更时应按变更控制流程执行，并形成记录。</w:t>
      </w:r>
    </w:p>
    <w:p w14:paraId="3D85E665">
      <w:pPr>
        <w:pStyle w:val="165"/>
        <w:spacing w:line="360" w:lineRule="auto"/>
      </w:pPr>
      <w:r>
        <w:rPr>
          <w:rFonts w:hint="eastAsia"/>
        </w:rPr>
        <w:t>生命支持类设备运输与部署应设置优先通道。对除颤监护、呼吸支持与转运监护设备应优先安排车辆、优先安排装卸、优先完成安装调试与功能核验。</w:t>
      </w:r>
    </w:p>
    <w:p w14:paraId="10E6299F">
      <w:pPr>
        <w:pStyle w:val="165"/>
        <w:numPr>
          <w:ilvl w:val="0"/>
          <w:numId w:val="0"/>
        </w:numPr>
        <w:spacing w:line="360" w:lineRule="auto"/>
        <w:rPr>
          <w:rFonts w:hint="eastAsia"/>
        </w:rPr>
      </w:pPr>
    </w:p>
    <w:p w14:paraId="5C560F97">
      <w:pPr>
        <w:pStyle w:val="105"/>
        <w:spacing w:before="120" w:after="120" w:line="360" w:lineRule="auto"/>
      </w:pPr>
      <w:r>
        <w:rPr>
          <w:rFonts w:hint="eastAsia"/>
        </w:rPr>
        <w:t>运输组织与路线管理</w:t>
      </w:r>
    </w:p>
    <w:p w14:paraId="74D9F6B0">
      <w:pPr>
        <w:pStyle w:val="165"/>
        <w:spacing w:line="360" w:lineRule="auto"/>
      </w:pPr>
      <w:r>
        <w:rPr>
          <w:rFonts w:hint="eastAsia"/>
        </w:rPr>
        <w:t>运输组织应明确承运单位、车辆类型、装载能力、驾驶员与随车保障人员，并明确途中联络机制与应急处置预案。跨区域运输应明确中转点与补给点。</w:t>
      </w:r>
    </w:p>
    <w:p w14:paraId="013B610A">
      <w:pPr>
        <w:pStyle w:val="165"/>
        <w:spacing w:line="360" w:lineRule="auto"/>
      </w:pPr>
      <w:r>
        <w:rPr>
          <w:rFonts w:hint="eastAsia"/>
        </w:rPr>
        <w:t>运输路线应综合道路通行、交通管制、天气与安全风险确定。应制定主路线与备选路线，并明确路线变更触发条件。必要时应协调交通保障或开辟应急通道。</w:t>
      </w:r>
    </w:p>
    <w:p w14:paraId="3974C36C">
      <w:pPr>
        <w:pStyle w:val="165"/>
        <w:spacing w:line="360" w:lineRule="auto"/>
      </w:pPr>
      <w:r>
        <w:rPr>
          <w:rFonts w:hint="eastAsia"/>
        </w:rPr>
        <w:t>运输过程中应实施在途跟踪。跟踪信息宜包括车辆位置、预计到达时间、途中异常与处置进展。对一级关键设备在途延误时应立即启动替代方案或调整现场救治策略。</w:t>
      </w:r>
    </w:p>
    <w:p w14:paraId="0F8AE21D">
      <w:pPr>
        <w:pStyle w:val="105"/>
        <w:spacing w:before="120" w:after="120" w:line="360" w:lineRule="auto"/>
      </w:pPr>
      <w:r>
        <w:rPr>
          <w:rFonts w:hint="eastAsia"/>
        </w:rPr>
        <w:t>装卸与包装防护要求</w:t>
      </w:r>
    </w:p>
    <w:p w14:paraId="56056F11">
      <w:pPr>
        <w:pStyle w:val="165"/>
        <w:spacing w:line="360" w:lineRule="auto"/>
      </w:pPr>
      <w:r>
        <w:rPr>
          <w:rFonts w:hint="eastAsia"/>
        </w:rPr>
        <w:t>装卸应由经过培训人员实施，避免抛掷、拖拽与剧烈冲击。对精密设备与含显示屏设备应使用防震包装与固定装置。</w:t>
      </w:r>
    </w:p>
    <w:p w14:paraId="18F4C9A0">
      <w:pPr>
        <w:pStyle w:val="165"/>
        <w:spacing w:line="360" w:lineRule="auto"/>
      </w:pPr>
      <w:r>
        <w:rPr>
          <w:rFonts w:hint="eastAsia"/>
        </w:rPr>
        <w:t>包装防护应满足防震、防潮、防雨与防尘要求。必要时应配置防水罩、防撞护角与缓冲材料。对含锂电池设备应避免短路与高温暴晒，并按设备说明要求进行固定与隔离。</w:t>
      </w:r>
    </w:p>
    <w:p w14:paraId="32707BF6">
      <w:pPr>
        <w:pStyle w:val="165"/>
        <w:spacing w:line="360" w:lineRule="auto"/>
      </w:pPr>
      <w:r>
        <w:rPr>
          <w:rFonts w:hint="eastAsia"/>
        </w:rPr>
        <w:t>装卸完成后应核对封箱与标识。包装外应标注设备名称、数量、向上标识、易碎标识、防潮标识与到达点位信息，并与交接记录一致。</w:t>
      </w:r>
    </w:p>
    <w:p w14:paraId="4579BE6E">
      <w:pPr>
        <w:pStyle w:val="105"/>
        <w:spacing w:before="120" w:after="120" w:line="360" w:lineRule="auto"/>
      </w:pPr>
      <w:r>
        <w:rPr>
          <w:rFonts w:hint="eastAsia"/>
        </w:rPr>
        <w:t>现场接收准备要求</w:t>
      </w:r>
    </w:p>
    <w:p w14:paraId="01DA1BCB">
      <w:pPr>
        <w:pStyle w:val="165"/>
        <w:spacing w:line="360" w:lineRule="auto"/>
      </w:pPr>
      <w:r>
        <w:rPr>
          <w:rFonts w:hint="eastAsia"/>
        </w:rPr>
        <w:t>接收单位应在设备到达前完成接收准备。准备内容应至少包括接收点位确定、装卸通道与临时存放区设置、人员与工具准备、电力与网络条件确认、感染控制分区确认以及交接联系人到位。</w:t>
      </w:r>
    </w:p>
    <w:p w14:paraId="7D404CA2">
      <w:pPr>
        <w:pStyle w:val="165"/>
        <w:spacing w:line="360" w:lineRule="auto"/>
      </w:pPr>
      <w:r>
        <w:rPr>
          <w:rFonts w:hint="eastAsia"/>
        </w:rPr>
        <w:t>现场应设置设备暂存区与部署区。暂存区应满足防雨防尘与秩序管理要求，部署区应满足用电安全、空间布置与救治流程要求。</w:t>
      </w:r>
    </w:p>
    <w:p w14:paraId="004049EE">
      <w:pPr>
        <w:pStyle w:val="165"/>
        <w:spacing w:line="360" w:lineRule="auto"/>
      </w:pPr>
      <w:r>
        <w:rPr>
          <w:rFonts w:hint="eastAsia"/>
        </w:rPr>
        <w:t>对污染事件或传染病事件，应明确清洁区、半污染区与污染区的设备流线，避免未消杀设备进入清洁区，防止交叉污染。</w:t>
      </w:r>
    </w:p>
    <w:p w14:paraId="45E3E5E8">
      <w:pPr>
        <w:pStyle w:val="105"/>
        <w:spacing w:before="120" w:after="120" w:line="360" w:lineRule="auto"/>
      </w:pPr>
      <w:r>
        <w:rPr>
          <w:rFonts w:hint="eastAsia"/>
        </w:rPr>
        <w:t>安装调试与功能核验</w:t>
      </w:r>
    </w:p>
    <w:p w14:paraId="0A8C2A83">
      <w:pPr>
        <w:pStyle w:val="165"/>
        <w:spacing w:line="360" w:lineRule="auto"/>
      </w:pPr>
      <w:r>
        <w:rPr>
          <w:rFonts w:hint="eastAsia"/>
        </w:rPr>
        <w:t>设备到达后应先完成外观检查与附件核对，再进行安装调试。安装调试应按设备说明与现场条件执行，确保连接可靠、接口匹配、供电稳定。</w:t>
      </w:r>
    </w:p>
    <w:p w14:paraId="5AD1A07A">
      <w:pPr>
        <w:pStyle w:val="165"/>
        <w:spacing w:line="360" w:lineRule="auto"/>
      </w:pPr>
      <w:r>
        <w:rPr>
          <w:rFonts w:hint="eastAsia"/>
        </w:rPr>
        <w:t>功能核验应覆盖关键功能。对除颤监护仪应核验开机自检、监护参数采集、报警、除颤模块自检与电池状态。对呼吸机应核验供气连接、模式切换、报警与基础通气功能。对输注设备应核验输注控制、报警与电源切换。</w:t>
      </w:r>
    </w:p>
    <w:p w14:paraId="767B169B">
      <w:pPr>
        <w:pStyle w:val="165"/>
        <w:spacing w:line="360" w:lineRule="auto"/>
        <w:rPr>
          <w:rFonts w:hint="eastAsia"/>
        </w:rPr>
      </w:pPr>
      <w:r>
        <w:rPr>
          <w:rFonts w:hint="eastAsia"/>
        </w:rPr>
        <w:t>功能核验应形成记录。记录应包含核验时间、核验人员、核验项目、核验结果与异常处置。核验不合格设备不得投入使用，应立即启用替代设备或组织现场维修保障。</w:t>
      </w:r>
    </w:p>
    <w:p w14:paraId="5C40713B">
      <w:pPr>
        <w:pStyle w:val="56"/>
        <w:ind w:firstLine="420"/>
      </w:pPr>
    </w:p>
    <w:p w14:paraId="087C8D93">
      <w:pPr>
        <w:pStyle w:val="56"/>
        <w:ind w:firstLine="420"/>
        <w:rPr>
          <w:rFonts w:hint="eastAsia"/>
        </w:rPr>
      </w:pPr>
    </w:p>
    <w:p w14:paraId="0804FAF9">
      <w:pPr>
        <w:pStyle w:val="105"/>
        <w:spacing w:before="120" w:after="120" w:line="360" w:lineRule="auto"/>
      </w:pPr>
      <w:r>
        <w:rPr>
          <w:rFonts w:hint="eastAsia"/>
        </w:rPr>
        <w:t>现场配置与人员交底</w:t>
      </w:r>
    </w:p>
    <w:p w14:paraId="678FE043">
      <w:pPr>
        <w:pStyle w:val="165"/>
        <w:spacing w:line="360" w:lineRule="auto"/>
      </w:pPr>
      <w:r>
        <w:rPr>
          <w:rFonts w:hint="eastAsia"/>
        </w:rPr>
        <w:t>现场配置应与救治流程匹配。应明确设备摆放位置、供电点位、气源点位、数据接入方式与耗材存放位置，避免管线交叉与绊倒风险。</w:t>
      </w:r>
    </w:p>
    <w:p w14:paraId="0250F657">
      <w:pPr>
        <w:pStyle w:val="165"/>
        <w:spacing w:line="360" w:lineRule="auto"/>
      </w:pPr>
      <w:r>
        <w:rPr>
          <w:rFonts w:hint="eastAsia"/>
        </w:rPr>
        <w:t>对跨机构调配设备，应开展快速交底。交底内容应至少包括设备操作要点、报警与故障处置、耗材更换、消杀要求、资产编号与责任人信息。交底可采用快速操作卡或标准化口头交底方式，并形成记录。</w:t>
      </w:r>
    </w:p>
    <w:p w14:paraId="68980FED">
      <w:pPr>
        <w:pStyle w:val="165"/>
        <w:spacing w:line="360" w:lineRule="auto"/>
      </w:pPr>
      <w:r>
        <w:rPr>
          <w:rFonts w:hint="eastAsia"/>
        </w:rPr>
        <w:t>对需要联网的设备，应在授权范围内完成账号与权限配置，确保数据采集与传输符合信息安全要求。不得为追求快速部署而跳过授权与日志配置要求。</w:t>
      </w:r>
    </w:p>
    <w:p w14:paraId="42CCD663">
      <w:pPr>
        <w:pStyle w:val="105"/>
        <w:spacing w:before="120" w:after="120" w:line="360" w:lineRule="auto"/>
      </w:pPr>
      <w:r>
        <w:rPr>
          <w:rFonts w:hint="eastAsia"/>
        </w:rPr>
        <w:t>运行监测与状态反馈</w:t>
      </w:r>
    </w:p>
    <w:p w14:paraId="65B8D882">
      <w:pPr>
        <w:pStyle w:val="165"/>
        <w:spacing w:line="360" w:lineRule="auto"/>
      </w:pPr>
      <w:r>
        <w:rPr>
          <w:rFonts w:hint="eastAsia"/>
        </w:rPr>
        <w:t>现场使用期间应对设备运行状态进行监测。监测内容宜包括故障报警、关键耗材消耗、续航电量、运行异常与停机情况。</w:t>
      </w:r>
    </w:p>
    <w:p w14:paraId="429AF91A">
      <w:pPr>
        <w:pStyle w:val="165"/>
        <w:spacing w:line="360" w:lineRule="auto"/>
      </w:pPr>
      <w:r>
        <w:rPr>
          <w:rFonts w:hint="eastAsia"/>
        </w:rPr>
        <w:t>状态反馈应按规定频次向指挥或管理机构上报，重点上报一级关键设备的使用数量、可用数量、故障数量与预计恢复时间。对设备短缺或故障集中发生的情形，应提出增配或替代需求。</w:t>
      </w:r>
    </w:p>
    <w:p w14:paraId="6AA79391">
      <w:pPr>
        <w:pStyle w:val="165"/>
        <w:spacing w:line="360" w:lineRule="auto"/>
      </w:pPr>
      <w:r>
        <w:rPr>
          <w:rFonts w:hint="eastAsia"/>
        </w:rPr>
        <w:t>对现场条件变化导致设备无法正常使用的，应立即上报并采取应急措施，例如更换供电方式、调整部署位置、采用替代设备或调整救治流程。</w:t>
      </w:r>
    </w:p>
    <w:p w14:paraId="3DBE663A">
      <w:pPr>
        <w:pStyle w:val="105"/>
        <w:spacing w:before="120" w:after="120" w:line="360" w:lineRule="auto"/>
      </w:pPr>
      <w:r>
        <w:rPr>
          <w:rFonts w:hint="eastAsia"/>
        </w:rPr>
        <w:t>撤收与回收准备</w:t>
      </w:r>
    </w:p>
    <w:p w14:paraId="46EC9B1D">
      <w:pPr>
        <w:pStyle w:val="165"/>
        <w:spacing w:line="360" w:lineRule="auto"/>
      </w:pPr>
      <w:r>
        <w:rPr>
          <w:rFonts w:hint="eastAsia"/>
        </w:rPr>
        <w:t>任务结束或设备需要回撤时，应按调配单要求组织撤收。撤收前应清点设备与附件耗材，记录使用期间故障与维修情况，并完成污染判定与初步处置。</w:t>
      </w:r>
    </w:p>
    <w:p w14:paraId="02374353">
      <w:pPr>
        <w:pStyle w:val="165"/>
        <w:spacing w:line="360" w:lineRule="auto"/>
      </w:pPr>
      <w:r>
        <w:rPr>
          <w:rFonts w:hint="eastAsia"/>
        </w:rPr>
        <w:t>对污染区使用设备，应按感染控制要求进行初步封装与标识，设置专用回收通道，避免污染扩散。</w:t>
      </w:r>
    </w:p>
    <w:p w14:paraId="63595713">
      <w:pPr>
        <w:pStyle w:val="165"/>
        <w:spacing w:line="360" w:lineRule="auto"/>
      </w:pPr>
      <w:r>
        <w:rPr>
          <w:rFonts w:hint="eastAsia"/>
        </w:rPr>
        <w:t>撤收信息应及时反馈至指挥或管理机构，明确回收批次、预计返库时间与后续消杀维护需求。</w:t>
      </w:r>
    </w:p>
    <w:p w14:paraId="787DB12A">
      <w:pPr>
        <w:pStyle w:val="104"/>
        <w:spacing w:before="240" w:after="240" w:line="360" w:lineRule="auto"/>
      </w:pPr>
      <w:bookmarkStart w:id="56" w:name="_Toc219034710"/>
      <w:r>
        <w:rPr>
          <w:rFonts w:hint="eastAsia"/>
        </w:rPr>
        <w:t>使用过程管理与安全控制</w:t>
      </w:r>
      <w:bookmarkEnd w:id="56"/>
    </w:p>
    <w:p w14:paraId="365038C8">
      <w:pPr>
        <w:pStyle w:val="105"/>
        <w:spacing w:before="120" w:after="120" w:line="360" w:lineRule="auto"/>
      </w:pPr>
      <w:r>
        <w:rPr>
          <w:rFonts w:hint="eastAsia"/>
        </w:rPr>
        <w:t>一般要求</w:t>
      </w:r>
    </w:p>
    <w:p w14:paraId="7BF472E2">
      <w:pPr>
        <w:pStyle w:val="165"/>
        <w:spacing w:line="360" w:lineRule="auto"/>
      </w:pPr>
      <w:r>
        <w:rPr>
          <w:rFonts w:hint="eastAsia"/>
        </w:rPr>
        <w:t>急救医疗设备在现场投入使用后，应实行使用过程管理与安全控制，确保设备安全、患者安全与人员安全，降低误用、故障、感染与信息泄露风险。</w:t>
      </w:r>
    </w:p>
    <w:p w14:paraId="46BAE639">
      <w:pPr>
        <w:pStyle w:val="165"/>
        <w:spacing w:line="360" w:lineRule="auto"/>
      </w:pPr>
      <w:r>
        <w:rPr>
          <w:rFonts w:hint="eastAsia"/>
        </w:rPr>
        <w:t>使用过程管理应与调配单、现场部署方案与响应等级相一致。对一级关键设备应实施更严格的运行监测与故障应急处置。</w:t>
      </w:r>
    </w:p>
    <w:p w14:paraId="3B5D4CC7">
      <w:pPr>
        <w:pStyle w:val="165"/>
        <w:spacing w:line="360" w:lineRule="auto"/>
      </w:pPr>
      <w:r>
        <w:rPr>
          <w:rFonts w:hint="eastAsia"/>
        </w:rPr>
        <w:t>使用单位应明确设备责任人和操作人员名单，落实交接确认、操作授权、运行监测、耗材管理、故障上报与撤收回收要求，确保全过程可追溯。</w:t>
      </w:r>
    </w:p>
    <w:p w14:paraId="76D6A815">
      <w:pPr>
        <w:pStyle w:val="165"/>
        <w:numPr>
          <w:ilvl w:val="0"/>
          <w:numId w:val="0"/>
        </w:numPr>
        <w:spacing w:line="360" w:lineRule="auto"/>
        <w:rPr>
          <w:rFonts w:hint="eastAsia"/>
        </w:rPr>
      </w:pPr>
    </w:p>
    <w:p w14:paraId="7D637575">
      <w:pPr>
        <w:pStyle w:val="105"/>
        <w:spacing w:before="120" w:after="120" w:line="360" w:lineRule="auto"/>
      </w:pPr>
      <w:r>
        <w:rPr>
          <w:rFonts w:hint="eastAsia"/>
        </w:rPr>
        <w:t>人员授权与培训要求</w:t>
      </w:r>
    </w:p>
    <w:p w14:paraId="25945CC8">
      <w:pPr>
        <w:pStyle w:val="165"/>
        <w:spacing w:line="360" w:lineRule="auto"/>
      </w:pPr>
      <w:r>
        <w:rPr>
          <w:rFonts w:hint="eastAsia"/>
        </w:rPr>
        <w:t>设备操作应实行授权管理。未授权人员不得独立操作生命支持类设备与高风险用电设备。授权应基于岗位职责与培训合格记录。</w:t>
      </w:r>
    </w:p>
    <w:p w14:paraId="021461E2">
      <w:pPr>
        <w:pStyle w:val="165"/>
        <w:spacing w:line="360" w:lineRule="auto"/>
      </w:pPr>
      <w:r>
        <w:rPr>
          <w:rFonts w:hint="eastAsia"/>
        </w:rPr>
        <w:t>现场应开展快速培训或操作交底。交底内容应至少包括指导性操作流程、报警识别与处置、关键耗材更换、紧急停机与断电措施、消杀与污染控制要求。交底应形成记录。</w:t>
      </w:r>
    </w:p>
    <w:p w14:paraId="6F81A8D6">
      <w:pPr>
        <w:pStyle w:val="165"/>
        <w:spacing w:line="360" w:lineRule="auto"/>
      </w:pPr>
      <w:r>
        <w:rPr>
          <w:rFonts w:hint="eastAsia"/>
        </w:rPr>
        <w:t>对跨机构调配设备，应优先采用同品牌同型号或同操作逻辑的设备配置策略。确需使用差异较大的设备时，应安排具备经验人员现场支持，并将差异点作为交底重点。</w:t>
      </w:r>
    </w:p>
    <w:p w14:paraId="47335E86">
      <w:pPr>
        <w:pStyle w:val="105"/>
        <w:spacing w:before="120" w:after="120" w:line="360" w:lineRule="auto"/>
      </w:pPr>
      <w:r>
        <w:rPr>
          <w:rFonts w:hint="eastAsia"/>
        </w:rPr>
        <w:t>运行监测与风险管理要求</w:t>
      </w:r>
    </w:p>
    <w:p w14:paraId="4DECB216">
      <w:pPr>
        <w:pStyle w:val="165"/>
        <w:spacing w:line="360" w:lineRule="auto"/>
      </w:pPr>
      <w:r>
        <w:rPr>
          <w:rFonts w:hint="eastAsia"/>
        </w:rPr>
        <w:t>使用单位应建立运行监测机制。监测内容应至少包括设备开机状态、关键参数显示是否正常、报警是否可识别、供电状态、电池电量、耗材余量与故障信息。</w:t>
      </w:r>
    </w:p>
    <w:p w14:paraId="100C6419">
      <w:pPr>
        <w:pStyle w:val="165"/>
        <w:spacing w:line="360" w:lineRule="auto"/>
      </w:pPr>
      <w:r>
        <w:rPr>
          <w:rFonts w:hint="eastAsia"/>
        </w:rPr>
        <w:t>对生命支持类设备应设置重点监测清单与巡检频次。巡检频次应与使用强度匹配，并在人员交接班时完成状态确认。</w:t>
      </w:r>
    </w:p>
    <w:p w14:paraId="40422355">
      <w:pPr>
        <w:pStyle w:val="165"/>
        <w:spacing w:line="360" w:lineRule="auto"/>
      </w:pPr>
      <w:r>
        <w:rPr>
          <w:rFonts w:hint="eastAsia"/>
        </w:rPr>
        <w:t>使用单位应对关键风险实施前置控制，包括误接线、误接口、耗材不匹配、供电不稳、气源不足、网络不通与环境干扰等风险。风险控制措施应在现场部署阶段落实，并在使用过程中持续验证。</w:t>
      </w:r>
    </w:p>
    <w:p w14:paraId="23B046B3">
      <w:pPr>
        <w:pStyle w:val="105"/>
        <w:spacing w:before="120" w:after="120" w:line="360" w:lineRule="auto"/>
      </w:pPr>
      <w:r>
        <w:rPr>
          <w:rFonts w:hint="eastAsia"/>
        </w:rPr>
        <w:t>用电安全与电磁环境要求</w:t>
      </w:r>
    </w:p>
    <w:p w14:paraId="3CFE41CC">
      <w:pPr>
        <w:pStyle w:val="165"/>
        <w:spacing w:line="360" w:lineRule="auto"/>
      </w:pPr>
      <w:r>
        <w:rPr>
          <w:rFonts w:hint="eastAsia"/>
        </w:rPr>
        <w:t>现场供电应满足设备额定要求，优先采用符合医疗用电安全要求的电源系统。采用发电机或临时供电时，应评估电压波动、接地与漏电保护条件，防止设备故障与电击风险。</w:t>
      </w:r>
    </w:p>
    <w:p w14:paraId="055479FF">
      <w:pPr>
        <w:pStyle w:val="165"/>
        <w:spacing w:line="360" w:lineRule="auto"/>
      </w:pPr>
      <w:r>
        <w:rPr>
          <w:rFonts w:hint="eastAsia"/>
        </w:rPr>
        <w:t>电池供电设备应建立电量管理规则。应明确最低电量阈值、充电安排与备用电池配置，避免在关键救治过程中发生断电。</w:t>
      </w:r>
    </w:p>
    <w:p w14:paraId="5D536B74">
      <w:pPr>
        <w:pStyle w:val="165"/>
        <w:spacing w:line="360" w:lineRule="auto"/>
      </w:pPr>
      <w:r>
        <w:rPr>
          <w:rFonts w:hint="eastAsia"/>
        </w:rPr>
        <w:t>应关注电磁干扰风险。设备部署应尽量远离强电磁源与高功率无线电设备。出现疑似电磁干扰导致的异常报警或参数漂移时，应调整部署位置或采取屏蔽与隔离措施，并记录处置过程。</w:t>
      </w:r>
    </w:p>
    <w:p w14:paraId="27BA1760">
      <w:pPr>
        <w:pStyle w:val="105"/>
        <w:spacing w:before="120" w:after="120" w:line="360" w:lineRule="auto"/>
      </w:pPr>
      <w:r>
        <w:rPr>
          <w:rFonts w:hint="eastAsia"/>
        </w:rPr>
        <w:t>感染控制与消杀管理要求</w:t>
      </w:r>
    </w:p>
    <w:p w14:paraId="3B935E96">
      <w:pPr>
        <w:pStyle w:val="165"/>
        <w:spacing w:line="360" w:lineRule="auto"/>
      </w:pPr>
      <w:r>
        <w:rPr>
          <w:rFonts w:hint="eastAsia"/>
        </w:rPr>
        <w:t>使用单位应按事件类型与现场分区要求落实感染控制。涉及传染病事件或污染事件时，应明确设备进入区域、使用范围、移动路径与撤收路径，避免清洁区设备被污染。</w:t>
      </w:r>
    </w:p>
    <w:p w14:paraId="67A201A8">
      <w:pPr>
        <w:pStyle w:val="165"/>
        <w:spacing w:line="360" w:lineRule="auto"/>
      </w:pPr>
      <w:r>
        <w:rPr>
          <w:rFonts w:hint="eastAsia"/>
        </w:rPr>
        <w:t>设备使用过程中应落实表面防护与耗材管理。宜使用一次性防护罩或可消毒覆盖材料保护高频接触部位，减少污染附着与消杀难度。</w:t>
      </w:r>
    </w:p>
    <w:p w14:paraId="57A0D35A">
      <w:pPr>
        <w:pStyle w:val="165"/>
        <w:spacing w:line="360" w:lineRule="auto"/>
      </w:pPr>
      <w:r>
        <w:rPr>
          <w:rFonts w:hint="eastAsia"/>
        </w:rPr>
        <w:t>使用后初步处置应在现场完成。对污染风险设备应进行初步封装与标识，标识内容应包括污染判定、使用区域与消杀要求，并与回收交接记录一致。</w:t>
      </w:r>
    </w:p>
    <w:p w14:paraId="5346B9A5">
      <w:pPr>
        <w:pStyle w:val="165"/>
        <w:spacing w:line="360" w:lineRule="auto"/>
      </w:pPr>
      <w:r>
        <w:rPr>
          <w:rFonts w:hint="eastAsia"/>
        </w:rPr>
        <w:t>消杀应由具备资质或经培训人员实施，并使用适配设备材质与电气安全要求的消毒方式。消杀完成后应进行外观检查与必要功能核验，确认设备满足返库再保障条件。</w:t>
      </w:r>
    </w:p>
    <w:p w14:paraId="404B28BE">
      <w:pPr>
        <w:pStyle w:val="165"/>
        <w:numPr>
          <w:ilvl w:val="0"/>
          <w:numId w:val="0"/>
        </w:numPr>
        <w:spacing w:line="360" w:lineRule="auto"/>
        <w:rPr>
          <w:rFonts w:hint="eastAsia"/>
        </w:rPr>
      </w:pPr>
    </w:p>
    <w:p w14:paraId="2FAD8511">
      <w:pPr>
        <w:pStyle w:val="105"/>
        <w:spacing w:before="120" w:after="120" w:line="360" w:lineRule="auto"/>
      </w:pPr>
      <w:r>
        <w:rPr>
          <w:rFonts w:hint="eastAsia"/>
        </w:rPr>
        <w:t>耗材与配件管理要求</w:t>
      </w:r>
    </w:p>
    <w:p w14:paraId="7AB70E79">
      <w:pPr>
        <w:pStyle w:val="165"/>
        <w:spacing w:line="360" w:lineRule="auto"/>
      </w:pPr>
      <w:r>
        <w:rPr>
          <w:rFonts w:hint="eastAsia"/>
        </w:rPr>
        <w:t>使用单位应建立耗材台账，至少记录关键耗材领用、使用、剩余与补给情况。关键耗材包括电极片、传感器、呼吸回路、过滤器、面罩、管路、注射器适配组件等。</w:t>
      </w:r>
    </w:p>
    <w:p w14:paraId="02A42F7E">
      <w:pPr>
        <w:pStyle w:val="165"/>
        <w:spacing w:line="360" w:lineRule="auto"/>
      </w:pPr>
      <w:r>
        <w:rPr>
          <w:rFonts w:hint="eastAsia"/>
        </w:rPr>
        <w:t>耗材应与设备型号适配。不得使用不匹配耗材替代关键耗材，确需替代时应经现场设备责任人确认并记录替代依据与风险提示。</w:t>
      </w:r>
    </w:p>
    <w:p w14:paraId="02E732CC">
      <w:pPr>
        <w:pStyle w:val="165"/>
        <w:spacing w:line="360" w:lineRule="auto"/>
      </w:pPr>
      <w:r>
        <w:rPr>
          <w:rFonts w:hint="eastAsia"/>
        </w:rPr>
        <w:t>应急任务期间应设置最低库存阈值。达到阈值时应及时触发补给或增配需求，避免因耗材短缺导致设备可用性下降。</w:t>
      </w:r>
    </w:p>
    <w:p w14:paraId="28FFFC65">
      <w:pPr>
        <w:pStyle w:val="105"/>
        <w:spacing w:before="120" w:after="120" w:line="360" w:lineRule="auto"/>
      </w:pPr>
      <w:r>
        <w:rPr>
          <w:rFonts w:hint="eastAsia"/>
        </w:rPr>
        <w:t>故障处置与事件上报要求</w:t>
      </w:r>
    </w:p>
    <w:p w14:paraId="4CF923DF">
      <w:pPr>
        <w:pStyle w:val="165"/>
        <w:spacing w:line="360" w:lineRule="auto"/>
      </w:pPr>
      <w:r>
        <w:rPr>
          <w:rFonts w:hint="eastAsia"/>
        </w:rPr>
        <w:t>设备出现故障报警、性能异常或疑似失效时，应优先保障救治连续性，采取替代设备切换、功能降级使用或转运策略调整等措施，并同步上报指挥或管理机构。</w:t>
      </w:r>
    </w:p>
    <w:p w14:paraId="563C9835">
      <w:pPr>
        <w:pStyle w:val="165"/>
        <w:spacing w:line="360" w:lineRule="auto"/>
      </w:pPr>
      <w:r>
        <w:rPr>
          <w:rFonts w:hint="eastAsia"/>
        </w:rPr>
        <w:t>故障处置应分层实施。可现场排除的故障应按快速故障排查卡或厂家指南处置，无法排除的故障应隔离设备并标识，避免再次投入使用。</w:t>
      </w:r>
    </w:p>
    <w:p w14:paraId="655715AD">
      <w:pPr>
        <w:pStyle w:val="165"/>
        <w:spacing w:line="360" w:lineRule="auto"/>
      </w:pPr>
      <w:r>
        <w:rPr>
          <w:rFonts w:hint="eastAsia"/>
        </w:rPr>
        <w:t>对关键设备故障应启动快速维修保障或替换投送机制。应记录故障现象、发生时间、影响范围、已采取措施与最终恢复情况。</w:t>
      </w:r>
    </w:p>
    <w:p w14:paraId="4469EF9B">
      <w:pPr>
        <w:pStyle w:val="165"/>
        <w:spacing w:line="360" w:lineRule="auto"/>
      </w:pPr>
      <w:r>
        <w:rPr>
          <w:rFonts w:hint="eastAsia"/>
        </w:rPr>
        <w:t>发生与设备相关的安全事件或疑似不良事件时，应按医疗安全管理要求启动事件报告流程，保留设备状态与相关数据日志，配合后续调查与改进。</w:t>
      </w:r>
    </w:p>
    <w:p w14:paraId="0D80C89B">
      <w:pPr>
        <w:pStyle w:val="105"/>
        <w:spacing w:before="120" w:after="120" w:line="360" w:lineRule="auto"/>
      </w:pPr>
      <w:r>
        <w:rPr>
          <w:rFonts w:hint="eastAsia"/>
        </w:rPr>
        <w:t>数据安全与隐私保护要求</w:t>
      </w:r>
    </w:p>
    <w:p w14:paraId="305F2663">
      <w:pPr>
        <w:pStyle w:val="165"/>
        <w:spacing w:line="360" w:lineRule="auto"/>
      </w:pPr>
      <w:r>
        <w:rPr>
          <w:rFonts w:hint="eastAsia"/>
        </w:rPr>
        <w:t>具备联网、数据存储或患者信息记录功能的设备，应执行最小授权原则。账号权限应与岗位职责匹配，禁止共享账号与弱口令使用。</w:t>
      </w:r>
    </w:p>
    <w:p w14:paraId="1F3A1016">
      <w:pPr>
        <w:pStyle w:val="165"/>
        <w:spacing w:line="360" w:lineRule="auto"/>
      </w:pPr>
      <w:r>
        <w:rPr>
          <w:rFonts w:hint="eastAsia"/>
        </w:rPr>
        <w:t>数据传输应采用安全通道或满足管理要求的加密措施。现场临时网络接入应控制接入范围并记录接入日志，避免未授权设备接入与数据外泄。</w:t>
      </w:r>
    </w:p>
    <w:p w14:paraId="24066B0F">
      <w:pPr>
        <w:pStyle w:val="165"/>
        <w:spacing w:line="360" w:lineRule="auto"/>
      </w:pPr>
      <w:r>
        <w:rPr>
          <w:rFonts w:hint="eastAsia"/>
        </w:rPr>
        <w:t>任务结束前应按规定完成数据交接与清理。涉及患者信息的本地存储数据，应按管理要求移交或安全删除，并形成记录。</w:t>
      </w:r>
    </w:p>
    <w:p w14:paraId="04B56A34">
      <w:pPr>
        <w:pStyle w:val="105"/>
        <w:spacing w:before="120" w:after="120" w:line="360" w:lineRule="auto"/>
      </w:pPr>
      <w:r>
        <w:rPr>
          <w:rFonts w:hint="eastAsia"/>
        </w:rPr>
        <w:t>记录留痕要求</w:t>
      </w:r>
    </w:p>
    <w:p w14:paraId="318603C2">
      <w:pPr>
        <w:pStyle w:val="165"/>
        <w:spacing w:line="360" w:lineRule="auto"/>
      </w:pPr>
      <w:r>
        <w:rPr>
          <w:rFonts w:hint="eastAsia"/>
        </w:rPr>
        <w:t>使用过程应形成记录。记录应至少包括设备启用时间、责任人、关键参数或使用状态摘要、故障与报警、耗材消耗、维护处置、污染判定与消杀信息。</w:t>
      </w:r>
    </w:p>
    <w:p w14:paraId="6D050C72">
      <w:pPr>
        <w:pStyle w:val="165"/>
        <w:spacing w:line="360" w:lineRule="auto"/>
      </w:pPr>
      <w:r>
        <w:rPr>
          <w:rFonts w:hint="eastAsia"/>
        </w:rPr>
        <w:t>记录应与调配台账关联。设备资产编号或序列号应贯穿记录全链路，确保能够回溯到调配单、交接记录、运输记录与返库验收记录。</w:t>
      </w:r>
    </w:p>
    <w:p w14:paraId="495CF398">
      <w:pPr>
        <w:pStyle w:val="165"/>
        <w:numPr>
          <w:ilvl w:val="0"/>
          <w:numId w:val="0"/>
        </w:numPr>
        <w:spacing w:line="360" w:lineRule="auto"/>
      </w:pPr>
    </w:p>
    <w:p w14:paraId="1E8D1154">
      <w:pPr>
        <w:pStyle w:val="165"/>
        <w:numPr>
          <w:ilvl w:val="0"/>
          <w:numId w:val="0"/>
        </w:numPr>
        <w:spacing w:line="360" w:lineRule="auto"/>
        <w:rPr>
          <w:rFonts w:hint="eastAsia"/>
        </w:rPr>
      </w:pPr>
    </w:p>
    <w:p w14:paraId="661E3BDE">
      <w:pPr>
        <w:pStyle w:val="104"/>
        <w:spacing w:before="240" w:after="240" w:line="360" w:lineRule="auto"/>
      </w:pPr>
      <w:bookmarkStart w:id="57" w:name="_Toc219034711"/>
      <w:r>
        <w:rPr>
          <w:rFonts w:hint="eastAsia"/>
        </w:rPr>
        <w:t>回收消杀维护与再保障</w:t>
      </w:r>
      <w:bookmarkEnd w:id="57"/>
    </w:p>
    <w:p w14:paraId="3D2501A4">
      <w:pPr>
        <w:pStyle w:val="105"/>
        <w:spacing w:before="120" w:after="120" w:line="360" w:lineRule="auto"/>
      </w:pPr>
      <w:r>
        <w:rPr>
          <w:rFonts w:hint="eastAsia"/>
        </w:rPr>
        <w:t>一般要求</w:t>
      </w:r>
    </w:p>
    <w:p w14:paraId="1594E03D">
      <w:pPr>
        <w:pStyle w:val="165"/>
        <w:spacing w:line="360" w:lineRule="auto"/>
      </w:pPr>
      <w:r>
        <w:rPr>
          <w:rFonts w:hint="eastAsia"/>
        </w:rPr>
        <w:t>急救医疗设备完成任务后，应实施回收、清洁消杀、维护检修、性能校验、耗材补给与再入库管理，使设备恢复至可用状态并重新纳入资源目录统计，形成闭环管理。</w:t>
      </w:r>
    </w:p>
    <w:p w14:paraId="2EEB4FBA">
      <w:pPr>
        <w:pStyle w:val="165"/>
        <w:spacing w:line="360" w:lineRule="auto"/>
      </w:pPr>
      <w:r>
        <w:rPr>
          <w:rFonts w:hint="eastAsia"/>
        </w:rPr>
        <w:t>回收与再保障应坚持风险分区与污染分级原则。对进入污染区或疑似污染的设备应严格执行隔离、封装、专用通道回收与消杀验证，防止交叉污染与二次传播风险。</w:t>
      </w:r>
    </w:p>
    <w:p w14:paraId="0543CBE4">
      <w:pPr>
        <w:pStyle w:val="165"/>
        <w:spacing w:line="360" w:lineRule="auto"/>
      </w:pPr>
      <w:r>
        <w:rPr>
          <w:rFonts w:hint="eastAsia"/>
        </w:rPr>
        <w:t>回收消杀维护全过程应留痕。应记录设备来源、使用区域、污染判定、消杀方法、维护检修内容、校验结论与再入库状态，确保可追溯。</w:t>
      </w:r>
    </w:p>
    <w:p w14:paraId="127D5E69">
      <w:pPr>
        <w:pStyle w:val="105"/>
        <w:spacing w:before="120" w:after="120" w:line="360" w:lineRule="auto"/>
      </w:pPr>
      <w:r>
        <w:rPr>
          <w:rFonts w:hint="eastAsia"/>
        </w:rPr>
        <w:t>回收组织与回收路径</w:t>
      </w:r>
    </w:p>
    <w:p w14:paraId="625D3FB5">
      <w:pPr>
        <w:pStyle w:val="165"/>
        <w:spacing w:line="360" w:lineRule="auto"/>
      </w:pPr>
      <w:r>
        <w:rPr>
          <w:rFonts w:hint="eastAsia"/>
        </w:rPr>
        <w:t>回收组织应由牵头单位或接收单位按调配单要求实施，明确回收批次、回收时间窗口、回收责任人、承运方式与返库地点。</w:t>
      </w:r>
    </w:p>
    <w:p w14:paraId="7DAE69FD">
      <w:pPr>
        <w:pStyle w:val="165"/>
        <w:spacing w:line="360" w:lineRule="auto"/>
      </w:pPr>
      <w:r>
        <w:rPr>
          <w:rFonts w:hint="eastAsia"/>
        </w:rPr>
        <w:t>回收路径应根据现场分区设置。清洁区设备可按常规路径回收；污染区设备应设置专用回收路径，避免与清洁区人员与物资交叉。回收路径应明确中转点位与交接方式。</w:t>
      </w:r>
    </w:p>
    <w:p w14:paraId="51B674D2">
      <w:pPr>
        <w:pStyle w:val="165"/>
        <w:spacing w:line="360" w:lineRule="auto"/>
      </w:pPr>
      <w:r>
        <w:rPr>
          <w:rFonts w:hint="eastAsia"/>
        </w:rPr>
        <w:t>回收前应完成清点。清点内容应包括设备主体、附件耗材、资产编号与外观状态，并记录使用期间故障与异常。清点记录应与交接记录一致。</w:t>
      </w:r>
    </w:p>
    <w:p w14:paraId="74A19427">
      <w:pPr>
        <w:pStyle w:val="105"/>
        <w:spacing w:before="120" w:after="120" w:line="360" w:lineRule="auto"/>
      </w:pPr>
      <w:r>
        <w:rPr>
          <w:rFonts w:hint="eastAsia"/>
        </w:rPr>
        <w:t>污染判定与封装标识</w:t>
      </w:r>
    </w:p>
    <w:p w14:paraId="02678567">
      <w:pPr>
        <w:pStyle w:val="165"/>
        <w:spacing w:line="360" w:lineRule="auto"/>
      </w:pPr>
      <w:r>
        <w:rPr>
          <w:rFonts w:hint="eastAsia"/>
        </w:rPr>
        <w:t>回收设备应进行污染判定。污染判定应结合事件类型、使用区域、接触风险与现场感染控制要求实施，并明确判定结论与后续消杀等级。</w:t>
      </w:r>
    </w:p>
    <w:p w14:paraId="2DA3E197">
      <w:pPr>
        <w:pStyle w:val="165"/>
        <w:spacing w:line="360" w:lineRule="auto"/>
      </w:pPr>
      <w:r>
        <w:rPr>
          <w:rFonts w:hint="eastAsia"/>
        </w:rPr>
        <w:t>污染设备应按要求封装。封装应采用耐破损、防渗漏的封装材料，必要时采用双层封装。封装外应进行清晰标识，标识内容应至少包括资产编号、使用区域、污染等级、消杀要求与责任单位。</w:t>
      </w:r>
    </w:p>
    <w:p w14:paraId="6B48EC58">
      <w:pPr>
        <w:pStyle w:val="165"/>
        <w:spacing w:line="360" w:lineRule="auto"/>
      </w:pPr>
      <w:r>
        <w:rPr>
          <w:rFonts w:hint="eastAsia"/>
        </w:rPr>
        <w:t>对存在体液污染或可见污染的设备，应在现场进行初步去污或隔离处置，并避免在无防护条件下开箱检查，防止污染扩散。</w:t>
      </w:r>
    </w:p>
    <w:p w14:paraId="7BEF6B58">
      <w:pPr>
        <w:pStyle w:val="105"/>
        <w:spacing w:before="120" w:after="120" w:line="360" w:lineRule="auto"/>
      </w:pPr>
      <w:r>
        <w:rPr>
          <w:rFonts w:hint="eastAsia"/>
        </w:rPr>
        <w:t>清洁消杀与验证要求</w:t>
      </w:r>
    </w:p>
    <w:p w14:paraId="3D1B37DF">
      <w:pPr>
        <w:pStyle w:val="165"/>
        <w:spacing w:line="360" w:lineRule="auto"/>
      </w:pPr>
      <w:r>
        <w:rPr>
          <w:rFonts w:hint="eastAsia"/>
        </w:rPr>
        <w:t>清洁消杀应由具备条件的单位实施，消杀方法应与设备材质、电气安全与厂家要求兼容。不得使用可能导致腐蚀、渗液、密封失效或电气性能下降的消毒方式。</w:t>
      </w:r>
    </w:p>
    <w:p w14:paraId="74217EF6">
      <w:pPr>
        <w:pStyle w:val="165"/>
        <w:spacing w:line="360" w:lineRule="auto"/>
      </w:pPr>
      <w:r>
        <w:rPr>
          <w:rFonts w:hint="eastAsia"/>
        </w:rPr>
        <w:t>消杀过程应分步骤执行，通常包括初步清洁、消毒处理、干燥与外观检查。对高频接触部位、接口部位与附件部位应重点处理。</w:t>
      </w:r>
    </w:p>
    <w:p w14:paraId="48FBFC47">
      <w:pPr>
        <w:pStyle w:val="165"/>
        <w:spacing w:line="360" w:lineRule="auto"/>
      </w:pPr>
      <w:r>
        <w:rPr>
          <w:rFonts w:hint="eastAsia"/>
        </w:rPr>
        <w:t>消杀验证应根据风险等级确定。对高风险污染设备，除外观与流程符合性检查外，必要时可采用表面采样或其他验证手段确认消杀有效。消杀验证结论应记录，并作为返库准入条件之一。</w:t>
      </w:r>
    </w:p>
    <w:p w14:paraId="4A11FE2B">
      <w:pPr>
        <w:pStyle w:val="165"/>
        <w:spacing w:line="360" w:lineRule="auto"/>
      </w:pPr>
      <w:r>
        <w:rPr>
          <w:rFonts w:hint="eastAsia"/>
        </w:rPr>
        <w:t>一次性耗材应按医疗废物管理要求处置。可复用附件应按规定清洗消毒并完成干燥与包装，防止二次污染。</w:t>
      </w:r>
    </w:p>
    <w:p w14:paraId="43EE6AC0">
      <w:pPr>
        <w:pStyle w:val="105"/>
        <w:spacing w:before="120" w:after="120" w:line="360" w:lineRule="auto"/>
      </w:pPr>
      <w:r>
        <w:rPr>
          <w:rFonts w:hint="eastAsia"/>
        </w:rPr>
        <w:t>维护检修与性能校验要求</w:t>
      </w:r>
    </w:p>
    <w:p w14:paraId="17D68974">
      <w:pPr>
        <w:pStyle w:val="165"/>
        <w:spacing w:line="360" w:lineRule="auto"/>
      </w:pPr>
      <w:r>
        <w:rPr>
          <w:rFonts w:hint="eastAsia"/>
        </w:rPr>
        <w:t>回收后应开展功能核验。核验应覆盖通电自检、关键功能与报警功能。发现异常应进入维修流程并隔离，未完成维修不得再入库为可用状态。</w:t>
      </w:r>
    </w:p>
    <w:p w14:paraId="3D6D9514">
      <w:pPr>
        <w:pStyle w:val="165"/>
        <w:spacing w:line="360" w:lineRule="auto"/>
      </w:pPr>
      <w:r>
        <w:rPr>
          <w:rFonts w:hint="eastAsia"/>
        </w:rPr>
        <w:t>维护检修应按设备管理制度与厂家指南实施。维护内容宜包括外观修复、接口与线缆检查、电池健康检查、传感器与附件检查、软件版本检查与必要升级。</w:t>
      </w:r>
    </w:p>
    <w:p w14:paraId="18E83A67">
      <w:pPr>
        <w:pStyle w:val="165"/>
        <w:spacing w:line="360" w:lineRule="auto"/>
      </w:pPr>
      <w:r>
        <w:rPr>
          <w:rFonts w:hint="eastAsia"/>
        </w:rPr>
        <w:t>性能校验或计量核查应按设备类别要求实施。对监护、输注、压力与流量等涉及量值准确性的设备，应按规定周期进行校验。应记录校验日期、校验结论与下次到期时间。</w:t>
      </w:r>
    </w:p>
    <w:p w14:paraId="3F25362F">
      <w:pPr>
        <w:pStyle w:val="165"/>
        <w:spacing w:line="360" w:lineRule="auto"/>
      </w:pPr>
      <w:r>
        <w:rPr>
          <w:rFonts w:hint="eastAsia"/>
        </w:rPr>
        <w:t>对发生故障或安全事件的设备，应开展原因分析。涉及可能影响医疗安全的不良事件，应按规定流程上报并配合调查，形成整改措施与防再发措施。</w:t>
      </w:r>
    </w:p>
    <w:p w14:paraId="6B5B472D">
      <w:pPr>
        <w:pStyle w:val="105"/>
        <w:spacing w:before="120" w:after="120" w:line="360" w:lineRule="auto"/>
      </w:pPr>
      <w:r>
        <w:rPr>
          <w:rFonts w:hint="eastAsia"/>
        </w:rPr>
        <w:t>耗材补给与再配置要求</w:t>
      </w:r>
    </w:p>
    <w:p w14:paraId="04B1EDE8">
      <w:pPr>
        <w:pStyle w:val="165"/>
        <w:spacing w:line="360" w:lineRule="auto"/>
      </w:pPr>
      <w:r>
        <w:rPr>
          <w:rFonts w:hint="eastAsia"/>
        </w:rPr>
        <w:t>回收设备应补齐关键耗材与附件。补给应与最小配套要求一致，确保设备再次出库可直接投入使用。</w:t>
      </w:r>
    </w:p>
    <w:p w14:paraId="62E6F4DE">
      <w:pPr>
        <w:pStyle w:val="165"/>
        <w:spacing w:line="360" w:lineRule="auto"/>
      </w:pPr>
      <w:r>
        <w:rPr>
          <w:rFonts w:hint="eastAsia"/>
        </w:rPr>
        <w:t>耗材补给应记录批号与有效期。对有效期临近耗材应优先用于日常消耗或训练使用，避免应急出库时出现过期风险。</w:t>
      </w:r>
    </w:p>
    <w:p w14:paraId="09C25C18">
      <w:pPr>
        <w:pStyle w:val="165"/>
        <w:spacing w:line="360" w:lineRule="auto"/>
      </w:pPr>
      <w:r>
        <w:rPr>
          <w:rFonts w:hint="eastAsia"/>
        </w:rPr>
        <w:t>对电池设备应完成充电与电量确认，并建立电池轮换机制，避免长期满电或长期亏电导致寿命衰减。</w:t>
      </w:r>
    </w:p>
    <w:p w14:paraId="25FC5147">
      <w:pPr>
        <w:pStyle w:val="105"/>
        <w:spacing w:before="120" w:after="120" w:line="360" w:lineRule="auto"/>
      </w:pPr>
      <w:r>
        <w:rPr>
          <w:rFonts w:hint="eastAsia"/>
        </w:rPr>
        <w:t>再入库准入条件与状态更新</w:t>
      </w:r>
    </w:p>
    <w:p w14:paraId="782A1428">
      <w:pPr>
        <w:pStyle w:val="165"/>
        <w:spacing w:line="360" w:lineRule="auto"/>
      </w:pPr>
      <w:r>
        <w:rPr>
          <w:rFonts w:hint="eastAsia"/>
        </w:rPr>
        <w:t>再入库准入条件应至少包括消杀完成并验证合格、功能核验合格、必要校验合格、附件耗材齐全、外观无影响使用的损伤、标识完整指向清晰。</w:t>
      </w:r>
    </w:p>
    <w:p w14:paraId="19C48A49">
      <w:pPr>
        <w:pStyle w:val="165"/>
        <w:spacing w:line="360" w:lineRule="auto"/>
      </w:pPr>
      <w:r>
        <w:rPr>
          <w:rFonts w:hint="eastAsia"/>
        </w:rPr>
        <w:t>再入库后应更新资源目录。更新内容应包括可用状态、所在位置、校验到期时间、耗材有效期摘要、出库准备时间与备注信息。对仍处于维修或隔离状态的设备，应明确不可用原因与预计恢复时间。</w:t>
      </w:r>
    </w:p>
    <w:p w14:paraId="3F5BCE40">
      <w:pPr>
        <w:pStyle w:val="165"/>
        <w:spacing w:line="360" w:lineRule="auto"/>
      </w:pPr>
      <w:r>
        <w:rPr>
          <w:rFonts w:hint="eastAsia"/>
        </w:rPr>
        <w:t>再入库应形成闭环记录。闭环记录应关联调配单、交接记录、消杀记录、维修校验记录与补给记录，确保一设备一档案。</w:t>
      </w:r>
      <w:bookmarkStart w:id="59" w:name="_GoBack"/>
      <w:bookmarkEnd w:id="59"/>
    </w:p>
    <w:p w14:paraId="005FF0F6">
      <w:pPr>
        <w:pStyle w:val="105"/>
        <w:spacing w:before="120" w:after="120" w:line="360" w:lineRule="auto"/>
      </w:pPr>
      <w:r>
        <w:rPr>
          <w:rFonts w:hint="eastAsia"/>
        </w:rPr>
        <w:t>能力建设与持续改进</w:t>
      </w:r>
    </w:p>
    <w:p w14:paraId="0876601C">
      <w:pPr>
        <w:pStyle w:val="165"/>
        <w:spacing w:line="360" w:lineRule="auto"/>
      </w:pPr>
      <w:r>
        <w:rPr>
          <w:rFonts w:hint="eastAsia"/>
        </w:rPr>
        <w:t>各单位应建立回收消杀维护能力清单，明确可开展的消杀方式、维修能力范围、校验能力范围与外协资源，并在响应期间动态调用。</w:t>
      </w:r>
    </w:p>
    <w:p w14:paraId="621851A7">
      <w:pPr>
        <w:pStyle w:val="165"/>
        <w:spacing w:line="360" w:lineRule="auto"/>
      </w:pPr>
      <w:r>
        <w:rPr>
          <w:rFonts w:hint="eastAsia"/>
        </w:rPr>
        <w:t>应对重大任务与典型事件开展复盘，针对回收效率、消杀瓶颈、维修周期与再入库时间等指标提出改进措施，持续提升再保障能力。</w:t>
      </w:r>
    </w:p>
    <w:bookmarkEnd w:id="26"/>
    <w:p w14:paraId="5537B04E">
      <w:pPr>
        <w:pStyle w:val="56"/>
        <w:ind w:firstLine="0" w:firstLineChars="0"/>
        <w:jc w:val="center"/>
      </w:pPr>
      <w:bookmarkStart w:id="58" w:name="BookMark8"/>
      <w:r>
        <w:rPr>
          <w:rFonts w:hint="eastAsia"/>
        </w:rPr>
        <w:drawing>
          <wp:inline distT="0" distB="0" distL="0" distR="0">
            <wp:extent cx="1485900" cy="317500"/>
            <wp:effectExtent l="0" t="0" r="0" b="6350"/>
            <wp:docPr id="1557780126" name="图片 1"/>
            <wp:cNvGraphicFramePr/>
            <a:graphic xmlns:a="http://schemas.openxmlformats.org/drawingml/2006/main">
              <a:graphicData uri="http://schemas.openxmlformats.org/drawingml/2006/picture">
                <pic:pic xmlns:pic="http://schemas.openxmlformats.org/drawingml/2006/picture">
                  <pic:nvPicPr>
                    <pic:cNvPr id="1557780126"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6C37C">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395D">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C1A4">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725B">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65761">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7F6A">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AFA3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11248">
    <w:pPr>
      <w:pStyle w:val="61"/>
    </w:pPr>
    <w:r>
      <w:fldChar w:fldCharType="begin"/>
    </w:r>
    <w:r>
      <w:instrText xml:space="preserve"> STYLEREF  标准文件_文件编号  \* MERGEFORMAT </w:instrText>
    </w:r>
    <w:r>
      <w:fldChar w:fldCharType="separate"/>
    </w:r>
    <w:r>
      <w:t>T/XJBX 0176—2026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2EF9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0176—2026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0176—2026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0176—2026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E1A0A">
    <w:pPr>
      <w:pStyle w:val="61"/>
    </w:pPr>
    <w:r>
      <w:fldChar w:fldCharType="begin"/>
    </w:r>
    <w:r>
      <w:instrText xml:space="preserve"> STYLEREF  标准文件_文件编号  \* MERGEFORMAT </w:instrText>
    </w:r>
    <w:r>
      <w:fldChar w:fldCharType="separate"/>
    </w:r>
    <w:r>
      <w:t>T/XJBX 0176—2026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F87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0176—2026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4ACD">
    <w:pPr>
      <w:pStyle w:val="61"/>
    </w:pPr>
    <w:r>
      <w:fldChar w:fldCharType="begin"/>
    </w:r>
    <w:r>
      <w:instrText xml:space="preserve"> STYLEREF  标准文件_文件编号  \* MERGEFORMAT </w:instrText>
    </w:r>
    <w:r>
      <w:fldChar w:fldCharType="separate"/>
    </w:r>
    <w:r>
      <w:t>T/XJBX 0176—2026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0E9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0176—2026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23E"/>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1DFE"/>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085"/>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2EFF"/>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FC3"/>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686F"/>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B1B"/>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1C3"/>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67510"/>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91B"/>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C08"/>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82A"/>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2BE5"/>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0DCF"/>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0324"/>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45C"/>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2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8F77AD"/>
    <w:rsid w:val="25FD052A"/>
    <w:rsid w:val="397A0427"/>
    <w:rsid w:val="7663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254E3B03">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9AA42EA">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CD60DE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3B00C5"/>
    <w:rsid w:val="005D32D5"/>
    <w:rsid w:val="005E6634"/>
    <w:rsid w:val="007146E1"/>
    <w:rsid w:val="00A65C08"/>
    <w:rsid w:val="00AE1DC6"/>
    <w:rsid w:val="00C01283"/>
    <w:rsid w:val="00E51851"/>
    <w:rsid w:val="00F2146A"/>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25</Pages>
  <Words>5149</Words>
  <Characters>5474</Characters>
  <Lines>113</Lines>
  <Paragraphs>31</Paragraphs>
  <TotalTime>63</TotalTime>
  <ScaleCrop>false</ScaleCrop>
  <LinksUpToDate>false</LinksUpToDate>
  <CharactersWithSpaces>5583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2026-01-15T02:18:35Z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AE832F6FA0AF43DFAB3061BDF5C1F8F9_12</vt:lpwstr>
  </property>
</Properties>
</file>