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3.04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23.040.01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J 74"/>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J 74</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77"/>
            </w:textInput>
          </w:ffData>
        </w:fldChar>
      </w:r>
      <w:bookmarkStart w:id="6" w:name="NSTD_CODE_F"/>
      <w:r>
        <w:instrText xml:space="preserve"> FORMTEXT </w:instrText>
      </w:r>
      <w:r>
        <w:fldChar w:fldCharType="separate"/>
      </w:r>
      <w:r>
        <w:t>0177</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老旧压力管道安全状态分级评估实施要点"/>
            </w:textInput>
          </w:ffData>
        </w:fldChar>
      </w:r>
      <w:bookmarkStart w:id="9" w:name="CSTD_NAME"/>
      <w:r>
        <w:instrText xml:space="preserve"> FORMTEXT </w:instrText>
      </w:r>
      <w:r>
        <w:fldChar w:fldCharType="separate"/>
      </w:r>
      <w:r>
        <w:t>老旧压力管道安全状态分级评估实施要点</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implementation points of graded safety condition assessment of aging pressure pipelin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implementation points of graded safety condition assessment of aging pressure pipelines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8D2F67A">
      <w:pPr>
        <w:pStyle w:val="91"/>
        <w:spacing w:after="360"/>
      </w:pPr>
      <w:bookmarkStart w:id="21" w:name="BookMark1"/>
      <w:r>
        <w:rPr>
          <w:rFonts w:hint="eastAsia"/>
          <w:spacing w:val="320"/>
        </w:rPr>
        <w:t>目</w:t>
      </w:r>
      <w:r>
        <w:rPr>
          <w:rFonts w:hint="eastAsia"/>
        </w:rPr>
        <w:t>次</w:t>
      </w:r>
    </w:p>
    <w:p w14:paraId="3FEE9BE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"_Toc219037482"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_Toc219037482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FE0E74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"_Toc219037483"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_Toc219037483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216801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"_Toc219037484"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_Toc219037484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43DBE2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"_Toc219037485"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_Toc219037485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FB42A3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"_Toc219037486"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_Toc219037486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DC56B1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"_Toc219037487"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_Toc219037487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9A9E77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"_Toc219037488" </w:instrText>
      </w:r>
      <w:r>
        <w:fldChar w:fldCharType="separate"/>
      </w:r>
      <w:r>
        <w:rPr>
          <w:rStyle w:val="32"/>
          <w:rFonts w:hint="eastAsia"/>
        </w:rPr>
        <w:t>5</w:t>
      </w:r>
      <w:r>
        <w:rPr>
          <w:rStyle w:val="32"/>
        </w:rPr>
        <w:t xml:space="preserve"> </w:t>
      </w:r>
      <w:r>
        <w:rPr>
          <w:rStyle w:val="32"/>
          <w:rFonts w:hint="eastAsia"/>
        </w:rPr>
        <w:t xml:space="preserve"> 评估准备与资料核查</w:t>
      </w:r>
      <w:r>
        <w:rPr>
          <w:rFonts w:hint="eastAsia"/>
        </w:rPr>
        <w:tab/>
      </w:r>
      <w:r>
        <w:rPr>
          <w:rFonts w:hint="eastAsia"/>
        </w:rPr>
        <w:fldChar w:fldCharType="begin"/>
      </w:r>
      <w:r>
        <w:rPr>
          <w:rFonts w:hint="eastAsia"/>
        </w:rPr>
        <w:instrText xml:space="preserve"> </w:instrText>
      </w:r>
      <w:r>
        <w:instrText xml:space="preserve">PAGEREF _Toc219037488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62163D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"_Toc219037489" </w:instrText>
      </w:r>
      <w:r>
        <w:fldChar w:fldCharType="separate"/>
      </w:r>
      <w:r>
        <w:rPr>
          <w:rStyle w:val="32"/>
          <w:rFonts w:hint="eastAsia"/>
        </w:rPr>
        <w:t>6</w:t>
      </w:r>
      <w:r>
        <w:rPr>
          <w:rStyle w:val="32"/>
        </w:rPr>
        <w:t xml:space="preserve"> </w:t>
      </w:r>
      <w:r>
        <w:rPr>
          <w:rStyle w:val="32"/>
          <w:rFonts w:hint="eastAsia"/>
        </w:rPr>
        <w:t xml:space="preserve"> 评估单元划分与分段方法</w:t>
      </w:r>
      <w:r>
        <w:rPr>
          <w:rFonts w:hint="eastAsia"/>
        </w:rPr>
        <w:tab/>
      </w:r>
      <w:r>
        <w:rPr>
          <w:rFonts w:hint="eastAsia"/>
        </w:rPr>
        <w:fldChar w:fldCharType="begin"/>
      </w:r>
      <w:r>
        <w:rPr>
          <w:rFonts w:hint="eastAsia"/>
        </w:rPr>
        <w:instrText xml:space="preserve"> </w:instrText>
      </w:r>
      <w:r>
        <w:instrText xml:space="preserve">PAGEREF _Toc219037489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9FF53D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"_Toc219037490" </w:instrText>
      </w:r>
      <w:r>
        <w:fldChar w:fldCharType="separate"/>
      </w:r>
      <w:r>
        <w:rPr>
          <w:rStyle w:val="32"/>
          <w:rFonts w:hint="eastAsia"/>
        </w:rPr>
        <w:t>7</w:t>
      </w:r>
      <w:r>
        <w:rPr>
          <w:rStyle w:val="32"/>
        </w:rPr>
        <w:t xml:space="preserve"> </w:t>
      </w:r>
      <w:r>
        <w:rPr>
          <w:rStyle w:val="32"/>
          <w:rFonts w:hint="eastAsia"/>
        </w:rPr>
        <w:t xml:space="preserve"> 风险识别与失效机理分析</w:t>
      </w:r>
      <w:r>
        <w:rPr>
          <w:rFonts w:hint="eastAsia"/>
        </w:rPr>
        <w:tab/>
      </w:r>
      <w:r>
        <w:rPr>
          <w:rFonts w:hint="eastAsia"/>
        </w:rPr>
        <w:fldChar w:fldCharType="begin"/>
      </w:r>
      <w:r>
        <w:rPr>
          <w:rFonts w:hint="eastAsia"/>
        </w:rPr>
        <w:instrText xml:space="preserve"> </w:instrText>
      </w:r>
      <w:r>
        <w:instrText xml:space="preserve">PAGEREF _Toc219037490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340562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"_Toc219037491" </w:instrText>
      </w:r>
      <w:r>
        <w:fldChar w:fldCharType="separate"/>
      </w:r>
      <w:r>
        <w:rPr>
          <w:rStyle w:val="32"/>
          <w:rFonts w:hint="eastAsia"/>
        </w:rPr>
        <w:t>8</w:t>
      </w:r>
      <w:r>
        <w:rPr>
          <w:rStyle w:val="32"/>
        </w:rPr>
        <w:t xml:space="preserve"> </w:t>
      </w:r>
      <w:r>
        <w:rPr>
          <w:rStyle w:val="32"/>
          <w:rFonts w:hint="eastAsia"/>
        </w:rPr>
        <w:t xml:space="preserve"> 失效后果评价</w:t>
      </w:r>
      <w:r>
        <w:rPr>
          <w:rFonts w:hint="eastAsia"/>
        </w:rPr>
        <w:tab/>
      </w:r>
      <w:r>
        <w:rPr>
          <w:rFonts w:hint="eastAsia"/>
        </w:rPr>
        <w:fldChar w:fldCharType="begin"/>
      </w:r>
      <w:r>
        <w:rPr>
          <w:rFonts w:hint="eastAsia"/>
        </w:rPr>
        <w:instrText xml:space="preserve"> </w:instrText>
      </w:r>
      <w:r>
        <w:instrText xml:space="preserve">PAGEREF _Toc219037491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06367B2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"_Toc219037492" </w:instrText>
      </w:r>
      <w:r>
        <w:fldChar w:fldCharType="separate"/>
      </w:r>
      <w:r>
        <w:rPr>
          <w:rStyle w:val="32"/>
          <w:rFonts w:hint="eastAsia"/>
        </w:rPr>
        <w:t>9</w:t>
      </w:r>
      <w:r>
        <w:rPr>
          <w:rStyle w:val="32"/>
        </w:rPr>
        <w:t xml:space="preserve"> </w:t>
      </w:r>
      <w:r>
        <w:rPr>
          <w:rStyle w:val="32"/>
          <w:rFonts w:hint="eastAsia"/>
        </w:rPr>
        <w:t xml:space="preserve"> 失效概率评价</w:t>
      </w:r>
      <w:r>
        <w:rPr>
          <w:rFonts w:hint="eastAsia"/>
        </w:rPr>
        <w:tab/>
      </w:r>
      <w:r>
        <w:rPr>
          <w:rFonts w:hint="eastAsia"/>
        </w:rPr>
        <w:fldChar w:fldCharType="begin"/>
      </w:r>
      <w:r>
        <w:rPr>
          <w:rFonts w:hint="eastAsia"/>
        </w:rPr>
        <w:instrText xml:space="preserve"> </w:instrText>
      </w:r>
      <w:r>
        <w:instrText xml:space="preserve">PAGEREF _Toc219037492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731F3E3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"_Toc219037493" </w:instrText>
      </w:r>
      <w:r>
        <w:fldChar w:fldCharType="separate"/>
      </w:r>
      <w:r>
        <w:rPr>
          <w:rStyle w:val="32"/>
          <w:rFonts w:hint="eastAsia"/>
        </w:rPr>
        <w:t>10</w:t>
      </w:r>
      <w:r>
        <w:rPr>
          <w:rStyle w:val="32"/>
        </w:rPr>
        <w:t xml:space="preserve"> </w:t>
      </w:r>
      <w:r>
        <w:rPr>
          <w:rStyle w:val="32"/>
          <w:rFonts w:hint="eastAsia"/>
        </w:rPr>
        <w:t xml:space="preserve"> 综合分级判定</w:t>
      </w:r>
      <w:r>
        <w:rPr>
          <w:rFonts w:hint="eastAsia"/>
        </w:rPr>
        <w:tab/>
      </w:r>
      <w:r>
        <w:rPr>
          <w:rFonts w:hint="eastAsia"/>
        </w:rPr>
        <w:fldChar w:fldCharType="begin"/>
      </w:r>
      <w:r>
        <w:rPr>
          <w:rFonts w:hint="eastAsia"/>
        </w:rPr>
        <w:instrText xml:space="preserve"> </w:instrText>
      </w:r>
      <w:r>
        <w:instrText xml:space="preserve">PAGEREF _Toc219037493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10A3976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"_Toc219037494" </w:instrText>
      </w:r>
      <w:r>
        <w:fldChar w:fldCharType="separate"/>
      </w:r>
      <w:r>
        <w:rPr>
          <w:rStyle w:val="32"/>
          <w:rFonts w:hint="eastAsia"/>
        </w:rPr>
        <w:t>11</w:t>
      </w:r>
      <w:r>
        <w:rPr>
          <w:rStyle w:val="32"/>
        </w:rPr>
        <w:t xml:space="preserve"> </w:t>
      </w:r>
      <w:r>
        <w:rPr>
          <w:rStyle w:val="32"/>
          <w:rFonts w:hint="eastAsia"/>
        </w:rPr>
        <w:t xml:space="preserve"> 分级管控与处置建议</w:t>
      </w:r>
      <w:r>
        <w:rPr>
          <w:rFonts w:hint="eastAsia"/>
        </w:rPr>
        <w:tab/>
      </w:r>
      <w:r>
        <w:rPr>
          <w:rFonts w:hint="eastAsia"/>
        </w:rPr>
        <w:fldChar w:fldCharType="begin"/>
      </w:r>
      <w:r>
        <w:rPr>
          <w:rFonts w:hint="eastAsia"/>
        </w:rPr>
        <w:instrText xml:space="preserve"> </w:instrText>
      </w:r>
      <w:r>
        <w:instrText xml:space="preserve">PAGEREF _Toc219037494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570BA51E">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037482"/>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本文件起草单位：河北省特种设备监督检验研究院。</w:t>
      </w:r>
    </w:p>
    <w:p w14:paraId="55F4A5D1">
      <w:pPr>
        <w:pStyle w:val="56"/>
        <w:spacing w:line="360" w:lineRule="auto"/>
        <w:ind w:firstLine="420"/>
      </w:pPr>
      <w:r>
        <w:rPr>
          <w:rFonts w:hint="eastAsia"/>
        </w:rPr>
        <w:t>本文件主要起草人：张迅。</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037483"/>
      <w:bookmarkStart w:id="25" w:name="BookMark3"/>
      <w:r>
        <w:rPr>
          <w:spacing w:val="320"/>
        </w:rPr>
        <w:t>引</w:t>
      </w:r>
      <w:r>
        <w:t>言</w:t>
      </w:r>
      <w:bookmarkEnd w:id="24"/>
    </w:p>
    <w:p w14:paraId="021867F6">
      <w:pPr>
        <w:pStyle w:val="56"/>
        <w:spacing w:line="360" w:lineRule="auto"/>
        <w:ind w:firstLine="420"/>
      </w:pPr>
      <w:r>
        <w:rPr>
          <w:rFonts w:hint="eastAsia"/>
        </w:rPr>
        <w:t>老旧压力管道长期处于介质腐蚀、应力波动、温度循环、地质沉降、外部荷载与第三方破坏等多因素耦合作用下，易出现壁厚减薄、局部腐蚀穿孔、裂纹扩展、焊缝缺陷放大、支吊架失效、附属设施老化以及阴极保护失效等问题。随着服役年限增长，管道失效模式由偶发缺陷转向系统性劣化，失效后果可能涉及介质泄漏、火灾爆炸、中毒窒息、环境污染与公共安全事件，对城市生命线安全、工业园区安全生产与公共基础设施韧性产生显著影响。与此同时，老旧压力管道存量规模大、分布广、工况复杂，全面更新成本高、停输代价大，迫切需要建立以风险为导向的安全状态分级评估机制，实现“精准识别、分级管控、分类处置、资源优化”的管理目标。</w:t>
      </w:r>
    </w:p>
    <w:p w14:paraId="574FBB56">
      <w:pPr>
        <w:pStyle w:val="56"/>
        <w:spacing w:line="360" w:lineRule="auto"/>
        <w:ind w:firstLine="420"/>
      </w:pPr>
      <w:r>
        <w:rPr>
          <w:rFonts w:hint="eastAsia"/>
        </w:rPr>
        <w:t>在工程实践中，老旧压力管道安全管理常面临资料不完整、检验检测与完整性评价脱节、评估口径不统一、缺陷与风险等级对应关系不清、处置决策缺乏量化依据以及评估结果难以支撑年度治理计划等问题。为提升评估工作的一致性与可操作性，本文件提出老旧压力管道安全状态分级评估实施要点，覆盖评估准备与数据采集、管道分段与单元划分、失效后果与失效概率识别、缺陷与劣化机理分析、定量与半定量指标体系构建、综合评分与分级判定、复核与不确定性处理、分级处置建议与闭环管理、评估报告与档案管理等内容，旨在为监督管理、定期检验、完整性管理与更新改造决策提供技术支撑。</w:t>
      </w:r>
    </w:p>
    <w:p w14:paraId="7F4A69FE">
      <w:pPr>
        <w:pStyle w:val="56"/>
        <w:spacing w:line="360" w:lineRule="auto"/>
        <w:ind w:firstLine="420"/>
      </w:pPr>
      <w:r>
        <w:rPr>
          <w:rFonts w:hint="eastAsia"/>
        </w:rPr>
        <w:t>本文件适用于在用老旧压力管道的安全状态分级评估工作，可用于燃气、石油、化工、热力与工业介质输送等场景的风险识别与治理排序。</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老旧压力管道安全状态分级评估实施要点</w:t>
          </w:r>
        </w:p>
      </w:sdtContent>
    </w:sdt>
    <w:bookmarkEnd w:id="27"/>
    <w:p w14:paraId="3DB22445">
      <w:pPr>
        <w:pStyle w:val="104"/>
        <w:spacing w:before="240" w:after="240" w:line="360" w:lineRule="auto"/>
      </w:pPr>
      <w:bookmarkStart w:id="28" w:name="_Toc17233325"/>
      <w:bookmarkStart w:id="29" w:name="_Toc17233333"/>
      <w:bookmarkStart w:id="30" w:name="_Toc24884211"/>
      <w:bookmarkStart w:id="31" w:name="_Toc24884218"/>
      <w:bookmarkStart w:id="32" w:name="_Toc26648465"/>
      <w:bookmarkStart w:id="33" w:name="_Toc26718930"/>
      <w:bookmarkStart w:id="34" w:name="_Toc219037484"/>
      <w:bookmarkStart w:id="35" w:name="_Toc97192964"/>
      <w:bookmarkStart w:id="36" w:name="_Toc26986771"/>
      <w:bookmarkStart w:id="37" w:name="_Toc26986530"/>
      <w:r>
        <w:rPr>
          <w:rFonts w:hint="eastAsia"/>
        </w:rPr>
        <w:t>范围</w:t>
      </w:r>
      <w:bookmarkEnd w:id="28"/>
      <w:bookmarkEnd w:id="29"/>
      <w:bookmarkEnd w:id="30"/>
      <w:bookmarkEnd w:id="31"/>
      <w:bookmarkEnd w:id="32"/>
      <w:bookmarkEnd w:id="33"/>
      <w:bookmarkEnd w:id="34"/>
      <w:bookmarkEnd w:id="35"/>
      <w:bookmarkEnd w:id="36"/>
      <w:bookmarkEnd w:id="37"/>
    </w:p>
    <w:p w14:paraId="64BB2865">
      <w:pPr>
        <w:pStyle w:val="56"/>
        <w:spacing w:line="360" w:lineRule="auto"/>
        <w:ind w:firstLine="420"/>
      </w:pPr>
      <w:bookmarkStart w:id="38" w:name="_Toc17233334"/>
      <w:bookmarkStart w:id="39" w:name="_Toc24884219"/>
      <w:bookmarkStart w:id="40" w:name="_Toc26648466"/>
      <w:bookmarkStart w:id="41" w:name="_Toc17233326"/>
      <w:bookmarkStart w:id="42" w:name="_Toc24884212"/>
      <w:r>
        <w:rPr>
          <w:rFonts w:hint="eastAsia"/>
        </w:rPr>
        <w:t>本文件规定了老旧压力管道安全状态分级评估的实施要点，包括评估准备与资料核查、管道单元划分与分段原则、数据采集与现场核验、风险识别与失效机理分析、失效后果与失效概率评价、缺陷与劣化程度判定、综合评价与分级判定、复核与不确定性处理、分级管控与处置建议、评估报告编制与档案管理等内容。</w:t>
      </w:r>
    </w:p>
    <w:p w14:paraId="76265264">
      <w:pPr>
        <w:pStyle w:val="56"/>
        <w:spacing w:line="360" w:lineRule="auto"/>
        <w:ind w:firstLine="420"/>
      </w:pPr>
      <w:r>
        <w:rPr>
          <w:rFonts w:hint="eastAsia"/>
        </w:rPr>
        <w:t>本文件适用于在用老旧压力管道的安全状态分级评估。新建管道的投运前评价、停用管道的再启用评价、重大改造后复评以及事故后专项评估可参照本文件执行。对不属于压力管道监管范围但存在类似风险的工艺管道系统，可参照本文件开展状态分级与治理排序。</w:t>
      </w:r>
    </w:p>
    <w:p w14:paraId="3733B2AD">
      <w:pPr>
        <w:pStyle w:val="104"/>
        <w:spacing w:before="240" w:after="240" w:line="360" w:lineRule="auto"/>
      </w:pPr>
      <w:bookmarkStart w:id="43" w:name="_Toc26986772"/>
      <w:bookmarkStart w:id="44" w:name="_Toc26986531"/>
      <w:bookmarkStart w:id="45" w:name="_Toc26718931"/>
      <w:bookmarkStart w:id="46" w:name="_Toc219037485"/>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76183F0">
      <w:pPr>
        <w:pStyle w:val="56"/>
        <w:spacing w:line="360" w:lineRule="auto"/>
        <w:ind w:firstLine="420"/>
      </w:pPr>
      <w:r>
        <w:rPr>
          <w:rFonts w:hint="eastAsia"/>
        </w:rPr>
        <w:t>GB 50016 建筑设计防火规范</w:t>
      </w:r>
    </w:p>
    <w:p w14:paraId="17F0FC32">
      <w:pPr>
        <w:pStyle w:val="56"/>
        <w:spacing w:line="360" w:lineRule="auto"/>
        <w:ind w:firstLine="420"/>
      </w:pPr>
      <w:r>
        <w:rPr>
          <w:rFonts w:hint="eastAsia"/>
        </w:rPr>
        <w:t>GB 50028 城镇燃气设计规范</w:t>
      </w:r>
    </w:p>
    <w:p w14:paraId="00377E00">
      <w:pPr>
        <w:pStyle w:val="56"/>
        <w:spacing w:line="360" w:lineRule="auto"/>
        <w:ind w:firstLine="420"/>
      </w:pPr>
      <w:r>
        <w:rPr>
          <w:rFonts w:hint="eastAsia"/>
        </w:rPr>
        <w:t>GB/T 1.1—2</w:t>
      </w:r>
      <w:r>
        <w:t>020</w:t>
      </w:r>
      <w:r>
        <w:rPr>
          <w:rFonts w:hint="eastAsia"/>
        </w:rPr>
        <w:t xml:space="preserve"> 标准化工作导则  第1部分：标准化文件的结构和起草规则</w:t>
      </w:r>
    </w:p>
    <w:p w14:paraId="07A7F860">
      <w:pPr>
        <w:pStyle w:val="56"/>
        <w:spacing w:line="360" w:lineRule="auto"/>
        <w:ind w:firstLine="420"/>
      </w:pPr>
      <w:r>
        <w:rPr>
          <w:rFonts w:hint="eastAsia"/>
        </w:rPr>
        <w:t>GB/T 19624 在用压力管道检验与安全评估导则</w:t>
      </w:r>
    </w:p>
    <w:p w14:paraId="42DCFEFA">
      <w:pPr>
        <w:pStyle w:val="56"/>
        <w:spacing w:line="360" w:lineRule="auto"/>
        <w:ind w:firstLine="420"/>
      </w:pPr>
      <w:r>
        <w:rPr>
          <w:rFonts w:hint="eastAsia"/>
        </w:rPr>
        <w:t>GB/T 20801 压力管道规范  工业管道</w:t>
      </w:r>
    </w:p>
    <w:p w14:paraId="51F02A4E">
      <w:pPr>
        <w:pStyle w:val="104"/>
        <w:spacing w:before="240" w:after="240" w:line="360" w:lineRule="auto"/>
      </w:pPr>
      <w:bookmarkStart w:id="48" w:name="_Toc97192966"/>
      <w:bookmarkStart w:id="49" w:name="_Toc21903748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78B582E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老旧压力管道 aging pressure pipeline</w:t>
      </w:r>
    </w:p>
    <w:p w14:paraId="1EE36B46">
      <w:pPr>
        <w:pStyle w:val="56"/>
        <w:spacing w:line="360" w:lineRule="auto"/>
        <w:ind w:firstLine="420"/>
      </w:pPr>
      <w:r>
        <w:rPr>
          <w:rFonts w:hint="eastAsia"/>
        </w:rPr>
        <w:t>服役年限较长且存在材料、制造、安装或运行维护条件与现行规范差异，或已出现典型劣化与缺陷特征，安全风险水平需要重点关注与治理的在用压力管道。</w:t>
      </w:r>
    </w:p>
    <w:p w14:paraId="365F20D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评估单元 assessment unit</w:t>
      </w:r>
    </w:p>
    <w:p w14:paraId="612FD318">
      <w:pPr>
        <w:pStyle w:val="56"/>
        <w:spacing w:line="360" w:lineRule="auto"/>
        <w:ind w:firstLine="420"/>
      </w:pPr>
      <w:r>
        <w:rPr>
          <w:rFonts w:hint="eastAsia"/>
        </w:rPr>
        <w:t>在安全状态评估中作为评价对象的最小管理单元，可按管段、站场、阀室、跨越段、穿越段或特定风险区段划分，并具备相对一致的结构与工况特征。</w:t>
      </w:r>
    </w:p>
    <w:p w14:paraId="4021EC7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安全状态 safety condition</w:t>
      </w:r>
    </w:p>
    <w:p w14:paraId="7026BD65">
      <w:pPr>
        <w:pStyle w:val="56"/>
        <w:spacing w:line="360" w:lineRule="auto"/>
        <w:ind w:firstLine="420"/>
      </w:pPr>
      <w:r>
        <w:rPr>
          <w:rFonts w:hint="eastAsia"/>
        </w:rPr>
        <w:t>压力管道在既定工况与约束条件下保持结构完整性、密封性与运行可靠性的综合状态，反映其发生失效的可能性与失效后果水平。</w:t>
      </w:r>
    </w:p>
    <w:p w14:paraId="2E3B1C9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分级评估 graded assessment</w:t>
      </w:r>
    </w:p>
    <w:p w14:paraId="4D16510D">
      <w:pPr>
        <w:pStyle w:val="56"/>
        <w:spacing w:line="360" w:lineRule="auto"/>
        <w:ind w:firstLine="420"/>
      </w:pPr>
      <w:r>
        <w:rPr>
          <w:rFonts w:hint="eastAsia"/>
        </w:rPr>
        <w:t>依据评估指标体系对管道安全状态进行分层分类，形成不同风险等级并匹配相应管控措施与处置策略的评估方法。</w:t>
      </w:r>
    </w:p>
    <w:p w14:paraId="088D741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失效概率 probability of failure</w:t>
      </w:r>
    </w:p>
    <w:p w14:paraId="134DA1C5">
      <w:pPr>
        <w:pStyle w:val="56"/>
        <w:spacing w:line="360" w:lineRule="auto"/>
        <w:ind w:firstLine="420"/>
      </w:pPr>
      <w:r>
        <w:rPr>
          <w:rFonts w:hint="eastAsia"/>
        </w:rPr>
        <w:t>在给定时间尺度内，管道因腐蚀、疲劳、脆断、地质灾害、第三方破坏等原因发生泄漏或破裂等失效事件的可能性评价。</w:t>
      </w:r>
    </w:p>
    <w:p w14:paraId="656C523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失效后果 consequence of failure</w:t>
      </w:r>
    </w:p>
    <w:p w14:paraId="54EAD2D2">
      <w:pPr>
        <w:pStyle w:val="56"/>
        <w:spacing w:line="360" w:lineRule="auto"/>
        <w:ind w:firstLine="420"/>
      </w:pPr>
      <w:r>
        <w:rPr>
          <w:rFonts w:hint="eastAsia"/>
        </w:rPr>
        <w:t>管道失效后对人员生命安全、财产损失、环境影响、社会影响与供能供气中断等造成影响的综合评价。</w:t>
      </w:r>
    </w:p>
    <w:p w14:paraId="0DC6139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完整性管理 integrity management</w:t>
      </w:r>
    </w:p>
    <w:p w14:paraId="49584647">
      <w:pPr>
        <w:pStyle w:val="56"/>
        <w:spacing w:line="360" w:lineRule="auto"/>
        <w:ind w:firstLine="420"/>
      </w:pPr>
      <w:r>
        <w:rPr>
          <w:rFonts w:hint="eastAsia"/>
        </w:rPr>
        <w:t>基于风险识别与评估结果，对管道实施检验检测、维护保养、风险控制、修复更新与运行优化的系统性管理活动。</w:t>
      </w:r>
    </w:p>
    <w:p w14:paraId="64F210F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处置措施 mitigation measure</w:t>
      </w:r>
    </w:p>
    <w:p w14:paraId="11ED0D72">
      <w:pPr>
        <w:pStyle w:val="56"/>
        <w:spacing w:line="360" w:lineRule="auto"/>
        <w:ind w:firstLine="420"/>
      </w:pPr>
      <w:r>
        <w:rPr>
          <w:rFonts w:hint="eastAsia"/>
        </w:rPr>
        <w:t>为降低失效概率或减轻失效后果而采取的工程措施与管理措施，包括降压限输、加强巡检、修复更换、加装防护、阴极保护恢复、改线迁改、风险区整治等。</w:t>
      </w:r>
    </w:p>
    <w:p w14:paraId="4C14CF5D">
      <w:pPr>
        <w:pStyle w:val="104"/>
        <w:spacing w:before="240" w:after="240" w:line="360" w:lineRule="auto"/>
      </w:pPr>
      <w:bookmarkStart w:id="51" w:name="_Toc219037487"/>
      <w:r>
        <w:rPr>
          <w:rFonts w:hint="eastAsia"/>
        </w:rPr>
        <w:t>总体要求</w:t>
      </w:r>
      <w:bookmarkEnd w:id="51"/>
    </w:p>
    <w:p w14:paraId="68FF5121">
      <w:pPr>
        <w:pStyle w:val="105"/>
        <w:spacing w:before="120" w:after="120" w:line="360" w:lineRule="auto"/>
      </w:pPr>
      <w:r>
        <w:rPr>
          <w:rFonts w:hint="eastAsia"/>
        </w:rPr>
        <w:t>基本要求</w:t>
      </w:r>
    </w:p>
    <w:p w14:paraId="74845D9D">
      <w:pPr>
        <w:pStyle w:val="165"/>
        <w:spacing w:line="360" w:lineRule="auto"/>
      </w:pPr>
      <w:r>
        <w:rPr>
          <w:rFonts w:hint="eastAsia"/>
        </w:rPr>
        <w:t>老旧压力管道安全状态分级评估应以风险为导向，以完整性管理为主线，以可追溯数据为基础，形成可落地的分级判定结果与分级管控措施，支撑年度治理计划、检验检测计划与更新改造决策。</w:t>
      </w:r>
    </w:p>
    <w:p w14:paraId="79E15294">
      <w:pPr>
        <w:pStyle w:val="165"/>
        <w:spacing w:line="360" w:lineRule="auto"/>
      </w:pPr>
      <w:r>
        <w:rPr>
          <w:rFonts w:hint="eastAsia"/>
        </w:rPr>
        <w:t>评估应覆盖管道本体、焊接接头与热影响区、弯头三通变径等管件、阀门与法兰等连接部位、支吊架与补偿器、阴极保护与绝缘接头、站场阀室与附属设施，以及穿跨越、穿越河流道路、人口密集区等高后果区段。</w:t>
      </w:r>
    </w:p>
    <w:p w14:paraId="675D2ACF">
      <w:pPr>
        <w:pStyle w:val="165"/>
        <w:spacing w:line="360" w:lineRule="auto"/>
      </w:pPr>
      <w:r>
        <w:rPr>
          <w:rFonts w:hint="eastAsia"/>
        </w:rPr>
        <w:t>评估应在满足现行安全技术规范与监管要求的前提下开展。涉及重大隐患、重大危险源或城市生命线重点区段的，应按主管部门要求组织专项评估或提高评估深度。</w:t>
      </w:r>
    </w:p>
    <w:p w14:paraId="46EC4404">
      <w:pPr>
        <w:pStyle w:val="105"/>
        <w:spacing w:before="120" w:after="120" w:line="360" w:lineRule="auto"/>
      </w:pPr>
      <w:r>
        <w:rPr>
          <w:rFonts w:hint="eastAsia"/>
        </w:rPr>
        <w:t>评估原则</w:t>
      </w:r>
    </w:p>
    <w:p w14:paraId="46F902F8">
      <w:pPr>
        <w:pStyle w:val="165"/>
        <w:spacing w:line="360" w:lineRule="auto"/>
      </w:pPr>
      <w:r>
        <w:rPr>
          <w:rFonts w:hint="eastAsia"/>
        </w:rPr>
        <w:t>评估应坚持合法合规与标准一致原则，评估依据、方法来源、数据口径与判定阈值应明确可查，确保不同批次与不同单位评估结果可比。</w:t>
      </w:r>
    </w:p>
    <w:p w14:paraId="79B5A9DE">
      <w:pPr>
        <w:pStyle w:val="165"/>
        <w:spacing w:line="360" w:lineRule="auto"/>
      </w:pPr>
      <w:r>
        <w:rPr>
          <w:rFonts w:hint="eastAsia"/>
        </w:rPr>
        <w:t>评估应坚持分段分单元原则。评估单元应具备相对一致的材料与制造特征、运行工况、环境条件与风险暴露条件，避免将差异显著的区段混合评价导致结论失真。</w:t>
      </w:r>
    </w:p>
    <w:p w14:paraId="1DD11E11">
      <w:pPr>
        <w:pStyle w:val="165"/>
        <w:spacing w:line="360" w:lineRule="auto"/>
      </w:pPr>
      <w:r>
        <w:rPr>
          <w:rFonts w:hint="eastAsia"/>
        </w:rPr>
        <w:t>评估应坚持概率与后果并重原则。分级判定应同时考虑失效概率与失效后果，既关注腐蚀与缺陷发展，也关注人口密集程度、介质危害性与应急处置条件等后果因素。</w:t>
      </w:r>
    </w:p>
    <w:p w14:paraId="6112ACD4">
      <w:pPr>
        <w:pStyle w:val="165"/>
        <w:spacing w:line="360" w:lineRule="auto"/>
      </w:pPr>
      <w:r>
        <w:rPr>
          <w:rFonts w:hint="eastAsia"/>
        </w:rPr>
        <w:t>评估应坚持数据优先与现场核验原则。对关键参数应优先采用实测数据与可追溯记录，资料缺失或疑点较大时应开展现场核验与补充检测，不得以主观假设替代关键证据。</w:t>
      </w:r>
    </w:p>
    <w:p w14:paraId="739ADA41">
      <w:pPr>
        <w:pStyle w:val="165"/>
        <w:spacing w:line="360" w:lineRule="auto"/>
      </w:pPr>
      <w:r>
        <w:rPr>
          <w:rFonts w:hint="eastAsia"/>
        </w:rPr>
        <w:t>评估应坚持闭环管理原则。评估结论应形成可执行的分级管控清单，明确责任主体、处置措施、完成时限、复评条件与销项要求，确保评估结果能够转化为风险降低效果。</w:t>
      </w:r>
    </w:p>
    <w:p w14:paraId="1009B66B">
      <w:pPr>
        <w:pStyle w:val="105"/>
        <w:spacing w:before="120" w:after="120" w:line="360" w:lineRule="auto"/>
      </w:pPr>
      <w:r>
        <w:rPr>
          <w:rFonts w:hint="eastAsia"/>
        </w:rPr>
        <w:t>组织与职责</w:t>
      </w:r>
    </w:p>
    <w:p w14:paraId="452E3CFA">
      <w:pPr>
        <w:pStyle w:val="165"/>
        <w:spacing w:line="360" w:lineRule="auto"/>
      </w:pPr>
      <w:r>
        <w:rPr>
          <w:rFonts w:hint="eastAsia"/>
        </w:rPr>
        <w:t>使用单位应作为评估组织责任主体，负责提供基础资料与运行维护记录，协调现场核验条件，落实评估结论的整改治理与复评，并将评估资料纳入安全技术档案。</w:t>
      </w:r>
    </w:p>
    <w:p w14:paraId="2E89D2AD">
      <w:pPr>
        <w:pStyle w:val="165"/>
        <w:spacing w:line="360" w:lineRule="auto"/>
      </w:pPr>
      <w:r>
        <w:rPr>
          <w:rFonts w:hint="eastAsia"/>
        </w:rPr>
        <w:t>评估单位应具备相应能力，负责评估方案编制、数据核查、风险识别、指标计算、分级判定、处置建议形成与报告编制，并对评估方法适用性与数据处理过程负责。</w:t>
      </w:r>
    </w:p>
    <w:p w14:paraId="3068728D">
      <w:pPr>
        <w:pStyle w:val="165"/>
        <w:spacing w:line="360" w:lineRule="auto"/>
      </w:pPr>
      <w:r>
        <w:rPr>
          <w:rFonts w:hint="eastAsia"/>
        </w:rPr>
        <w:t>检验检测机构应按任务分工提供定期检验、专项检测、在线监测与无损检测等数据与结论，并对检测方法合规性、设备校准状态与原始记录完整性负责。</w:t>
      </w:r>
    </w:p>
    <w:p w14:paraId="2E30E459">
      <w:pPr>
        <w:pStyle w:val="165"/>
        <w:spacing w:line="360" w:lineRule="auto"/>
      </w:pPr>
      <w:r>
        <w:rPr>
          <w:rFonts w:hint="eastAsia"/>
        </w:rPr>
        <w:t>涉及跨区域公用管道或城市生命线重点区段时，使用单位应建立与属地监管部门、应急管理部门及相关运营单位的协同机制，保证数据共享、风险联动与应急衔接。</w:t>
      </w:r>
    </w:p>
    <w:p w14:paraId="4CD8BB67">
      <w:pPr>
        <w:pStyle w:val="105"/>
        <w:spacing w:before="120" w:after="120" w:line="360" w:lineRule="auto"/>
      </w:pPr>
      <w:r>
        <w:rPr>
          <w:rFonts w:hint="eastAsia"/>
        </w:rPr>
        <w:t>评估流程要求</w:t>
      </w:r>
    </w:p>
    <w:p w14:paraId="02ACA1D4">
      <w:pPr>
        <w:pStyle w:val="165"/>
        <w:spacing w:line="360" w:lineRule="auto"/>
      </w:pPr>
      <w:r>
        <w:rPr>
          <w:rFonts w:hint="eastAsia"/>
        </w:rPr>
        <w:t>评估流程应包括评估启动、资料收集与核对、评估单元划分、现场核验与补充检测、失效机理与风险识别、失效后果与失效概率评价、综合评分与分级判定、复核与审定、分级管控与处置建议、成果交付与档案归集等环节。</w:t>
      </w:r>
    </w:p>
    <w:p w14:paraId="3E090543">
      <w:pPr>
        <w:pStyle w:val="165"/>
        <w:spacing w:line="360" w:lineRule="auto"/>
      </w:pPr>
      <w:r>
        <w:rPr>
          <w:rFonts w:hint="eastAsia"/>
        </w:rPr>
        <w:t>评估启动阶段应明确评估范围、时间尺度、分级目标、数据来源、现场核验计划与成果交付要求，并形成评估工作方案。</w:t>
      </w:r>
    </w:p>
    <w:p w14:paraId="6E7034FF">
      <w:pPr>
        <w:pStyle w:val="165"/>
        <w:spacing w:line="360" w:lineRule="auto"/>
      </w:pPr>
      <w:r>
        <w:rPr>
          <w:rFonts w:hint="eastAsia"/>
        </w:rPr>
        <w:t>评估单元划分应形成清单与示意，清单应能对应管道编号、起讫里程或坐标范围、管径壁厚、材质与制造安装信息、运行介质与压力温度、环境与风险暴露特征。</w:t>
      </w:r>
    </w:p>
    <w:p w14:paraId="6CECD702">
      <w:pPr>
        <w:pStyle w:val="165"/>
        <w:spacing w:line="360" w:lineRule="auto"/>
      </w:pPr>
      <w:r>
        <w:rPr>
          <w:rFonts w:hint="eastAsia"/>
        </w:rPr>
        <w:t>评估过程中发现严重缺陷或存在立即失效风险时，应启动快速风险处置机制，及时提出临时控制措施建议，例如降压限输、停输隔离、设置警戒与加强巡检，并同步报告使用单位安全管理负责人。</w:t>
      </w:r>
    </w:p>
    <w:p w14:paraId="306D591C">
      <w:pPr>
        <w:pStyle w:val="105"/>
        <w:spacing w:before="120" w:after="120" w:line="360" w:lineRule="auto"/>
      </w:pPr>
      <w:r>
        <w:rPr>
          <w:rFonts w:hint="eastAsia"/>
        </w:rPr>
        <w:t>数据与证据链要求</w:t>
      </w:r>
    </w:p>
    <w:p w14:paraId="1F20A711">
      <w:pPr>
        <w:pStyle w:val="165"/>
        <w:spacing w:line="360" w:lineRule="auto"/>
      </w:pPr>
      <w:r>
        <w:rPr>
          <w:rFonts w:hint="eastAsia"/>
        </w:rPr>
        <w:t>评估数据应满足完整性、准确性、一致性与可追溯性要求。关键数据应能追溯到记录来源、采集时间、采集方法、责任人或责任单位。</w:t>
      </w:r>
    </w:p>
    <w:p w14:paraId="5A3C8037">
      <w:pPr>
        <w:pStyle w:val="165"/>
        <w:spacing w:line="360" w:lineRule="auto"/>
      </w:pPr>
      <w:r>
        <w:rPr>
          <w:rFonts w:hint="eastAsia"/>
        </w:rPr>
        <w:t>数据口径应统一。坐标与里程基准、标高基准、管径壁厚计量口径、缺陷分类命名、腐蚀速率计算口径与后果评价口径应在评估方案中统一定义。</w:t>
      </w:r>
    </w:p>
    <w:p w14:paraId="18E991D3">
      <w:pPr>
        <w:pStyle w:val="165"/>
        <w:spacing w:line="360" w:lineRule="auto"/>
      </w:pPr>
      <w:r>
        <w:rPr>
          <w:rFonts w:hint="eastAsia"/>
        </w:rPr>
        <w:t>当数据存在冲突或差异时，应开展一致性核查并形成取值原则。对直接影响分级结果的数据应优先采用高可信来源或实测数据，并记录取舍依据。</w:t>
      </w:r>
    </w:p>
    <w:p w14:paraId="3D4BA0B6">
      <w:pPr>
        <w:pStyle w:val="165"/>
        <w:spacing w:line="360" w:lineRule="auto"/>
      </w:pPr>
      <w:r>
        <w:rPr>
          <w:rFonts w:hint="eastAsia"/>
        </w:rPr>
        <w:t>对资料缺失的老旧管道，应形成缺失项清单并提出补齐路径。补齐路径可包括现场测绘、材料识别、壁厚测量、阴极保护测试、泄漏历史核查、第三方破坏风险排查与必要的专项检测。</w:t>
      </w:r>
    </w:p>
    <w:p w14:paraId="43246892">
      <w:pPr>
        <w:pStyle w:val="105"/>
        <w:spacing w:before="120" w:after="120" w:line="360" w:lineRule="auto"/>
      </w:pPr>
      <w:r>
        <w:rPr>
          <w:rFonts w:hint="eastAsia"/>
        </w:rPr>
        <w:t>现场核验与安全要求</w:t>
      </w:r>
    </w:p>
    <w:p w14:paraId="51216840">
      <w:pPr>
        <w:pStyle w:val="165"/>
        <w:spacing w:line="360" w:lineRule="auto"/>
      </w:pPr>
      <w:r>
        <w:rPr>
          <w:rFonts w:hint="eastAsia"/>
        </w:rPr>
        <w:t>现场核验应围绕高风险区段与关键薄弱环节开展，重点核验管道标识与走向、穿跨越与埋深、外防腐与阴极保护状态、阀室与附属设施完整性、支吊架与补偿器状态、泄漏与异常沉降迹象、占压与第三方施工风险等内容。</w:t>
      </w:r>
    </w:p>
    <w:p w14:paraId="3E785C93">
      <w:pPr>
        <w:pStyle w:val="165"/>
        <w:spacing w:line="360" w:lineRule="auto"/>
      </w:pPr>
      <w:r>
        <w:rPr>
          <w:rFonts w:hint="eastAsia"/>
        </w:rPr>
        <w:t>现场作业应落实安全作业管理要求，明确作业许可、气体检测、动火与受限空间管理、交通导改与警戒设置、管道介质危害告知与应急处置准备，确保核验过程不引入新的安全风险。</w:t>
      </w:r>
    </w:p>
    <w:p w14:paraId="4E298868">
      <w:pPr>
        <w:pStyle w:val="165"/>
        <w:spacing w:line="360" w:lineRule="auto"/>
      </w:pPr>
      <w:r>
        <w:rPr>
          <w:rFonts w:hint="eastAsia"/>
        </w:rPr>
        <w:t>现场核验应形成记录与影像资料。记录应具备可定位信息，影像资料应与评估单元对应并满足后续复核需要。</w:t>
      </w:r>
    </w:p>
    <w:p w14:paraId="329F3DA9">
      <w:pPr>
        <w:pStyle w:val="105"/>
        <w:spacing w:before="120" w:after="120" w:line="360" w:lineRule="auto"/>
      </w:pPr>
      <w:r>
        <w:rPr>
          <w:rFonts w:hint="eastAsia"/>
        </w:rPr>
        <w:t>复核与审定要求</w:t>
      </w:r>
    </w:p>
    <w:p w14:paraId="717632B6">
      <w:pPr>
        <w:pStyle w:val="165"/>
        <w:spacing w:line="360" w:lineRule="auto"/>
      </w:pPr>
      <w:r>
        <w:rPr>
          <w:rFonts w:hint="eastAsia"/>
        </w:rPr>
        <w:t>评估结果应实施复核。复核应至少覆盖评估单元划分合理性、关键数据取值、指标计算过程、分级判定逻辑与处置建议匹配性。</w:t>
      </w:r>
    </w:p>
    <w:p w14:paraId="19689074">
      <w:pPr>
        <w:pStyle w:val="165"/>
        <w:spacing w:line="360" w:lineRule="auto"/>
      </w:pPr>
      <w:r>
        <w:rPr>
          <w:rFonts w:hint="eastAsia"/>
        </w:rPr>
        <w:t>对分级为高风险等级的评估单元，应实施加强复核或专家审查。审查应关注关键证据充分性、临时控制措施必要性、处置优先级与时限合理性，以及复评触发条件设置。</w:t>
      </w:r>
    </w:p>
    <w:p w14:paraId="030BFF64">
      <w:pPr>
        <w:pStyle w:val="165"/>
        <w:spacing w:line="360" w:lineRule="auto"/>
      </w:pPr>
      <w:r>
        <w:rPr>
          <w:rFonts w:hint="eastAsia"/>
        </w:rPr>
        <w:t>复核与审定结论应形成记录，并纳入评估报告的质量声明部分或附录索引中，确保审查链条完整。</w:t>
      </w:r>
    </w:p>
    <w:p w14:paraId="11A311D9">
      <w:pPr>
        <w:pStyle w:val="105"/>
        <w:spacing w:before="120" w:after="120" w:line="360" w:lineRule="auto"/>
      </w:pPr>
      <w:r>
        <w:rPr>
          <w:rFonts w:hint="eastAsia"/>
        </w:rPr>
        <w:t>动态更新要求</w:t>
      </w:r>
    </w:p>
    <w:p w14:paraId="1EAA3F82">
      <w:pPr>
        <w:pStyle w:val="165"/>
        <w:spacing w:line="360" w:lineRule="auto"/>
      </w:pPr>
      <w:r>
        <w:rPr>
          <w:rFonts w:hint="eastAsia"/>
        </w:rPr>
        <w:t>分级评估结果应实施动态更新。发生介质或工况变更、压力温度显著调整、检验检测发现新缺陷、发生泄漏或第三方破坏事件、实施修复改造或阴极保护系统调整等情形时，应启动复评或专项复核。</w:t>
      </w:r>
    </w:p>
    <w:p w14:paraId="2A62EE40">
      <w:pPr>
        <w:pStyle w:val="165"/>
        <w:spacing w:line="360" w:lineRule="auto"/>
      </w:pPr>
      <w:r>
        <w:rPr>
          <w:rFonts w:hint="eastAsia"/>
        </w:rPr>
        <w:t>使用单位应建立分级管控台账，台账应与检验检测计划、维修治理计划和应急预案衔接，实现风险等级变化可追踪、治理进度可核验、销项条件可检查。</w:t>
      </w:r>
    </w:p>
    <w:p w14:paraId="193C6E69">
      <w:pPr>
        <w:pStyle w:val="104"/>
        <w:spacing w:before="240" w:after="240" w:line="360" w:lineRule="auto"/>
      </w:pPr>
      <w:bookmarkStart w:id="52" w:name="_Toc219037488"/>
      <w:r>
        <w:rPr>
          <w:rFonts w:hint="eastAsia"/>
        </w:rPr>
        <w:t>评估准备与资料核查</w:t>
      </w:r>
      <w:bookmarkEnd w:id="52"/>
    </w:p>
    <w:p w14:paraId="04C096B3">
      <w:pPr>
        <w:pStyle w:val="105"/>
        <w:spacing w:before="120" w:after="120" w:line="360" w:lineRule="auto"/>
      </w:pPr>
      <w:r>
        <w:rPr>
          <w:rFonts w:hint="eastAsia"/>
        </w:rPr>
        <w:t>评估启动与边界确认</w:t>
      </w:r>
    </w:p>
    <w:p w14:paraId="2BE6086E">
      <w:pPr>
        <w:pStyle w:val="165"/>
        <w:spacing w:line="360" w:lineRule="auto"/>
      </w:pPr>
      <w:r>
        <w:rPr>
          <w:rFonts w:hint="eastAsia"/>
        </w:rPr>
        <w:t>评估启动应形成评估工作方案。方案应明确评估目的、评估范围、时间尺度、评估单元划分原则、数据来源与质量要求、现场核验与补充检测计划、分级判定方法、成果交付形式与时间安排。</w:t>
      </w:r>
    </w:p>
    <w:p w14:paraId="12B0B640">
      <w:pPr>
        <w:pStyle w:val="165"/>
        <w:spacing w:line="360" w:lineRule="auto"/>
      </w:pPr>
      <w:r>
        <w:rPr>
          <w:rFonts w:hint="eastAsia"/>
        </w:rPr>
        <w:t>评估边界应明确纳入范围的管道类型、系统边界与接口点位。对跨站场、跨阀室或跨单位产权边界的管道，应明确接口责任与数据共享方式。对存在多介质或多工况切换的系统，应明确评估所对应的代表性工况或最不利工况。</w:t>
      </w:r>
    </w:p>
    <w:p w14:paraId="319C13BD">
      <w:pPr>
        <w:pStyle w:val="165"/>
        <w:spacing w:line="360" w:lineRule="auto"/>
      </w:pPr>
      <w:r>
        <w:rPr>
          <w:rFonts w:hint="eastAsia"/>
        </w:rPr>
        <w:t>评估时间尺度应与治理决策需求一致。用于年度治理排序的评估宜关注近期风险与短期失效可能性，用于中长期更新改造规划的评估宜关注劣化趋势与剩余寿命不确定性，并在报告中说明时间尺度差异对结论的影响。</w:t>
      </w:r>
    </w:p>
    <w:p w14:paraId="6F3D7208">
      <w:pPr>
        <w:pStyle w:val="105"/>
        <w:spacing w:before="120" w:after="120" w:line="360" w:lineRule="auto"/>
      </w:pPr>
      <w:r>
        <w:rPr>
          <w:rFonts w:hint="eastAsia"/>
        </w:rPr>
        <w:t>资料收集与核查原则</w:t>
      </w:r>
    </w:p>
    <w:p w14:paraId="4D454C24">
      <w:pPr>
        <w:pStyle w:val="165"/>
        <w:spacing w:line="360" w:lineRule="auto"/>
      </w:pPr>
      <w:r>
        <w:rPr>
          <w:rFonts w:hint="eastAsia"/>
        </w:rPr>
        <w:t>资料收集应坚持全生命周期原则，覆盖设计、制造、安装、投运、运行维护、检验检测、事故事件与修复改造等阶段资料。资料应尽可能获取原始文件或可追溯的电子档案，避免仅使用二次汇总材料。</w:t>
      </w:r>
    </w:p>
    <w:p w14:paraId="318E7841">
      <w:pPr>
        <w:pStyle w:val="165"/>
        <w:spacing w:line="360" w:lineRule="auto"/>
      </w:pPr>
      <w:r>
        <w:rPr>
          <w:rFonts w:hint="eastAsia"/>
        </w:rPr>
        <w:t>资料核查应坚持一致性原则。对里程桩号、坐标基准、管径壁厚、材质牌号、焊接工艺、设计压力温度、介质特性与阀室编号等关键字段，应进行跨文件一致性核对，发现差异应形成问题清单并确定取值原则。</w:t>
      </w:r>
    </w:p>
    <w:p w14:paraId="6CBB409A">
      <w:pPr>
        <w:pStyle w:val="165"/>
        <w:spacing w:line="360" w:lineRule="auto"/>
      </w:pPr>
      <w:r>
        <w:rPr>
          <w:rFonts w:hint="eastAsia"/>
        </w:rPr>
        <w:t>资料核查应坚持可用性原则。用于定量计算的关键参数应具备明确来源、测量方法与时间信息。无法满足可用性要求的数据不得直接用于定量计算，应通过现场核验或补充检测获取替代数据。</w:t>
      </w:r>
    </w:p>
    <w:p w14:paraId="2E73D2AD">
      <w:pPr>
        <w:pStyle w:val="165"/>
        <w:spacing w:line="360" w:lineRule="auto"/>
      </w:pPr>
      <w:r>
        <w:rPr>
          <w:rFonts w:hint="eastAsia"/>
        </w:rPr>
        <w:t>资料核查应坚持风险优先原则。对人口密集区、高后果区、历史泄漏多发区、腐蚀环境复杂区、穿跨越与第三方施工频繁区段，应优先收集与补齐关键资料，提升评估证据充分性。</w:t>
      </w:r>
    </w:p>
    <w:p w14:paraId="5F3408CB">
      <w:pPr>
        <w:pStyle w:val="105"/>
        <w:spacing w:before="120" w:after="120" w:line="360" w:lineRule="auto"/>
      </w:pPr>
      <w:r>
        <w:rPr>
          <w:rFonts w:hint="eastAsia"/>
        </w:rPr>
        <w:t>资料清单与缺失补齐</w:t>
      </w:r>
    </w:p>
    <w:p w14:paraId="0AF2219A">
      <w:pPr>
        <w:pStyle w:val="56"/>
        <w:spacing w:line="360" w:lineRule="auto"/>
        <w:ind w:firstLine="420"/>
      </w:pPr>
      <w:r>
        <w:rPr>
          <w:rFonts w:hint="eastAsia"/>
        </w:rPr>
        <w:t>本章给出评估所需资料清单与现场核验要点，使用单位可据此开展资料整理与缺失补齐。实际项目可在不降低安全要求的前提下增加专项资料项。</w:t>
      </w:r>
    </w:p>
    <w:p w14:paraId="305AD961">
      <w:pPr>
        <w:pStyle w:val="112"/>
        <w:spacing w:before="120" w:after="120" w:line="360" w:lineRule="auto"/>
      </w:pPr>
      <w:r>
        <w:rPr>
          <w:rFonts w:hint="eastAsia"/>
        </w:rPr>
        <w:t>评估资料清单与现场核验要点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2552"/>
        <w:gridCol w:w="1701"/>
        <w:gridCol w:w="1984"/>
        <w:gridCol w:w="1406"/>
      </w:tblGrid>
      <w:tr w14:paraId="5F563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vAlign w:val="center"/>
          </w:tcPr>
          <w:p w14:paraId="12FBA790">
            <w:pPr>
              <w:pStyle w:val="178"/>
            </w:pPr>
            <w:r>
              <w:rPr>
                <w:rFonts w:hint="eastAsia"/>
              </w:rPr>
              <w:t>资料类别</w:t>
            </w:r>
          </w:p>
        </w:tc>
        <w:tc>
          <w:tcPr>
            <w:tcW w:w="2552" w:type="dxa"/>
            <w:tcBorders>
              <w:top w:val="single" w:color="auto" w:sz="8" w:space="0"/>
              <w:bottom w:val="single" w:color="auto" w:sz="8" w:space="0"/>
            </w:tcBorders>
            <w:vAlign w:val="center"/>
          </w:tcPr>
          <w:p w14:paraId="5B580752">
            <w:pPr>
              <w:pStyle w:val="178"/>
            </w:pPr>
            <w:r>
              <w:rPr>
                <w:rFonts w:hint="eastAsia"/>
              </w:rPr>
              <w:t>主要内容</w:t>
            </w:r>
          </w:p>
        </w:tc>
        <w:tc>
          <w:tcPr>
            <w:tcW w:w="1701" w:type="dxa"/>
            <w:tcBorders>
              <w:top w:val="single" w:color="auto" w:sz="8" w:space="0"/>
              <w:bottom w:val="single" w:color="auto" w:sz="8" w:space="0"/>
            </w:tcBorders>
            <w:vAlign w:val="center"/>
          </w:tcPr>
          <w:p w14:paraId="5B1DA91F">
            <w:pPr>
              <w:pStyle w:val="178"/>
            </w:pPr>
            <w:r>
              <w:rPr>
                <w:rFonts w:hint="eastAsia"/>
              </w:rPr>
              <w:t>关键核查点</w:t>
            </w:r>
          </w:p>
        </w:tc>
        <w:tc>
          <w:tcPr>
            <w:tcW w:w="1984" w:type="dxa"/>
            <w:tcBorders>
              <w:top w:val="single" w:color="auto" w:sz="8" w:space="0"/>
              <w:bottom w:val="single" w:color="auto" w:sz="8" w:space="0"/>
            </w:tcBorders>
            <w:vAlign w:val="center"/>
          </w:tcPr>
          <w:p w14:paraId="1BEDE1A1">
            <w:pPr>
              <w:pStyle w:val="178"/>
            </w:pPr>
            <w:r>
              <w:rPr>
                <w:rFonts w:hint="eastAsia"/>
              </w:rPr>
              <w:t>现场核验与补齐要点</w:t>
            </w:r>
          </w:p>
        </w:tc>
        <w:tc>
          <w:tcPr>
            <w:tcW w:w="1406" w:type="dxa"/>
            <w:tcBorders>
              <w:top w:val="single" w:color="auto" w:sz="8" w:space="0"/>
              <w:bottom w:val="single" w:color="auto" w:sz="8" w:space="0"/>
            </w:tcBorders>
            <w:vAlign w:val="center"/>
          </w:tcPr>
          <w:p w14:paraId="0FF5AF63">
            <w:pPr>
              <w:pStyle w:val="178"/>
            </w:pPr>
            <w:r>
              <w:rPr>
                <w:rFonts w:hint="eastAsia"/>
              </w:rPr>
              <w:t>典型风险指向</w:t>
            </w:r>
          </w:p>
        </w:tc>
      </w:tr>
      <w:tr w14:paraId="062D8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vAlign w:val="center"/>
          </w:tcPr>
          <w:p w14:paraId="089EA96C">
            <w:pPr>
              <w:pStyle w:val="178"/>
            </w:pPr>
            <w:r>
              <w:rPr>
                <w:rFonts w:hint="eastAsia"/>
              </w:rPr>
              <w:t>基础台账</w:t>
            </w:r>
          </w:p>
        </w:tc>
        <w:tc>
          <w:tcPr>
            <w:tcW w:w="2552" w:type="dxa"/>
            <w:tcBorders>
              <w:top w:val="single" w:color="auto" w:sz="8" w:space="0"/>
            </w:tcBorders>
            <w:vAlign w:val="center"/>
          </w:tcPr>
          <w:p w14:paraId="49D63ABF">
            <w:pPr>
              <w:pStyle w:val="178"/>
            </w:pPr>
            <w:r>
              <w:rPr>
                <w:rFonts w:hint="eastAsia"/>
              </w:rPr>
              <w:t>管道编号、线路名称、起讫点 位置信息、权属、运行单位</w:t>
            </w:r>
          </w:p>
        </w:tc>
        <w:tc>
          <w:tcPr>
            <w:tcW w:w="1701" w:type="dxa"/>
            <w:tcBorders>
              <w:top w:val="single" w:color="auto" w:sz="8" w:space="0"/>
            </w:tcBorders>
            <w:vAlign w:val="center"/>
          </w:tcPr>
          <w:p w14:paraId="3A98992A">
            <w:pPr>
              <w:pStyle w:val="178"/>
            </w:pPr>
            <w:r>
              <w:rPr>
                <w:rFonts w:hint="eastAsia"/>
              </w:rPr>
              <w:t>编码唯一性、与实际走向一致</w:t>
            </w:r>
          </w:p>
        </w:tc>
        <w:tc>
          <w:tcPr>
            <w:tcW w:w="1984" w:type="dxa"/>
            <w:tcBorders>
              <w:top w:val="single" w:color="auto" w:sz="8" w:space="0"/>
            </w:tcBorders>
            <w:vAlign w:val="center"/>
          </w:tcPr>
          <w:p w14:paraId="0B38A9B1">
            <w:pPr>
              <w:pStyle w:val="178"/>
            </w:pPr>
            <w:r>
              <w:rPr>
                <w:rFonts w:hint="eastAsia"/>
              </w:rPr>
              <w:t>现场核对标识、桩号、坐标、形成可定位清单</w:t>
            </w:r>
          </w:p>
        </w:tc>
        <w:tc>
          <w:tcPr>
            <w:tcW w:w="1406" w:type="dxa"/>
            <w:tcBorders>
              <w:top w:val="single" w:color="auto" w:sz="8" w:space="0"/>
            </w:tcBorders>
            <w:vAlign w:val="center"/>
          </w:tcPr>
          <w:p w14:paraId="17D29F14">
            <w:pPr>
              <w:pStyle w:val="178"/>
            </w:pPr>
            <w:r>
              <w:rPr>
                <w:rFonts w:hint="eastAsia"/>
              </w:rPr>
              <w:t>资料错配导致评估对象偏离</w:t>
            </w:r>
          </w:p>
        </w:tc>
      </w:tr>
      <w:tr w14:paraId="3BF55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1BFEC9AF">
            <w:pPr>
              <w:pStyle w:val="178"/>
            </w:pPr>
            <w:r>
              <w:rPr>
                <w:rFonts w:hint="eastAsia"/>
              </w:rPr>
              <w:t>设计与竣工资料</w:t>
            </w:r>
          </w:p>
        </w:tc>
        <w:tc>
          <w:tcPr>
            <w:tcW w:w="2552" w:type="dxa"/>
            <w:vAlign w:val="center"/>
          </w:tcPr>
          <w:p w14:paraId="188C0E4D">
            <w:pPr>
              <w:pStyle w:val="178"/>
            </w:pPr>
            <w:r>
              <w:rPr>
                <w:rFonts w:hint="eastAsia"/>
              </w:rPr>
              <w:t>设计压力温度、管径壁厚、材质、防腐与保温、阀室与站场图</w:t>
            </w:r>
          </w:p>
        </w:tc>
        <w:tc>
          <w:tcPr>
            <w:tcW w:w="1701" w:type="dxa"/>
            <w:vAlign w:val="center"/>
          </w:tcPr>
          <w:p w14:paraId="500D5DA3">
            <w:pPr>
              <w:pStyle w:val="178"/>
            </w:pPr>
            <w:r>
              <w:rPr>
                <w:rFonts w:hint="eastAsia"/>
              </w:rPr>
              <w:t>参数与现状一致性、变更记录完整性</w:t>
            </w:r>
          </w:p>
        </w:tc>
        <w:tc>
          <w:tcPr>
            <w:tcW w:w="1984" w:type="dxa"/>
            <w:vAlign w:val="center"/>
          </w:tcPr>
          <w:p w14:paraId="2BCE22DD">
            <w:pPr>
              <w:pStyle w:val="178"/>
            </w:pPr>
            <w:r>
              <w:rPr>
                <w:rFonts w:hint="eastAsia"/>
              </w:rPr>
              <w:t>缺失时开展测绘、壁厚测量、材质识别</w:t>
            </w:r>
          </w:p>
        </w:tc>
        <w:tc>
          <w:tcPr>
            <w:tcW w:w="1406" w:type="dxa"/>
            <w:vAlign w:val="center"/>
          </w:tcPr>
          <w:p w14:paraId="1E1C3A4D">
            <w:pPr>
              <w:pStyle w:val="178"/>
            </w:pPr>
            <w:r>
              <w:rPr>
                <w:rFonts w:hint="eastAsia"/>
              </w:rPr>
              <w:t>设计与现状偏差引发裕度误判</w:t>
            </w:r>
          </w:p>
        </w:tc>
      </w:tr>
      <w:tr w14:paraId="0221F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4D1B1EC4">
            <w:pPr>
              <w:pStyle w:val="178"/>
            </w:pPr>
            <w:r>
              <w:rPr>
                <w:rFonts w:hint="eastAsia"/>
              </w:rPr>
              <w:t>制造与安装资料</w:t>
            </w:r>
          </w:p>
        </w:tc>
        <w:tc>
          <w:tcPr>
            <w:tcW w:w="2552" w:type="dxa"/>
            <w:vAlign w:val="center"/>
          </w:tcPr>
          <w:p w14:paraId="247835BF">
            <w:pPr>
              <w:pStyle w:val="178"/>
            </w:pPr>
            <w:r>
              <w:rPr>
                <w:rFonts w:hint="eastAsia"/>
              </w:rPr>
              <w:t>管材批次、焊材、焊接工艺、无损检测记录、施工质量验收</w:t>
            </w:r>
          </w:p>
        </w:tc>
        <w:tc>
          <w:tcPr>
            <w:tcW w:w="1701" w:type="dxa"/>
            <w:vAlign w:val="center"/>
          </w:tcPr>
          <w:p w14:paraId="32B2B37C">
            <w:pPr>
              <w:pStyle w:val="178"/>
            </w:pPr>
            <w:r>
              <w:rPr>
                <w:rFonts w:hint="eastAsia"/>
              </w:rPr>
              <w:t>焊缝检测覆盖率、缺陷处置闭环</w:t>
            </w:r>
          </w:p>
        </w:tc>
        <w:tc>
          <w:tcPr>
            <w:tcW w:w="1984" w:type="dxa"/>
            <w:vAlign w:val="center"/>
          </w:tcPr>
          <w:p w14:paraId="0C9C6063">
            <w:pPr>
              <w:pStyle w:val="178"/>
            </w:pPr>
            <w:r>
              <w:rPr>
                <w:rFonts w:hint="eastAsia"/>
              </w:rPr>
              <w:t>关键焊口抽检、重点部位补充无损</w:t>
            </w:r>
          </w:p>
        </w:tc>
        <w:tc>
          <w:tcPr>
            <w:tcW w:w="1406" w:type="dxa"/>
            <w:vAlign w:val="center"/>
          </w:tcPr>
          <w:p w14:paraId="662A5C40">
            <w:pPr>
              <w:pStyle w:val="178"/>
            </w:pPr>
            <w:r>
              <w:rPr>
                <w:rFonts w:hint="eastAsia"/>
              </w:rPr>
              <w:t>焊接缺陷与裂纹扩展风险</w:t>
            </w:r>
          </w:p>
        </w:tc>
      </w:tr>
      <w:tr w14:paraId="007E4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6CDFF6D6">
            <w:pPr>
              <w:pStyle w:val="178"/>
            </w:pPr>
            <w:r>
              <w:rPr>
                <w:rFonts w:hint="eastAsia"/>
              </w:rPr>
              <w:t>运行工况资料</w:t>
            </w:r>
          </w:p>
        </w:tc>
        <w:tc>
          <w:tcPr>
            <w:tcW w:w="2552" w:type="dxa"/>
            <w:vAlign w:val="center"/>
          </w:tcPr>
          <w:p w14:paraId="670D6F1F">
            <w:pPr>
              <w:pStyle w:val="178"/>
            </w:pPr>
            <w:r>
              <w:rPr>
                <w:rFonts w:hint="eastAsia"/>
              </w:rPr>
              <w:t>介质性质、压力温度曲线、启停频次 流量波动</w:t>
            </w:r>
          </w:p>
        </w:tc>
        <w:tc>
          <w:tcPr>
            <w:tcW w:w="1701" w:type="dxa"/>
            <w:vAlign w:val="center"/>
          </w:tcPr>
          <w:p w14:paraId="096CE117">
            <w:pPr>
              <w:pStyle w:val="178"/>
            </w:pPr>
            <w:r>
              <w:rPr>
                <w:rFonts w:hint="eastAsia"/>
              </w:rPr>
              <w:t>最不利工况识别、压力波动强度</w:t>
            </w:r>
          </w:p>
        </w:tc>
        <w:tc>
          <w:tcPr>
            <w:tcW w:w="1984" w:type="dxa"/>
            <w:vAlign w:val="center"/>
          </w:tcPr>
          <w:p w14:paraId="3103E741">
            <w:pPr>
              <w:pStyle w:val="178"/>
            </w:pPr>
            <w:r>
              <w:rPr>
                <w:rFonts w:hint="eastAsia"/>
              </w:rPr>
              <w:t>数据缺失时调取DCS或站控记录</w:t>
            </w:r>
          </w:p>
        </w:tc>
        <w:tc>
          <w:tcPr>
            <w:tcW w:w="1406" w:type="dxa"/>
            <w:vAlign w:val="center"/>
          </w:tcPr>
          <w:p w14:paraId="7DCB6F6B">
            <w:pPr>
              <w:pStyle w:val="178"/>
            </w:pPr>
            <w:r>
              <w:rPr>
                <w:rFonts w:hint="eastAsia"/>
              </w:rPr>
              <w:t>疲劳与超压超温风险</w:t>
            </w:r>
          </w:p>
        </w:tc>
      </w:tr>
    </w:tbl>
    <w:p w14:paraId="09C1E1F7">
      <w:pPr>
        <w:pStyle w:val="56"/>
        <w:spacing w:before="120" w:beforeLines="50" w:after="120" w:afterLines="50"/>
        <w:ind w:firstLine="0" w:firstLineChars="0"/>
        <w:jc w:val="center"/>
        <w:rPr>
          <w:rFonts w:ascii="黑体" w:hAnsi="黑体" w:eastAsia="黑体"/>
        </w:rPr>
      </w:pPr>
      <w:r>
        <w:rPr>
          <w:rFonts w:hint="eastAsia" w:ascii="黑体" w:hAnsi="黑体" w:eastAsia="黑体"/>
        </w:rPr>
        <w:t>表1  评估资料清单与现场核验要点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2552"/>
        <w:gridCol w:w="1701"/>
        <w:gridCol w:w="1984"/>
        <w:gridCol w:w="1406"/>
      </w:tblGrid>
      <w:tr w14:paraId="6D170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691" w:type="dxa"/>
            <w:tcBorders>
              <w:top w:val="single" w:color="auto" w:sz="8" w:space="0"/>
              <w:bottom w:val="single" w:color="auto" w:sz="8" w:space="0"/>
            </w:tcBorders>
            <w:vAlign w:val="center"/>
          </w:tcPr>
          <w:p w14:paraId="6E066717">
            <w:pPr>
              <w:pStyle w:val="178"/>
            </w:pPr>
            <w:r>
              <w:rPr>
                <w:rFonts w:hint="eastAsia"/>
              </w:rPr>
              <w:t>资料类别</w:t>
            </w:r>
          </w:p>
        </w:tc>
        <w:tc>
          <w:tcPr>
            <w:tcW w:w="2552" w:type="dxa"/>
            <w:tcBorders>
              <w:top w:val="single" w:color="auto" w:sz="8" w:space="0"/>
              <w:bottom w:val="single" w:color="auto" w:sz="8" w:space="0"/>
            </w:tcBorders>
            <w:vAlign w:val="center"/>
          </w:tcPr>
          <w:p w14:paraId="06ADDD90">
            <w:pPr>
              <w:pStyle w:val="178"/>
            </w:pPr>
            <w:r>
              <w:rPr>
                <w:rFonts w:hint="eastAsia"/>
              </w:rPr>
              <w:t>主要内容</w:t>
            </w:r>
          </w:p>
        </w:tc>
        <w:tc>
          <w:tcPr>
            <w:tcW w:w="1701" w:type="dxa"/>
            <w:tcBorders>
              <w:top w:val="single" w:color="auto" w:sz="8" w:space="0"/>
              <w:bottom w:val="single" w:color="auto" w:sz="8" w:space="0"/>
            </w:tcBorders>
            <w:vAlign w:val="center"/>
          </w:tcPr>
          <w:p w14:paraId="571988B2">
            <w:pPr>
              <w:pStyle w:val="178"/>
            </w:pPr>
            <w:r>
              <w:rPr>
                <w:rFonts w:hint="eastAsia"/>
              </w:rPr>
              <w:t>关键核查点</w:t>
            </w:r>
          </w:p>
        </w:tc>
        <w:tc>
          <w:tcPr>
            <w:tcW w:w="1984" w:type="dxa"/>
            <w:tcBorders>
              <w:top w:val="single" w:color="auto" w:sz="8" w:space="0"/>
              <w:bottom w:val="single" w:color="auto" w:sz="8" w:space="0"/>
            </w:tcBorders>
            <w:vAlign w:val="center"/>
          </w:tcPr>
          <w:p w14:paraId="099DF507">
            <w:pPr>
              <w:pStyle w:val="178"/>
            </w:pPr>
            <w:r>
              <w:rPr>
                <w:rFonts w:hint="eastAsia"/>
              </w:rPr>
              <w:t>现场核验与补齐要点</w:t>
            </w:r>
          </w:p>
        </w:tc>
        <w:tc>
          <w:tcPr>
            <w:tcW w:w="1406" w:type="dxa"/>
            <w:tcBorders>
              <w:top w:val="single" w:color="auto" w:sz="8" w:space="0"/>
              <w:bottom w:val="single" w:color="auto" w:sz="8" w:space="0"/>
            </w:tcBorders>
            <w:vAlign w:val="center"/>
          </w:tcPr>
          <w:p w14:paraId="0BCDB14A">
            <w:pPr>
              <w:pStyle w:val="178"/>
            </w:pPr>
            <w:r>
              <w:rPr>
                <w:rFonts w:hint="eastAsia"/>
              </w:rPr>
              <w:t>典型风险指向</w:t>
            </w:r>
          </w:p>
        </w:tc>
      </w:tr>
      <w:tr w14:paraId="75C0C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6329BDA8">
            <w:pPr>
              <w:pStyle w:val="178"/>
            </w:pPr>
            <w:r>
              <w:rPr>
                <w:rFonts w:hint="eastAsia"/>
              </w:rPr>
              <w:t>维护与巡检资料</w:t>
            </w:r>
          </w:p>
        </w:tc>
        <w:tc>
          <w:tcPr>
            <w:tcW w:w="2552" w:type="dxa"/>
            <w:vAlign w:val="center"/>
          </w:tcPr>
          <w:p w14:paraId="535DCD8B">
            <w:pPr>
              <w:pStyle w:val="178"/>
            </w:pPr>
            <w:r>
              <w:rPr>
                <w:rFonts w:hint="eastAsia"/>
              </w:rPr>
              <w:t>巡检频次、异常记录、占压与第三方施工记录</w:t>
            </w:r>
          </w:p>
        </w:tc>
        <w:tc>
          <w:tcPr>
            <w:tcW w:w="1701" w:type="dxa"/>
            <w:vAlign w:val="center"/>
          </w:tcPr>
          <w:p w14:paraId="50A31C78">
            <w:pPr>
              <w:pStyle w:val="178"/>
            </w:pPr>
            <w:r>
              <w:rPr>
                <w:rFonts w:hint="eastAsia"/>
              </w:rPr>
              <w:t>事件闭环记录、完整性</w:t>
            </w:r>
          </w:p>
        </w:tc>
        <w:tc>
          <w:tcPr>
            <w:tcW w:w="1984" w:type="dxa"/>
            <w:vAlign w:val="center"/>
          </w:tcPr>
          <w:p w14:paraId="1C8812AB">
            <w:pPr>
              <w:pStyle w:val="178"/>
            </w:pPr>
            <w:r>
              <w:rPr>
                <w:rFonts w:hint="eastAsia"/>
              </w:rPr>
              <w:t>现场排查占压、交叉施工、风险点</w:t>
            </w:r>
          </w:p>
        </w:tc>
        <w:tc>
          <w:tcPr>
            <w:tcW w:w="1406" w:type="dxa"/>
            <w:vAlign w:val="center"/>
          </w:tcPr>
          <w:p w14:paraId="2B40F341">
            <w:pPr>
              <w:pStyle w:val="178"/>
            </w:pPr>
            <w:r>
              <w:rPr>
                <w:rFonts w:hint="eastAsia"/>
              </w:rPr>
              <w:t>第三方破坏与外部载荷风险</w:t>
            </w:r>
          </w:p>
        </w:tc>
      </w:tr>
      <w:tr w14:paraId="0564C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7F010967">
            <w:pPr>
              <w:pStyle w:val="178"/>
            </w:pPr>
            <w:r>
              <w:rPr>
                <w:rFonts w:hint="eastAsia"/>
              </w:rPr>
              <w:t>阴极保护与防腐资料</w:t>
            </w:r>
          </w:p>
        </w:tc>
        <w:tc>
          <w:tcPr>
            <w:tcW w:w="2552" w:type="dxa"/>
            <w:vAlign w:val="center"/>
          </w:tcPr>
          <w:p w14:paraId="65D2A256">
            <w:pPr>
              <w:pStyle w:val="178"/>
            </w:pPr>
            <w:r>
              <w:rPr>
                <w:rFonts w:hint="eastAsia"/>
              </w:rPr>
              <w:t>外防腐类型、修复记录、阴保测试数据 绝缘接头</w:t>
            </w:r>
          </w:p>
        </w:tc>
        <w:tc>
          <w:tcPr>
            <w:tcW w:w="1701" w:type="dxa"/>
            <w:vAlign w:val="center"/>
          </w:tcPr>
          <w:p w14:paraId="5CAAA910">
            <w:pPr>
              <w:pStyle w:val="178"/>
            </w:pPr>
            <w:r>
              <w:rPr>
                <w:rFonts w:hint="eastAsia"/>
              </w:rPr>
              <w:t>阴保有效性 与土壤环境匹配</w:t>
            </w:r>
          </w:p>
        </w:tc>
        <w:tc>
          <w:tcPr>
            <w:tcW w:w="1984" w:type="dxa"/>
            <w:vAlign w:val="center"/>
          </w:tcPr>
          <w:p w14:paraId="1A24B344">
            <w:pPr>
              <w:pStyle w:val="178"/>
            </w:pPr>
            <w:r>
              <w:rPr>
                <w:rFonts w:hint="eastAsia"/>
              </w:rPr>
              <w:t>现场测电位、检查绝缘与接地</w:t>
            </w:r>
          </w:p>
        </w:tc>
        <w:tc>
          <w:tcPr>
            <w:tcW w:w="1406" w:type="dxa"/>
            <w:vAlign w:val="center"/>
          </w:tcPr>
          <w:p w14:paraId="0CFDF320">
            <w:pPr>
              <w:pStyle w:val="178"/>
            </w:pPr>
            <w:r>
              <w:rPr>
                <w:rFonts w:hint="eastAsia"/>
              </w:rPr>
              <w:t>外腐蚀与穿孔风险</w:t>
            </w:r>
          </w:p>
        </w:tc>
      </w:tr>
      <w:tr w14:paraId="4FD54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064D0268">
            <w:pPr>
              <w:pStyle w:val="178"/>
            </w:pPr>
            <w:r>
              <w:rPr>
                <w:rFonts w:hint="eastAsia"/>
              </w:rPr>
              <w:t>检验检测资料</w:t>
            </w:r>
          </w:p>
        </w:tc>
        <w:tc>
          <w:tcPr>
            <w:tcW w:w="2552" w:type="dxa"/>
            <w:vAlign w:val="center"/>
          </w:tcPr>
          <w:p w14:paraId="5361F8FE">
            <w:pPr>
              <w:pStyle w:val="178"/>
            </w:pPr>
            <w:r>
              <w:rPr>
                <w:rFonts w:hint="eastAsia"/>
              </w:rPr>
              <w:t>定期检验结论、壁厚测量、内检测 缺陷清单</w:t>
            </w:r>
          </w:p>
        </w:tc>
        <w:tc>
          <w:tcPr>
            <w:tcW w:w="1701" w:type="dxa"/>
            <w:vAlign w:val="center"/>
          </w:tcPr>
          <w:p w14:paraId="7099FE5D">
            <w:pPr>
              <w:pStyle w:val="178"/>
            </w:pPr>
            <w:r>
              <w:rPr>
                <w:rFonts w:hint="eastAsia"/>
              </w:rPr>
              <w:t>缺陷定位准确性 趋势可比性</w:t>
            </w:r>
          </w:p>
        </w:tc>
        <w:tc>
          <w:tcPr>
            <w:tcW w:w="1984" w:type="dxa"/>
            <w:vAlign w:val="center"/>
          </w:tcPr>
          <w:p w14:paraId="5EC02AAC">
            <w:pPr>
              <w:pStyle w:val="178"/>
            </w:pPr>
            <w:r>
              <w:rPr>
                <w:rFonts w:hint="eastAsia"/>
              </w:rPr>
              <w:t>补充测厚、复核缺陷位置与尺寸</w:t>
            </w:r>
          </w:p>
        </w:tc>
        <w:tc>
          <w:tcPr>
            <w:tcW w:w="1406" w:type="dxa"/>
            <w:vAlign w:val="center"/>
          </w:tcPr>
          <w:p w14:paraId="0D31F01D">
            <w:pPr>
              <w:pStyle w:val="178"/>
            </w:pPr>
            <w:r>
              <w:rPr>
                <w:rFonts w:hint="eastAsia"/>
              </w:rPr>
              <w:t>腐蚀速率与剩余寿命不确定性</w:t>
            </w:r>
          </w:p>
        </w:tc>
      </w:tr>
      <w:tr w14:paraId="3BA96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439FA2ED">
            <w:pPr>
              <w:pStyle w:val="178"/>
            </w:pPr>
            <w:r>
              <w:rPr>
                <w:rFonts w:hint="eastAsia"/>
              </w:rPr>
              <w:t>事故与修复资料</w:t>
            </w:r>
          </w:p>
        </w:tc>
        <w:tc>
          <w:tcPr>
            <w:tcW w:w="2552" w:type="dxa"/>
            <w:vAlign w:val="center"/>
          </w:tcPr>
          <w:p w14:paraId="5E3A2487">
            <w:pPr>
              <w:pStyle w:val="178"/>
            </w:pPr>
            <w:r>
              <w:rPr>
                <w:rFonts w:hint="eastAsia"/>
              </w:rPr>
              <w:t>泄漏历史、处置记录、修复方案 复验报告</w:t>
            </w:r>
          </w:p>
        </w:tc>
        <w:tc>
          <w:tcPr>
            <w:tcW w:w="1701" w:type="dxa"/>
            <w:vAlign w:val="center"/>
          </w:tcPr>
          <w:p w14:paraId="7798455A">
            <w:pPr>
              <w:pStyle w:val="178"/>
            </w:pPr>
            <w:r>
              <w:rPr>
                <w:rFonts w:hint="eastAsia"/>
              </w:rPr>
              <w:t>原因分析充分性 修复质量</w:t>
            </w:r>
          </w:p>
        </w:tc>
        <w:tc>
          <w:tcPr>
            <w:tcW w:w="1984" w:type="dxa"/>
            <w:vAlign w:val="center"/>
          </w:tcPr>
          <w:p w14:paraId="27A986A2">
            <w:pPr>
              <w:pStyle w:val="178"/>
            </w:pPr>
            <w:r>
              <w:rPr>
                <w:rFonts w:hint="eastAsia"/>
              </w:rPr>
              <w:t>现场核查修复点、二次缺陷迹象</w:t>
            </w:r>
          </w:p>
        </w:tc>
        <w:tc>
          <w:tcPr>
            <w:tcW w:w="1406" w:type="dxa"/>
            <w:vAlign w:val="center"/>
          </w:tcPr>
          <w:p w14:paraId="2D9EAEEC">
            <w:pPr>
              <w:pStyle w:val="178"/>
            </w:pPr>
            <w:r>
              <w:rPr>
                <w:rFonts w:hint="eastAsia"/>
              </w:rPr>
              <w:t>重复失效与系统性缺陷</w:t>
            </w:r>
          </w:p>
        </w:tc>
      </w:tr>
      <w:tr w14:paraId="678FC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6C8D2134">
            <w:pPr>
              <w:pStyle w:val="178"/>
            </w:pPr>
            <w:r>
              <w:rPr>
                <w:rFonts w:hint="eastAsia"/>
              </w:rPr>
              <w:t>环境与后果资料</w:t>
            </w:r>
          </w:p>
        </w:tc>
        <w:tc>
          <w:tcPr>
            <w:tcW w:w="2552" w:type="dxa"/>
            <w:vAlign w:val="center"/>
          </w:tcPr>
          <w:p w14:paraId="7D3FB715">
            <w:pPr>
              <w:pStyle w:val="178"/>
            </w:pPr>
            <w:r>
              <w:rPr>
                <w:rFonts w:hint="eastAsia"/>
              </w:rPr>
              <w:t>人口密度、敏感目标、地质灾害 溢散条件</w:t>
            </w:r>
          </w:p>
        </w:tc>
        <w:tc>
          <w:tcPr>
            <w:tcW w:w="1701" w:type="dxa"/>
            <w:vAlign w:val="center"/>
          </w:tcPr>
          <w:p w14:paraId="105F8FC0">
            <w:pPr>
              <w:pStyle w:val="178"/>
            </w:pPr>
            <w:r>
              <w:rPr>
                <w:rFonts w:hint="eastAsia"/>
              </w:rPr>
              <w:t>高后果区识别口径</w:t>
            </w:r>
          </w:p>
        </w:tc>
        <w:tc>
          <w:tcPr>
            <w:tcW w:w="1984" w:type="dxa"/>
            <w:vAlign w:val="center"/>
          </w:tcPr>
          <w:p w14:paraId="3D1A7A9D">
            <w:pPr>
              <w:pStyle w:val="178"/>
            </w:pPr>
            <w:r>
              <w:rPr>
                <w:rFonts w:hint="eastAsia"/>
              </w:rPr>
              <w:t>现场核查敏感点、更新地理信息</w:t>
            </w:r>
          </w:p>
        </w:tc>
        <w:tc>
          <w:tcPr>
            <w:tcW w:w="1406" w:type="dxa"/>
            <w:vAlign w:val="center"/>
          </w:tcPr>
          <w:p w14:paraId="3BDEA5EA">
            <w:pPr>
              <w:pStyle w:val="178"/>
            </w:pPr>
            <w:r>
              <w:rPr>
                <w:rFonts w:hint="eastAsia"/>
              </w:rPr>
              <w:t>后果等级偏低导致管控不足</w:t>
            </w:r>
          </w:p>
        </w:tc>
      </w:tr>
    </w:tbl>
    <w:p w14:paraId="42B1774A">
      <w:pPr>
        <w:pStyle w:val="165"/>
        <w:spacing w:before="120" w:beforeLines="50" w:line="360" w:lineRule="auto"/>
      </w:pPr>
      <w:r>
        <w:rPr>
          <w:rFonts w:hint="eastAsia"/>
        </w:rPr>
        <w:t>资料缺失项应形成缺失清单。缺失清单应标注缺失原因、补齐路径、责任单位、计划完成时间与对评估结论的影响说明。</w:t>
      </w:r>
    </w:p>
    <w:p w14:paraId="2DE83025">
      <w:pPr>
        <w:pStyle w:val="165"/>
        <w:spacing w:line="360" w:lineRule="auto"/>
      </w:pPr>
      <w:r>
        <w:rPr>
          <w:rFonts w:hint="eastAsia"/>
        </w:rPr>
        <w:t>对影响分级结果的关键缺失项，应优先补齐或采取保守取值并在报告中明确不确定性。关键缺失项通常包括壁厚与腐蚀信息、介质与工况信息、阴极保护有效性信息、高后果区识别信息与历史泄漏信息。</w:t>
      </w:r>
    </w:p>
    <w:p w14:paraId="7045F690">
      <w:pPr>
        <w:pStyle w:val="165"/>
        <w:spacing w:line="360" w:lineRule="auto"/>
      </w:pPr>
      <w:r>
        <w:rPr>
          <w:rFonts w:hint="eastAsia"/>
        </w:rPr>
        <w:t>当资料无法补齐且存在重大不确定性时，应通过提高评估等级、加密检测或采取临时控制措施降低风险，并将其纳入分级管控清单。</w:t>
      </w:r>
    </w:p>
    <w:p w14:paraId="6C8E4DCE">
      <w:pPr>
        <w:pStyle w:val="105"/>
        <w:spacing w:before="120" w:after="120" w:line="360" w:lineRule="auto"/>
      </w:pPr>
      <w:r>
        <w:rPr>
          <w:rFonts w:hint="eastAsia"/>
        </w:rPr>
        <w:t>数据整理与一致性处理</w:t>
      </w:r>
    </w:p>
    <w:p w14:paraId="36701A36">
      <w:pPr>
        <w:pStyle w:val="165"/>
        <w:spacing w:line="360" w:lineRule="auto"/>
      </w:pPr>
      <w:r>
        <w:rPr>
          <w:rFonts w:hint="eastAsia"/>
        </w:rPr>
        <w:t>资料整理应形成统一数据库或台账。台账应至少包含评估单元识别信息、几何与材料信息、工况信息、缺陷信息、环境与后果信息、维护与事件信息，并具备版本控制与变更记录。</w:t>
      </w:r>
    </w:p>
    <w:p w14:paraId="73D8FB22">
      <w:pPr>
        <w:pStyle w:val="165"/>
        <w:spacing w:line="360" w:lineRule="auto"/>
      </w:pPr>
      <w:r>
        <w:rPr>
          <w:rFonts w:hint="eastAsia"/>
        </w:rPr>
        <w:t>一致性处理应明确取值规则。对同一参数存在多来源或多时间点数据时，应优先采用最新实测且可信度高的数据；对趋势分析应采用同方法同口径数据；对关键参数应保留原始值与采用值并记录取舍依据。</w:t>
      </w:r>
    </w:p>
    <w:p w14:paraId="07AF7547">
      <w:pPr>
        <w:pStyle w:val="165"/>
        <w:spacing w:line="360" w:lineRule="auto"/>
      </w:pPr>
      <w:r>
        <w:rPr>
          <w:rFonts w:hint="eastAsia"/>
        </w:rPr>
        <w:t>数据定位应实现可落点。缺陷与检测点位应与里程桩号或坐标关联，能够在现场快速定位复核。无法定位的数据不得直接用于缺陷发展趋势判断。</w:t>
      </w:r>
    </w:p>
    <w:p w14:paraId="44E7D486">
      <w:pPr>
        <w:pStyle w:val="105"/>
        <w:spacing w:before="120" w:after="120" w:line="360" w:lineRule="auto"/>
      </w:pPr>
      <w:r>
        <w:rPr>
          <w:rFonts w:hint="eastAsia"/>
        </w:rPr>
        <w:t>现场核验计划</w:t>
      </w:r>
    </w:p>
    <w:p w14:paraId="49674DCC">
      <w:pPr>
        <w:pStyle w:val="165"/>
        <w:spacing w:line="360" w:lineRule="auto"/>
      </w:pPr>
      <w:r>
        <w:rPr>
          <w:rFonts w:hint="eastAsia"/>
        </w:rPr>
        <w:t>现场核验应制定计划。计划应明确核验范围、核验点位、核验内容、所需工具与仪器、作业许可要求、交通与警戒措施、人员分工与记录模板。</w:t>
      </w:r>
    </w:p>
    <w:p w14:paraId="42552C67">
      <w:pPr>
        <w:pStyle w:val="165"/>
        <w:spacing w:line="360" w:lineRule="auto"/>
      </w:pPr>
      <w:r>
        <w:rPr>
          <w:rFonts w:hint="eastAsia"/>
        </w:rPr>
        <w:t>现场核验应优先覆盖高后果区与高风险区段，包括穿跨越、阀室周边、历史泄漏点、腐蚀严重区、沉降滑坡风险区、第三方施工频繁区与占压区。</w:t>
      </w:r>
    </w:p>
    <w:p w14:paraId="604B24B9">
      <w:pPr>
        <w:pStyle w:val="165"/>
        <w:spacing w:line="360" w:lineRule="auto"/>
        <w:rPr>
          <w:rFonts w:hint="eastAsia"/>
        </w:rPr>
      </w:pPr>
      <w:r>
        <w:rPr>
          <w:rFonts w:hint="eastAsia"/>
        </w:rPr>
        <w:t>现场核验结论应及时回填数据库，并对需要补充检测的点位形成任务清单，明确检测方法、数量、完成时限与成果交付要求。</w:t>
      </w:r>
    </w:p>
    <w:p w14:paraId="42FB2F9E">
      <w:pPr>
        <w:pStyle w:val="56"/>
        <w:ind w:firstLine="420"/>
      </w:pPr>
    </w:p>
    <w:p w14:paraId="2BB6F2D8">
      <w:pPr>
        <w:pStyle w:val="56"/>
        <w:ind w:firstLine="420"/>
        <w:rPr>
          <w:rFonts w:hint="eastAsia"/>
        </w:rPr>
      </w:pPr>
    </w:p>
    <w:p w14:paraId="556DE55C">
      <w:pPr>
        <w:pStyle w:val="104"/>
        <w:spacing w:before="240" w:after="240" w:line="360" w:lineRule="auto"/>
      </w:pPr>
      <w:bookmarkStart w:id="53" w:name="_Toc219037489"/>
      <w:r>
        <w:rPr>
          <w:rFonts w:hint="eastAsia"/>
        </w:rPr>
        <w:t>评估单元划分与分段方法</w:t>
      </w:r>
      <w:bookmarkEnd w:id="53"/>
    </w:p>
    <w:p w14:paraId="6F611FBC">
      <w:pPr>
        <w:pStyle w:val="105"/>
        <w:spacing w:before="120" w:after="120" w:line="360" w:lineRule="auto"/>
      </w:pPr>
      <w:r>
        <w:rPr>
          <w:rFonts w:hint="eastAsia"/>
        </w:rPr>
        <w:t>一般要求</w:t>
      </w:r>
    </w:p>
    <w:p w14:paraId="5CC45EA0">
      <w:pPr>
        <w:pStyle w:val="165"/>
        <w:spacing w:line="360" w:lineRule="auto"/>
      </w:pPr>
      <w:r>
        <w:rPr>
          <w:rFonts w:hint="eastAsia"/>
        </w:rPr>
        <w:t>评估单元划分是老旧压力管道安全状态分级评估的基础工作，应确保每一评估单元在材料与结构特征、运行工况、环境条件与风险暴露条件方面具有相对一致性，使评估指标计算、缺陷归集、概率后果评价与分级判定具备可比性与可追溯性。</w:t>
      </w:r>
    </w:p>
    <w:p w14:paraId="64102104">
      <w:pPr>
        <w:pStyle w:val="165"/>
        <w:spacing w:line="360" w:lineRule="auto"/>
      </w:pPr>
      <w:r>
        <w:rPr>
          <w:rFonts w:hint="eastAsia"/>
        </w:rPr>
        <w:t>评估单元应能够在现场可定位。评估单元边界应与里程桩号、阀室或站场界点、道路河流穿越点、支线接口点或坐标范围对应，避免形成无法复核的“抽象区段”。</w:t>
      </w:r>
    </w:p>
    <w:p w14:paraId="09A0160E">
      <w:pPr>
        <w:pStyle w:val="165"/>
        <w:spacing w:line="360" w:lineRule="auto"/>
      </w:pPr>
      <w:r>
        <w:rPr>
          <w:rFonts w:hint="eastAsia"/>
        </w:rPr>
        <w:t>评估单元划分应与检验检测与运维管理边界协同。宜使评估单元与内检测里程段、定期检验区段、阴极保护测试区段、巡检责任区段具有可衔接关系，便于后续治理措施落地和闭环管理。</w:t>
      </w:r>
    </w:p>
    <w:p w14:paraId="4AF90524">
      <w:pPr>
        <w:pStyle w:val="105"/>
        <w:spacing w:before="120" w:after="120" w:line="360" w:lineRule="auto"/>
      </w:pPr>
      <w:r>
        <w:rPr>
          <w:rFonts w:hint="eastAsia"/>
        </w:rPr>
        <w:t>划分原则</w:t>
      </w:r>
    </w:p>
    <w:p w14:paraId="151294E0">
      <w:pPr>
        <w:pStyle w:val="165"/>
        <w:spacing w:line="360" w:lineRule="auto"/>
      </w:pPr>
      <w:r>
        <w:rPr>
          <w:rFonts w:hint="eastAsia"/>
        </w:rPr>
        <w:t>以结构与材料一致性为主线划分。不同管径、不同壁厚、不同材质牌号、不同制造工艺与不同焊接年代的区段不宜划入同一评估单元；存在更换管段、补焊补强、套管修复等改造痕迹时，应以改造边界为评估单元边界。</w:t>
      </w:r>
    </w:p>
    <w:p w14:paraId="0B74FC43">
      <w:pPr>
        <w:pStyle w:val="165"/>
        <w:spacing w:line="360" w:lineRule="auto"/>
      </w:pPr>
      <w:r>
        <w:rPr>
          <w:rFonts w:hint="eastAsia"/>
        </w:rPr>
        <w:t>以运行工况一致性为主线划分。介质类别差异、压力等级差异、温度等级差异、启停频次差异、压力波动强度差异显著时，应分开划分；对周期性工况切换的管道，应识别代表性工况或最不利工况，并在单元信息中固化工况假设。</w:t>
      </w:r>
    </w:p>
    <w:p w14:paraId="34DE1787">
      <w:pPr>
        <w:pStyle w:val="165"/>
        <w:spacing w:line="360" w:lineRule="auto"/>
      </w:pPr>
      <w:r>
        <w:rPr>
          <w:rFonts w:hint="eastAsia"/>
        </w:rPr>
        <w:t>以环境与腐蚀条件一致性为主线划分。土壤类型与含水状况差异、杂散电流环境差异、埋深与覆土条件差异、阴极保护有效性差异、外防腐类型差异显著时，应分开划分；穿越段、低洼积水段、湿陷或盐渍土段、腐蚀强环境段宜单列为独立评估单元。</w:t>
      </w:r>
    </w:p>
    <w:p w14:paraId="006C4F74">
      <w:pPr>
        <w:pStyle w:val="165"/>
        <w:spacing w:line="360" w:lineRule="auto"/>
      </w:pPr>
      <w:r>
        <w:rPr>
          <w:rFonts w:hint="eastAsia"/>
        </w:rPr>
        <w:t>以高后果区与特殊风险区为主线划分。人口密集区、重大敏感目标周边、河流道路穿越、管道跨越、站场阀室集中区、地质灾害影响区、第三方施工频繁区、占压区等应优先单独成段，以保证后果评价与管控措施具有针对性。</w:t>
      </w:r>
    </w:p>
    <w:p w14:paraId="25C44725">
      <w:pPr>
        <w:pStyle w:val="165"/>
        <w:spacing w:line="360" w:lineRule="auto"/>
      </w:pPr>
      <w:r>
        <w:rPr>
          <w:rFonts w:hint="eastAsia"/>
        </w:rPr>
        <w:t>以缺陷分布与检测边界为主线校正划分。内检测或外检测显示缺陷集中分布、腐蚀速率显著差异或存在典型裂纹与焊缝缺陷聚集区时，应据此细化分段；检测数据存在边界效应时，应避免跨边界合并导致缺陷被稀释。</w:t>
      </w:r>
    </w:p>
    <w:p w14:paraId="33E0B09D">
      <w:pPr>
        <w:pStyle w:val="105"/>
        <w:spacing w:before="120" w:after="120" w:line="360" w:lineRule="auto"/>
      </w:pPr>
      <w:r>
        <w:rPr>
          <w:rFonts w:hint="eastAsia"/>
        </w:rPr>
        <w:t>评估单元类型</w:t>
      </w:r>
    </w:p>
    <w:p w14:paraId="4ACBB560">
      <w:pPr>
        <w:pStyle w:val="165"/>
        <w:spacing w:line="360" w:lineRule="auto"/>
      </w:pPr>
      <w:r>
        <w:rPr>
          <w:rFonts w:hint="eastAsia"/>
        </w:rPr>
        <w:t>线路区段单元。沿线连续埋地或架空管段可按里程连续性划分为线路区段单元，适用于以腐蚀与第三方破坏为主要风险的场景。线路区段单元应同步标注阴极保护分区、外防腐类型与沿线风险点密度。</w:t>
      </w:r>
    </w:p>
    <w:p w14:paraId="28142C54">
      <w:pPr>
        <w:pStyle w:val="165"/>
        <w:spacing w:line="360" w:lineRule="auto"/>
      </w:pPr>
      <w:r>
        <w:rPr>
          <w:rFonts w:hint="eastAsia"/>
        </w:rPr>
        <w:t>站场与阀室单元。站场、阀室、调压计量设施周边管道及其附属设备应作为独立评估单元，适用于以法兰泄漏、阀门失效、附件老化与人员暴露后果为主要风险的场景。站场阀室单元应纳入放散条件、通风条件、可燃气体检测与应急处置条件等后果要素。</w:t>
      </w:r>
    </w:p>
    <w:p w14:paraId="662EA010">
      <w:pPr>
        <w:pStyle w:val="165"/>
        <w:spacing w:line="360" w:lineRule="auto"/>
      </w:pPr>
      <w:r>
        <w:rPr>
          <w:rFonts w:hint="eastAsia"/>
        </w:rPr>
        <w:t>穿越与跨越单元。穿越河流、道路、铁路、管廊以及跨越构筑物区段应单列评估单元，重点关注应力集中、外载荷、沉降与冲刷、套管状态与检维修可达性。</w:t>
      </w:r>
    </w:p>
    <w:p w14:paraId="3B85C72A">
      <w:pPr>
        <w:pStyle w:val="165"/>
        <w:spacing w:line="360" w:lineRule="auto"/>
      </w:pPr>
      <w:r>
        <w:rPr>
          <w:rFonts w:hint="eastAsia"/>
        </w:rPr>
        <w:t>地质灾害影响单元。滑坡、崩塌、泥石流、地面沉降、冻胀融沉、采空区等影响区段应单列评估单元，重点关注位移变形、管体弯曲应力与支护防护设施有效性，并与地质监测数据关联。</w:t>
      </w:r>
    </w:p>
    <w:p w14:paraId="42CA717E">
      <w:pPr>
        <w:pStyle w:val="165"/>
        <w:spacing w:line="360" w:lineRule="auto"/>
      </w:pPr>
      <w:r>
        <w:rPr>
          <w:rFonts w:hint="eastAsia"/>
        </w:rPr>
        <w:t>修复改造单元。实施过更换、补强、开挖修复、套管修复、补焊、涂层修复或阴极保护系统改造的区段宜单列评估单元，重点关注修复质量、残余缺陷与重复失效风险。</w:t>
      </w:r>
    </w:p>
    <w:p w14:paraId="6298EC03">
      <w:pPr>
        <w:pStyle w:val="165"/>
        <w:spacing w:line="360" w:lineRule="auto"/>
      </w:pPr>
      <w:r>
        <w:rPr>
          <w:rFonts w:hint="eastAsia"/>
        </w:rPr>
        <w:t>历史事件单元。发生过泄漏、爆管、第三方破坏或重大异常的区段宜单列评估单元，重点关注根因是否消除、是否存在系统性缺陷与重复事件的诱因。</w:t>
      </w:r>
    </w:p>
    <w:p w14:paraId="513AAEDA">
      <w:pPr>
        <w:pStyle w:val="105"/>
        <w:spacing w:before="120" w:after="120" w:line="360" w:lineRule="auto"/>
      </w:pPr>
      <w:r>
        <w:rPr>
          <w:rFonts w:hint="eastAsia"/>
        </w:rPr>
        <w:t>单元边界确定方法</w:t>
      </w:r>
    </w:p>
    <w:p w14:paraId="26516BCA">
      <w:pPr>
        <w:pStyle w:val="165"/>
        <w:spacing w:line="360" w:lineRule="auto"/>
      </w:pPr>
      <w:r>
        <w:rPr>
          <w:rFonts w:hint="eastAsia"/>
        </w:rPr>
        <w:t>单元边界应优先采用可识别的工程界点，包括阀门与阀室边界、站场围墙边界、支线接口点、材料与壁厚变更点、防腐类型变更点、阴极保护分区边界、穿跨越起讫点、地质灾害影响区边界。</w:t>
      </w:r>
    </w:p>
    <w:p w14:paraId="6631AECB">
      <w:pPr>
        <w:pStyle w:val="165"/>
        <w:spacing w:line="360" w:lineRule="auto"/>
      </w:pPr>
      <w:r>
        <w:rPr>
          <w:rFonts w:hint="eastAsia"/>
        </w:rPr>
        <w:t>当缺乏明确界点时，可采用里程分段法作为补充，但应结合环境一致性与风险点分布进行校正，避免机械等距分段。</w:t>
      </w:r>
    </w:p>
    <w:p w14:paraId="10951CC3">
      <w:pPr>
        <w:pStyle w:val="165"/>
        <w:spacing w:line="360" w:lineRule="auto"/>
      </w:pPr>
      <w:r>
        <w:rPr>
          <w:rFonts w:hint="eastAsia"/>
        </w:rPr>
        <w:t>单元边界确定后不得随意变更。确需变更时，应说明变更原因、变更内容及其对历史数据可比性的影响，并对受影响单元重新开展数据归集与关键指标复算。</w:t>
      </w:r>
    </w:p>
    <w:p w14:paraId="244BA740">
      <w:pPr>
        <w:pStyle w:val="105"/>
        <w:spacing w:before="120" w:after="120" w:line="360" w:lineRule="auto"/>
      </w:pPr>
      <w:r>
        <w:rPr>
          <w:rFonts w:hint="eastAsia"/>
        </w:rPr>
        <w:t>单元尺度与最小划分建议</w:t>
      </w:r>
    </w:p>
    <w:p w14:paraId="367E14C2">
      <w:pPr>
        <w:pStyle w:val="165"/>
        <w:spacing w:line="360" w:lineRule="auto"/>
      </w:pPr>
      <w:r>
        <w:rPr>
          <w:rFonts w:hint="eastAsia"/>
        </w:rPr>
        <w:t>评估单元尺度应兼顾精细化识别与可实施治理。单元过长会稀释局部高风险点，单元过短会造成数据不足与治理成本上升。使用单位应结合数据密度、检测能力与治理资源确定最小单元尺度，并保持同类管道口径一致。</w:t>
      </w:r>
    </w:p>
    <w:p w14:paraId="4D2DDBDC">
      <w:pPr>
        <w:pStyle w:val="165"/>
        <w:spacing w:line="360" w:lineRule="auto"/>
      </w:pPr>
      <w:r>
        <w:rPr>
          <w:rFonts w:hint="eastAsia"/>
        </w:rPr>
        <w:t>对高后果区、缺陷密集区、腐蚀强环境区、第三方破坏高发区与地质灾害影响区，应采用更小尺度单元；对风险暴露均匀且数据稳定的区段，可采用较大尺度单元，但不应跨越明显环境与工况边界。</w:t>
      </w:r>
    </w:p>
    <w:p w14:paraId="7937C676">
      <w:pPr>
        <w:pStyle w:val="105"/>
        <w:spacing w:before="120" w:after="120" w:line="360" w:lineRule="auto"/>
      </w:pPr>
      <w:r>
        <w:rPr>
          <w:rFonts w:hint="eastAsia"/>
        </w:rPr>
        <w:t>数据关联与缺陷归集要求</w:t>
      </w:r>
    </w:p>
    <w:p w14:paraId="1572A0F2">
      <w:pPr>
        <w:pStyle w:val="165"/>
        <w:spacing w:line="360" w:lineRule="auto"/>
      </w:pPr>
      <w:r>
        <w:rPr>
          <w:rFonts w:hint="eastAsia"/>
        </w:rPr>
        <w:t>所有检验检测数据与运维事件数据应归集到评估单元。壁厚测量点、内检测缺陷点、无损检测焊口、阴极保护测试点、泄漏与修复点、第三方破坏点应以里程或坐标方式与单元绑定，确保可追溯。</w:t>
      </w:r>
    </w:p>
    <w:p w14:paraId="1A8F07E5">
      <w:pPr>
        <w:pStyle w:val="165"/>
        <w:spacing w:line="360" w:lineRule="auto"/>
      </w:pPr>
      <w:r>
        <w:rPr>
          <w:rFonts w:hint="eastAsia"/>
        </w:rPr>
        <w:t>缺陷归集应明确口径。对同一单元内的缺陷应按缺陷类型、位置特征与严重程度进行分类归集，并保留缺陷原始编号与原始记录索引。对跨单元边界的缺陷或影响范围，应以最不利影响原则确定归属，并说明依据。</w:t>
      </w:r>
    </w:p>
    <w:p w14:paraId="24190477">
      <w:pPr>
        <w:pStyle w:val="165"/>
        <w:spacing w:line="360" w:lineRule="auto"/>
      </w:pPr>
      <w:r>
        <w:rPr>
          <w:rFonts w:hint="eastAsia"/>
        </w:rPr>
        <w:t>数据稀疏单元应采取补充策略。单元内关键数据不足以支撑失效概率计算或剩余壁厚评价时，应形成补充检测清单或采用保守假设并明确不确定性，不得以空缺数据直接给出低风险结论。</w:t>
      </w:r>
    </w:p>
    <w:p w14:paraId="59802EE4">
      <w:pPr>
        <w:pStyle w:val="105"/>
        <w:numPr>
          <w:ilvl w:val="0"/>
          <w:numId w:val="0"/>
        </w:numPr>
        <w:spacing w:before="120" w:after="120"/>
        <w:rPr>
          <w:rFonts w:hint="eastAsia"/>
        </w:rPr>
      </w:pPr>
    </w:p>
    <w:p w14:paraId="49CAF4A2">
      <w:pPr>
        <w:pStyle w:val="105"/>
        <w:spacing w:before="120" w:after="120" w:line="360" w:lineRule="auto"/>
      </w:pPr>
      <w:r>
        <w:rPr>
          <w:rFonts w:hint="eastAsia"/>
        </w:rPr>
        <w:t>划分成果输出要求</w:t>
      </w:r>
    </w:p>
    <w:p w14:paraId="4B15A0AA">
      <w:pPr>
        <w:pStyle w:val="165"/>
        <w:spacing w:line="360" w:lineRule="auto"/>
      </w:pPr>
      <w:r>
        <w:rPr>
          <w:rFonts w:hint="eastAsia"/>
        </w:rPr>
        <w:t>评估单元划分成果应至少包括评估单元清单与定位信息。清单应包含单元编号、起讫点描述、里程或坐标范围、管径壁厚、材质与防腐信息、介质与工况信息、环境特征、高后果区属性与备注信息。</w:t>
      </w:r>
    </w:p>
    <w:p w14:paraId="747F3A9D">
      <w:pPr>
        <w:pStyle w:val="165"/>
        <w:spacing w:line="360" w:lineRule="auto"/>
      </w:pPr>
      <w:r>
        <w:rPr>
          <w:rFonts w:hint="eastAsia"/>
        </w:rPr>
        <w:t>评估单元划分成果应形成可视化表达。可视化表达可采用线路示意图、GIS图层或剖面图索引，确保评估单元可快速定位并支持现场复核。</w:t>
      </w:r>
    </w:p>
    <w:p w14:paraId="0D13F1E4">
      <w:pPr>
        <w:pStyle w:val="165"/>
        <w:spacing w:line="360" w:lineRule="auto"/>
      </w:pPr>
      <w:r>
        <w:rPr>
          <w:rFonts w:hint="eastAsia"/>
        </w:rPr>
        <w:t>评估单元划分成果应纳入档案。划分成果应与后续分级结果、处置措施清单与复评记录关联，形成一管道一体系的完整性管理基础数据。</w:t>
      </w:r>
    </w:p>
    <w:p w14:paraId="6D5B8428">
      <w:pPr>
        <w:pStyle w:val="104"/>
        <w:spacing w:before="240" w:after="240" w:line="360" w:lineRule="auto"/>
      </w:pPr>
      <w:bookmarkStart w:id="54" w:name="_Toc219037490"/>
      <w:r>
        <w:rPr>
          <w:rFonts w:hint="eastAsia"/>
        </w:rPr>
        <w:t>风险识别与失效机理分析</w:t>
      </w:r>
      <w:bookmarkEnd w:id="54"/>
    </w:p>
    <w:p w14:paraId="0B3337EA">
      <w:pPr>
        <w:pStyle w:val="105"/>
        <w:spacing w:before="120" w:after="120" w:line="360" w:lineRule="auto"/>
      </w:pPr>
      <w:r>
        <w:rPr>
          <w:rFonts w:hint="eastAsia"/>
        </w:rPr>
        <w:t>一般要求</w:t>
      </w:r>
    </w:p>
    <w:p w14:paraId="3990451F">
      <w:pPr>
        <w:pStyle w:val="165"/>
        <w:spacing w:line="360" w:lineRule="auto"/>
      </w:pPr>
      <w:r>
        <w:rPr>
          <w:rFonts w:hint="eastAsia"/>
        </w:rPr>
        <w:t>风险识别与失效机理分析应面向评估单元开展，围绕可能导致泄漏或破裂的主导机理与次要机理，识别风险源、诱发条件、劣化路径与关键控制变量，为后续失效概率与后果评价提供依据。</w:t>
      </w:r>
    </w:p>
    <w:p w14:paraId="371E8268">
      <w:pPr>
        <w:pStyle w:val="165"/>
        <w:spacing w:line="360" w:lineRule="auto"/>
      </w:pPr>
      <w:r>
        <w:rPr>
          <w:rFonts w:hint="eastAsia"/>
        </w:rPr>
        <w:t>失效机理分析应以证据链为基础。应优先采用检验检测数据、运行工况数据、环境监测数据、事故事件数据与现场核验记录支撑机理判断。缺乏证据时应提出补充检测或核验建议，不得以经验推断替代关键结论。</w:t>
      </w:r>
    </w:p>
    <w:p w14:paraId="75E72131">
      <w:pPr>
        <w:pStyle w:val="165"/>
        <w:spacing w:line="360" w:lineRule="auto"/>
      </w:pPr>
      <w:r>
        <w:rPr>
          <w:rFonts w:hint="eastAsia"/>
        </w:rPr>
        <w:t>对同一评估单元可能存在多种机理耦合的，应识别主导机理并说明判定依据，同时识别可能触发失效的联动因素，避免单一机理导致风险低估。</w:t>
      </w:r>
    </w:p>
    <w:p w14:paraId="4ABBA018">
      <w:pPr>
        <w:pStyle w:val="105"/>
        <w:spacing w:before="120" w:after="120" w:line="360" w:lineRule="auto"/>
      </w:pPr>
      <w:r>
        <w:rPr>
          <w:rFonts w:hint="eastAsia"/>
        </w:rPr>
        <w:t>主要失效机理分类</w:t>
      </w:r>
    </w:p>
    <w:p w14:paraId="734D2B8F">
      <w:pPr>
        <w:pStyle w:val="56"/>
        <w:spacing w:line="360" w:lineRule="auto"/>
        <w:ind w:firstLine="420"/>
      </w:pPr>
      <w:r>
        <w:rPr>
          <w:rFonts w:hint="eastAsia"/>
        </w:rPr>
        <w:t>老旧压力管道常见失效机理可归纳为内腐蚀、外腐蚀、应力相关损伤、制造安装缺陷演化、外部载荷与地质灾害、第三方破坏与运行管理失效等类别。评估时应结合管道类型与环境工况选择适用机理集。</w:t>
      </w:r>
    </w:p>
    <w:p w14:paraId="25F11D81">
      <w:pPr>
        <w:pStyle w:val="105"/>
        <w:spacing w:before="120" w:after="120" w:line="360" w:lineRule="auto"/>
      </w:pPr>
      <w:r>
        <w:rPr>
          <w:rFonts w:hint="eastAsia"/>
        </w:rPr>
        <w:t>内腐蚀机理识别要点</w:t>
      </w:r>
    </w:p>
    <w:p w14:paraId="28CD6F73">
      <w:pPr>
        <w:pStyle w:val="165"/>
        <w:spacing w:line="360" w:lineRule="auto"/>
      </w:pPr>
      <w:r>
        <w:rPr>
          <w:rFonts w:hint="eastAsia"/>
        </w:rPr>
        <w:t>内腐蚀风险源识别应关注介质腐蚀性与工艺条件，包括含水量、酸性气体或腐蚀性离子、含硫含氧、微生物影响、温度与流速、沉积与积液条件、清管与加注缓蚀剂措施等。</w:t>
      </w:r>
    </w:p>
    <w:p w14:paraId="6DC6313A">
      <w:pPr>
        <w:pStyle w:val="165"/>
        <w:spacing w:line="360" w:lineRule="auto"/>
      </w:pPr>
      <w:r>
        <w:rPr>
          <w:rFonts w:hint="eastAsia"/>
        </w:rPr>
        <w:t>内腐蚀证据应至少包括内检测或壁厚测量数据、介质分析数据、结垢沉积记录、清管记录、腐蚀监测点数据或历史泄漏部位分析。</w:t>
      </w:r>
    </w:p>
    <w:p w14:paraId="3C1394A9">
      <w:pPr>
        <w:pStyle w:val="165"/>
        <w:spacing w:line="360" w:lineRule="auto"/>
      </w:pPr>
      <w:r>
        <w:rPr>
          <w:rFonts w:hint="eastAsia"/>
        </w:rPr>
        <w:t>内腐蚀特征应结合缺陷形态判断。均匀减薄、点蚀坑、沟槽腐蚀与沉积下腐蚀等形态对应的诱因不同，应在机理分析中明确可能原因，并对腐蚀速率取值进行解释。</w:t>
      </w:r>
    </w:p>
    <w:p w14:paraId="2CC70DAC">
      <w:pPr>
        <w:pStyle w:val="165"/>
        <w:spacing w:line="360" w:lineRule="auto"/>
      </w:pPr>
      <w:r>
        <w:rPr>
          <w:rFonts w:hint="eastAsia"/>
        </w:rPr>
        <w:t>存在积液与低点区段时，应重点关注局部腐蚀与穿孔风险。必要时应提出增设排凝排污、优化坡度与完善清管周期等管理建议。</w:t>
      </w:r>
    </w:p>
    <w:p w14:paraId="3CCC0AE2">
      <w:pPr>
        <w:pStyle w:val="56"/>
        <w:ind w:firstLine="420"/>
      </w:pPr>
    </w:p>
    <w:p w14:paraId="48EA7A60">
      <w:pPr>
        <w:pStyle w:val="56"/>
        <w:ind w:firstLine="420"/>
        <w:rPr>
          <w:rFonts w:hint="eastAsia"/>
        </w:rPr>
      </w:pPr>
    </w:p>
    <w:p w14:paraId="7F9926CD">
      <w:pPr>
        <w:pStyle w:val="105"/>
        <w:spacing w:before="120" w:after="120" w:line="360" w:lineRule="auto"/>
      </w:pPr>
      <w:r>
        <w:rPr>
          <w:rFonts w:hint="eastAsia"/>
        </w:rPr>
        <w:t>外腐蚀机理识别要点</w:t>
      </w:r>
    </w:p>
    <w:p w14:paraId="10BF76F2">
      <w:pPr>
        <w:pStyle w:val="165"/>
        <w:spacing w:line="360" w:lineRule="auto"/>
      </w:pPr>
      <w:r>
        <w:rPr>
          <w:rFonts w:hint="eastAsia"/>
        </w:rPr>
        <w:t>外腐蚀风险源识别应关注外防腐层老化与破损、土壤腐蚀性、含水与盐分、杂散电流环境、阴极保护有效性、绝缘接头状态、接地与跨接设置、套管水侵与屏蔽效应等。</w:t>
      </w:r>
    </w:p>
    <w:p w14:paraId="49A55EA6">
      <w:pPr>
        <w:pStyle w:val="165"/>
        <w:spacing w:line="360" w:lineRule="auto"/>
      </w:pPr>
      <w:r>
        <w:rPr>
          <w:rFonts w:hint="eastAsia"/>
        </w:rPr>
        <w:t>外腐蚀证据应至少包括外防腐检测与开挖验证记录、阴极保护电位测试数据、土壤环境调查、杂散电流测试、历史开挖修复点记录与外腐蚀缺陷分布特征。</w:t>
      </w:r>
    </w:p>
    <w:p w14:paraId="1C8B9E05">
      <w:pPr>
        <w:pStyle w:val="165"/>
        <w:spacing w:line="360" w:lineRule="auto"/>
      </w:pPr>
      <w:r>
        <w:rPr>
          <w:rFonts w:hint="eastAsia"/>
        </w:rPr>
        <w:t>外腐蚀机理应识别阴极保护失效类型。应区分保护不足、过保护导致涂层剥离、绝缘失效导致电流分流、套管屏蔽导致局部无保护等情形，并提出针对性处置路径。</w:t>
      </w:r>
    </w:p>
    <w:p w14:paraId="519352E7">
      <w:pPr>
        <w:pStyle w:val="165"/>
        <w:spacing w:line="360" w:lineRule="auto"/>
      </w:pPr>
      <w:r>
        <w:rPr>
          <w:rFonts w:hint="eastAsia"/>
        </w:rPr>
        <w:t>对穿跨越与套管段应重点识别套管进水与屏蔽效应。必要时应提出套管排水、端封修复、套管检测与绝缘改造建议。</w:t>
      </w:r>
    </w:p>
    <w:p w14:paraId="06DCCEEB">
      <w:pPr>
        <w:pStyle w:val="105"/>
        <w:spacing w:before="120" w:after="120" w:line="360" w:lineRule="auto"/>
      </w:pPr>
      <w:r>
        <w:rPr>
          <w:rFonts w:hint="eastAsia"/>
        </w:rPr>
        <w:t>应力相关损伤机理识别要点</w:t>
      </w:r>
    </w:p>
    <w:p w14:paraId="6C2D1A4B">
      <w:pPr>
        <w:pStyle w:val="65"/>
        <w:spacing w:before="120" w:after="120" w:line="360" w:lineRule="auto"/>
      </w:pPr>
      <w:r>
        <w:rPr>
          <w:rFonts w:hint="eastAsia"/>
        </w:rPr>
        <w:t>疲劳与循环载荷</w:t>
      </w:r>
    </w:p>
    <w:p w14:paraId="30DC40FB">
      <w:pPr>
        <w:pStyle w:val="56"/>
        <w:spacing w:line="360" w:lineRule="auto"/>
        <w:ind w:firstLine="420"/>
      </w:pPr>
      <w:r>
        <w:rPr>
          <w:rFonts w:hint="eastAsia"/>
        </w:rPr>
        <w:t>应识别压力波动、启停频次、温度循环、泵阀操作冲击、水击或气击等循环载荷源，并结合焊缝位置、支撑条件与应力集中部位判断疲劳敏感区段。证据可包括压力曲线、启停记录、振动记录、裂纹检测结果与历史失效模式。</w:t>
      </w:r>
    </w:p>
    <w:p w14:paraId="2760A7B1">
      <w:pPr>
        <w:pStyle w:val="65"/>
        <w:spacing w:before="120" w:after="120" w:line="360" w:lineRule="auto"/>
      </w:pPr>
      <w:r>
        <w:rPr>
          <w:rFonts w:hint="eastAsia"/>
        </w:rPr>
        <w:t>应力腐蚀开裂与氢致开裂</w:t>
      </w:r>
    </w:p>
    <w:p w14:paraId="3072276A">
      <w:pPr>
        <w:pStyle w:val="56"/>
        <w:spacing w:line="360" w:lineRule="auto"/>
        <w:ind w:firstLine="420"/>
      </w:pPr>
      <w:r>
        <w:rPr>
          <w:rFonts w:hint="eastAsia"/>
        </w:rPr>
        <w:t>对特定介质与环境条件下的管道，应识别应力腐蚀开裂、硫化物应力开裂或氢致开裂风险。识别应关注材料敏感性、介质成分、应力水平与温度条件，并以裂纹检测、金相或失效分析报告作为证据。</w:t>
      </w:r>
    </w:p>
    <w:p w14:paraId="0FB8A861">
      <w:pPr>
        <w:pStyle w:val="65"/>
        <w:spacing w:before="120" w:after="120" w:line="360" w:lineRule="auto"/>
      </w:pPr>
      <w:r>
        <w:rPr>
          <w:rFonts w:hint="eastAsia"/>
        </w:rPr>
        <w:t>脆断与低温失效</w:t>
      </w:r>
    </w:p>
    <w:p w14:paraId="2242AE7B">
      <w:pPr>
        <w:pStyle w:val="56"/>
        <w:spacing w:line="360" w:lineRule="auto"/>
        <w:ind w:firstLine="420"/>
      </w:pPr>
      <w:r>
        <w:rPr>
          <w:rFonts w:hint="eastAsia"/>
        </w:rPr>
        <w:t>在低温环境或材料韧性不足条件下，应识别脆断风险。识别应关注材料牌号与冲击韧性、运行最低温度、缺陷尺寸与应力集中情况，并对存在低温冲击或快速卸压工况的区段给予更高关注。</w:t>
      </w:r>
    </w:p>
    <w:p w14:paraId="088F3F70">
      <w:pPr>
        <w:pStyle w:val="105"/>
        <w:spacing w:before="120" w:after="120" w:line="360" w:lineRule="auto"/>
      </w:pPr>
      <w:r>
        <w:rPr>
          <w:rFonts w:hint="eastAsia"/>
        </w:rPr>
        <w:t>制造安装缺陷演化机理识别要点</w:t>
      </w:r>
    </w:p>
    <w:p w14:paraId="529983FF">
      <w:pPr>
        <w:pStyle w:val="165"/>
        <w:spacing w:line="360" w:lineRule="auto"/>
      </w:pPr>
      <w:r>
        <w:rPr>
          <w:rFonts w:hint="eastAsia"/>
        </w:rPr>
        <w:t>制造安装缺陷包括焊接未焊透、未熔合、夹渣、气孔、咬边、根部缺陷、错边与椭圆度超差等。老旧管道在当时工艺水平与质量控制条件下，缺陷留存概率可能更高。</w:t>
      </w:r>
    </w:p>
    <w:p w14:paraId="7D1452F5">
      <w:pPr>
        <w:pStyle w:val="165"/>
        <w:spacing w:line="360" w:lineRule="auto"/>
      </w:pPr>
      <w:r>
        <w:rPr>
          <w:rFonts w:hint="eastAsia"/>
        </w:rPr>
        <w:t>识别应关注焊口无损检测覆盖率与历史返修记录。对无损检测覆盖不足或年代久远的区段，应提出抽检与补充无损的建议。</w:t>
      </w:r>
    </w:p>
    <w:p w14:paraId="3E70FB29">
      <w:pPr>
        <w:pStyle w:val="165"/>
        <w:spacing w:line="360" w:lineRule="auto"/>
      </w:pPr>
      <w:r>
        <w:rPr>
          <w:rFonts w:hint="eastAsia"/>
        </w:rPr>
        <w:t>缺陷演化应结合运行载荷与腐蚀环境。制造安装缺陷可能在疲劳循环、应力腐蚀或外腐蚀作用下加速扩展，应在机理分析中说明可能的耦合路径与关键控制变量。</w:t>
      </w:r>
    </w:p>
    <w:p w14:paraId="7637C8F1">
      <w:pPr>
        <w:pStyle w:val="105"/>
        <w:spacing w:before="120" w:after="120" w:line="360" w:lineRule="auto"/>
      </w:pPr>
      <w:r>
        <w:rPr>
          <w:rFonts w:hint="eastAsia"/>
        </w:rPr>
        <w:t>外部载荷与地质灾害机理识别要点</w:t>
      </w:r>
    </w:p>
    <w:p w14:paraId="7E4D743C">
      <w:pPr>
        <w:pStyle w:val="165"/>
        <w:spacing w:line="360" w:lineRule="auto"/>
      </w:pPr>
      <w:r>
        <w:rPr>
          <w:rFonts w:hint="eastAsia"/>
        </w:rPr>
        <w:t>外部载荷应关注交通荷载、覆土变化、占压建筑、管沟塌陷、沉降与基础变形等。识别应结合埋深、覆土结构、保护设施、沿线工程建设情况与现场核验记录。</w:t>
      </w:r>
    </w:p>
    <w:p w14:paraId="19CADBFD">
      <w:pPr>
        <w:pStyle w:val="165"/>
        <w:spacing w:line="360" w:lineRule="auto"/>
      </w:pPr>
      <w:r>
        <w:rPr>
          <w:rFonts w:hint="eastAsia"/>
        </w:rPr>
        <w:t>地质灾害应关注滑坡、崩塌、泥石流、地面沉降、冻胀融沉、河岸冲刷与采空区影响等。应结合地质灾害分布图、监测数据、地表裂缝与变形迹象、管道应变或位移监测数据进行识别。</w:t>
      </w:r>
    </w:p>
    <w:p w14:paraId="6D3F6FE7">
      <w:pPr>
        <w:pStyle w:val="165"/>
        <w:spacing w:line="360" w:lineRule="auto"/>
      </w:pPr>
      <w:r>
        <w:rPr>
          <w:rFonts w:hint="eastAsia"/>
        </w:rPr>
        <w:t>对地质灾害影响单元，应识别变形模式与潜在失效形式，包括拉伸撕裂、弯曲破坏、接口失稳与支撑失效，并提出监测与工程治理建议。</w:t>
      </w:r>
    </w:p>
    <w:p w14:paraId="79AFC2B6">
      <w:pPr>
        <w:pStyle w:val="105"/>
        <w:spacing w:before="120" w:after="120" w:line="360" w:lineRule="auto"/>
      </w:pPr>
      <w:r>
        <w:rPr>
          <w:rFonts w:hint="eastAsia"/>
        </w:rPr>
        <w:t>第三方破坏与运行管理失效机理识别</w:t>
      </w:r>
    </w:p>
    <w:p w14:paraId="7EE4B51F">
      <w:pPr>
        <w:pStyle w:val="165"/>
        <w:spacing w:line="360" w:lineRule="auto"/>
      </w:pPr>
      <w:r>
        <w:rPr>
          <w:rFonts w:hint="eastAsia"/>
        </w:rPr>
        <w:t>第三方破坏风险识别应关注沿线施工频繁程度、占压与违章建筑、管道标识缺失、保护桩缺失、巡检与联防机制不足、管线交叉密集与信息共享不畅等因素。证据可包括事件统计、巡检记录、周边施工许可与现场核验。</w:t>
      </w:r>
    </w:p>
    <w:p w14:paraId="13A3674A">
      <w:pPr>
        <w:pStyle w:val="165"/>
        <w:spacing w:line="360" w:lineRule="auto"/>
      </w:pPr>
      <w:r>
        <w:rPr>
          <w:rFonts w:hint="eastAsia"/>
        </w:rPr>
        <w:t>运行管理失效应关注超压超温、保护装置失效、阀门失灵、泄压与放散设施不完备、应急处置能力不足、人员培训不足与制度执行不到位等因素。识别应结合运行日志、报警联锁记录、检修记录与管理制度落实情况。</w:t>
      </w:r>
    </w:p>
    <w:p w14:paraId="64EEDB1D">
      <w:pPr>
        <w:pStyle w:val="165"/>
        <w:spacing w:line="360" w:lineRule="auto"/>
      </w:pPr>
      <w:r>
        <w:rPr>
          <w:rFonts w:hint="eastAsia"/>
        </w:rPr>
        <w:t>对第三方破坏高发区段，应提出强化标识与隔离、防护板或套管保护、加密巡检、联防联控与信息化告警等建议，并在后续失效概率评价中体现更高权重。</w:t>
      </w:r>
    </w:p>
    <w:p w14:paraId="7D6EE9F8">
      <w:pPr>
        <w:pStyle w:val="105"/>
        <w:spacing w:before="120" w:after="120" w:line="360" w:lineRule="auto"/>
      </w:pPr>
      <w:r>
        <w:rPr>
          <w:rFonts w:hint="eastAsia"/>
        </w:rPr>
        <w:t>机理分析输出要求</w:t>
      </w:r>
    </w:p>
    <w:p w14:paraId="2453E099">
      <w:pPr>
        <w:pStyle w:val="165"/>
        <w:spacing w:line="360" w:lineRule="auto"/>
      </w:pPr>
      <w:r>
        <w:rPr>
          <w:rFonts w:hint="eastAsia"/>
        </w:rPr>
        <w:t>每一评估单元应形成机理识别结论。结论应至少包括主导失效机理、次要失效机理、关键证据来源、关键控制变量与主要不确定性。</w:t>
      </w:r>
    </w:p>
    <w:p w14:paraId="574BDE24">
      <w:pPr>
        <w:pStyle w:val="165"/>
        <w:spacing w:line="360" w:lineRule="auto"/>
      </w:pPr>
      <w:r>
        <w:rPr>
          <w:rFonts w:hint="eastAsia"/>
        </w:rPr>
        <w:t>对主导机理应给出针对性的补充检测或监测建议，明确建议方法、点位与目的，例如外防腐检测与开挖验证、阴极保护专项测试、重点焊口无损抽检、关键点位测厚加密、地质灾害监测与管道应变监测。</w:t>
      </w:r>
    </w:p>
    <w:p w14:paraId="2CA6F593">
      <w:pPr>
        <w:pStyle w:val="165"/>
        <w:spacing w:line="360" w:lineRule="auto"/>
      </w:pPr>
      <w:r>
        <w:rPr>
          <w:rFonts w:hint="eastAsia"/>
        </w:rPr>
        <w:t>机理分析结论应直接支撑后续评价模型选择。应明确采用定量、半定量或经验分级的方法路径，并说明原因，例如数据充分性、缺陷类型适配性与管道类型适用性。</w:t>
      </w:r>
    </w:p>
    <w:p w14:paraId="0D5C9BB0">
      <w:pPr>
        <w:pStyle w:val="104"/>
        <w:spacing w:before="240" w:after="240" w:line="360" w:lineRule="auto"/>
      </w:pPr>
      <w:bookmarkStart w:id="55" w:name="_Toc219037491"/>
      <w:r>
        <w:rPr>
          <w:rFonts w:hint="eastAsia"/>
        </w:rPr>
        <w:t>失效后果评价</w:t>
      </w:r>
      <w:bookmarkEnd w:id="55"/>
    </w:p>
    <w:p w14:paraId="5642341E">
      <w:pPr>
        <w:pStyle w:val="105"/>
        <w:spacing w:before="120" w:after="120" w:line="360" w:lineRule="auto"/>
      </w:pPr>
      <w:r>
        <w:rPr>
          <w:rFonts w:hint="eastAsia"/>
        </w:rPr>
        <w:t>一般要求</w:t>
      </w:r>
    </w:p>
    <w:p w14:paraId="6D34EA2E">
      <w:pPr>
        <w:pStyle w:val="165"/>
        <w:spacing w:line="360" w:lineRule="auto"/>
      </w:pPr>
      <w:r>
        <w:rPr>
          <w:rFonts w:hint="eastAsia"/>
        </w:rPr>
        <w:t>失效后果评价应以评估单元为对象，面向泄漏与破裂两类典型失效情形，综合考虑介质危险性、释放条件、受体暴露与应急处置条件，形成可用于分级评估的后果等级或后果得分。</w:t>
      </w:r>
    </w:p>
    <w:p w14:paraId="46877F1C">
      <w:pPr>
        <w:pStyle w:val="165"/>
        <w:spacing w:line="360" w:lineRule="auto"/>
      </w:pPr>
      <w:r>
        <w:rPr>
          <w:rFonts w:hint="eastAsia"/>
        </w:rPr>
        <w:t>后果评价应与失效概率评价相互独立、口径一致。后果评价所采用的受体数据、敏感目标范围、人口分布与环境敏感区边界应可追溯，并与评估单元定位信息一致。</w:t>
      </w:r>
    </w:p>
    <w:p w14:paraId="1F9A1561">
      <w:pPr>
        <w:pStyle w:val="165"/>
        <w:spacing w:line="360" w:lineRule="auto"/>
      </w:pPr>
      <w:r>
        <w:rPr>
          <w:rFonts w:hint="eastAsia"/>
        </w:rPr>
        <w:t>后果评价应坚持保守原则。对受体信息不完整、敏感目标识别存在不确定性或应急处置条件不明确的情形，应采用保守假设并在评估报告中说明不确定性来源与影响。</w:t>
      </w:r>
    </w:p>
    <w:p w14:paraId="3ED1C03A">
      <w:pPr>
        <w:pStyle w:val="105"/>
        <w:spacing w:before="120" w:after="120" w:line="360" w:lineRule="auto"/>
      </w:pPr>
      <w:r>
        <w:rPr>
          <w:rFonts w:hint="eastAsia"/>
        </w:rPr>
        <w:t>后果要素与评价维度</w:t>
      </w:r>
    </w:p>
    <w:p w14:paraId="0FF4B515">
      <w:pPr>
        <w:pStyle w:val="165"/>
        <w:spacing w:line="360" w:lineRule="auto"/>
      </w:pPr>
      <w:r>
        <w:rPr>
          <w:rFonts w:hint="eastAsia"/>
        </w:rPr>
        <w:t>人员伤害后果应重点考虑人员暴露规模与暴露时间。评价应结合人口密度、人员聚集特征、建筑物类型与占用率、典型时段人流变化以及疏散条件等因素，识别可能的群死群伤风险。</w:t>
      </w:r>
    </w:p>
    <w:p w14:paraId="05309678">
      <w:pPr>
        <w:pStyle w:val="165"/>
        <w:spacing w:line="360" w:lineRule="auto"/>
      </w:pPr>
      <w:r>
        <w:rPr>
          <w:rFonts w:hint="eastAsia"/>
        </w:rPr>
        <w:t>财产损失后果应重点考虑关键资产与设施受影响程度。评价应结合建构筑物密度、重要公共设施分布、工业装置与储罐区分布、交通枢纽与管廊通道等因素，识别重大财产损失与次生灾害风险。</w:t>
      </w:r>
    </w:p>
    <w:p w14:paraId="5DDC6B2D">
      <w:pPr>
        <w:pStyle w:val="165"/>
        <w:spacing w:line="360" w:lineRule="auto"/>
      </w:pPr>
      <w:r>
        <w:rPr>
          <w:rFonts w:hint="eastAsia"/>
        </w:rPr>
        <w:t>环境影响后果应重点考虑介质对水体、土壤与生态敏感区的影响路径。评价应结合地表水体与地下水敏感性、饮用水水源保护区、湿地与生态红线区、土壤渗透条件与排水路径，识别污染扩散与修复难度。</w:t>
      </w:r>
    </w:p>
    <w:p w14:paraId="1F35570E">
      <w:pPr>
        <w:pStyle w:val="165"/>
        <w:spacing w:line="360" w:lineRule="auto"/>
      </w:pPr>
      <w:r>
        <w:rPr>
          <w:rFonts w:hint="eastAsia"/>
        </w:rPr>
        <w:t>供能供气与生产中断后果应重点考虑保障对象与替代能力。评价应结合管道在系统中的功能位置、供给规模、下游关键用户类型、冗余与旁通能力、停输影响范围与恢复时间，识别公共服务中断与重大生产停摆风险。</w:t>
      </w:r>
    </w:p>
    <w:p w14:paraId="700BACC5">
      <w:pPr>
        <w:pStyle w:val="165"/>
        <w:spacing w:line="360" w:lineRule="auto"/>
      </w:pPr>
      <w:r>
        <w:rPr>
          <w:rFonts w:hint="eastAsia"/>
        </w:rPr>
        <w:t>社会影响后果应重点考虑公众关注度与连锁影响。评价可结合人口密集区属性、敏感场所属性、媒体关注与社会稳定风险、重大活动保障要求以及跨区域联动影响等因素，作为后果等级调整因子使用。</w:t>
      </w:r>
    </w:p>
    <w:p w14:paraId="33FC7A43">
      <w:pPr>
        <w:pStyle w:val="105"/>
        <w:spacing w:before="120" w:after="120" w:line="360" w:lineRule="auto"/>
      </w:pPr>
      <w:r>
        <w:rPr>
          <w:rFonts w:hint="eastAsia"/>
        </w:rPr>
        <w:t>高后果区识别要点</w:t>
      </w:r>
    </w:p>
    <w:p w14:paraId="162E2D04">
      <w:pPr>
        <w:pStyle w:val="165"/>
        <w:spacing w:line="360" w:lineRule="auto"/>
      </w:pPr>
      <w:r>
        <w:rPr>
          <w:rFonts w:hint="eastAsia"/>
        </w:rPr>
        <w:t>应识别高后果区并与评估单元边界衔接。高后果区识别宜以人员伤害与社会影响为主导，同时兼顾环境敏感区与关键基础设施。</w:t>
      </w:r>
    </w:p>
    <w:p w14:paraId="7C03F5EC">
      <w:pPr>
        <w:pStyle w:val="165"/>
        <w:spacing w:line="360" w:lineRule="auto"/>
      </w:pPr>
      <w:r>
        <w:rPr>
          <w:rFonts w:hint="eastAsia"/>
        </w:rPr>
        <w:t>高后果区识别应至少覆盖以下典型受体：居住区与人员密集建筑群；学校、医院、养老机构等敏感场所；大型商业综合体、交通枢纽与地下空间出入口；重要党政机关与重点安保区域；大型工业装置与危险化学品相关设施周边；饮用水水源保护区与重要水体沿线；桥梁、隧道、铁路与高速公路穿越区段。</w:t>
      </w:r>
    </w:p>
    <w:p w14:paraId="413C1B89">
      <w:pPr>
        <w:pStyle w:val="165"/>
        <w:spacing w:line="360" w:lineRule="auto"/>
      </w:pPr>
      <w:r>
        <w:rPr>
          <w:rFonts w:hint="eastAsia"/>
        </w:rPr>
        <w:t>对公用管道穿越城市建成区的区段，应结合城市更新与建设活动动态更新高后果区边界。对工业管道穿越厂区与园区的区段，应结合装置变更与产能变化更新关键受体与后果等级。</w:t>
      </w:r>
    </w:p>
    <w:p w14:paraId="281DFE98">
      <w:pPr>
        <w:pStyle w:val="165"/>
        <w:spacing w:line="360" w:lineRule="auto"/>
      </w:pPr>
      <w:r>
        <w:rPr>
          <w:rFonts w:hint="eastAsia"/>
        </w:rPr>
        <w:t>高后果区识别结果应形成可定位成果。应输出高后果区范围描述、对应评估单元编号、受体类型与数量摘要，并明确数据来源与更新日期。</w:t>
      </w:r>
    </w:p>
    <w:p w14:paraId="663E2486">
      <w:pPr>
        <w:pStyle w:val="105"/>
        <w:spacing w:before="120" w:after="120" w:line="360" w:lineRule="auto"/>
      </w:pPr>
      <w:r>
        <w:rPr>
          <w:rFonts w:hint="eastAsia"/>
        </w:rPr>
        <w:t>后果等级判定逻辑</w:t>
      </w:r>
    </w:p>
    <w:p w14:paraId="625E19B6">
      <w:pPr>
        <w:pStyle w:val="165"/>
        <w:spacing w:line="360" w:lineRule="auto"/>
      </w:pPr>
      <w:r>
        <w:rPr>
          <w:rFonts w:hint="eastAsia"/>
        </w:rPr>
        <w:t>后果等级宜分为四级，从高到低可划分为特别严重、严重、较大、一般。各单位可结合属地监管与企业制度进行等级映射，但应保证等级含义与管控强度一致。</w:t>
      </w:r>
    </w:p>
    <w:p w14:paraId="4C2AC4D8">
      <w:pPr>
        <w:pStyle w:val="165"/>
        <w:spacing w:line="360" w:lineRule="auto"/>
      </w:pPr>
      <w:r>
        <w:rPr>
          <w:rFonts w:hint="eastAsia"/>
        </w:rPr>
        <w:t>后果等级判定应以“最不利受体”为原则。在同一评估单元内，若人员伤害、环境影响、财产损失、服务中断任一维度达到较高等级，应以该较高等级作为单元后果等级，除非能够提供充分证据证明受体暴露不成立或影响可有效隔离。</w:t>
      </w:r>
    </w:p>
    <w:p w14:paraId="4C8E2AD6">
      <w:pPr>
        <w:pStyle w:val="165"/>
        <w:spacing w:line="360" w:lineRule="auto"/>
      </w:pPr>
      <w:r>
        <w:rPr>
          <w:rFonts w:hint="eastAsia"/>
        </w:rPr>
        <w:t>后果等级判定应体现介质差异与释放条件差异。可燃介质应重点关注火灾与爆燃及其引发的群体伤害；有毒有害介质应重点关注扩散暴露与中毒后果；高温介质与高压介质应重点关注热灼伤、喷射冲击与次生损害。释放条件评价应结合压力、温度、管径、埋深或架空条件、通风条件、周边障碍物与地形地貌等因素。</w:t>
      </w:r>
    </w:p>
    <w:p w14:paraId="0E086702">
      <w:pPr>
        <w:pStyle w:val="165"/>
        <w:spacing w:line="360" w:lineRule="auto"/>
      </w:pPr>
      <w:r>
        <w:rPr>
          <w:rFonts w:hint="eastAsia"/>
        </w:rPr>
        <w:t>后果等级判定应考虑应急处置能力与可达性。应急资源不足、道路受限、处置时间延长、疏散组织困难或联动机制不健全的区段，应在后果评价中体现更不利的情形。</w:t>
      </w:r>
    </w:p>
    <w:p w14:paraId="6FB92CD1">
      <w:pPr>
        <w:pStyle w:val="165"/>
        <w:spacing w:line="360" w:lineRule="auto"/>
      </w:pPr>
      <w:r>
        <w:rPr>
          <w:rFonts w:hint="eastAsia"/>
        </w:rPr>
        <w:t>后果评价不确定性较大时，应提出补充核查建议。补充核查可包括受体调查核实、人口密度与敏感目标更新、管道走向与埋深复核、应急资源与处置路径核查等，并在综合分级中采用保守取值。</w:t>
      </w:r>
    </w:p>
    <w:p w14:paraId="4EBBAACE">
      <w:pPr>
        <w:pStyle w:val="105"/>
        <w:spacing w:before="120" w:after="120" w:line="360" w:lineRule="auto"/>
      </w:pPr>
      <w:r>
        <w:rPr>
          <w:rFonts w:hint="eastAsia"/>
        </w:rPr>
        <w:t>后果评价方法选择与适用性</w:t>
      </w:r>
    </w:p>
    <w:p w14:paraId="2D35995F">
      <w:pPr>
        <w:pStyle w:val="165"/>
        <w:spacing w:line="360" w:lineRule="auto"/>
      </w:pPr>
      <w:r>
        <w:rPr>
          <w:rFonts w:hint="eastAsia"/>
        </w:rPr>
        <w:t>后果评价方法可采用定量、半定量或规则判定方式。数据充分且对决策精度要求高的区段，可采用基于影响范围与受体暴露的定量或半定量方法；数据不足或需要快速筛查的区段，可采用规则判定方式，但应明确规则来源与适用边界。</w:t>
      </w:r>
    </w:p>
    <w:p w14:paraId="2FDDDD47">
      <w:pPr>
        <w:pStyle w:val="165"/>
        <w:spacing w:line="360" w:lineRule="auto"/>
      </w:pPr>
      <w:r>
        <w:rPr>
          <w:rFonts w:hint="eastAsia"/>
        </w:rPr>
        <w:t>后果评价方法应与管道类型和介质特性匹配，并与现行安全技术规范、应急管理要求和行业通行方法保持一致。采用企业内部方法时，应说明参数来源、计算假设与验证依据，并确保可复核。</w:t>
      </w:r>
    </w:p>
    <w:p w14:paraId="2F023B4A">
      <w:pPr>
        <w:pStyle w:val="105"/>
        <w:spacing w:before="120" w:after="120" w:line="360" w:lineRule="auto"/>
      </w:pPr>
      <w:r>
        <w:rPr>
          <w:rFonts w:hint="eastAsia"/>
        </w:rPr>
        <w:t>输出要求</w:t>
      </w:r>
    </w:p>
    <w:p w14:paraId="12C199C8">
      <w:pPr>
        <w:pStyle w:val="165"/>
        <w:spacing w:line="360" w:lineRule="auto"/>
      </w:pPr>
      <w:r>
        <w:rPr>
          <w:rFonts w:hint="eastAsia"/>
        </w:rPr>
        <w:t>每一评估单元应输出后果评价结论，至少包括后果等级、主要受体类型与数量摘要、关键影响路径与主要不确定性说明。</w:t>
      </w:r>
    </w:p>
    <w:p w14:paraId="7FAA72D2">
      <w:pPr>
        <w:pStyle w:val="165"/>
        <w:spacing w:line="360" w:lineRule="auto"/>
      </w:pPr>
      <w:r>
        <w:rPr>
          <w:rFonts w:hint="eastAsia"/>
        </w:rPr>
        <w:t>后果评价结论应与高后果区识别成果关联，并为综合分级提供明确输入。对后果等级较高的评估单元，应在处置建议中优先提出后果减缓措施方向，例如加强隔离防护、优化阀室分区与紧急切断、完善标识与警戒、提升应急资源布设与联动机制等。</w:t>
      </w:r>
    </w:p>
    <w:p w14:paraId="154C3C72">
      <w:pPr>
        <w:pStyle w:val="104"/>
        <w:spacing w:before="240" w:after="240" w:line="360" w:lineRule="auto"/>
      </w:pPr>
      <w:bookmarkStart w:id="56" w:name="_Toc219037492"/>
      <w:r>
        <w:rPr>
          <w:rFonts w:hint="eastAsia"/>
        </w:rPr>
        <w:t>失效概率评价</w:t>
      </w:r>
      <w:bookmarkEnd w:id="56"/>
    </w:p>
    <w:p w14:paraId="1D52CF90">
      <w:pPr>
        <w:pStyle w:val="105"/>
        <w:spacing w:before="120" w:after="120" w:line="360" w:lineRule="auto"/>
      </w:pPr>
      <w:r>
        <w:rPr>
          <w:rFonts w:hint="eastAsia"/>
        </w:rPr>
        <w:t>一般要求</w:t>
      </w:r>
    </w:p>
    <w:p w14:paraId="277363E2">
      <w:pPr>
        <w:pStyle w:val="165"/>
        <w:spacing w:line="360" w:lineRule="auto"/>
      </w:pPr>
      <w:r>
        <w:rPr>
          <w:rFonts w:hint="eastAsia"/>
        </w:rPr>
        <w:t>失效概率评价应以评估单元为对象，围绕泄漏与破裂两类失效形态，综合反映缺陷与劣化状态、运行载荷与工况波动、环境与防护条件、外部干扰暴露与管理控制水平等因素，对在规定时间尺度内发生失效的可能性进行评价。</w:t>
      </w:r>
    </w:p>
    <w:p w14:paraId="6F3CF9A7">
      <w:pPr>
        <w:pStyle w:val="165"/>
        <w:spacing w:line="360" w:lineRule="auto"/>
      </w:pPr>
      <w:r>
        <w:rPr>
          <w:rFonts w:hint="eastAsia"/>
        </w:rPr>
        <w:t>失效概率评价应与数据质量水平相适配。数据充分时宜采用定量或半定量方法，数据不足时可采用规则判定或专家评分法，但应明确评价依据、取值原则与不确定性来源，不得以资料缺失作为低风险判定理由。</w:t>
      </w:r>
    </w:p>
    <w:p w14:paraId="3E5D6E58">
      <w:pPr>
        <w:pStyle w:val="165"/>
        <w:spacing w:line="360" w:lineRule="auto"/>
      </w:pPr>
      <w:r>
        <w:rPr>
          <w:rFonts w:hint="eastAsia"/>
        </w:rPr>
        <w:t>失效概率评价应与失效机理分析结果一致。主导失效机理应作为概率评价的主线输入，次要机理作为修正或叠加输入；对机理不明确的评估单元应优先补充检测或提高保守度。</w:t>
      </w:r>
    </w:p>
    <w:p w14:paraId="565D04CA">
      <w:pPr>
        <w:pStyle w:val="165"/>
        <w:spacing w:line="360" w:lineRule="auto"/>
      </w:pPr>
      <w:r>
        <w:rPr>
          <w:rFonts w:hint="eastAsia"/>
        </w:rPr>
        <w:t>失效概率评价应与检验检测计划联动。评价结论应能够直接指向需要加密检测、需要专项检测或需要监测预警的评估单元，并支撑治理优先级排序。</w:t>
      </w:r>
    </w:p>
    <w:p w14:paraId="5A1603B1">
      <w:pPr>
        <w:pStyle w:val="105"/>
        <w:spacing w:before="120" w:after="120" w:line="360" w:lineRule="auto"/>
      </w:pPr>
      <w:r>
        <w:rPr>
          <w:rFonts w:hint="eastAsia"/>
        </w:rPr>
        <w:t>评价对象与失效情景</w:t>
      </w:r>
    </w:p>
    <w:p w14:paraId="0CF96565">
      <w:pPr>
        <w:pStyle w:val="165"/>
        <w:spacing w:line="360" w:lineRule="auto"/>
      </w:pPr>
      <w:r>
        <w:rPr>
          <w:rFonts w:hint="eastAsia"/>
        </w:rPr>
        <w:t>失效情景应至少包含小泄漏与破裂两类。小泄漏情景重点对应局部腐蚀穿孔、密封失效与局部裂纹贯穿；破裂情景重点对应剩余强度不足、裂纹快速扩展、外部载荷与地质变形导致的结构失稳。</w:t>
      </w:r>
    </w:p>
    <w:p w14:paraId="412724DA">
      <w:pPr>
        <w:pStyle w:val="165"/>
        <w:spacing w:line="360" w:lineRule="auto"/>
      </w:pPr>
      <w:r>
        <w:rPr>
          <w:rFonts w:hint="eastAsia"/>
        </w:rPr>
        <w:t>对于介质与工况导致的典型差异，应明确情景选取依据。可燃介质区段宜强化破裂情景的概率识别，有毒有害介质区段宜同时强化小泄漏情景的概率识别与早期泄漏的触发因素识别。</w:t>
      </w:r>
    </w:p>
    <w:p w14:paraId="267C563E">
      <w:pPr>
        <w:pStyle w:val="165"/>
        <w:spacing w:line="360" w:lineRule="auto"/>
      </w:pPr>
      <w:r>
        <w:rPr>
          <w:rFonts w:hint="eastAsia"/>
        </w:rPr>
        <w:t>对存在多机理耦合的评估单元，应分别对主要情景开展评价，并以不利情景作为该单元失效概率等级的最终取值。</w:t>
      </w:r>
    </w:p>
    <w:p w14:paraId="6836BFFB">
      <w:pPr>
        <w:pStyle w:val="105"/>
        <w:spacing w:before="120" w:after="120" w:line="360" w:lineRule="auto"/>
      </w:pPr>
      <w:r>
        <w:rPr>
          <w:rFonts w:hint="eastAsia"/>
        </w:rPr>
        <w:t>输入数据与取值原则</w:t>
      </w:r>
    </w:p>
    <w:p w14:paraId="15614594">
      <w:pPr>
        <w:pStyle w:val="165"/>
        <w:spacing w:line="360" w:lineRule="auto"/>
      </w:pPr>
      <w:r>
        <w:rPr>
          <w:rFonts w:hint="eastAsia"/>
        </w:rPr>
        <w:t>失效概率评价输入数据宜至少包括以下类别，并应与评估单元定位信息一致：</w:t>
      </w:r>
    </w:p>
    <w:p w14:paraId="4FB6EF65">
      <w:pPr>
        <w:pStyle w:val="56"/>
        <w:spacing w:line="360" w:lineRule="auto"/>
        <w:ind w:firstLine="420"/>
      </w:pPr>
      <w:r>
        <w:rPr>
          <w:rFonts w:hint="eastAsia"/>
        </w:rPr>
        <w:t>a) 缺陷与壁厚数据，包括内检测缺陷清单、外检测与测厚数据、焊口无损检测结果、缺陷尺寸与定位信息、缺陷发展趋势信息；</w:t>
      </w:r>
    </w:p>
    <w:p w14:paraId="380ACB1C">
      <w:pPr>
        <w:pStyle w:val="56"/>
        <w:spacing w:line="360" w:lineRule="auto"/>
        <w:ind w:firstLine="420"/>
      </w:pPr>
      <w:r>
        <w:rPr>
          <w:rFonts w:hint="eastAsia"/>
        </w:rPr>
        <w:t>b) 腐蚀与防护数据，包括腐蚀速率、外防腐层状态、阴极保护有效性与测试结果、杂散电流环境与绝缘状态；</w:t>
      </w:r>
    </w:p>
    <w:p w14:paraId="111ECDB6">
      <w:pPr>
        <w:pStyle w:val="56"/>
        <w:spacing w:line="360" w:lineRule="auto"/>
        <w:ind w:firstLine="420"/>
      </w:pPr>
      <w:r>
        <w:rPr>
          <w:rFonts w:hint="eastAsia"/>
        </w:rPr>
        <w:t>c) 运行工况数据，包括压力温度水平与波动、启停频次、瞬态冲击记录、流量与介质参数变化；</w:t>
      </w:r>
    </w:p>
    <w:p w14:paraId="65C67F1B">
      <w:pPr>
        <w:pStyle w:val="56"/>
        <w:spacing w:line="360" w:lineRule="auto"/>
        <w:ind w:firstLine="420"/>
      </w:pPr>
      <w:r>
        <w:rPr>
          <w:rFonts w:hint="eastAsia"/>
        </w:rPr>
        <w:t>d) 外部影响数据，包括第三方施工与占压事件、沿线巡检记录、地质灾害影响与位移变形信息、穿跨越结构与保护设施状态；</w:t>
      </w:r>
    </w:p>
    <w:p w14:paraId="3D58D852">
      <w:pPr>
        <w:pStyle w:val="56"/>
        <w:spacing w:line="360" w:lineRule="auto"/>
        <w:ind w:firstLine="420"/>
      </w:pPr>
      <w:r>
        <w:rPr>
          <w:rFonts w:hint="eastAsia"/>
        </w:rPr>
        <w:t>e) 维护管理数据，包括检修与修复记录、重大异常与泄漏事件、保护装置与应急切断设施状态、制度执行与人员能力信息。</w:t>
      </w:r>
    </w:p>
    <w:p w14:paraId="17CF2B61">
      <w:pPr>
        <w:pStyle w:val="165"/>
        <w:spacing w:line="360" w:lineRule="auto"/>
      </w:pPr>
      <w:r>
        <w:rPr>
          <w:rFonts w:hint="eastAsia"/>
        </w:rPr>
        <w:t>关键参数取值应遵循可追溯与保守原则。对直接影响剩余强度、腐蚀速率与裂纹风险判断的参数，应优先采用实测值或经核查的权威记录。参数存在多个来源时，应明确采用值、备选值与取舍依据，并保留原始数据索引。</w:t>
      </w:r>
    </w:p>
    <w:p w14:paraId="3B174DBA">
      <w:pPr>
        <w:pStyle w:val="165"/>
        <w:spacing w:line="360" w:lineRule="auto"/>
      </w:pPr>
      <w:r>
        <w:rPr>
          <w:rFonts w:hint="eastAsia"/>
        </w:rPr>
        <w:t>数据缺失或不一致时，应采取补充检测、现场核验或保守取值三类策略之一，并在报告中说明对失效概率等级的影响。对缺陷定位不可靠、检测覆盖不足或腐蚀速率不确定性较大的评估单元，不宜判定为低概率等级。</w:t>
      </w:r>
    </w:p>
    <w:p w14:paraId="0FD8B674">
      <w:pPr>
        <w:pStyle w:val="105"/>
        <w:spacing w:before="120" w:after="120" w:line="360" w:lineRule="auto"/>
      </w:pPr>
      <w:r>
        <w:rPr>
          <w:rFonts w:hint="eastAsia"/>
        </w:rPr>
        <w:t>评价方法与要素构成</w:t>
      </w:r>
    </w:p>
    <w:p w14:paraId="4EF8EC4A">
      <w:pPr>
        <w:pStyle w:val="165"/>
        <w:spacing w:line="360" w:lineRule="auto"/>
      </w:pPr>
      <w:r>
        <w:rPr>
          <w:rFonts w:hint="eastAsia"/>
        </w:rPr>
        <w:t>失效概率评价可采用以下方法路径，并应在评估方案中明确选用原则：</w:t>
      </w:r>
    </w:p>
    <w:p w14:paraId="3E8DA335">
      <w:pPr>
        <w:pStyle w:val="56"/>
        <w:spacing w:line="360" w:lineRule="auto"/>
        <w:ind w:firstLine="420"/>
      </w:pPr>
      <w:r>
        <w:rPr>
          <w:rFonts w:hint="eastAsia"/>
        </w:rPr>
        <w:t>a) 定量方法，基于剩余强度计算、裂纹力学评价、腐蚀增长模型与载荷模型等形成失效概率或失效频率；</w:t>
      </w:r>
    </w:p>
    <w:p w14:paraId="5ABAF74D">
      <w:pPr>
        <w:pStyle w:val="56"/>
        <w:spacing w:line="360" w:lineRule="auto"/>
        <w:ind w:firstLine="420"/>
      </w:pPr>
      <w:r>
        <w:rPr>
          <w:rFonts w:hint="eastAsia"/>
        </w:rPr>
        <w:t>b) 半定量方法，基于指标评分与权重合成形成概率得分，并映射为概率等级；</w:t>
      </w:r>
    </w:p>
    <w:p w14:paraId="26394020">
      <w:pPr>
        <w:pStyle w:val="56"/>
        <w:spacing w:line="360" w:lineRule="auto"/>
        <w:ind w:firstLine="420"/>
      </w:pPr>
      <w:r>
        <w:rPr>
          <w:rFonts w:hint="eastAsia"/>
        </w:rPr>
        <w:t>c) 规则判定方法，基于关键触发条件与阈值规则判定概率等级，适用于快速筛查或数据稀缺场景。</w:t>
      </w:r>
    </w:p>
    <w:p w14:paraId="3451E8DF">
      <w:pPr>
        <w:pStyle w:val="165"/>
        <w:spacing w:line="360" w:lineRule="auto"/>
      </w:pPr>
      <w:r>
        <w:rPr>
          <w:rFonts w:hint="eastAsia"/>
        </w:rPr>
        <w:t>采用半定量或规则判定方法时，失效概率评价要素宜至少覆盖以下方面：</w:t>
      </w:r>
    </w:p>
    <w:p w14:paraId="455F8728">
      <w:pPr>
        <w:pStyle w:val="56"/>
        <w:spacing w:line="360" w:lineRule="auto"/>
        <w:ind w:firstLine="420"/>
      </w:pPr>
      <w:r>
        <w:rPr>
          <w:rFonts w:hint="eastAsia"/>
        </w:rPr>
        <w:t>a) 缺陷严重性与剩余裕度，反映壁厚减薄、缺陷尺寸、裂纹特征与结构承载裕度；</w:t>
      </w:r>
    </w:p>
    <w:p w14:paraId="7CD0E2B1">
      <w:pPr>
        <w:pStyle w:val="56"/>
        <w:spacing w:line="360" w:lineRule="auto"/>
        <w:ind w:firstLine="420"/>
      </w:pPr>
      <w:r>
        <w:rPr>
          <w:rFonts w:hint="eastAsia"/>
        </w:rPr>
        <w:t>b) 劣化发展趋势，反映腐蚀速率、缺陷增长速率与趋势稳定性；</w:t>
      </w:r>
    </w:p>
    <w:p w14:paraId="7495A658">
      <w:pPr>
        <w:pStyle w:val="56"/>
        <w:spacing w:line="360" w:lineRule="auto"/>
        <w:ind w:firstLine="420"/>
      </w:pPr>
      <w:r>
        <w:rPr>
          <w:rFonts w:hint="eastAsia"/>
        </w:rPr>
        <w:t>c) 检测覆盖与可靠性，反映检测方法适用性、覆盖率、定位精度与复测一致性；</w:t>
      </w:r>
    </w:p>
    <w:p w14:paraId="2C1B7C86">
      <w:pPr>
        <w:pStyle w:val="56"/>
        <w:spacing w:line="360" w:lineRule="auto"/>
        <w:ind w:firstLine="420"/>
      </w:pPr>
      <w:r>
        <w:rPr>
          <w:rFonts w:hint="eastAsia"/>
        </w:rPr>
        <w:t>d) 工况载荷与波动，反映压力温度水平、波动幅度、启停频次与瞬态冲击；</w:t>
      </w:r>
    </w:p>
    <w:p w14:paraId="3584F294">
      <w:pPr>
        <w:pStyle w:val="56"/>
        <w:spacing w:line="360" w:lineRule="auto"/>
        <w:ind w:firstLine="420"/>
      </w:pPr>
      <w:r>
        <w:rPr>
          <w:rFonts w:hint="eastAsia"/>
        </w:rPr>
        <w:t>e) 防护有效性，反映外防腐与阴极保护有效性、绝缘与杂散电流影响；</w:t>
      </w:r>
    </w:p>
    <w:p w14:paraId="485ADFB2">
      <w:pPr>
        <w:pStyle w:val="56"/>
        <w:spacing w:line="360" w:lineRule="auto"/>
        <w:ind w:firstLine="420"/>
      </w:pPr>
      <w:r>
        <w:rPr>
          <w:rFonts w:hint="eastAsia"/>
        </w:rPr>
        <w:t>f) 外部干扰暴露，反映第三方破坏风险、占压与交叉施工密度、巡检与联防强度；</w:t>
      </w:r>
    </w:p>
    <w:p w14:paraId="614497E3">
      <w:pPr>
        <w:pStyle w:val="56"/>
        <w:spacing w:line="360" w:lineRule="auto"/>
        <w:ind w:firstLine="420"/>
      </w:pPr>
      <w:r>
        <w:rPr>
          <w:rFonts w:hint="eastAsia"/>
        </w:rPr>
        <w:t>g) 地质与外部载荷影响，反映沉降滑坡冻胀等变形风险、穿跨越结构受力与保护设施有效性；</w:t>
      </w:r>
    </w:p>
    <w:p w14:paraId="10BE1704">
      <w:pPr>
        <w:pStyle w:val="56"/>
        <w:spacing w:line="360" w:lineRule="auto"/>
        <w:ind w:firstLine="420"/>
      </w:pPr>
      <w:r>
        <w:rPr>
          <w:rFonts w:hint="eastAsia"/>
        </w:rPr>
        <w:t>h) 管理控制水平，反映运行维护制度执行、关键设施完好、隐患闭环与应急处置能力。</w:t>
      </w:r>
    </w:p>
    <w:p w14:paraId="0FE98BB8">
      <w:pPr>
        <w:pStyle w:val="165"/>
        <w:spacing w:line="360" w:lineRule="auto"/>
      </w:pPr>
      <w:r>
        <w:rPr>
          <w:rFonts w:hint="eastAsia"/>
        </w:rPr>
        <w:t>对不同主导机理的评估单元，应突出机理相关要素的权重或优先级。例如外腐蚀主导区段应强化防护有效性与土壤环境要素，疲劳主导区段应强化工况波动与应力集中要素，地质灾害主导区段应强化变形监测与保护设施要素。</w:t>
      </w:r>
    </w:p>
    <w:p w14:paraId="1357DE3D">
      <w:pPr>
        <w:pStyle w:val="105"/>
        <w:spacing w:before="120" w:after="120" w:line="360" w:lineRule="auto"/>
      </w:pPr>
      <w:r>
        <w:rPr>
          <w:rFonts w:hint="eastAsia"/>
        </w:rPr>
        <w:t>缺陷与剩余强度评价要点</w:t>
      </w:r>
    </w:p>
    <w:p w14:paraId="61DE9C81">
      <w:pPr>
        <w:pStyle w:val="165"/>
        <w:spacing w:line="360" w:lineRule="auto"/>
      </w:pPr>
      <w:r>
        <w:rPr>
          <w:rFonts w:hint="eastAsia"/>
        </w:rPr>
        <w:t>壁厚减薄与腐蚀缺陷应结合最不利缺陷进行评价。应识别最小剩余壁厚、最大金属损失比例、缺陷长度与宽度特征，并关注缺陷聚集与相互作用对剩余强度的影响。</w:t>
      </w:r>
    </w:p>
    <w:p w14:paraId="54B499A0">
      <w:pPr>
        <w:pStyle w:val="165"/>
        <w:spacing w:line="360" w:lineRule="auto"/>
      </w:pPr>
      <w:r>
        <w:rPr>
          <w:rFonts w:hint="eastAsia"/>
        </w:rPr>
        <w:t>腐蚀速率取值应结合时间序列数据与工况一致性。具备多期测厚或多期内检测数据时，应采用一致口径计算腐蚀速率并进行合理性校核；仅有单期数据时，应采用保守速率并提出加密测厚或复测建议。</w:t>
      </w:r>
    </w:p>
    <w:p w14:paraId="6FD5F8AC">
      <w:pPr>
        <w:pStyle w:val="165"/>
        <w:spacing w:line="360" w:lineRule="auto"/>
      </w:pPr>
      <w:r>
        <w:rPr>
          <w:rFonts w:hint="eastAsia"/>
        </w:rPr>
        <w:t>裂纹类缺陷与焊缝缺陷应单独评价。存在裂纹指征、疑似应力腐蚀开裂或疲劳裂纹的评估单元，应明确裂纹位置、方向、长度与深度证据，并结合载荷与材料敏感性提高失效概率等级或提出专项检测。</w:t>
      </w:r>
    </w:p>
    <w:p w14:paraId="05BC3A17">
      <w:pPr>
        <w:pStyle w:val="165"/>
        <w:spacing w:line="360" w:lineRule="auto"/>
      </w:pPr>
      <w:r>
        <w:rPr>
          <w:rFonts w:hint="eastAsia"/>
        </w:rPr>
        <w:t>修复点与改造点应关注重复失效风险。对开挖修复、补焊补强、套管修复等区段，应将修复质量、残余缺陷与修复后监测情况纳入概率评价，并对缺乏复验记录的修复点采取保守判定。</w:t>
      </w:r>
    </w:p>
    <w:p w14:paraId="11AE08DE">
      <w:pPr>
        <w:pStyle w:val="105"/>
        <w:spacing w:before="120" w:after="120" w:line="360" w:lineRule="auto"/>
      </w:pPr>
      <w:r>
        <w:rPr>
          <w:rFonts w:hint="eastAsia"/>
        </w:rPr>
        <w:t>外部影响与管理因素评价要点</w:t>
      </w:r>
    </w:p>
    <w:p w14:paraId="22DC0067">
      <w:pPr>
        <w:pStyle w:val="165"/>
        <w:spacing w:line="360" w:lineRule="auto"/>
      </w:pPr>
      <w:r>
        <w:rPr>
          <w:rFonts w:hint="eastAsia"/>
        </w:rPr>
        <w:t>第三方破坏概率应结合暴露与控制两端信息综合判断。应综合沿线施工活跃度、占压情况、标识与保护设施完好、巡检频次与覆盖、联防联控机制、历史破坏事件频次等因素进行评价。</w:t>
      </w:r>
    </w:p>
    <w:p w14:paraId="6F71175B">
      <w:pPr>
        <w:pStyle w:val="165"/>
        <w:spacing w:line="360" w:lineRule="auto"/>
      </w:pPr>
      <w:r>
        <w:rPr>
          <w:rFonts w:hint="eastAsia"/>
        </w:rPr>
        <w:t>地质灾害与沉降变形概率应结合监测与证据。存在地质灾害影响的评估单元，应优先采用监测数据、现场迹象与地质资料判定变形趋势，并评估对管体应力与支撑体系的影响。监测缺失但风险暴露明显时，应提高保守度并提出监测补齐建议。</w:t>
      </w:r>
    </w:p>
    <w:p w14:paraId="0DCAACF4">
      <w:pPr>
        <w:pStyle w:val="165"/>
        <w:spacing w:line="360" w:lineRule="auto"/>
      </w:pPr>
      <w:r>
        <w:rPr>
          <w:rFonts w:hint="eastAsia"/>
        </w:rPr>
        <w:t>管理控制水平应体现对失效概率的抑制作用。制度健全、闭环有效、保护装置完好、应急处置能力强的评估单元，可在同等缺陷条件下体现一定的概率修正；但管理因素不得抵消严重缺陷或明显劣化趋势带来的高概率判定。</w:t>
      </w:r>
    </w:p>
    <w:p w14:paraId="1648A3C5">
      <w:pPr>
        <w:pStyle w:val="105"/>
        <w:spacing w:before="120" w:after="120" w:line="360" w:lineRule="auto"/>
      </w:pPr>
      <w:r>
        <w:rPr>
          <w:rFonts w:hint="eastAsia"/>
        </w:rPr>
        <w:t>概率等级输出与不确定性处理</w:t>
      </w:r>
    </w:p>
    <w:p w14:paraId="7C427042">
      <w:pPr>
        <w:pStyle w:val="165"/>
        <w:spacing w:line="360" w:lineRule="auto"/>
      </w:pPr>
      <w:r>
        <w:rPr>
          <w:rFonts w:hint="eastAsia"/>
        </w:rPr>
        <w:t>失效概率等级宜分为四级，从高到低可划分为高、较高、较低、低。各单位可结合既有风险矩阵进行映射，但应保持等级含义一致，并与后果等级共同用于综合分级。</w:t>
      </w:r>
    </w:p>
    <w:p w14:paraId="027B9877">
      <w:pPr>
        <w:pStyle w:val="165"/>
        <w:spacing w:line="360" w:lineRule="auto"/>
      </w:pPr>
      <w:r>
        <w:rPr>
          <w:rFonts w:hint="eastAsia"/>
        </w:rPr>
        <w:t>评价输出应至少包括以下内容：失效概率等级或得分；主导机理与关键驱动因素；关键数据来源与可信度说明；对结果影响最大的假设与不确定性来源；建议的补充检测或监测措施。</w:t>
      </w:r>
    </w:p>
    <w:p w14:paraId="16B4D539">
      <w:pPr>
        <w:pStyle w:val="165"/>
        <w:spacing w:line="360" w:lineRule="auto"/>
      </w:pPr>
      <w:r>
        <w:rPr>
          <w:rFonts w:hint="eastAsia"/>
        </w:rPr>
        <w:t>对不确定性较大的评估单元，应明确采取的保守策略，并将“数据补齐后复评”作为管控要求写入分级管控台账，设定复评触发条件与完成时限。</w:t>
      </w:r>
    </w:p>
    <w:p w14:paraId="168A7A50">
      <w:pPr>
        <w:pStyle w:val="104"/>
        <w:spacing w:before="240" w:after="240" w:line="360" w:lineRule="auto"/>
      </w:pPr>
      <w:bookmarkStart w:id="57" w:name="_Toc219037493"/>
      <w:r>
        <w:rPr>
          <w:rFonts w:hint="eastAsia"/>
        </w:rPr>
        <w:t>综合分级判定</w:t>
      </w:r>
      <w:bookmarkEnd w:id="57"/>
    </w:p>
    <w:p w14:paraId="1838CB5A">
      <w:pPr>
        <w:pStyle w:val="105"/>
        <w:spacing w:before="120" w:after="120" w:line="360" w:lineRule="auto"/>
      </w:pPr>
      <w:r>
        <w:rPr>
          <w:rFonts w:hint="eastAsia"/>
        </w:rPr>
        <w:t>一般要求</w:t>
      </w:r>
    </w:p>
    <w:p w14:paraId="414698F6">
      <w:pPr>
        <w:pStyle w:val="165"/>
        <w:spacing w:line="360" w:lineRule="auto"/>
      </w:pPr>
      <w:r>
        <w:rPr>
          <w:rFonts w:hint="eastAsia"/>
        </w:rPr>
        <w:t>综合分级判定应以评估单元为对象，综合第8章失效后果评价结果与第9章失效概率评价结果，形成安全状态等级，并与管控措施、治理优先级与复评要求一一对应。</w:t>
      </w:r>
    </w:p>
    <w:p w14:paraId="25E7BF6D">
      <w:pPr>
        <w:pStyle w:val="165"/>
        <w:spacing w:line="360" w:lineRule="auto"/>
      </w:pPr>
      <w:r>
        <w:rPr>
          <w:rFonts w:hint="eastAsia"/>
        </w:rPr>
        <w:t>综合分级判定应体现最不利原则与可解释原则。对同一评估单元存在多情景、多机理或多来源数据差异时，应以最不利情景与最不利可信数据作为判定依据；判定过程应可解释、可复核，计算或规则路径应在报告中明确。</w:t>
      </w:r>
    </w:p>
    <w:p w14:paraId="219ED2EB">
      <w:pPr>
        <w:pStyle w:val="165"/>
        <w:spacing w:line="360" w:lineRule="auto"/>
      </w:pPr>
      <w:r>
        <w:rPr>
          <w:rFonts w:hint="eastAsia"/>
        </w:rPr>
        <w:t>综合分级判定应与管理目标一致。用于年度治理排序的分级应突出近期风险与可控性，用于中长期更新规划的分级应突出趋势性劣化与剩余寿命不确定性，并在评估报告中说明分级用途与适用边界。</w:t>
      </w:r>
    </w:p>
    <w:p w14:paraId="70D9CECA">
      <w:pPr>
        <w:pStyle w:val="105"/>
        <w:spacing w:before="120" w:after="120" w:line="360" w:lineRule="auto"/>
      </w:pPr>
      <w:r>
        <w:rPr>
          <w:rFonts w:hint="eastAsia"/>
        </w:rPr>
        <w:t>分级框架与等级定义</w:t>
      </w:r>
    </w:p>
    <w:p w14:paraId="7E5AB072">
      <w:pPr>
        <w:pStyle w:val="165"/>
        <w:spacing w:line="360" w:lineRule="auto"/>
      </w:pPr>
      <w:r>
        <w:rPr>
          <w:rFonts w:hint="eastAsia"/>
        </w:rPr>
        <w:t>安全状态等级宜划分为四级，从高风险到低风险依次为一级、二级、三级、四级。各单位可结合既有分级体系命名进行映射，但应保证等级含义一致。</w:t>
      </w:r>
    </w:p>
    <w:p w14:paraId="102775E0">
      <w:pPr>
        <w:pStyle w:val="165"/>
        <w:spacing w:line="360" w:lineRule="auto"/>
      </w:pPr>
      <w:r>
        <w:rPr>
          <w:rFonts w:hint="eastAsia"/>
        </w:rPr>
        <w:t>各等级含义宜按以下口径理解：</w:t>
      </w:r>
    </w:p>
    <w:p w14:paraId="54E1D822">
      <w:pPr>
        <w:pStyle w:val="56"/>
        <w:spacing w:line="360" w:lineRule="auto"/>
        <w:ind w:firstLine="420"/>
      </w:pPr>
      <w:r>
        <w:rPr>
          <w:rFonts w:hint="eastAsia"/>
        </w:rPr>
        <w:t>a) 一级安全状态为极高风险状态，存在立即失效或短期内高概率失效的可能，且失效后果严重，应采取紧急控制与优先治理措施；</w:t>
      </w:r>
    </w:p>
    <w:p w14:paraId="772D6E4F">
      <w:pPr>
        <w:pStyle w:val="56"/>
        <w:spacing w:line="360" w:lineRule="auto"/>
        <w:ind w:firstLine="420"/>
      </w:pPr>
      <w:r>
        <w:rPr>
          <w:rFonts w:hint="eastAsia"/>
        </w:rPr>
        <w:t>b) 二级安全状态为高风险状态，失效概率或后果处于较高水平，需在较短周期内实施治理或强化控制，并加密检测与监测；</w:t>
      </w:r>
    </w:p>
    <w:p w14:paraId="24EDC45D">
      <w:pPr>
        <w:pStyle w:val="56"/>
        <w:spacing w:line="360" w:lineRule="auto"/>
        <w:ind w:firstLine="420"/>
      </w:pPr>
      <w:r>
        <w:rPr>
          <w:rFonts w:hint="eastAsia"/>
        </w:rPr>
        <w:t>c) 三级安全状态为中等风险状态，风险可控但存在劣化趋势或局部薄弱环节，需纳入计划性治理与常态化监测；</w:t>
      </w:r>
    </w:p>
    <w:p w14:paraId="641DDE1C">
      <w:pPr>
        <w:pStyle w:val="56"/>
        <w:spacing w:line="360" w:lineRule="auto"/>
        <w:ind w:firstLine="420"/>
      </w:pPr>
      <w:r>
        <w:rPr>
          <w:rFonts w:hint="eastAsia"/>
        </w:rPr>
        <w:t>d) 四级安全状态为低风险状态，结构完整性与管理控制总体良好，可按常规检验检测与维护策略运行，但仍需保持动态更新。</w:t>
      </w:r>
    </w:p>
    <w:p w14:paraId="46D23B8C">
      <w:pPr>
        <w:pStyle w:val="105"/>
        <w:spacing w:before="120" w:after="120" w:line="360" w:lineRule="auto"/>
      </w:pPr>
      <w:r>
        <w:rPr>
          <w:rFonts w:hint="eastAsia"/>
        </w:rPr>
        <w:t>判定方法与组合逻辑</w:t>
      </w:r>
    </w:p>
    <w:p w14:paraId="541E1DF4">
      <w:pPr>
        <w:pStyle w:val="165"/>
        <w:spacing w:line="360" w:lineRule="auto"/>
      </w:pPr>
      <w:r>
        <w:rPr>
          <w:rFonts w:hint="eastAsia"/>
        </w:rPr>
        <w:t>综合分级判定宜采用风险矩阵组合方法，将后果等级与概率等级进行二维组合，映射为安全状态等级。</w:t>
      </w:r>
    </w:p>
    <w:p w14:paraId="3D7A74BC">
      <w:pPr>
        <w:pStyle w:val="165"/>
        <w:spacing w:line="360" w:lineRule="auto"/>
      </w:pPr>
      <w:r>
        <w:rPr>
          <w:rFonts w:hint="eastAsia"/>
        </w:rPr>
        <w:t>组合逻辑应体现后果与概率的共同作用。后果等级越高、概率等级越高，综合安全状态等级越高；当后果等级与概率等级差异较大时，应采用规则提升或设置下限机制，避免高后果区段因概率暂低而被判定为低等级。</w:t>
      </w:r>
    </w:p>
    <w:p w14:paraId="45E33233">
      <w:pPr>
        <w:pStyle w:val="165"/>
        <w:spacing w:line="360" w:lineRule="auto"/>
      </w:pPr>
      <w:r>
        <w:rPr>
          <w:rFonts w:hint="eastAsia"/>
        </w:rPr>
        <w:t>对高后果区评估单元应设置综合等级下限。对识别为高后果区且具有一定失效概率暴露的评估单元，综合安全状态等级不宜低于三级；对后果特别严重的评估单元，即使概率评价为较低，也应至少判定为二级或提出加强监测与控制要求，具体下限应在评估方案中明确。</w:t>
      </w:r>
    </w:p>
    <w:p w14:paraId="71B8D897">
      <w:pPr>
        <w:pStyle w:val="165"/>
        <w:spacing w:line="360" w:lineRule="auto"/>
      </w:pPr>
      <w:r>
        <w:rPr>
          <w:rFonts w:hint="eastAsia"/>
        </w:rPr>
        <w:t>对存在重大缺陷或异常事件的评估单元应设置直接提升规则。出现以下任一情形时，应不经矩阵或在矩阵基础上提升等级：</w:t>
      </w:r>
    </w:p>
    <w:p w14:paraId="5B5A1B61">
      <w:pPr>
        <w:pStyle w:val="56"/>
        <w:spacing w:line="360" w:lineRule="auto"/>
        <w:ind w:firstLine="420"/>
      </w:pPr>
      <w:r>
        <w:rPr>
          <w:rFonts w:hint="eastAsia"/>
        </w:rPr>
        <w:t>a) 发现可能导致立即失效的严重缺陷或裂纹指征，且缺乏有效临时控制措施；</w:t>
      </w:r>
    </w:p>
    <w:p w14:paraId="2AD94243">
      <w:pPr>
        <w:pStyle w:val="56"/>
        <w:spacing w:line="360" w:lineRule="auto"/>
        <w:ind w:firstLine="420"/>
      </w:pPr>
      <w:r>
        <w:rPr>
          <w:rFonts w:hint="eastAsia"/>
        </w:rPr>
        <w:t>b) 出现闪断式泄漏、重复泄漏或修复后短期内再发事件；</w:t>
      </w:r>
    </w:p>
    <w:p w14:paraId="6BCFDF00">
      <w:pPr>
        <w:pStyle w:val="56"/>
        <w:spacing w:line="360" w:lineRule="auto"/>
        <w:ind w:firstLine="420"/>
      </w:pPr>
      <w:r>
        <w:rPr>
          <w:rFonts w:hint="eastAsia"/>
        </w:rPr>
        <w:t>c) 阴极保护系统失效且外腐蚀风险证据充分，且缺乏短期恢复措施；</w:t>
      </w:r>
    </w:p>
    <w:p w14:paraId="20AAFAF6">
      <w:pPr>
        <w:pStyle w:val="56"/>
        <w:spacing w:line="360" w:lineRule="auto"/>
        <w:ind w:firstLine="420"/>
      </w:pPr>
      <w:r>
        <w:rPr>
          <w:rFonts w:hint="eastAsia"/>
        </w:rPr>
        <w:t>d) 地质灾害变形持续发展且已对管体造成显著应力或位移影响；</w:t>
      </w:r>
    </w:p>
    <w:p w14:paraId="67EE5467">
      <w:pPr>
        <w:pStyle w:val="56"/>
        <w:spacing w:line="360" w:lineRule="auto"/>
        <w:ind w:firstLine="420"/>
      </w:pPr>
      <w:r>
        <w:rPr>
          <w:rFonts w:hint="eastAsia"/>
        </w:rPr>
        <w:t>e) 第三方破坏风险暴露极高且防护控制严重不足。</w:t>
      </w:r>
    </w:p>
    <w:p w14:paraId="6293606C">
      <w:pPr>
        <w:pStyle w:val="165"/>
        <w:spacing w:line="360" w:lineRule="auto"/>
      </w:pPr>
      <w:r>
        <w:rPr>
          <w:rFonts w:hint="eastAsia"/>
        </w:rPr>
        <w:t>采用评分法时，应明确权重与阈值。若采用半定量评分合成方式，应在方案中明确后果维度与概率维度的权重、子指标权重、评分区间、等级阈值与校核方法，并对关键权重进行敏感性说明。</w:t>
      </w:r>
    </w:p>
    <w:p w14:paraId="18854432">
      <w:pPr>
        <w:pStyle w:val="105"/>
        <w:spacing w:before="120" w:after="120" w:line="360" w:lineRule="auto"/>
      </w:pPr>
      <w:r>
        <w:rPr>
          <w:rFonts w:hint="eastAsia"/>
        </w:rPr>
        <w:t>分级判定步骤</w:t>
      </w:r>
    </w:p>
    <w:p w14:paraId="53AB32D0">
      <w:pPr>
        <w:pStyle w:val="165"/>
        <w:spacing w:line="360" w:lineRule="auto"/>
      </w:pPr>
      <w:r>
        <w:rPr>
          <w:rFonts w:hint="eastAsia"/>
        </w:rPr>
        <w:t>获取后果等级与概率等级。对每一评估单元，先确定第8章后果等级，再确定第9章概率等级，并核查两者数据口径一致性与定位一致性。</w:t>
      </w:r>
    </w:p>
    <w:p w14:paraId="695CAF5C">
      <w:pPr>
        <w:pStyle w:val="165"/>
        <w:spacing w:line="360" w:lineRule="auto"/>
      </w:pPr>
      <w:r>
        <w:rPr>
          <w:rFonts w:hint="eastAsia"/>
        </w:rPr>
        <w:t>执行组合映射。按选定的矩阵或评分规则生成初始安全状态等级，并记录映射过程。</w:t>
      </w:r>
    </w:p>
    <w:p w14:paraId="22B19A33">
      <w:pPr>
        <w:pStyle w:val="165"/>
        <w:spacing w:line="360" w:lineRule="auto"/>
      </w:pPr>
      <w:r>
        <w:rPr>
          <w:rFonts w:hint="eastAsia"/>
        </w:rPr>
        <w:t>执行提升与下限规则。对高后果区、重大缺陷、事件异常与不确定性较大的单元，按规则进行等级提升或设置下限，并记录依据。</w:t>
      </w:r>
    </w:p>
    <w:p w14:paraId="3BE0B4CA">
      <w:pPr>
        <w:pStyle w:val="165"/>
        <w:spacing w:line="360" w:lineRule="auto"/>
      </w:pPr>
      <w:r>
        <w:rPr>
          <w:rFonts w:hint="eastAsia"/>
        </w:rPr>
        <w:t>复核与一致性检查。对相邻评估单元等级差异显著且缺乏边界原因的，应复核单元边界与数据归集；对同类区段出现反常低等级的，应复核数据来源与取值原则，避免漏识别。</w:t>
      </w:r>
    </w:p>
    <w:p w14:paraId="14F5B005">
      <w:pPr>
        <w:pStyle w:val="165"/>
        <w:spacing w:line="360" w:lineRule="auto"/>
      </w:pPr>
      <w:r>
        <w:rPr>
          <w:rFonts w:hint="eastAsia"/>
        </w:rPr>
        <w:t>形成分级清单。输出评估单元安全状态等级清单，清单应包含单元编号、后果等级、概率等级、综合等级、主要风险驱动因素与建议处置方向，并为后续管控措施匹配提供输入。</w:t>
      </w:r>
    </w:p>
    <w:p w14:paraId="170378FD">
      <w:pPr>
        <w:pStyle w:val="105"/>
        <w:spacing w:before="120" w:after="120" w:line="360" w:lineRule="auto"/>
      </w:pPr>
      <w:r>
        <w:rPr>
          <w:rFonts w:hint="eastAsia"/>
        </w:rPr>
        <w:t>不确定性与保守调整</w:t>
      </w:r>
    </w:p>
    <w:p w14:paraId="2A881858">
      <w:pPr>
        <w:pStyle w:val="165"/>
        <w:spacing w:line="360" w:lineRule="auto"/>
      </w:pPr>
      <w:r>
        <w:rPr>
          <w:rFonts w:hint="eastAsia"/>
        </w:rPr>
        <w:t>当关键数据缺失或检测覆盖不足导致不确定性较大时，应采用保守调整策略，原则上提升综合等级或设置复评时限与加密检测要求，不得直接判定为低等级。</w:t>
      </w:r>
    </w:p>
    <w:p w14:paraId="14651816">
      <w:pPr>
        <w:pStyle w:val="165"/>
        <w:spacing w:line="360" w:lineRule="auto"/>
      </w:pPr>
      <w:r>
        <w:rPr>
          <w:rFonts w:hint="eastAsia"/>
        </w:rPr>
        <w:t>当后果数据不确定性较大时，应保守判定受体暴露水平；当概率数据不确定性较大时，应保守判定缺陷严重性与发展趋势，并通过补充检测降低不确定性。</w:t>
      </w:r>
    </w:p>
    <w:p w14:paraId="5E4203DE">
      <w:pPr>
        <w:pStyle w:val="165"/>
        <w:spacing w:line="360" w:lineRule="auto"/>
      </w:pPr>
      <w:r>
        <w:rPr>
          <w:rFonts w:hint="eastAsia"/>
        </w:rPr>
        <w:t>不确定性处理应形成记录，并纳入评估报告的假设条件与局限性说明章节，同时在分级管控台账中设置数据补齐与复评节点。</w:t>
      </w:r>
    </w:p>
    <w:p w14:paraId="504E37D6">
      <w:pPr>
        <w:pStyle w:val="105"/>
        <w:spacing w:before="120" w:after="120" w:line="360" w:lineRule="auto"/>
      </w:pPr>
      <w:r>
        <w:rPr>
          <w:rFonts w:hint="eastAsia"/>
        </w:rPr>
        <w:t>分级结果的管理输出</w:t>
      </w:r>
    </w:p>
    <w:p w14:paraId="7D4BD1EA">
      <w:pPr>
        <w:pStyle w:val="165"/>
        <w:spacing w:line="360" w:lineRule="auto"/>
      </w:pPr>
      <w:r>
        <w:rPr>
          <w:rFonts w:hint="eastAsia"/>
        </w:rPr>
        <w:t>分级结果应输出两类成果。第一类为面向监管与管理的综合分级清单，用于治理排序与资源配置；第二类为面向现场实施的单元治理卡片或任务清单，用于指导检修、修复与监测。</w:t>
      </w:r>
    </w:p>
    <w:p w14:paraId="65FF39B5">
      <w:pPr>
        <w:pStyle w:val="165"/>
        <w:spacing w:line="360" w:lineRule="auto"/>
      </w:pPr>
      <w:r>
        <w:rPr>
          <w:rFonts w:hint="eastAsia"/>
        </w:rPr>
        <w:t>分级结果应与治理计划联动。一级与二级单元应进入年度重点治理项目库，三级单元应进入计划性维护与加密检测清单，四级单元应纳入常规检验检测与巡检体系。</w:t>
      </w:r>
    </w:p>
    <w:p w14:paraId="2590B4A4">
      <w:pPr>
        <w:pStyle w:val="165"/>
        <w:spacing w:line="360" w:lineRule="auto"/>
      </w:pPr>
      <w:r>
        <w:rPr>
          <w:rFonts w:hint="eastAsia"/>
        </w:rPr>
        <w:t>分级结果应纳入动态更新机制。发生工况变更、缺陷新增、修复改造完成、地质环境变化或第三方施工风险显著变化时，应按第4章要求启动复评，更新分级结果并同步调整管控措施。</w:t>
      </w:r>
    </w:p>
    <w:p w14:paraId="040744BF">
      <w:pPr>
        <w:pStyle w:val="104"/>
        <w:spacing w:before="240" w:after="240" w:line="360" w:lineRule="auto"/>
      </w:pPr>
      <w:bookmarkStart w:id="58" w:name="_Toc219037494"/>
      <w:r>
        <w:rPr>
          <w:rFonts w:hint="eastAsia"/>
        </w:rPr>
        <w:t>分级管控与处置建议</w:t>
      </w:r>
      <w:bookmarkEnd w:id="58"/>
    </w:p>
    <w:p w14:paraId="757BBC52">
      <w:pPr>
        <w:pStyle w:val="105"/>
        <w:spacing w:before="120" w:after="120" w:line="360" w:lineRule="auto"/>
      </w:pPr>
      <w:r>
        <w:rPr>
          <w:rFonts w:hint="eastAsia"/>
        </w:rPr>
        <w:t>一般要求</w:t>
      </w:r>
    </w:p>
    <w:p w14:paraId="1016E3DB">
      <w:pPr>
        <w:pStyle w:val="165"/>
        <w:spacing w:line="360" w:lineRule="auto"/>
      </w:pPr>
      <w:r>
        <w:rPr>
          <w:rFonts w:hint="eastAsia"/>
        </w:rPr>
        <w:t>分级管控与处置建议应与第10章综合分级判定结果一致，做到等级明确、措施匹配、责任清晰、时限可控、复评可执行。处置建议应同时包含工程措施与管理措施，并明确其作用机理是降低失效概率、减轻失效后果或两者兼顾。</w:t>
      </w:r>
    </w:p>
    <w:p w14:paraId="1F666825">
      <w:pPr>
        <w:pStyle w:val="165"/>
        <w:spacing w:line="360" w:lineRule="auto"/>
      </w:pPr>
      <w:r>
        <w:rPr>
          <w:rFonts w:hint="eastAsia"/>
        </w:rPr>
        <w:t>处置建议应以风险驱动因素为依据。应针对评估单元的主导失效机理和关键控制变量提出措施组合，避免仅给出泛化建议。对数据不确定性导致的保守提升等级，应将数据补齐与复评作为处置建议的必要组成。</w:t>
      </w:r>
    </w:p>
    <w:p w14:paraId="01C984D0">
      <w:pPr>
        <w:pStyle w:val="165"/>
        <w:spacing w:line="360" w:lineRule="auto"/>
      </w:pPr>
      <w:r>
        <w:rPr>
          <w:rFonts w:hint="eastAsia"/>
        </w:rPr>
        <w:t>分级管控应形成台账并闭环管理。台账应包含评估单元编号、综合等级、风险要点、处置措施、责任单位、责任人、计划完成时间、过程记录索引、复查结论、销项条件与复评节点。</w:t>
      </w:r>
    </w:p>
    <w:p w14:paraId="25DC22C9">
      <w:pPr>
        <w:pStyle w:val="105"/>
        <w:spacing w:before="120" w:after="120" w:line="360" w:lineRule="auto"/>
      </w:pPr>
      <w:r>
        <w:rPr>
          <w:rFonts w:hint="eastAsia"/>
        </w:rPr>
        <w:t>一级安全状态管控与处置要求</w:t>
      </w:r>
    </w:p>
    <w:p w14:paraId="68195261">
      <w:pPr>
        <w:pStyle w:val="65"/>
        <w:spacing w:before="120" w:after="120" w:line="360" w:lineRule="auto"/>
      </w:pPr>
      <w:r>
        <w:rPr>
          <w:rFonts w:hint="eastAsia"/>
        </w:rPr>
        <w:t>管控目标与措施强度</w:t>
      </w:r>
    </w:p>
    <w:p w14:paraId="737442AA">
      <w:pPr>
        <w:pStyle w:val="56"/>
        <w:spacing w:line="360" w:lineRule="auto"/>
        <w:ind w:firstLine="420"/>
      </w:pPr>
      <w:r>
        <w:rPr>
          <w:rFonts w:hint="eastAsia"/>
        </w:rPr>
        <w:t>一级安全状态应按极高风险单元管理，应立即采取临时风险控制措施并优先实施工程治理，确保短期内风险显著下降。</w:t>
      </w:r>
    </w:p>
    <w:p w14:paraId="4EF63FED">
      <w:pPr>
        <w:pStyle w:val="65"/>
        <w:spacing w:before="120" w:after="120" w:line="360" w:lineRule="auto"/>
      </w:pPr>
      <w:r>
        <w:rPr>
          <w:rFonts w:hint="eastAsia"/>
        </w:rPr>
        <w:t>临时控制措施</w:t>
      </w:r>
    </w:p>
    <w:p w14:paraId="67A7B02A">
      <w:pPr>
        <w:pStyle w:val="56"/>
        <w:spacing w:line="360" w:lineRule="auto"/>
        <w:ind w:firstLine="420"/>
      </w:pPr>
      <w:r>
        <w:rPr>
          <w:rFonts w:hint="eastAsia"/>
        </w:rPr>
        <w:t>应根据风险类型采取一项或多项临时控制措施，包括降压限输、停输隔离、设置警戒与禁限作业区、加密巡检与值守、设置泄漏监测与可燃气体检测、调整运行工况避免瞬态冲击、限制周边施工与占压、启用旁通或替代供给。临时控制措施应形成书面或电子指令，并明确启动与解除条件。</w:t>
      </w:r>
    </w:p>
    <w:p w14:paraId="487D67E6">
      <w:pPr>
        <w:pStyle w:val="65"/>
        <w:spacing w:before="120" w:after="120" w:line="360" w:lineRule="auto"/>
      </w:pPr>
      <w:r>
        <w:rPr>
          <w:rFonts w:hint="eastAsia"/>
        </w:rPr>
        <w:t>工程治理措施</w:t>
      </w:r>
    </w:p>
    <w:p w14:paraId="496C829F">
      <w:pPr>
        <w:pStyle w:val="56"/>
        <w:spacing w:line="360" w:lineRule="auto"/>
        <w:ind w:firstLine="420"/>
      </w:pPr>
      <w:r>
        <w:rPr>
          <w:rFonts w:hint="eastAsia"/>
        </w:rPr>
        <w:t>应优先实施消除风险源的工程措施。可包括更换管段或整体更新、开挖修复与补强、焊口返修或更换、缺陷切除、加装套管与防护、恢复或改造阴极保护系统、外防腐重涂、地质灾害治理与管道改线迁改、阀室紧急切断优化与分区隔离等。工程治理应编制专项方案并经审批后实施。</w:t>
      </w:r>
    </w:p>
    <w:p w14:paraId="35D94EFD">
      <w:pPr>
        <w:pStyle w:val="65"/>
        <w:spacing w:before="120" w:after="120" w:line="360" w:lineRule="auto"/>
      </w:pPr>
      <w:r>
        <w:rPr>
          <w:rFonts w:hint="eastAsia"/>
        </w:rPr>
        <w:t>检验检测与复评要求</w:t>
      </w:r>
    </w:p>
    <w:p w14:paraId="2BBAD4D0">
      <w:pPr>
        <w:pStyle w:val="56"/>
        <w:spacing w:line="360" w:lineRule="auto"/>
        <w:ind w:firstLine="420"/>
      </w:pPr>
      <w:r>
        <w:rPr>
          <w:rFonts w:hint="eastAsia"/>
        </w:rPr>
        <w:t>一级单元应实施加密检测或专项检测，确保缺陷与劣化边界清晰。治理完成后应进行复检与复评，复评通过后方可解除一级管控。对无法在短期内完成治理的，应持续执行临时控制措施并设定阶段性风险复核频次。</w:t>
      </w:r>
    </w:p>
    <w:p w14:paraId="726E6D33">
      <w:pPr>
        <w:pStyle w:val="105"/>
        <w:spacing w:before="120" w:after="120" w:line="360" w:lineRule="auto"/>
      </w:pPr>
      <w:r>
        <w:rPr>
          <w:rFonts w:hint="eastAsia"/>
        </w:rPr>
        <w:t>二级安全状态管控与处置要求</w:t>
      </w:r>
    </w:p>
    <w:p w14:paraId="0EB898EB">
      <w:pPr>
        <w:pStyle w:val="65"/>
        <w:spacing w:before="120" w:after="120" w:line="360" w:lineRule="auto"/>
      </w:pPr>
      <w:r>
        <w:rPr>
          <w:rFonts w:hint="eastAsia"/>
        </w:rPr>
        <w:t>管控目标与措施强度</w:t>
      </w:r>
    </w:p>
    <w:p w14:paraId="3394A79C">
      <w:pPr>
        <w:pStyle w:val="56"/>
        <w:spacing w:line="360" w:lineRule="auto"/>
        <w:ind w:firstLine="420"/>
      </w:pPr>
      <w:r>
        <w:rPr>
          <w:rFonts w:hint="eastAsia"/>
        </w:rPr>
        <w:t>二级安全状态应按高风险单元管理，应在较短周期内实施治理或强化控制，防止风险向一级演化，并确保关键薄弱点得到有效控制。</w:t>
      </w:r>
    </w:p>
    <w:p w14:paraId="63A57DA9">
      <w:pPr>
        <w:pStyle w:val="65"/>
        <w:spacing w:before="120" w:after="120" w:line="360" w:lineRule="auto"/>
      </w:pPr>
      <w:r>
        <w:rPr>
          <w:rFonts w:hint="eastAsia"/>
        </w:rPr>
        <w:t>管控措施</w:t>
      </w:r>
    </w:p>
    <w:p w14:paraId="3029C14A">
      <w:pPr>
        <w:pStyle w:val="56"/>
        <w:spacing w:line="360" w:lineRule="auto"/>
        <w:ind w:firstLine="420"/>
      </w:pPr>
      <w:r>
        <w:rPr>
          <w:rFonts w:hint="eastAsia"/>
        </w:rPr>
        <w:t>应采取强化管理措施与针对性工程措施组合。强化管理措施可包括加密巡检、完善标识与防护、建立第三方施工联防机制、优化工况控制与压力波动管理、加强阴极保护测试与维护、增加泄漏监测点位。针对性工程措施可包括局部修复、更换薄弱管段、外防腐修补、阴极保护参数优化、阀门与法兰更换、支吊架与补偿器维护、局部地质加固等。</w:t>
      </w:r>
    </w:p>
    <w:p w14:paraId="35FB8DF8">
      <w:pPr>
        <w:pStyle w:val="65"/>
        <w:spacing w:before="120" w:after="120" w:line="360" w:lineRule="auto"/>
      </w:pPr>
      <w:r>
        <w:rPr>
          <w:rFonts w:hint="eastAsia"/>
        </w:rPr>
        <w:t>检验检测与复评要求</w:t>
      </w:r>
    </w:p>
    <w:p w14:paraId="20FA43D3">
      <w:pPr>
        <w:pStyle w:val="56"/>
        <w:spacing w:line="360" w:lineRule="auto"/>
        <w:ind w:firstLine="420"/>
      </w:pPr>
      <w:r>
        <w:rPr>
          <w:rFonts w:hint="eastAsia"/>
        </w:rPr>
        <w:t>二级单元应制定加密检测计划，优先补齐影响概率判定的关键数据，例如加密测厚、外防腐检测、阴极保护专项测试、重点焊口无损抽检、地质变形监测。措施实施后应在规定周期内复评，复评结果应决定是否降级或继续维持二级管控。</w:t>
      </w:r>
    </w:p>
    <w:p w14:paraId="364CA622">
      <w:pPr>
        <w:pStyle w:val="105"/>
        <w:spacing w:before="120" w:after="120" w:line="360" w:lineRule="auto"/>
      </w:pPr>
      <w:r>
        <w:rPr>
          <w:rFonts w:hint="eastAsia"/>
        </w:rPr>
        <w:t>三级安全状态管控与处置要求</w:t>
      </w:r>
    </w:p>
    <w:p w14:paraId="77F12B18">
      <w:pPr>
        <w:pStyle w:val="65"/>
        <w:spacing w:before="120" w:after="120" w:line="360" w:lineRule="auto"/>
      </w:pPr>
      <w:r>
        <w:rPr>
          <w:rFonts w:hint="eastAsia"/>
        </w:rPr>
        <w:t>管控目标与措施强度</w:t>
      </w:r>
    </w:p>
    <w:p w14:paraId="2944F763">
      <w:pPr>
        <w:pStyle w:val="56"/>
        <w:spacing w:line="360" w:lineRule="auto"/>
        <w:ind w:firstLine="420"/>
      </w:pPr>
      <w:r>
        <w:rPr>
          <w:rFonts w:hint="eastAsia"/>
        </w:rPr>
        <w:t>三级安全状态应按中等风险单元管理，应通过计划性维护、风险点治理与常态化监测控制风险演化速度，保持风险可控并提升数据可信度。</w:t>
      </w:r>
    </w:p>
    <w:p w14:paraId="294BBC9A">
      <w:pPr>
        <w:pStyle w:val="65"/>
        <w:spacing w:before="120" w:after="120" w:line="360" w:lineRule="auto"/>
      </w:pPr>
      <w:r>
        <w:rPr>
          <w:rFonts w:hint="eastAsia"/>
        </w:rPr>
        <w:t>管控措施</w:t>
      </w:r>
    </w:p>
    <w:p w14:paraId="25AA8C94">
      <w:pPr>
        <w:pStyle w:val="56"/>
        <w:spacing w:line="360" w:lineRule="auto"/>
        <w:ind w:firstLine="420"/>
      </w:pPr>
      <w:r>
        <w:rPr>
          <w:rFonts w:hint="eastAsia"/>
        </w:rPr>
        <w:t>可采取的措施包括按计划开展定期检验与巡检、建立趋势性测厚点、优化清管与缓蚀管理、完善防腐与阴极保护的日常维护、治理局部占压与标识缺失、对穿跨越段与阀室段实施专项巡查、对易发生沉降区实施简易监测。</w:t>
      </w:r>
    </w:p>
    <w:p w14:paraId="676CDD8A">
      <w:pPr>
        <w:pStyle w:val="65"/>
        <w:spacing w:before="120" w:after="120" w:line="360" w:lineRule="auto"/>
      </w:pPr>
      <w:r>
        <w:rPr>
          <w:rFonts w:hint="eastAsia"/>
        </w:rPr>
        <w:t>处置与复评要求</w:t>
      </w:r>
    </w:p>
    <w:p w14:paraId="15B09696">
      <w:pPr>
        <w:pStyle w:val="56"/>
        <w:spacing w:line="360" w:lineRule="auto"/>
        <w:ind w:firstLine="420"/>
      </w:pPr>
      <w:r>
        <w:rPr>
          <w:rFonts w:hint="eastAsia"/>
        </w:rPr>
        <w:t>对存在明显劣化趋势或局部缺陷接近阈值的，应纳入年度治理计划并明确处置节点。发生工况变更、缺陷新增或外部环境变化时应启动专项复核或提前复评。</w:t>
      </w:r>
    </w:p>
    <w:p w14:paraId="7F2DC4B8">
      <w:pPr>
        <w:pStyle w:val="105"/>
        <w:spacing w:before="120" w:after="120" w:line="360" w:lineRule="auto"/>
      </w:pPr>
      <w:r>
        <w:rPr>
          <w:rFonts w:hint="eastAsia"/>
        </w:rPr>
        <w:t>四级安全状态管控与处置要求</w:t>
      </w:r>
    </w:p>
    <w:p w14:paraId="333BA4D6">
      <w:pPr>
        <w:pStyle w:val="65"/>
        <w:spacing w:before="120" w:after="120" w:line="360" w:lineRule="auto"/>
      </w:pPr>
      <w:r>
        <w:rPr>
          <w:rFonts w:hint="eastAsia"/>
        </w:rPr>
        <w:t>管控目标与措施强度</w:t>
      </w:r>
    </w:p>
    <w:p w14:paraId="60BF37D4">
      <w:pPr>
        <w:pStyle w:val="56"/>
        <w:spacing w:line="360" w:lineRule="auto"/>
        <w:ind w:firstLine="420"/>
      </w:pPr>
      <w:r>
        <w:rPr>
          <w:rFonts w:hint="eastAsia"/>
        </w:rPr>
        <w:t>四级安全状态应按低风险单元管理，应保持常规告诉。重点在于维持资料更新、按周期检验检测与规范运维，防止因管理缺失导致风险上升。</w:t>
      </w:r>
    </w:p>
    <w:p w14:paraId="1048F65E">
      <w:pPr>
        <w:pStyle w:val="65"/>
        <w:spacing w:before="120" w:after="120" w:line="360" w:lineRule="auto"/>
      </w:pPr>
      <w:r>
        <w:rPr>
          <w:rFonts w:hint="eastAsia"/>
        </w:rPr>
        <w:t>管控措施</w:t>
      </w:r>
    </w:p>
    <w:p w14:paraId="489C29CD">
      <w:pPr>
        <w:pStyle w:val="56"/>
        <w:spacing w:line="360" w:lineRule="auto"/>
        <w:ind w:firstLine="420"/>
      </w:pPr>
      <w:r>
        <w:rPr>
          <w:rFonts w:hint="eastAsia"/>
        </w:rPr>
        <w:t>应按规定开展定期检验检测与巡检，保持阴极保护与标识设施完好，及时更新台账与环境受体信息。对靠近高后果区边界或周边建设活动增加的单元，应提前开展现场核验并评估是否需要调整后果等级。</w:t>
      </w:r>
    </w:p>
    <w:p w14:paraId="2E14DAF4">
      <w:pPr>
        <w:pStyle w:val="65"/>
        <w:spacing w:before="120" w:after="120" w:line="360" w:lineRule="auto"/>
      </w:pPr>
      <w:r>
        <w:rPr>
          <w:rFonts w:hint="eastAsia"/>
        </w:rPr>
        <w:t>动态更新要求</w:t>
      </w:r>
    </w:p>
    <w:p w14:paraId="57E9CDAB">
      <w:pPr>
        <w:pStyle w:val="56"/>
        <w:spacing w:line="360" w:lineRule="auto"/>
        <w:ind w:firstLine="420"/>
      </w:pPr>
      <w:r>
        <w:rPr>
          <w:rFonts w:hint="eastAsia"/>
        </w:rPr>
        <w:t>四级单元不应被视为永久低风险。出现第三方施工活跃、占压增加、人口密度显著提升、阴极保护异常、测厚显示加速腐蚀等情形时，应触发复评或至少提升监测与巡检强度。</w:t>
      </w:r>
    </w:p>
    <w:p w14:paraId="47F20C2A">
      <w:pPr>
        <w:pStyle w:val="105"/>
        <w:spacing w:before="120" w:after="120" w:line="360" w:lineRule="auto"/>
      </w:pPr>
      <w:r>
        <w:rPr>
          <w:rFonts w:hint="eastAsia"/>
        </w:rPr>
        <w:t>治理优先级与资源配置建议</w:t>
      </w:r>
    </w:p>
    <w:p w14:paraId="6AC3E0C3">
      <w:pPr>
        <w:pStyle w:val="165"/>
        <w:spacing w:line="360" w:lineRule="auto"/>
      </w:pPr>
      <w:r>
        <w:rPr>
          <w:rFonts w:hint="eastAsia"/>
        </w:rPr>
        <w:t>治理优先级应以综合等级为主，同时考虑高后果区属性、主导机理紧迫性、治理可实施性与系统功能重要性。一级单元应优先治理，二级单元应纳入近期治理计划，三级单元应纳入滚动治理清单，四级单元应纳入常态维护与观察清单。</w:t>
      </w:r>
    </w:p>
    <w:p w14:paraId="4CC13B48">
      <w:pPr>
        <w:pStyle w:val="165"/>
        <w:spacing w:line="360" w:lineRule="auto"/>
      </w:pPr>
      <w:r>
        <w:rPr>
          <w:rFonts w:hint="eastAsia"/>
        </w:rPr>
        <w:t>资源配置应体现系统最优化。避免为消除局部风险而造成系统性供给风险，应统筹旁通能力、替代供给方案与停输窗口，合理安排治理批次与时序。</w:t>
      </w:r>
    </w:p>
    <w:p w14:paraId="66FF49C5">
      <w:pPr>
        <w:pStyle w:val="105"/>
        <w:spacing w:before="120" w:after="120" w:line="360" w:lineRule="auto"/>
      </w:pPr>
      <w:r>
        <w:rPr>
          <w:rFonts w:hint="eastAsia"/>
        </w:rPr>
        <w:t>销项与复查要求</w:t>
      </w:r>
    </w:p>
    <w:p w14:paraId="171A7FF7">
      <w:pPr>
        <w:pStyle w:val="165"/>
        <w:spacing w:line="360" w:lineRule="auto"/>
      </w:pPr>
      <w:r>
        <w:rPr>
          <w:rFonts w:hint="eastAsia"/>
        </w:rPr>
        <w:t>处置措施完成后应组织复查。复查应核验现场状态与资料一致性，确认缺陷已消除或风险已降低到目标等级，并形成复查记录。</w:t>
      </w:r>
    </w:p>
    <w:p w14:paraId="552C0EE7">
      <w:pPr>
        <w:pStyle w:val="165"/>
        <w:spacing w:line="360" w:lineRule="auto"/>
      </w:pPr>
      <w:r>
        <w:rPr>
          <w:rFonts w:hint="eastAsia"/>
        </w:rPr>
        <w:t>销项应满足条件。销项条件应至少包括工程措施完成并验收合格、必要检测复核合格、台账更新完成、风险告知与标识恢复、复评结论满足降级条件。未完成复查不得销项。</w:t>
      </w:r>
    </w:p>
    <w:p w14:paraId="2698C928">
      <w:pPr>
        <w:pStyle w:val="165"/>
        <w:spacing w:line="360" w:lineRule="auto"/>
      </w:pPr>
      <w:r>
        <w:rPr>
          <w:rFonts w:hint="eastAsia"/>
        </w:rPr>
        <w:t>对无法彻底消除的风险应实施长期管控。长期管控应明确监测频次、临时控制措施与触发阈值，并将其纳入年度检查与审计范围。</w:t>
      </w:r>
    </w:p>
    <w:bookmarkEnd w:id="26"/>
    <w:p w14:paraId="0F87E72B">
      <w:pPr>
        <w:pStyle w:val="56"/>
        <w:ind w:firstLine="0" w:firstLineChars="0"/>
        <w:jc w:val="center"/>
      </w:pPr>
      <w:bookmarkStart w:id="59" w:name="BookMark8"/>
      <w:r>
        <w:drawing>
          <wp:inline distT="0" distB="0" distL="0" distR="0">
            <wp:extent cx="1485900" cy="317500"/>
            <wp:effectExtent l="0" t="0" r="0" b="6350"/>
            <wp:docPr id="1513139881" name="图片 3"/>
            <wp:cNvGraphicFramePr/>
            <a:graphic xmlns:a="http://schemas.openxmlformats.org/drawingml/2006/main">
              <a:graphicData uri="http://schemas.openxmlformats.org/drawingml/2006/picture">
                <pic:pic xmlns:pic="http://schemas.openxmlformats.org/drawingml/2006/picture">
                  <pic:nvPicPr>
                    <pic:cNvPr id="1513139881" name="图片 3"/>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bookmarkStart w:id="60" w:name="_GoBack"/>
      <w:bookmarkEnd w:id="60"/>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5B6C8">
    <w:pPr>
      <w:pStyle w:val="51"/>
    </w:pPr>
    <w:r>
      <w:fldChar w:fldCharType="begin"/>
    </w:r>
    <w:r>
      <w:instrText xml:space="preserve"> PAGE   \* MERGEFORMAT \* MERGEFORMAT </w:instrText>
    </w:r>
    <w:r>
      <w:fldChar w:fldCharType="separate"/>
    </w:r>
    <w: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DB9F">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EB00">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9BB3">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75B3C">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257A">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8F1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34728">
    <w:pPr>
      <w:pStyle w:val="61"/>
    </w:pPr>
    <w:r>
      <w:fldChar w:fldCharType="begin"/>
    </w:r>
    <w:r>
      <w:instrText xml:space="preserve"> STYLEREF  标准文件_文件编号  \* MERGEFORMAT </w:instrText>
    </w:r>
    <w:r>
      <w:fldChar w:fldCharType="separate"/>
    </w:r>
    <w:r>
      <w:t>T/XJBX 0177—2026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A911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0177—2026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0177—2026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0177—2026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7A3AF">
    <w:pPr>
      <w:pStyle w:val="61"/>
    </w:pPr>
    <w:r>
      <w:fldChar w:fldCharType="begin"/>
    </w:r>
    <w:r>
      <w:instrText xml:space="preserve"> STYLEREF  标准文件_文件编号  \* MERGEFORMAT </w:instrText>
    </w:r>
    <w:r>
      <w:fldChar w:fldCharType="separate"/>
    </w:r>
    <w:r>
      <w:t>T/XJBX 0177—2026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6BB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0177—2026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CB700">
    <w:pPr>
      <w:pStyle w:val="61"/>
    </w:pPr>
    <w:r>
      <w:fldChar w:fldCharType="begin"/>
    </w:r>
    <w:r>
      <w:instrText xml:space="preserve"> STYLEREF  标准文件_文件编号  \* MERGEFORMAT </w:instrText>
    </w:r>
    <w:r>
      <w:fldChar w:fldCharType="separate"/>
    </w:r>
    <w:r>
      <w:t>T/XJBX 0177—2026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A769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0177—2026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4340"/>
        </w:tabs>
        <w:ind w:left="4340" w:hanging="648"/>
      </w:pPr>
    </w:lvl>
    <w:lvl w:ilvl="1" w:tentative="0">
      <w:start w:val="1"/>
      <w:numFmt w:val="lowerLetter"/>
      <w:lvlText w:val="%2)"/>
      <w:lvlJc w:val="left"/>
      <w:pPr>
        <w:tabs>
          <w:tab w:val="left" w:pos="4532"/>
        </w:tabs>
        <w:ind w:left="4532" w:hanging="420"/>
      </w:pPr>
    </w:lvl>
    <w:lvl w:ilvl="2" w:tentative="0">
      <w:start w:val="1"/>
      <w:numFmt w:val="lowerRoman"/>
      <w:lvlText w:val="%3."/>
      <w:lvlJc w:val="right"/>
      <w:pPr>
        <w:tabs>
          <w:tab w:val="left" w:pos="4952"/>
        </w:tabs>
        <w:ind w:left="4952" w:hanging="420"/>
      </w:pPr>
    </w:lvl>
    <w:lvl w:ilvl="3" w:tentative="0">
      <w:start w:val="1"/>
      <w:numFmt w:val="decimal"/>
      <w:lvlText w:val="%4."/>
      <w:lvlJc w:val="left"/>
      <w:pPr>
        <w:tabs>
          <w:tab w:val="left" w:pos="5372"/>
        </w:tabs>
        <w:ind w:left="5372" w:hanging="420"/>
      </w:pPr>
    </w:lvl>
    <w:lvl w:ilvl="4" w:tentative="0">
      <w:start w:val="1"/>
      <w:numFmt w:val="lowerLetter"/>
      <w:lvlText w:val="%5)"/>
      <w:lvlJc w:val="left"/>
      <w:pPr>
        <w:tabs>
          <w:tab w:val="left" w:pos="5792"/>
        </w:tabs>
        <w:ind w:left="5792" w:hanging="420"/>
      </w:pPr>
    </w:lvl>
    <w:lvl w:ilvl="5" w:tentative="0">
      <w:start w:val="1"/>
      <w:numFmt w:val="lowerRoman"/>
      <w:lvlText w:val="%6."/>
      <w:lvlJc w:val="right"/>
      <w:pPr>
        <w:tabs>
          <w:tab w:val="left" w:pos="6212"/>
        </w:tabs>
        <w:ind w:left="6212" w:hanging="420"/>
      </w:pPr>
    </w:lvl>
    <w:lvl w:ilvl="6" w:tentative="0">
      <w:start w:val="1"/>
      <w:numFmt w:val="decimal"/>
      <w:lvlText w:val="%7."/>
      <w:lvlJc w:val="left"/>
      <w:pPr>
        <w:tabs>
          <w:tab w:val="left" w:pos="6632"/>
        </w:tabs>
        <w:ind w:left="6632" w:hanging="420"/>
      </w:pPr>
    </w:lvl>
    <w:lvl w:ilvl="7" w:tentative="0">
      <w:start w:val="1"/>
      <w:numFmt w:val="lowerLetter"/>
      <w:lvlText w:val="%8)"/>
      <w:lvlJc w:val="left"/>
      <w:pPr>
        <w:tabs>
          <w:tab w:val="left" w:pos="7052"/>
        </w:tabs>
        <w:ind w:left="7052" w:hanging="420"/>
      </w:pPr>
    </w:lvl>
    <w:lvl w:ilvl="8" w:tentative="0">
      <w:start w:val="1"/>
      <w:numFmt w:val="lowerRoman"/>
      <w:lvlText w:val="%9."/>
      <w:lvlJc w:val="right"/>
      <w:pPr>
        <w:tabs>
          <w:tab w:val="left" w:pos="7472"/>
        </w:tabs>
        <w:ind w:left="7472"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E8A"/>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8BA"/>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3601"/>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04E"/>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48E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77"/>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1AF3"/>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2283"/>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53D8"/>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1B26"/>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C33"/>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11F0"/>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0BB"/>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918"/>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777EF"/>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4A7"/>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69A"/>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911"/>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0D8B"/>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16CE"/>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0873677"/>
    <w:rsid w:val="39F7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1063D21">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BA451A5">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3C08C7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0838BA"/>
    <w:rsid w:val="00224A1E"/>
    <w:rsid w:val="00232C79"/>
    <w:rsid w:val="005E6634"/>
    <w:rsid w:val="007146E1"/>
    <w:rsid w:val="007500E1"/>
    <w:rsid w:val="00AC6576"/>
    <w:rsid w:val="00AE1DC6"/>
    <w:rsid w:val="00C539C8"/>
    <w:rsid w:val="00DF54A7"/>
    <w:rsid w:val="00E51851"/>
    <w:rsid w:val="00EE21C6"/>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28</Pages>
  <Words>5167</Words>
  <Characters>5466</Characters>
  <Lines>146</Lines>
  <Paragraphs>41</Paragraphs>
  <TotalTime>84</TotalTime>
  <ScaleCrop>false</ScaleCrop>
  <LinksUpToDate>false</LinksUpToDate>
  <CharactersWithSpaces>5568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2026-01-15T02:18:58Z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602D65692D5F429D9A4E706809E0E476_12</vt:lpwstr>
  </property>
</Properties>
</file>