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21.02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21.020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J 10"/>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J 10</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75"/>
            </w:textInput>
          </w:ffData>
        </w:fldChar>
      </w:r>
      <w:bookmarkStart w:id="6" w:name="NSTD_CODE_F"/>
      <w:r>
        <w:instrText xml:space="preserve"> FORMTEXT </w:instrText>
      </w:r>
      <w:r>
        <w:fldChar w:fldCharType="separate"/>
      </w:r>
      <w:r>
        <w:t>0175</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fldChar w:fldCharType="begin">
          <w:ffData>
            <w:name w:val="CSTD_NAME"/>
            <w:enabled/>
            <w:calcOnExit w:val="0"/>
            <w:textInput>
              <w:default w:val="承压类特种设备有机热载体检测方法要点"/>
            </w:textInput>
          </w:ffData>
        </w:fldChar>
      </w:r>
      <w:bookmarkStart w:id="9" w:name="CSTD_NAME"/>
      <w:r>
        <w:instrText xml:space="preserve"> FORMTEXT </w:instrText>
      </w:r>
      <w:r>
        <w:fldChar w:fldCharType="separate"/>
      </w:r>
      <w:r>
        <w:t>承压类特种设备有机热载体检测方法要点</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testing method points of organic heat transfer fluids for pressure-bearing special equipment"/>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testing method points of organic heat transfer fluids for pressure-bearing special equipment</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12D4E00D">
      <w:pPr>
        <w:pStyle w:val="91"/>
        <w:spacing w:after="360"/>
      </w:pPr>
      <w:bookmarkStart w:id="21" w:name="BookMark1"/>
      <w:r>
        <w:rPr>
          <w:rFonts w:hint="eastAsia"/>
          <w:spacing w:val="320"/>
        </w:rPr>
        <w:t>目</w:t>
      </w:r>
      <w:r>
        <w:rPr>
          <w:rFonts w:hint="eastAsia"/>
        </w:rPr>
        <w:t>次</w:t>
      </w:r>
    </w:p>
    <w:p w14:paraId="4794DA9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"_Toc218978367"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_Toc218978367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49252D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"_Toc218978368"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_Toc218978368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6C81756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"_Toc218978369"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_Toc218978369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D819BB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"_Toc218978370"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_Toc218978370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040081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"_Toc218978371"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_Toc218978371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383F65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"_Toc218978372"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_Toc218978372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88E04C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"_Toc218978373" </w:instrText>
      </w:r>
      <w:r>
        <w:fldChar w:fldCharType="separate"/>
      </w:r>
      <w:r>
        <w:rPr>
          <w:rStyle w:val="32"/>
          <w:rFonts w:hint="eastAsia"/>
        </w:rPr>
        <w:t>5</w:t>
      </w:r>
      <w:r>
        <w:rPr>
          <w:rStyle w:val="32"/>
        </w:rPr>
        <w:t xml:space="preserve"> </w:t>
      </w:r>
      <w:r>
        <w:rPr>
          <w:rStyle w:val="32"/>
          <w:rFonts w:hint="eastAsia"/>
        </w:rPr>
        <w:t xml:space="preserve"> 检测项目与方法要点</w:t>
      </w:r>
      <w:r>
        <w:rPr>
          <w:rFonts w:hint="eastAsia"/>
        </w:rPr>
        <w:tab/>
      </w:r>
      <w:r>
        <w:rPr>
          <w:rFonts w:hint="eastAsia"/>
        </w:rPr>
        <w:fldChar w:fldCharType="begin"/>
      </w:r>
      <w:r>
        <w:rPr>
          <w:rFonts w:hint="eastAsia"/>
        </w:rPr>
        <w:instrText xml:space="preserve"> </w:instrText>
      </w:r>
      <w:r>
        <w:instrText xml:space="preserve">PAGEREF _Toc218978373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B592CD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"_Toc218978374" </w:instrText>
      </w:r>
      <w:r>
        <w:fldChar w:fldCharType="separate"/>
      </w:r>
      <w:r>
        <w:rPr>
          <w:rStyle w:val="32"/>
          <w:rFonts w:hint="eastAsia"/>
        </w:rPr>
        <w:t>6</w:t>
      </w:r>
      <w:r>
        <w:rPr>
          <w:rStyle w:val="32"/>
        </w:rPr>
        <w:t xml:space="preserve"> </w:t>
      </w:r>
      <w:r>
        <w:rPr>
          <w:rStyle w:val="32"/>
          <w:rFonts w:hint="eastAsia"/>
        </w:rPr>
        <w:t xml:space="preserve"> 数据评价与分级处置建议</w:t>
      </w:r>
      <w:r>
        <w:rPr>
          <w:rFonts w:hint="eastAsia"/>
        </w:rPr>
        <w:tab/>
      </w:r>
      <w:r>
        <w:rPr>
          <w:rFonts w:hint="eastAsia"/>
        </w:rPr>
        <w:fldChar w:fldCharType="begin"/>
      </w:r>
      <w:r>
        <w:rPr>
          <w:rFonts w:hint="eastAsia"/>
        </w:rPr>
        <w:instrText xml:space="preserve"> </w:instrText>
      </w:r>
      <w:r>
        <w:instrText xml:space="preserve">PAGEREF _Toc218978374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471A0DF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"_Toc218978375" </w:instrText>
      </w:r>
      <w:r>
        <w:fldChar w:fldCharType="separate"/>
      </w:r>
      <w:r>
        <w:rPr>
          <w:rStyle w:val="32"/>
          <w:rFonts w:hint="eastAsia"/>
        </w:rPr>
        <w:t>7</w:t>
      </w:r>
      <w:r>
        <w:rPr>
          <w:rStyle w:val="32"/>
        </w:rPr>
        <w:t xml:space="preserve"> </w:t>
      </w:r>
      <w:r>
        <w:rPr>
          <w:rStyle w:val="32"/>
          <w:rFonts w:hint="eastAsia"/>
        </w:rPr>
        <w:t xml:space="preserve"> 检测报告与资料归档要点</w:t>
      </w:r>
      <w:r>
        <w:rPr>
          <w:rFonts w:hint="eastAsia"/>
        </w:rPr>
        <w:tab/>
      </w:r>
      <w:r>
        <w:rPr>
          <w:rFonts w:hint="eastAsia"/>
        </w:rPr>
        <w:fldChar w:fldCharType="begin"/>
      </w:r>
      <w:r>
        <w:rPr>
          <w:rFonts w:hint="eastAsia"/>
        </w:rPr>
        <w:instrText xml:space="preserve"> </w:instrText>
      </w:r>
      <w:r>
        <w:instrText xml:space="preserve">PAGEREF _Toc218978375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4D95CE9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"_Toc218978376" </w:instrText>
      </w:r>
      <w:r>
        <w:fldChar w:fldCharType="separate"/>
      </w:r>
      <w:r>
        <w:rPr>
          <w:rStyle w:val="32"/>
          <w:rFonts w:hint="eastAsia"/>
        </w:rPr>
        <w:t>8</w:t>
      </w:r>
      <w:r>
        <w:rPr>
          <w:rStyle w:val="32"/>
        </w:rPr>
        <w:t xml:space="preserve"> </w:t>
      </w:r>
      <w:r>
        <w:rPr>
          <w:rStyle w:val="32"/>
          <w:rFonts w:hint="eastAsia"/>
        </w:rPr>
        <w:t xml:space="preserve"> 附则</w:t>
      </w:r>
      <w:r>
        <w:rPr>
          <w:rFonts w:hint="eastAsia"/>
        </w:rPr>
        <w:tab/>
      </w:r>
      <w:r>
        <w:rPr>
          <w:rFonts w:hint="eastAsia"/>
        </w:rPr>
        <w:fldChar w:fldCharType="begin"/>
      </w:r>
      <w:r>
        <w:rPr>
          <w:rFonts w:hint="eastAsia"/>
        </w:rPr>
        <w:instrText xml:space="preserve"> </w:instrText>
      </w:r>
      <w:r>
        <w:instrText xml:space="preserve">PAGEREF _Toc218978376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7E345BF9">
      <w:pPr>
        <w:pStyle w:val="91"/>
        <w:spacing w:after="360"/>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18978367"/>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38359278">
      <w:pPr>
        <w:pStyle w:val="56"/>
        <w:spacing w:line="360" w:lineRule="auto"/>
        <w:ind w:firstLine="420"/>
      </w:pPr>
      <w:r>
        <w:rPr>
          <w:rFonts w:hint="eastAsia"/>
        </w:rPr>
        <w:t>本文件起草单位：内蒙古自治区特种设备检验研究院通辽分院。</w:t>
      </w:r>
    </w:p>
    <w:p w14:paraId="55F4A5D1">
      <w:pPr>
        <w:pStyle w:val="56"/>
        <w:spacing w:line="360" w:lineRule="auto"/>
        <w:ind w:firstLine="420"/>
      </w:pPr>
      <w:r>
        <w:rPr>
          <w:rFonts w:hint="eastAsia"/>
        </w:rPr>
        <w:t>本文件主要起草人：史记。</w:t>
      </w:r>
    </w:p>
    <w:p w14:paraId="1B3EB912">
      <w:pPr>
        <w:pStyle w:val="56"/>
        <w:ind w:firstLine="420"/>
      </w:pPr>
    </w:p>
    <w:p w14:paraId="784B3C9B">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18978368"/>
      <w:bookmarkStart w:id="25" w:name="BookMark3"/>
      <w:r>
        <w:rPr>
          <w:spacing w:val="320"/>
        </w:rPr>
        <w:t>引</w:t>
      </w:r>
      <w:r>
        <w:t>言</w:t>
      </w:r>
      <w:bookmarkEnd w:id="24"/>
    </w:p>
    <w:p w14:paraId="52F3E260">
      <w:pPr>
        <w:pStyle w:val="56"/>
        <w:spacing w:line="360" w:lineRule="auto"/>
        <w:ind w:firstLine="420"/>
      </w:pPr>
      <w:r>
        <w:rPr>
          <w:rFonts w:hint="eastAsia"/>
        </w:rPr>
        <w:t>有机热载体广泛应用于承压类特种设备及其配套系统中，例如有机热载体炉、换热器、管道与用热装置等。作为传热介质，有机热载体在高温工况下长期循环运行，易发生热裂化、氧化聚合、污染混入与挥发组分变化，导致黏度升高、闪点降低、酸值上升、结焦倾向加重以及不溶物增加等劣化现象。上述变化不仅会降低传热效率、加剧设备结焦与堵塞，还可能引发局部过热、超温联锁频繁动作、泵汽蚀以及火灾爆燃等安全风险，对承压系统本体安全、运行稳定性与能效水平产生直接影响。</w:t>
      </w:r>
    </w:p>
    <w:p w14:paraId="4AB90E42">
      <w:pPr>
        <w:pStyle w:val="56"/>
        <w:spacing w:line="360" w:lineRule="auto"/>
        <w:ind w:firstLine="420"/>
      </w:pPr>
      <w:r>
        <w:rPr>
          <w:rFonts w:hint="eastAsia"/>
        </w:rPr>
        <w:t>在工程实践中，有机热载体的检验检测往往存在取样不规范、检测项目选择不一致、方法适用条件未明确、结果判读口径不统一以及缺少趋势评估与处置建议等问题，导致检测结果难以有效支撑设备安全管理决策。为提升检测工作的可操作性与一致性，本文件提出承压类特种设备有机热载体检测方法要点，覆盖样品采集与保存、检测项目体系与方法选择、关键指标测定要点、数据质量控制、结果判读与分级处置建议、检测报告编制与资料归档等内容，旨在为监督检验、定期检验、运行管理与故障诊断提供可复核、可追溯的技术依据。</w:t>
      </w:r>
    </w:p>
    <w:p w14:paraId="2E9EEF29">
      <w:pPr>
        <w:pStyle w:val="56"/>
        <w:spacing w:line="360" w:lineRule="auto"/>
        <w:ind w:firstLine="420"/>
      </w:pPr>
      <w:r>
        <w:rPr>
          <w:rFonts w:hint="eastAsia"/>
        </w:rPr>
        <w:t>本文件适用于承压类特种设备及其系统用有机热载体的在用检测与状态评估，可用于热载体质量验收、运行期例行监测、异常工况诊断以及更换与再生决策。</w:t>
      </w:r>
    </w:p>
    <w:p w14:paraId="555F1C2A">
      <w:pPr>
        <w:pStyle w:val="56"/>
        <w:ind w:firstLine="420"/>
      </w:pPr>
    </w:p>
    <w:p w14:paraId="3AC90217">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承压类特种设备有机热载体检测方法要点</w:t>
          </w:r>
        </w:p>
      </w:sdtContent>
    </w:sdt>
    <w:bookmarkEnd w:id="27"/>
    <w:p w14:paraId="3DB22445">
      <w:pPr>
        <w:pStyle w:val="104"/>
        <w:spacing w:before="240" w:after="240" w:line="360" w:lineRule="auto"/>
      </w:pPr>
      <w:bookmarkStart w:id="28" w:name="_Toc26648465"/>
      <w:bookmarkStart w:id="29" w:name="_Toc24884218"/>
      <w:bookmarkStart w:id="30" w:name="_Toc17233325"/>
      <w:bookmarkStart w:id="31" w:name="_Toc24884211"/>
      <w:bookmarkStart w:id="32" w:name="_Toc17233333"/>
      <w:bookmarkStart w:id="33" w:name="_Toc26718930"/>
      <w:bookmarkStart w:id="34" w:name="_Toc97192964"/>
      <w:bookmarkStart w:id="35" w:name="_Toc26986530"/>
      <w:bookmarkStart w:id="36" w:name="_Toc26986771"/>
      <w:bookmarkStart w:id="37" w:name="_Toc218978369"/>
      <w:r>
        <w:rPr>
          <w:rFonts w:hint="eastAsia"/>
        </w:rPr>
        <w:t>范围</w:t>
      </w:r>
      <w:bookmarkEnd w:id="28"/>
      <w:bookmarkEnd w:id="29"/>
      <w:bookmarkEnd w:id="30"/>
      <w:bookmarkEnd w:id="31"/>
      <w:bookmarkEnd w:id="32"/>
      <w:bookmarkEnd w:id="33"/>
      <w:bookmarkEnd w:id="34"/>
      <w:bookmarkEnd w:id="35"/>
      <w:bookmarkEnd w:id="36"/>
      <w:bookmarkEnd w:id="37"/>
    </w:p>
    <w:p w14:paraId="0FDAB117">
      <w:pPr>
        <w:pStyle w:val="56"/>
        <w:spacing w:line="360" w:lineRule="auto"/>
        <w:ind w:firstLine="420"/>
      </w:pPr>
      <w:bookmarkStart w:id="38" w:name="_Toc17233334"/>
      <w:bookmarkStart w:id="39" w:name="_Toc24884212"/>
      <w:bookmarkStart w:id="40" w:name="_Toc17233326"/>
      <w:bookmarkStart w:id="41" w:name="_Toc24884219"/>
      <w:bookmarkStart w:id="42" w:name="_Toc26648466"/>
      <w:r>
        <w:rPr>
          <w:rFonts w:hint="eastAsia"/>
        </w:rPr>
        <w:t>本文件规定了承压类特种设备用有机热载体的检测方法要点，包括总体要求、检测项目与方法要点、数据评价与分级处置建议、检测报告与资料归档要点等内容。</w:t>
      </w:r>
    </w:p>
    <w:p w14:paraId="76265264">
      <w:pPr>
        <w:pStyle w:val="56"/>
        <w:spacing w:line="360" w:lineRule="auto"/>
        <w:ind w:firstLine="420"/>
      </w:pPr>
      <w:r>
        <w:rPr>
          <w:rFonts w:hint="eastAsia"/>
        </w:rPr>
        <w:t>本文件适用于有机热载体炉及其系统中在用有机热载体的监督检验、定期检验、运行期状态监测与故障诊断。新油验收检测、再生油评价与混油风险识别可参照本文件执行。对不属于承压类特种设备管理范围但采用有机热载体的工业系统，可参照执行。</w:t>
      </w:r>
    </w:p>
    <w:p w14:paraId="3733B2AD">
      <w:pPr>
        <w:pStyle w:val="104"/>
        <w:spacing w:before="240" w:after="240" w:line="360" w:lineRule="auto"/>
      </w:pPr>
      <w:bookmarkStart w:id="43" w:name="_Toc26718931"/>
      <w:bookmarkStart w:id="44" w:name="_Toc26986531"/>
      <w:bookmarkStart w:id="45" w:name="_Toc26986772"/>
      <w:bookmarkStart w:id="46" w:name="_Toc97192965"/>
      <w:bookmarkStart w:id="47" w:name="_Toc218978370"/>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B8FE743">
      <w:pPr>
        <w:pStyle w:val="56"/>
        <w:spacing w:line="360" w:lineRule="auto"/>
        <w:ind w:firstLine="420"/>
      </w:pPr>
      <w:r>
        <w:t>GB 30871</w:t>
      </w:r>
      <w:r>
        <w:rPr>
          <w:rFonts w:hint="eastAsia"/>
        </w:rPr>
        <w:t>—</w:t>
      </w:r>
      <w:r>
        <w:t>2022</w:t>
      </w:r>
      <w:r>
        <w:rPr>
          <w:rFonts w:hint="eastAsia"/>
        </w:rPr>
        <w:t xml:space="preserve"> 危险化学品企业特殊作业安全规范</w:t>
      </w:r>
    </w:p>
    <w:p w14:paraId="650EC85D">
      <w:pPr>
        <w:pStyle w:val="56"/>
        <w:spacing w:line="360" w:lineRule="auto"/>
        <w:ind w:firstLine="420"/>
      </w:pPr>
      <w:r>
        <w:rPr>
          <w:rFonts w:hint="eastAsia"/>
        </w:rPr>
        <w:t>GB 50016 建筑设计防火规范</w:t>
      </w:r>
    </w:p>
    <w:p w14:paraId="78B735B1">
      <w:pPr>
        <w:pStyle w:val="56"/>
        <w:spacing w:line="360" w:lineRule="auto"/>
        <w:ind w:firstLine="420"/>
      </w:pPr>
      <w:r>
        <w:rPr>
          <w:rFonts w:hint="eastAsia"/>
        </w:rPr>
        <w:t>GB/T 1.1 标准化工作导则  第1部分：标准化文件的结构和起草规则</w:t>
      </w:r>
    </w:p>
    <w:p w14:paraId="3A3C6434">
      <w:pPr>
        <w:pStyle w:val="56"/>
        <w:spacing w:line="360" w:lineRule="auto"/>
        <w:ind w:firstLine="420"/>
      </w:pPr>
      <w:r>
        <w:rPr>
          <w:rFonts w:hint="eastAsia"/>
        </w:rPr>
        <w:t>GB/T 511—2010 石油和石油产品及添加剂机械杂质测定法</w:t>
      </w:r>
    </w:p>
    <w:p w14:paraId="1D5C053D">
      <w:pPr>
        <w:pStyle w:val="56"/>
        <w:spacing w:line="360" w:lineRule="auto"/>
        <w:ind w:firstLine="420"/>
      </w:pPr>
      <w:r>
        <w:rPr>
          <w:rFonts w:hint="eastAsia"/>
        </w:rPr>
        <w:t>GB/T 3536 石油产品闪点和燃点的测定 克利夫兰开口杯法</w:t>
      </w:r>
    </w:p>
    <w:p w14:paraId="44866D43">
      <w:pPr>
        <w:pStyle w:val="56"/>
        <w:spacing w:line="360" w:lineRule="auto"/>
        <w:ind w:firstLine="420"/>
      </w:pPr>
      <w:r>
        <w:t>GB/T 4945-2002</w:t>
      </w:r>
      <w:r>
        <w:rPr>
          <w:rFonts w:hint="eastAsia"/>
        </w:rPr>
        <w:t xml:space="preserve"> 石油产品和润滑剂酸值和碱值测定法</w:t>
      </w:r>
    </w:p>
    <w:p w14:paraId="65DE6851">
      <w:pPr>
        <w:pStyle w:val="56"/>
        <w:spacing w:line="360" w:lineRule="auto"/>
        <w:ind w:firstLine="420"/>
      </w:pPr>
      <w:r>
        <w:t>GB/T 6536-2010</w:t>
      </w:r>
      <w:r>
        <w:rPr>
          <w:rFonts w:hint="eastAsia"/>
        </w:rPr>
        <w:t xml:space="preserve"> 石油产品常压蒸馏特性测定法</w:t>
      </w:r>
    </w:p>
    <w:p w14:paraId="192C7998">
      <w:pPr>
        <w:pStyle w:val="56"/>
        <w:spacing w:line="360" w:lineRule="auto"/>
        <w:ind w:firstLine="420"/>
      </w:pPr>
      <w:r>
        <w:rPr>
          <w:rFonts w:hint="eastAsia"/>
        </w:rPr>
        <w:t>GB/T 11133 石油产品、润滑油和添加剂中水含量的测定  卡尔费休库仑滴定法</w:t>
      </w:r>
    </w:p>
    <w:p w14:paraId="4C62D6EC">
      <w:pPr>
        <w:pStyle w:val="56"/>
        <w:spacing w:line="360" w:lineRule="auto"/>
        <w:ind w:firstLine="420"/>
      </w:pPr>
      <w:r>
        <w:rPr>
          <w:rFonts w:hint="eastAsia"/>
        </w:rPr>
        <w:t>GB/T 30515—2014 透明和不透明液体石油产品运动黏度测定法及动力黏度计算法</w:t>
      </w:r>
    </w:p>
    <w:p w14:paraId="27178AE6">
      <w:pPr>
        <w:pStyle w:val="56"/>
        <w:spacing w:line="360" w:lineRule="auto"/>
        <w:ind w:firstLine="420"/>
      </w:pPr>
      <w:r>
        <w:rPr>
          <w:rFonts w:hint="eastAsia"/>
        </w:rPr>
        <w:t>AQ 3026-2008 化学品生产单位设备检修作业安全规范</w:t>
      </w:r>
    </w:p>
    <w:p w14:paraId="51F02A4E">
      <w:pPr>
        <w:pStyle w:val="104"/>
        <w:spacing w:before="240" w:after="240" w:line="360" w:lineRule="auto"/>
      </w:pPr>
      <w:bookmarkStart w:id="48" w:name="_Toc97192966"/>
      <w:bookmarkStart w:id="49" w:name="_Toc218978371"/>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4744354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有机热载体 organic heat transfer fluid</w:t>
      </w:r>
    </w:p>
    <w:p w14:paraId="29C6573E">
      <w:pPr>
        <w:pStyle w:val="56"/>
        <w:spacing w:line="360" w:lineRule="auto"/>
        <w:ind w:firstLine="420"/>
      </w:pPr>
      <w:r>
        <w:rPr>
          <w:rFonts w:hint="eastAsia"/>
        </w:rPr>
        <w:t>在闭式循环系统中用于传递热量的有机液体介质，可为矿物型或合成型，通常在中高温条件下循环运行。</w:t>
      </w:r>
    </w:p>
    <w:p w14:paraId="2B5081A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在用检测 in service testing</w:t>
      </w:r>
    </w:p>
    <w:p w14:paraId="5E1A33F9">
      <w:pPr>
        <w:pStyle w:val="56"/>
        <w:spacing w:line="360" w:lineRule="auto"/>
        <w:ind w:firstLine="420"/>
      </w:pPr>
      <w:r>
        <w:rPr>
          <w:rFonts w:hint="eastAsia"/>
        </w:rPr>
        <w:t>在设备运行期间或停机维护期间，对系统内有机热载体进行取样检测并评估其状态与安全风险的活动。</w:t>
      </w:r>
    </w:p>
    <w:p w14:paraId="1A3C10E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劣化 degradation</w:t>
      </w:r>
    </w:p>
    <w:p w14:paraId="3AD40816">
      <w:pPr>
        <w:pStyle w:val="56"/>
        <w:spacing w:line="360" w:lineRule="auto"/>
        <w:ind w:firstLine="420"/>
      </w:pPr>
      <w:r>
        <w:rPr>
          <w:rFonts w:hint="eastAsia"/>
        </w:rPr>
        <w:t>有机热载体在热应力、氧化、污染与催化作用下发生组成与性能变化的过程，表现为黏度、酸值、闪点、不溶物与残炭等指标异常。</w:t>
      </w:r>
    </w:p>
    <w:p w14:paraId="2D3E543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低沸物 low boiling components</w:t>
      </w:r>
    </w:p>
    <w:p w14:paraId="05E50D55">
      <w:pPr>
        <w:pStyle w:val="56"/>
        <w:spacing w:line="360" w:lineRule="auto"/>
        <w:ind w:firstLine="420"/>
      </w:pPr>
      <w:r>
        <w:rPr>
          <w:rFonts w:hint="eastAsia"/>
        </w:rPr>
        <w:t>因热裂化或混入轻质组分形成的低沸点馏分，可能导致闪点下降与蒸汽锁风险增加。</w:t>
      </w:r>
    </w:p>
    <w:p w14:paraId="2E5E97A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高沸物 high boiling components</w:t>
      </w:r>
    </w:p>
    <w:p w14:paraId="2A4B4401">
      <w:pPr>
        <w:pStyle w:val="56"/>
        <w:spacing w:line="360" w:lineRule="auto"/>
        <w:ind w:firstLine="420"/>
      </w:pPr>
      <w:r>
        <w:rPr>
          <w:rFonts w:hint="eastAsia"/>
        </w:rPr>
        <w:t>因氧化聚合或污染引起的高沸点馏分，通常与黏度升高、结焦倾向加重相关。</w:t>
      </w:r>
    </w:p>
    <w:p w14:paraId="71E4306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不溶物 insolubles</w:t>
      </w:r>
    </w:p>
    <w:p w14:paraId="5EC3C471">
      <w:pPr>
        <w:pStyle w:val="56"/>
        <w:spacing w:line="360" w:lineRule="auto"/>
        <w:ind w:firstLine="420"/>
      </w:pPr>
      <w:r>
        <w:rPr>
          <w:rFonts w:hint="eastAsia"/>
        </w:rPr>
        <w:t>在规定溶剂或条件下不能溶解的颗粒或聚合物，反映污染程度与劣化产物积累水平。</w:t>
      </w:r>
    </w:p>
    <w:p w14:paraId="25FD486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结焦倾向 coking tendency</w:t>
      </w:r>
    </w:p>
    <w:p w14:paraId="0D4FFA89">
      <w:pPr>
        <w:pStyle w:val="56"/>
        <w:spacing w:line="360" w:lineRule="auto"/>
        <w:ind w:firstLine="420"/>
      </w:pPr>
      <w:r>
        <w:rPr>
          <w:rFonts w:hint="eastAsia"/>
        </w:rPr>
        <w:t>有机热载体在高温表面形成沉积物或焦炭的趋势，可能导致传热恶化与局部过热。</w:t>
      </w:r>
    </w:p>
    <w:p w14:paraId="4D51FE9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分级处置 graded response</w:t>
      </w:r>
    </w:p>
    <w:p w14:paraId="11ED0D72">
      <w:pPr>
        <w:pStyle w:val="56"/>
        <w:spacing w:line="360" w:lineRule="auto"/>
        <w:ind w:firstLine="420"/>
      </w:pPr>
      <w:r>
        <w:rPr>
          <w:rFonts w:hint="eastAsia"/>
        </w:rPr>
        <w:t>依据检测结果与风险水平，对继续使用、净化过滤、补充更新、在线再生或全部更换等处置措施进行分级建议的管理方式。</w:t>
      </w:r>
    </w:p>
    <w:p w14:paraId="551C8F6B">
      <w:pPr>
        <w:pStyle w:val="104"/>
        <w:spacing w:before="240" w:after="240" w:line="360" w:lineRule="auto"/>
      </w:pPr>
      <w:bookmarkStart w:id="51" w:name="_Toc218978372"/>
      <w:r>
        <w:rPr>
          <w:rFonts w:hint="eastAsia"/>
        </w:rPr>
        <w:t>总体要求</w:t>
      </w:r>
      <w:bookmarkEnd w:id="51"/>
    </w:p>
    <w:p w14:paraId="6C8121F3">
      <w:pPr>
        <w:pStyle w:val="105"/>
        <w:spacing w:before="120" w:after="120" w:line="360" w:lineRule="auto"/>
      </w:pPr>
      <w:r>
        <w:rPr>
          <w:rFonts w:hint="eastAsia"/>
        </w:rPr>
        <w:t>工作目标</w:t>
      </w:r>
    </w:p>
    <w:p w14:paraId="75F0BE0D">
      <w:pPr>
        <w:pStyle w:val="165"/>
        <w:spacing w:line="360" w:lineRule="auto"/>
      </w:pPr>
      <w:r>
        <w:rPr>
          <w:rFonts w:hint="eastAsia"/>
        </w:rPr>
        <w:t>有机热载体检测应以保障承压系统安全运行为目标，重点识别热裂化、氧化聚合、污染混入与泄漏引入等导致的介质劣化风险，并为运行调整、净化再生、补充更新或更换决策提供依据。</w:t>
      </w:r>
    </w:p>
    <w:p w14:paraId="3DC1A5D8">
      <w:pPr>
        <w:pStyle w:val="165"/>
        <w:spacing w:line="360" w:lineRule="auto"/>
      </w:pPr>
      <w:r>
        <w:rPr>
          <w:rFonts w:hint="eastAsia"/>
        </w:rPr>
        <w:t>检测工作应实现可比性与可追溯性，确保不同批次、不同时间点及不同检测机构的结果具有一致口径，能够支撑趋势分析与风险分级处置。</w:t>
      </w:r>
    </w:p>
    <w:p w14:paraId="40FC1E80">
      <w:pPr>
        <w:pStyle w:val="105"/>
        <w:spacing w:before="120" w:after="120" w:line="360" w:lineRule="auto"/>
      </w:pPr>
      <w:r>
        <w:rPr>
          <w:rFonts w:hint="eastAsia"/>
        </w:rPr>
        <w:t>职责分工</w:t>
      </w:r>
    </w:p>
    <w:p w14:paraId="3EECC976">
      <w:pPr>
        <w:pStyle w:val="165"/>
        <w:spacing w:line="360" w:lineRule="auto"/>
      </w:pPr>
      <w:r>
        <w:rPr>
          <w:rFonts w:hint="eastAsia"/>
        </w:rPr>
        <w:t>使用单位应建立有机热载体质量管理制度，明确取样点位、取样频次、送检要求、检测项目与判定口径，并保存历次检测报告与处置记录。</w:t>
      </w:r>
    </w:p>
    <w:p w14:paraId="2D2E4562">
      <w:pPr>
        <w:pStyle w:val="165"/>
        <w:spacing w:line="360" w:lineRule="auto"/>
      </w:pPr>
      <w:r>
        <w:rPr>
          <w:rFonts w:hint="eastAsia"/>
        </w:rPr>
        <w:t>检测机构应依据相关标准和本文件要求实施检测，确保方法适用、过程受控、数据真实完整，并对异常结果开展复核与技术说明。</w:t>
      </w:r>
    </w:p>
    <w:p w14:paraId="2691A00C">
      <w:pPr>
        <w:pStyle w:val="165"/>
        <w:spacing w:line="360" w:lineRule="auto"/>
      </w:pPr>
      <w:r>
        <w:rPr>
          <w:rFonts w:hint="eastAsia"/>
        </w:rPr>
        <w:t>维保单位或运行管理单位应配合完成取样、系统排污放空、过滤净化与补油更换等处置措施，并提供运行温度、循环流量、压差变化、报警联锁记录等运行数据作为判读输入。</w:t>
      </w:r>
    </w:p>
    <w:p w14:paraId="420F42EC">
      <w:pPr>
        <w:pStyle w:val="105"/>
        <w:spacing w:before="120" w:after="120" w:line="360" w:lineRule="auto"/>
      </w:pPr>
      <w:r>
        <w:rPr>
          <w:rFonts w:hint="eastAsia"/>
        </w:rPr>
        <w:t>检测策划要求</w:t>
      </w:r>
    </w:p>
    <w:p w14:paraId="04070042">
      <w:pPr>
        <w:pStyle w:val="165"/>
        <w:spacing w:line="360" w:lineRule="auto"/>
      </w:pPr>
      <w:r>
        <w:rPr>
          <w:rFonts w:hint="eastAsia"/>
        </w:rPr>
        <w:t>检测前应开展检测策划，检测策划应至少明确介质类型与牌号、系统工艺流程、设计与运行温度区间、系统充装量、运行年限、补油记录、异常工况记录、历史检测结果以及本次检测目的。</w:t>
      </w:r>
    </w:p>
    <w:p w14:paraId="221F2499">
      <w:pPr>
        <w:pStyle w:val="165"/>
        <w:spacing w:line="360" w:lineRule="auto"/>
      </w:pPr>
      <w:r>
        <w:rPr>
          <w:rFonts w:hint="eastAsia"/>
        </w:rPr>
        <w:t>检测项目应与风险场景匹配。以安全风险识别为目的时，应重点覆盖闪点、低沸物趋势、水分、酸值、不溶物与污染度等指标。以传热效率与结焦风险评估为目的时，应重点覆盖黏度、残炭或结焦倾向相关指标、高沸物趋势与不溶物。以混油或外来污染识别为目的时，应结合馏程、外观气味、污染度与必要的成分指纹分析。</w:t>
      </w:r>
    </w:p>
    <w:p w14:paraId="67D090E2">
      <w:pPr>
        <w:pStyle w:val="165"/>
        <w:spacing w:line="360" w:lineRule="auto"/>
      </w:pPr>
      <w:r>
        <w:rPr>
          <w:rFonts w:hint="eastAsia"/>
        </w:rPr>
        <w:t>对未明确介质牌号或存在混油风险的系统，应先开展基础筛查与必要的识别性检测，确认介质类型后再确定常规监测项目，避免因方法适用性不足导致结论偏差。</w:t>
      </w:r>
    </w:p>
    <w:p w14:paraId="59950101">
      <w:pPr>
        <w:pStyle w:val="105"/>
        <w:spacing w:before="120" w:after="120" w:line="360" w:lineRule="auto"/>
      </w:pPr>
      <w:r>
        <w:rPr>
          <w:rFonts w:hint="eastAsia"/>
        </w:rPr>
        <w:t>取样安全与代表性要求</w:t>
      </w:r>
    </w:p>
    <w:p w14:paraId="73C4C2D8">
      <w:pPr>
        <w:pStyle w:val="165"/>
        <w:spacing w:line="360" w:lineRule="auto"/>
      </w:pPr>
      <w:r>
        <w:rPr>
          <w:rFonts w:hint="eastAsia"/>
        </w:rPr>
        <w:t>取样应执行安全作业管理要求，落实动火、受限空间、临时用电等相关控制措施。取样人员应佩戴防护用品，避免高温烫伤与可燃蒸气暴露风险。</w:t>
      </w:r>
    </w:p>
    <w:p w14:paraId="1BC24207">
      <w:pPr>
        <w:pStyle w:val="165"/>
        <w:spacing w:line="360" w:lineRule="auto"/>
      </w:pPr>
      <w:r>
        <w:rPr>
          <w:rFonts w:hint="eastAsia"/>
        </w:rPr>
        <w:t>取样点位应具有代表性，宜优先选择循环主管线或回油主管线的取样阀处。取样点位应避免死角与沉积区，必要时应在高风险部位设置辅助取样点用于对比，包括过滤器前后、加热器出口附近或低点排污处。</w:t>
      </w:r>
    </w:p>
    <w:p w14:paraId="6E30BEF6">
      <w:pPr>
        <w:pStyle w:val="165"/>
        <w:spacing w:line="360" w:lineRule="auto"/>
      </w:pPr>
      <w:r>
        <w:rPr>
          <w:rFonts w:hint="eastAsia"/>
        </w:rPr>
        <w:t>取样应在系统工况稳定后进行。若因检修停机取样，应记录停机时长与降温过程，并说明取样代表性限制。</w:t>
      </w:r>
    </w:p>
    <w:p w14:paraId="4E298868">
      <w:pPr>
        <w:pStyle w:val="165"/>
        <w:spacing w:line="360" w:lineRule="auto"/>
      </w:pPr>
      <w:r>
        <w:rPr>
          <w:rFonts w:hint="eastAsia"/>
        </w:rPr>
        <w:t>取样前应进行适量放样冲洗，直至样品外观稳定且无明显沉积物突增现象。放样量与冲洗时长应记录，避免阀体残留与管段沉积影响结果。</w:t>
      </w:r>
    </w:p>
    <w:p w14:paraId="2129BCCC">
      <w:pPr>
        <w:pStyle w:val="165"/>
        <w:spacing w:line="360" w:lineRule="auto"/>
      </w:pPr>
      <w:r>
        <w:rPr>
          <w:rFonts w:hint="eastAsia"/>
        </w:rPr>
        <w:t>取样量应满足全部检测项目与复测需要。对需开展馏程、污染度或多项目组合检测的样品，应一次取足并分装，减少重复取样引入差异。</w:t>
      </w:r>
    </w:p>
    <w:p w14:paraId="0613FD5D">
      <w:pPr>
        <w:pStyle w:val="105"/>
        <w:spacing w:before="120" w:after="120" w:line="360" w:lineRule="auto"/>
      </w:pPr>
      <w:r>
        <w:rPr>
          <w:rFonts w:hint="eastAsia"/>
        </w:rPr>
        <w:t>样品容器与保存要求</w:t>
      </w:r>
    </w:p>
    <w:p w14:paraId="31D29F20">
      <w:pPr>
        <w:pStyle w:val="165"/>
        <w:spacing w:line="360" w:lineRule="auto"/>
      </w:pPr>
      <w:r>
        <w:rPr>
          <w:rFonts w:hint="eastAsia"/>
        </w:rPr>
        <w:t>样品容器应洁净、干燥、耐油且可密封，宜使用带螺纹盖的棕色玻璃瓶或符合要求的金属容器。容器不得残留清洗剂、溶剂或水分。</w:t>
      </w:r>
    </w:p>
    <w:p w14:paraId="4D2F15C2">
      <w:pPr>
        <w:pStyle w:val="165"/>
        <w:spacing w:line="360" w:lineRule="auto"/>
      </w:pPr>
      <w:r>
        <w:rPr>
          <w:rFonts w:hint="eastAsia"/>
        </w:rPr>
        <w:t>样品应及时密封并贴签，标签信息应至少包括取样日期时间、取样点位、系统名称、介质名称或牌号、运行温度、取样人员与样品编号。</w:t>
      </w:r>
    </w:p>
    <w:p w14:paraId="3802830D">
      <w:pPr>
        <w:pStyle w:val="165"/>
        <w:spacing w:line="360" w:lineRule="auto"/>
      </w:pPr>
      <w:r>
        <w:rPr>
          <w:rFonts w:hint="eastAsia"/>
        </w:rPr>
        <w:t>样品应避光保存并避免高温环境。涉及闪点或低沸物评价的样品，应尽量缩短运输与存放时间，防止轻组分挥发导致结果偏差。</w:t>
      </w:r>
    </w:p>
    <w:p w14:paraId="2FF98556">
      <w:pPr>
        <w:pStyle w:val="165"/>
        <w:spacing w:line="360" w:lineRule="auto"/>
      </w:pPr>
      <w:r>
        <w:rPr>
          <w:rFonts w:hint="eastAsia"/>
        </w:rPr>
        <w:t>样品出现泄漏、明显挥发损失、混入水分或容器污染时，应判定为无效样品并重新取样。</w:t>
      </w:r>
    </w:p>
    <w:p w14:paraId="5FB7EE26">
      <w:pPr>
        <w:pStyle w:val="105"/>
        <w:spacing w:before="120" w:after="120" w:line="360" w:lineRule="auto"/>
      </w:pPr>
      <w:r>
        <w:rPr>
          <w:rFonts w:hint="eastAsia"/>
        </w:rPr>
        <w:t>检测频次与触发条件</w:t>
      </w:r>
    </w:p>
    <w:p w14:paraId="37365682">
      <w:pPr>
        <w:pStyle w:val="165"/>
        <w:spacing w:line="360" w:lineRule="auto"/>
      </w:pPr>
      <w:r>
        <w:rPr>
          <w:rFonts w:hint="eastAsia"/>
        </w:rPr>
        <w:t>常规检测频次应结合介质类型、运行温度、运行负荷、系统密封性与历史趋势确定。一般情况下，首次投运或更换新油后应在运行稳定期开展基线检测，后续应按周期开展常规检测并形成趋势曲线。</w:t>
      </w:r>
    </w:p>
    <w:p w14:paraId="7F132B75">
      <w:pPr>
        <w:pStyle w:val="165"/>
        <w:spacing w:line="360" w:lineRule="auto"/>
      </w:pPr>
      <w:r>
        <w:rPr>
          <w:rFonts w:hint="eastAsia"/>
        </w:rPr>
        <w:t>出现以下情形之一时，应启动加密检测或专项检测：</w:t>
      </w:r>
    </w:p>
    <w:p w14:paraId="1D7711AE">
      <w:pPr>
        <w:pStyle w:val="56"/>
        <w:spacing w:line="360" w:lineRule="auto"/>
        <w:ind w:firstLine="420"/>
      </w:pPr>
      <w:r>
        <w:rPr>
          <w:rFonts w:hint="eastAsia"/>
        </w:rPr>
        <w:t>a) 系统频繁超温或联锁动作；</w:t>
      </w:r>
    </w:p>
    <w:p w14:paraId="7BEE0285">
      <w:pPr>
        <w:pStyle w:val="56"/>
        <w:spacing w:line="360" w:lineRule="auto"/>
        <w:ind w:firstLine="420"/>
      </w:pPr>
      <w:r>
        <w:rPr>
          <w:rFonts w:hint="eastAsia"/>
        </w:rPr>
        <w:t>b) 循环泵汽蚀、流量波动或压差显著升高；</w:t>
      </w:r>
    </w:p>
    <w:p w14:paraId="74E39F00">
      <w:pPr>
        <w:pStyle w:val="56"/>
        <w:spacing w:line="360" w:lineRule="auto"/>
        <w:ind w:firstLine="420"/>
      </w:pPr>
      <w:r>
        <w:rPr>
          <w:rFonts w:hint="eastAsia"/>
        </w:rPr>
        <w:t>c) 换热效率下降或加热器出口温度异常；</w:t>
      </w:r>
    </w:p>
    <w:p w14:paraId="5B57B869">
      <w:pPr>
        <w:pStyle w:val="56"/>
        <w:spacing w:line="360" w:lineRule="auto"/>
        <w:ind w:firstLine="420"/>
      </w:pPr>
      <w:r>
        <w:rPr>
          <w:rFonts w:hint="eastAsia"/>
        </w:rPr>
        <w:t>d) 过滤器堵塞频繁或排污沉积物明显增多；</w:t>
      </w:r>
    </w:p>
    <w:p w14:paraId="4F4A8642">
      <w:pPr>
        <w:pStyle w:val="56"/>
        <w:spacing w:line="360" w:lineRule="auto"/>
        <w:ind w:firstLine="420"/>
      </w:pPr>
      <w:r>
        <w:rPr>
          <w:rFonts w:hint="eastAsia"/>
        </w:rPr>
        <w:t>e) 补油频繁或疑似混入其他油品；</w:t>
      </w:r>
    </w:p>
    <w:p w14:paraId="63490835">
      <w:pPr>
        <w:pStyle w:val="56"/>
        <w:spacing w:line="360" w:lineRule="auto"/>
        <w:ind w:firstLine="420"/>
      </w:pPr>
      <w:r>
        <w:rPr>
          <w:rFonts w:hint="eastAsia"/>
        </w:rPr>
        <w:t>f) 发生泄漏进水、检修开口暴露或系统长时间停运后再启用。</w:t>
      </w:r>
    </w:p>
    <w:p w14:paraId="637D3DA9">
      <w:pPr>
        <w:pStyle w:val="165"/>
        <w:spacing w:line="360" w:lineRule="auto"/>
      </w:pPr>
      <w:r>
        <w:rPr>
          <w:rFonts w:hint="eastAsia"/>
        </w:rPr>
        <w:t>对高温长期运行系统或结焦敏感系统，宜将黏度、不溶物与高沸物趋势类指标纳入重点监测，并适当提高检测频次。</w:t>
      </w:r>
    </w:p>
    <w:p w14:paraId="391CCC2D">
      <w:pPr>
        <w:pStyle w:val="105"/>
        <w:spacing w:before="120" w:after="120" w:line="360" w:lineRule="auto"/>
      </w:pPr>
      <w:r>
        <w:rPr>
          <w:rFonts w:hint="eastAsia"/>
        </w:rPr>
        <w:t>质量控制与复核要求</w:t>
      </w:r>
    </w:p>
    <w:p w14:paraId="277BECCD">
      <w:pPr>
        <w:pStyle w:val="165"/>
        <w:spacing w:line="360" w:lineRule="auto"/>
      </w:pPr>
      <w:r>
        <w:rPr>
          <w:rFonts w:hint="eastAsia"/>
        </w:rPr>
        <w:t>检测机构应确认检测方法适用并处于有效校准或核查状态。关键仪器设备的校准证书编号、有效期与关键参数核查记录应可追溯。</w:t>
      </w:r>
    </w:p>
    <w:p w14:paraId="017D779F">
      <w:pPr>
        <w:pStyle w:val="165"/>
        <w:spacing w:line="360" w:lineRule="auto"/>
      </w:pPr>
      <w:r>
        <w:rPr>
          <w:rFonts w:hint="eastAsia"/>
        </w:rPr>
        <w:t>样品接收应执行验收核对，核对内容包括样品标识、容器密封性、样品量、外观状态与送样信息完整性。验收不合格应记录并反馈使用单位。</w:t>
      </w:r>
    </w:p>
    <w:p w14:paraId="76DF858F">
      <w:pPr>
        <w:pStyle w:val="165"/>
        <w:spacing w:line="360" w:lineRule="auto"/>
      </w:pPr>
      <w:r>
        <w:rPr>
          <w:rFonts w:hint="eastAsia"/>
        </w:rPr>
        <w:t>对异常结果应实施复核。复核宜优先采用同方法复测与平行样复测，必要时采用替代方法或指纹分析进行交叉验证，并在报告中说明复核结论与依据。</w:t>
      </w:r>
    </w:p>
    <w:p w14:paraId="24C4D917">
      <w:pPr>
        <w:pStyle w:val="165"/>
        <w:spacing w:line="360" w:lineRule="auto"/>
      </w:pPr>
      <w:r>
        <w:rPr>
          <w:rFonts w:hint="eastAsia"/>
        </w:rPr>
        <w:t>数据处理应保留原始记录与计算过程。涉及趋势判断时，应采用统一口径的历史数据对比，并说明取样点位、方法版本或设备变更对可比性的影响。</w:t>
      </w:r>
    </w:p>
    <w:p w14:paraId="74F44DDE">
      <w:pPr>
        <w:pStyle w:val="105"/>
        <w:spacing w:before="120" w:after="120" w:line="360" w:lineRule="auto"/>
      </w:pPr>
      <w:r>
        <w:rPr>
          <w:rFonts w:hint="eastAsia"/>
        </w:rPr>
        <w:t>结果判读与处置衔接要求</w:t>
      </w:r>
    </w:p>
    <w:p w14:paraId="7BDD7007">
      <w:pPr>
        <w:pStyle w:val="165"/>
        <w:spacing w:line="360" w:lineRule="auto"/>
      </w:pPr>
      <w:r>
        <w:rPr>
          <w:rFonts w:hint="eastAsia"/>
        </w:rPr>
        <w:t>判读应结合单次结果与趋势变化。对闪点下降、低沸物上升、水分异常、不溶物突增等与安全风险强相关的指标，应优先判定风险等级并提出即时处置建议。</w:t>
      </w:r>
    </w:p>
    <w:p w14:paraId="4F00BAEF">
      <w:pPr>
        <w:pStyle w:val="165"/>
        <w:spacing w:line="360" w:lineRule="auto"/>
      </w:pPr>
      <w:r>
        <w:rPr>
          <w:rFonts w:hint="eastAsia"/>
        </w:rPr>
        <w:t>判读应结合系统运行数据。温度上限、压差变化、过滤器更换频次、补油记录与异常报警记录应作为重要辅助信息，用于区分介质劣化与系统工况因素。</w:t>
      </w:r>
    </w:p>
    <w:p w14:paraId="2A62EE40">
      <w:pPr>
        <w:pStyle w:val="165"/>
        <w:spacing w:line="360" w:lineRule="auto"/>
      </w:pPr>
      <w:r>
        <w:rPr>
          <w:rFonts w:hint="eastAsia"/>
        </w:rPr>
        <w:t>检测结论应与处置措施联动。检测报告应给出明确的处置建议方向，包括继续使用并跟踪、过滤净化、脱水处理、补充更新、在线再生、分段更换或全部更换，并明确建议的复检节点与关注指标。</w:t>
      </w:r>
    </w:p>
    <w:p w14:paraId="0C762D71">
      <w:pPr>
        <w:pStyle w:val="104"/>
        <w:spacing w:before="240" w:after="240" w:line="360" w:lineRule="auto"/>
      </w:pPr>
      <w:bookmarkStart w:id="52" w:name="_Toc218978373"/>
      <w:r>
        <w:rPr>
          <w:rFonts w:hint="eastAsia"/>
        </w:rPr>
        <w:t>检测项目与方法要点</w:t>
      </w:r>
      <w:bookmarkEnd w:id="52"/>
    </w:p>
    <w:p w14:paraId="0AD4A45E">
      <w:pPr>
        <w:pStyle w:val="105"/>
        <w:spacing w:before="120" w:after="120" w:line="360" w:lineRule="auto"/>
      </w:pPr>
      <w:r>
        <w:rPr>
          <w:rFonts w:hint="eastAsia"/>
        </w:rPr>
        <w:t>项目体系与选择原则</w:t>
      </w:r>
    </w:p>
    <w:p w14:paraId="4631E6A5">
      <w:pPr>
        <w:pStyle w:val="165"/>
        <w:spacing w:line="360" w:lineRule="auto"/>
      </w:pPr>
      <w:r>
        <w:rPr>
          <w:rFonts w:hint="eastAsia"/>
        </w:rPr>
        <w:t>有机热载体检测项目应围绕安全性、稳定性与清洁度三类核心目标配置。安全性重点关注闪点、低沸物趋势与水分；稳定性重点关注酸值、黏度与馏程变化；清洁度重点关注机械杂质、不溶物与污染度。</w:t>
      </w:r>
    </w:p>
    <w:p w14:paraId="188AD3BF">
      <w:pPr>
        <w:pStyle w:val="165"/>
        <w:spacing w:line="360" w:lineRule="auto"/>
      </w:pPr>
      <w:r>
        <w:rPr>
          <w:rFonts w:hint="eastAsia"/>
        </w:rPr>
        <w:t>检测项目应结合介质类型与运行工况确定。高温长周期运行系统应加强裂化与聚合趋势类指标监测，易进水系统应加强水分与乳化风险监测，开口操作频繁或密封性一般的系统应加强氧化与污染类指标监测。</w:t>
      </w:r>
    </w:p>
    <w:p w14:paraId="4CDE110A">
      <w:pPr>
        <w:pStyle w:val="165"/>
        <w:spacing w:line="360" w:lineRule="auto"/>
      </w:pPr>
      <w:r>
        <w:rPr>
          <w:rFonts w:hint="eastAsia"/>
        </w:rPr>
        <w:t>对用于监督检验或定期检验的任务，应至少覆盖反映安全风险的关键项目，并保持与历史数据口径一致，形成趋势判断依据。</w:t>
      </w:r>
    </w:p>
    <w:p w14:paraId="0F030425">
      <w:pPr>
        <w:pStyle w:val="105"/>
        <w:spacing w:before="120" w:after="120" w:line="360" w:lineRule="auto"/>
      </w:pPr>
      <w:r>
        <w:rPr>
          <w:rFonts w:hint="eastAsia"/>
        </w:rPr>
        <w:t>检测方法通用要求</w:t>
      </w:r>
    </w:p>
    <w:p w14:paraId="283691F0">
      <w:pPr>
        <w:pStyle w:val="165"/>
        <w:spacing w:line="360" w:lineRule="auto"/>
      </w:pPr>
      <w:r>
        <w:rPr>
          <w:rFonts w:hint="eastAsia"/>
        </w:rPr>
        <w:t>检测应优先采用国家标准或行业通行方法。方法标准与设备操作规程不一致时，应以方法标准的技术要求为准，并在记录中说明偏差。</w:t>
      </w:r>
    </w:p>
    <w:p w14:paraId="42C39D1A">
      <w:pPr>
        <w:pStyle w:val="165"/>
        <w:spacing w:line="360" w:lineRule="auto"/>
      </w:pPr>
      <w:r>
        <w:rPr>
          <w:rFonts w:hint="eastAsia"/>
        </w:rPr>
        <w:t>检测前应对样品进行均匀化处理。对可能存在沉降的样品，应在不引入气泡的前提下充分摇匀或缓慢搅拌。对易挥发组分敏感的项目，不应采用加热方式促混。</w:t>
      </w:r>
    </w:p>
    <w:p w14:paraId="656E110B">
      <w:pPr>
        <w:pStyle w:val="165"/>
        <w:spacing w:line="360" w:lineRule="auto"/>
      </w:pPr>
      <w:r>
        <w:rPr>
          <w:rFonts w:hint="eastAsia"/>
        </w:rPr>
        <w:t>检测应控制环境与器皿清洁度。涉及水分、酸值、污染度等敏感项目时，应避免空气水汽、溶剂残留与交叉污染。</w:t>
      </w:r>
    </w:p>
    <w:p w14:paraId="2F2E9248">
      <w:pPr>
        <w:pStyle w:val="165"/>
        <w:spacing w:line="360" w:lineRule="auto"/>
      </w:pPr>
      <w:r>
        <w:rPr>
          <w:rFonts w:hint="eastAsia"/>
        </w:rPr>
        <w:t>每一批检测应设置必要的质量控制点，包括空白、平行样或标准物质校核。对关键判定项目宜设置复测机制，确保结论可靠。</w:t>
      </w:r>
    </w:p>
    <w:p w14:paraId="4D73228B">
      <w:pPr>
        <w:pStyle w:val="105"/>
        <w:spacing w:before="120" w:after="120" w:line="360" w:lineRule="auto"/>
      </w:pPr>
      <w:r>
        <w:rPr>
          <w:rFonts w:hint="eastAsia"/>
        </w:rPr>
        <w:t>关键检测项目操作要点</w:t>
      </w:r>
    </w:p>
    <w:p w14:paraId="27165579">
      <w:pPr>
        <w:pStyle w:val="56"/>
        <w:spacing w:line="360" w:lineRule="auto"/>
        <w:ind w:firstLine="420"/>
      </w:pPr>
      <w:r>
        <w:rPr>
          <w:rFonts w:hint="eastAsia"/>
        </w:rPr>
        <w:t>本章给出常用关键项目的目的、方法要点与结果用途。具体限值与分级口径应优先依据适用标准、产品技术文件或使用单位管理制度确定。检测项目选择与方法要点见表1。</w:t>
      </w:r>
    </w:p>
    <w:p w14:paraId="305AD961">
      <w:pPr>
        <w:pStyle w:val="112"/>
        <w:spacing w:before="120" w:after="120" w:line="360" w:lineRule="auto"/>
      </w:pPr>
      <w:r>
        <w:rPr>
          <w:rFonts w:hint="eastAsia"/>
        </w:rPr>
        <w:t>检测项目选择与方法要点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1701"/>
        <w:gridCol w:w="3119"/>
        <w:gridCol w:w="2728"/>
      </w:tblGrid>
      <w:tr w14:paraId="4E4515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8" w:hRule="atLeast"/>
          <w:tblHeader/>
          <w:jc w:val="center"/>
        </w:trPr>
        <w:tc>
          <w:tcPr>
            <w:tcW w:w="1691" w:type="dxa"/>
            <w:tcBorders>
              <w:top w:val="single" w:color="auto" w:sz="8" w:space="0"/>
              <w:bottom w:val="single" w:color="auto" w:sz="8" w:space="0"/>
            </w:tcBorders>
            <w:vAlign w:val="center"/>
          </w:tcPr>
          <w:p w14:paraId="426E0335">
            <w:pPr>
              <w:pStyle w:val="178"/>
            </w:pPr>
            <w:r>
              <w:rPr>
                <w:rFonts w:hint="eastAsia"/>
              </w:rPr>
              <w:t>检测项目</w:t>
            </w:r>
          </w:p>
        </w:tc>
        <w:tc>
          <w:tcPr>
            <w:tcW w:w="1701" w:type="dxa"/>
            <w:tcBorders>
              <w:top w:val="single" w:color="auto" w:sz="8" w:space="0"/>
              <w:bottom w:val="single" w:color="auto" w:sz="8" w:space="0"/>
            </w:tcBorders>
            <w:vAlign w:val="center"/>
          </w:tcPr>
          <w:p w14:paraId="117DD2BC">
            <w:pPr>
              <w:pStyle w:val="178"/>
            </w:pPr>
            <w:r>
              <w:rPr>
                <w:rFonts w:hint="eastAsia"/>
              </w:rPr>
              <w:t>主要目的</w:t>
            </w:r>
          </w:p>
        </w:tc>
        <w:tc>
          <w:tcPr>
            <w:tcW w:w="3119" w:type="dxa"/>
            <w:tcBorders>
              <w:top w:val="single" w:color="auto" w:sz="8" w:space="0"/>
              <w:bottom w:val="single" w:color="auto" w:sz="8" w:space="0"/>
            </w:tcBorders>
            <w:vAlign w:val="center"/>
          </w:tcPr>
          <w:p w14:paraId="5B1BFE21">
            <w:pPr>
              <w:pStyle w:val="178"/>
            </w:pPr>
            <w:r>
              <w:rPr>
                <w:rFonts w:hint="eastAsia"/>
              </w:rPr>
              <w:t>关键操作要点</w:t>
            </w:r>
          </w:p>
        </w:tc>
        <w:tc>
          <w:tcPr>
            <w:tcW w:w="2728" w:type="dxa"/>
            <w:tcBorders>
              <w:top w:val="single" w:color="auto" w:sz="8" w:space="0"/>
              <w:bottom w:val="single" w:color="auto" w:sz="8" w:space="0"/>
            </w:tcBorders>
            <w:vAlign w:val="center"/>
          </w:tcPr>
          <w:p w14:paraId="5BF12C80">
            <w:pPr>
              <w:pStyle w:val="178"/>
            </w:pPr>
            <w:r>
              <w:rPr>
                <w:rFonts w:hint="eastAsia"/>
              </w:rPr>
              <w:t>结果用途与风险指向</w:t>
            </w:r>
          </w:p>
        </w:tc>
      </w:tr>
      <w:tr w14:paraId="09038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1691" w:type="dxa"/>
            <w:tcBorders>
              <w:top w:val="single" w:color="auto" w:sz="8" w:space="0"/>
            </w:tcBorders>
            <w:vAlign w:val="center"/>
          </w:tcPr>
          <w:p w14:paraId="4B5C5167">
            <w:pPr>
              <w:pStyle w:val="178"/>
            </w:pPr>
            <w:r>
              <w:rPr>
                <w:rFonts w:hint="eastAsia"/>
              </w:rPr>
              <w:t>外观与气味</w:t>
            </w:r>
          </w:p>
        </w:tc>
        <w:tc>
          <w:tcPr>
            <w:tcW w:w="1701" w:type="dxa"/>
            <w:tcBorders>
              <w:top w:val="single" w:color="auto" w:sz="8" w:space="0"/>
            </w:tcBorders>
            <w:vAlign w:val="center"/>
          </w:tcPr>
          <w:p w14:paraId="2FABBCED">
            <w:pPr>
              <w:pStyle w:val="178"/>
            </w:pPr>
            <w:r>
              <w:rPr>
                <w:rFonts w:hint="eastAsia"/>
              </w:rPr>
              <w:t>初步识别污染、乳化、结焦倾向与混油风险</w:t>
            </w:r>
          </w:p>
        </w:tc>
        <w:tc>
          <w:tcPr>
            <w:tcW w:w="3119" w:type="dxa"/>
            <w:tcBorders>
              <w:top w:val="single" w:color="auto" w:sz="8" w:space="0"/>
            </w:tcBorders>
            <w:vAlign w:val="center"/>
          </w:tcPr>
          <w:p w14:paraId="24EE30F7">
            <w:pPr>
              <w:pStyle w:val="178"/>
            </w:pPr>
            <w:r>
              <w:rPr>
                <w:rFonts w:hint="eastAsia"/>
              </w:rPr>
              <w:t>记录颜色、透明度、沉积物、悬浮物与异味；必要时静置观察分层</w:t>
            </w:r>
          </w:p>
        </w:tc>
        <w:tc>
          <w:tcPr>
            <w:tcW w:w="2728" w:type="dxa"/>
            <w:tcBorders>
              <w:top w:val="single" w:color="auto" w:sz="8" w:space="0"/>
            </w:tcBorders>
            <w:vAlign w:val="center"/>
          </w:tcPr>
          <w:p w14:paraId="60D93CEF">
            <w:pPr>
              <w:pStyle w:val="178"/>
            </w:pPr>
            <w:r>
              <w:rPr>
                <w:rFonts w:hint="eastAsia"/>
              </w:rPr>
              <w:t>异常提示进水、污染或劣化；用于触发专项检测</w:t>
            </w:r>
          </w:p>
        </w:tc>
      </w:tr>
      <w:tr w14:paraId="6E1BA3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1691" w:type="dxa"/>
            <w:vAlign w:val="center"/>
          </w:tcPr>
          <w:p w14:paraId="67956AC7">
            <w:pPr>
              <w:pStyle w:val="178"/>
            </w:pPr>
            <w:r>
              <w:rPr>
                <w:rFonts w:hint="eastAsia"/>
              </w:rPr>
              <w:t>闪点</w:t>
            </w:r>
          </w:p>
        </w:tc>
        <w:tc>
          <w:tcPr>
            <w:tcW w:w="1701" w:type="dxa"/>
            <w:vAlign w:val="center"/>
          </w:tcPr>
          <w:p w14:paraId="6A2E426F">
            <w:pPr>
              <w:pStyle w:val="178"/>
            </w:pPr>
            <w:r>
              <w:rPr>
                <w:rFonts w:hint="eastAsia"/>
              </w:rPr>
              <w:t>识别低沸物增多与火灾爆燃风险</w:t>
            </w:r>
          </w:p>
        </w:tc>
        <w:tc>
          <w:tcPr>
            <w:tcW w:w="3119" w:type="dxa"/>
            <w:vAlign w:val="center"/>
          </w:tcPr>
          <w:p w14:paraId="1E0DF7F1">
            <w:pPr>
              <w:pStyle w:val="178"/>
            </w:pPr>
            <w:r>
              <w:rPr>
                <w:rFonts w:hint="eastAsia"/>
              </w:rPr>
              <w:t>取样与保存应防挥发；测试前避免长时间敞口；异常值应复测</w:t>
            </w:r>
          </w:p>
        </w:tc>
        <w:tc>
          <w:tcPr>
            <w:tcW w:w="2728" w:type="dxa"/>
            <w:vAlign w:val="center"/>
          </w:tcPr>
          <w:p w14:paraId="18ED9937">
            <w:pPr>
              <w:pStyle w:val="178"/>
            </w:pPr>
            <w:r>
              <w:rPr>
                <w:rFonts w:hint="eastAsia"/>
              </w:rPr>
              <w:t>闪点下降提示裂化或混入轻质组分；需要即时风险处置</w:t>
            </w:r>
          </w:p>
        </w:tc>
      </w:tr>
    </w:tbl>
    <w:p w14:paraId="377F1B70">
      <w:pPr>
        <w:pStyle w:val="56"/>
        <w:ind w:firstLine="420"/>
        <w:rPr>
          <w:rFonts w:hint="eastAsia"/>
        </w:rPr>
      </w:pPr>
    </w:p>
    <w:p w14:paraId="09E7104D">
      <w:pPr>
        <w:pStyle w:val="56"/>
        <w:spacing w:before="120" w:beforeLines="50" w:after="120" w:afterLines="50"/>
        <w:ind w:firstLine="0" w:firstLineChars="0"/>
        <w:jc w:val="center"/>
        <w:rPr>
          <w:rFonts w:ascii="黑体" w:hAnsi="黑体" w:eastAsia="黑体"/>
        </w:rPr>
      </w:pPr>
      <w:r>
        <w:rPr>
          <w:rFonts w:hint="eastAsia" w:ascii="黑体" w:hAnsi="黑体" w:eastAsia="黑体"/>
        </w:rPr>
        <w:t>表1  检测项目选择与方法要点</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1701"/>
        <w:gridCol w:w="3119"/>
        <w:gridCol w:w="2728"/>
      </w:tblGrid>
      <w:tr w14:paraId="069C07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8" w:hRule="atLeast"/>
          <w:tblHeader/>
          <w:jc w:val="center"/>
        </w:trPr>
        <w:tc>
          <w:tcPr>
            <w:tcW w:w="1691" w:type="dxa"/>
            <w:tcBorders>
              <w:top w:val="single" w:color="auto" w:sz="8" w:space="0"/>
              <w:bottom w:val="single" w:color="auto" w:sz="8" w:space="0"/>
            </w:tcBorders>
            <w:vAlign w:val="center"/>
          </w:tcPr>
          <w:p w14:paraId="00690968">
            <w:pPr>
              <w:pStyle w:val="178"/>
            </w:pPr>
            <w:r>
              <w:rPr>
                <w:rFonts w:hint="eastAsia"/>
              </w:rPr>
              <w:t>检测项目</w:t>
            </w:r>
          </w:p>
        </w:tc>
        <w:tc>
          <w:tcPr>
            <w:tcW w:w="1701" w:type="dxa"/>
            <w:tcBorders>
              <w:top w:val="single" w:color="auto" w:sz="8" w:space="0"/>
              <w:bottom w:val="single" w:color="auto" w:sz="8" w:space="0"/>
            </w:tcBorders>
            <w:vAlign w:val="center"/>
          </w:tcPr>
          <w:p w14:paraId="589A8D6E">
            <w:pPr>
              <w:pStyle w:val="178"/>
            </w:pPr>
            <w:r>
              <w:rPr>
                <w:rFonts w:hint="eastAsia"/>
              </w:rPr>
              <w:t>主要目的</w:t>
            </w:r>
          </w:p>
        </w:tc>
        <w:tc>
          <w:tcPr>
            <w:tcW w:w="3119" w:type="dxa"/>
            <w:tcBorders>
              <w:top w:val="single" w:color="auto" w:sz="8" w:space="0"/>
              <w:bottom w:val="single" w:color="auto" w:sz="8" w:space="0"/>
            </w:tcBorders>
            <w:vAlign w:val="center"/>
          </w:tcPr>
          <w:p w14:paraId="3C30AD13">
            <w:pPr>
              <w:pStyle w:val="178"/>
            </w:pPr>
            <w:r>
              <w:rPr>
                <w:rFonts w:hint="eastAsia"/>
              </w:rPr>
              <w:t>关键操作要点</w:t>
            </w:r>
          </w:p>
        </w:tc>
        <w:tc>
          <w:tcPr>
            <w:tcW w:w="2728" w:type="dxa"/>
            <w:tcBorders>
              <w:top w:val="single" w:color="auto" w:sz="8" w:space="0"/>
              <w:bottom w:val="single" w:color="auto" w:sz="8" w:space="0"/>
            </w:tcBorders>
            <w:vAlign w:val="center"/>
          </w:tcPr>
          <w:p w14:paraId="326C7A49">
            <w:pPr>
              <w:pStyle w:val="178"/>
            </w:pPr>
            <w:r>
              <w:rPr>
                <w:rFonts w:hint="eastAsia"/>
              </w:rPr>
              <w:t>结果用途与风险指向</w:t>
            </w:r>
          </w:p>
        </w:tc>
      </w:tr>
      <w:tr w14:paraId="3E986B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1691" w:type="dxa"/>
            <w:vAlign w:val="center"/>
          </w:tcPr>
          <w:p w14:paraId="49CB181F">
            <w:pPr>
              <w:pStyle w:val="178"/>
            </w:pPr>
            <w:r>
              <w:rPr>
                <w:rFonts w:hint="eastAsia"/>
              </w:rPr>
              <w:t>水分</w:t>
            </w:r>
          </w:p>
        </w:tc>
        <w:tc>
          <w:tcPr>
            <w:tcW w:w="1701" w:type="dxa"/>
            <w:vAlign w:val="center"/>
          </w:tcPr>
          <w:p w14:paraId="0F693B9A">
            <w:pPr>
              <w:pStyle w:val="178"/>
            </w:pPr>
            <w:r>
              <w:rPr>
                <w:rFonts w:hint="eastAsia"/>
              </w:rPr>
              <w:t>识别进水、乳化与腐蚀风险</w:t>
            </w:r>
          </w:p>
        </w:tc>
        <w:tc>
          <w:tcPr>
            <w:tcW w:w="3119" w:type="dxa"/>
            <w:vAlign w:val="center"/>
          </w:tcPr>
          <w:p w14:paraId="53202A5B">
            <w:pPr>
              <w:pStyle w:val="178"/>
            </w:pPr>
            <w:r>
              <w:rPr>
                <w:rFonts w:hint="eastAsia"/>
              </w:rPr>
              <w:t>器皿干燥；避免空气水汽影响；必要时做平行样</w:t>
            </w:r>
          </w:p>
        </w:tc>
        <w:tc>
          <w:tcPr>
            <w:tcW w:w="2728" w:type="dxa"/>
            <w:vAlign w:val="center"/>
          </w:tcPr>
          <w:p w14:paraId="1405D3BB">
            <w:pPr>
              <w:pStyle w:val="178"/>
            </w:pPr>
            <w:r>
              <w:rPr>
                <w:rFonts w:hint="eastAsia"/>
              </w:rPr>
              <w:t>水分升高提示泄漏进水或冷凝混入；需排查系统并脱水处理</w:t>
            </w:r>
          </w:p>
        </w:tc>
      </w:tr>
      <w:tr w14:paraId="4613EB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1691" w:type="dxa"/>
            <w:vAlign w:val="center"/>
          </w:tcPr>
          <w:p w14:paraId="78583B10">
            <w:pPr>
              <w:pStyle w:val="178"/>
            </w:pPr>
            <w:r>
              <w:rPr>
                <w:rFonts w:hint="eastAsia"/>
              </w:rPr>
              <w:t>运动黏度</w:t>
            </w:r>
          </w:p>
        </w:tc>
        <w:tc>
          <w:tcPr>
            <w:tcW w:w="1701" w:type="dxa"/>
            <w:vAlign w:val="center"/>
          </w:tcPr>
          <w:p w14:paraId="6BDEBE76">
            <w:pPr>
              <w:pStyle w:val="178"/>
            </w:pPr>
            <w:r>
              <w:rPr>
                <w:rFonts w:hint="eastAsia"/>
              </w:rPr>
              <w:t>反映聚合、污染与流动性变化</w:t>
            </w:r>
          </w:p>
        </w:tc>
        <w:tc>
          <w:tcPr>
            <w:tcW w:w="3119" w:type="dxa"/>
            <w:vAlign w:val="center"/>
          </w:tcPr>
          <w:p w14:paraId="5B3D9333">
            <w:pPr>
              <w:pStyle w:val="178"/>
            </w:pPr>
            <w:r>
              <w:rPr>
                <w:rFonts w:hint="eastAsia"/>
              </w:rPr>
              <w:t>控温准确；样品均匀；出现异常先排查污染与高沸物增加</w:t>
            </w:r>
          </w:p>
        </w:tc>
        <w:tc>
          <w:tcPr>
            <w:tcW w:w="2728" w:type="dxa"/>
            <w:vAlign w:val="center"/>
          </w:tcPr>
          <w:p w14:paraId="6444FFBD">
            <w:pPr>
              <w:pStyle w:val="178"/>
            </w:pPr>
            <w:r>
              <w:rPr>
                <w:rFonts w:hint="eastAsia"/>
              </w:rPr>
              <w:t>黏度上升提示氧化聚合或不溶物积累；与结焦和压差升高相关</w:t>
            </w:r>
          </w:p>
        </w:tc>
      </w:tr>
      <w:tr w14:paraId="3F4804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1691" w:type="dxa"/>
            <w:vAlign w:val="center"/>
          </w:tcPr>
          <w:p w14:paraId="0536A332">
            <w:pPr>
              <w:pStyle w:val="178"/>
            </w:pPr>
            <w:r>
              <w:rPr>
                <w:rFonts w:hint="eastAsia"/>
              </w:rPr>
              <w:t>酸值</w:t>
            </w:r>
          </w:p>
        </w:tc>
        <w:tc>
          <w:tcPr>
            <w:tcW w:w="1701" w:type="dxa"/>
            <w:vAlign w:val="center"/>
          </w:tcPr>
          <w:p w14:paraId="1C1F6DD0">
            <w:pPr>
              <w:pStyle w:val="178"/>
            </w:pPr>
            <w:r>
              <w:rPr>
                <w:rFonts w:hint="eastAsia"/>
              </w:rPr>
              <w:t>反映氧化程度与腐蚀风险</w:t>
            </w:r>
          </w:p>
        </w:tc>
        <w:tc>
          <w:tcPr>
            <w:tcW w:w="3119" w:type="dxa"/>
            <w:vAlign w:val="center"/>
          </w:tcPr>
          <w:p w14:paraId="7CC48453">
            <w:pPr>
              <w:pStyle w:val="178"/>
            </w:pPr>
            <w:r>
              <w:rPr>
                <w:rFonts w:hint="eastAsia"/>
              </w:rPr>
              <w:t>终点判定一致；避免溶剂污染；必要时复测确认趋势</w:t>
            </w:r>
          </w:p>
        </w:tc>
        <w:tc>
          <w:tcPr>
            <w:tcW w:w="2728" w:type="dxa"/>
            <w:vAlign w:val="center"/>
          </w:tcPr>
          <w:p w14:paraId="1A155419">
            <w:pPr>
              <w:pStyle w:val="178"/>
            </w:pPr>
            <w:r>
              <w:rPr>
                <w:rFonts w:hint="eastAsia"/>
              </w:rPr>
              <w:t>酸值上升提示氧化老化；应关注沉积物生成与金属腐蚀风险</w:t>
            </w:r>
          </w:p>
        </w:tc>
      </w:tr>
      <w:tr w14:paraId="7CF06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1691" w:type="dxa"/>
            <w:vAlign w:val="center"/>
          </w:tcPr>
          <w:p w14:paraId="48F284CA">
            <w:pPr>
              <w:pStyle w:val="178"/>
            </w:pPr>
            <w:r>
              <w:rPr>
                <w:rFonts w:hint="eastAsia"/>
              </w:rPr>
              <w:t>机械杂质或不溶物</w:t>
            </w:r>
          </w:p>
        </w:tc>
        <w:tc>
          <w:tcPr>
            <w:tcW w:w="1701" w:type="dxa"/>
            <w:vAlign w:val="center"/>
          </w:tcPr>
          <w:p w14:paraId="1ADD2129">
            <w:pPr>
              <w:pStyle w:val="178"/>
            </w:pPr>
            <w:r>
              <w:rPr>
                <w:rFonts w:hint="eastAsia"/>
              </w:rPr>
              <w:t>反映固体污染与劣化产物积累</w:t>
            </w:r>
          </w:p>
        </w:tc>
        <w:tc>
          <w:tcPr>
            <w:tcW w:w="3119" w:type="dxa"/>
            <w:vAlign w:val="center"/>
          </w:tcPr>
          <w:p w14:paraId="304DEB53">
            <w:pPr>
              <w:pStyle w:val="178"/>
            </w:pPr>
            <w:r>
              <w:rPr>
                <w:rFonts w:hint="eastAsia"/>
              </w:rPr>
              <w:t>过滤介质规范；干燥称量准确；避免样品沉降未混匀</w:t>
            </w:r>
          </w:p>
        </w:tc>
        <w:tc>
          <w:tcPr>
            <w:tcW w:w="2728" w:type="dxa"/>
            <w:vAlign w:val="center"/>
          </w:tcPr>
          <w:p w14:paraId="3849A94B">
            <w:pPr>
              <w:pStyle w:val="178"/>
            </w:pPr>
            <w:r>
              <w:rPr>
                <w:rFonts w:hint="eastAsia"/>
              </w:rPr>
              <w:t>杂质增多提示过滤失效、结焦剥落或外来污染；需净化或更换</w:t>
            </w:r>
          </w:p>
        </w:tc>
      </w:tr>
      <w:tr w14:paraId="27E83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1691" w:type="dxa"/>
            <w:vAlign w:val="center"/>
          </w:tcPr>
          <w:p w14:paraId="2E0969DE">
            <w:pPr>
              <w:pStyle w:val="178"/>
            </w:pPr>
            <w:r>
              <w:rPr>
                <w:rFonts w:hint="eastAsia"/>
              </w:rPr>
              <w:t>馏程或低沸高沸趋势</w:t>
            </w:r>
          </w:p>
        </w:tc>
        <w:tc>
          <w:tcPr>
            <w:tcW w:w="1701" w:type="dxa"/>
            <w:vAlign w:val="center"/>
          </w:tcPr>
          <w:p w14:paraId="3A2F3973">
            <w:pPr>
              <w:pStyle w:val="178"/>
            </w:pPr>
            <w:r>
              <w:rPr>
                <w:rFonts w:hint="eastAsia"/>
              </w:rPr>
              <w:t>识别裂化与聚合导致的组成变化</w:t>
            </w:r>
          </w:p>
        </w:tc>
        <w:tc>
          <w:tcPr>
            <w:tcW w:w="3119" w:type="dxa"/>
            <w:vAlign w:val="center"/>
          </w:tcPr>
          <w:p w14:paraId="40BBB569">
            <w:pPr>
              <w:pStyle w:val="178"/>
            </w:pPr>
            <w:r>
              <w:rPr>
                <w:rFonts w:hint="eastAsia"/>
              </w:rPr>
              <w:t>条件按方法执行；与历史数据同口径；注意样品挥发损失</w:t>
            </w:r>
          </w:p>
        </w:tc>
        <w:tc>
          <w:tcPr>
            <w:tcW w:w="2728" w:type="dxa"/>
            <w:vAlign w:val="center"/>
          </w:tcPr>
          <w:p w14:paraId="7C2B65AB">
            <w:pPr>
              <w:pStyle w:val="178"/>
            </w:pPr>
            <w:r>
              <w:rPr>
                <w:rFonts w:hint="eastAsia"/>
              </w:rPr>
              <w:t>低沸增多对应闪点下降；高沸增多对应黏度上升与结焦风险</w:t>
            </w:r>
          </w:p>
        </w:tc>
      </w:tr>
      <w:tr w14:paraId="4CCC13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1691" w:type="dxa"/>
            <w:vAlign w:val="center"/>
          </w:tcPr>
          <w:p w14:paraId="1300F775">
            <w:pPr>
              <w:pStyle w:val="178"/>
            </w:pPr>
            <w:r>
              <w:rPr>
                <w:rFonts w:hint="eastAsia"/>
              </w:rPr>
              <w:t>污染度</w:t>
            </w:r>
          </w:p>
        </w:tc>
        <w:tc>
          <w:tcPr>
            <w:tcW w:w="1701" w:type="dxa"/>
            <w:vAlign w:val="center"/>
          </w:tcPr>
          <w:p w14:paraId="2721F602">
            <w:pPr>
              <w:pStyle w:val="178"/>
            </w:pPr>
            <w:r>
              <w:rPr>
                <w:rFonts w:hint="eastAsia"/>
              </w:rPr>
              <w:t>量化颗粒污染水平</w:t>
            </w:r>
          </w:p>
        </w:tc>
        <w:tc>
          <w:tcPr>
            <w:tcW w:w="3119" w:type="dxa"/>
            <w:vAlign w:val="center"/>
          </w:tcPr>
          <w:p w14:paraId="5CE76E89">
            <w:pPr>
              <w:pStyle w:val="178"/>
            </w:pPr>
            <w:r>
              <w:rPr>
                <w:rFonts w:hint="eastAsia"/>
              </w:rPr>
              <w:t>取样防二次污染；必要时超声分散按规范执行</w:t>
            </w:r>
          </w:p>
        </w:tc>
        <w:tc>
          <w:tcPr>
            <w:tcW w:w="2728" w:type="dxa"/>
            <w:vAlign w:val="center"/>
          </w:tcPr>
          <w:p w14:paraId="3588665F">
            <w:pPr>
              <w:pStyle w:val="178"/>
            </w:pPr>
            <w:r>
              <w:rPr>
                <w:rFonts w:hint="eastAsia"/>
              </w:rPr>
              <w:t>颗粒污染高提示过滤维护不足或系统磨损；影响传热与泵可靠性</w:t>
            </w:r>
          </w:p>
        </w:tc>
      </w:tr>
    </w:tbl>
    <w:p w14:paraId="22832320">
      <w:pPr>
        <w:pStyle w:val="105"/>
        <w:spacing w:before="120" w:after="120" w:line="360" w:lineRule="auto"/>
      </w:pPr>
      <w:r>
        <w:rPr>
          <w:rFonts w:hint="eastAsia"/>
        </w:rPr>
        <w:t>典型判读逻辑要点</w:t>
      </w:r>
    </w:p>
    <w:p w14:paraId="13B98B17">
      <w:pPr>
        <w:pStyle w:val="165"/>
        <w:spacing w:line="360" w:lineRule="auto"/>
      </w:pPr>
      <w:r>
        <w:rPr>
          <w:rFonts w:hint="eastAsia"/>
        </w:rPr>
        <w:t>闪点与馏程应联合判读。闪点下降且馏程低沸段比例上升时，通常指向热裂化或混入轻质组分；应优先核查最高膜温、局部过热与补油来源，并评估系统安全裕度。</w:t>
      </w:r>
    </w:p>
    <w:p w14:paraId="03456C03">
      <w:pPr>
        <w:pStyle w:val="165"/>
        <w:spacing w:line="360" w:lineRule="auto"/>
      </w:pPr>
      <w:r>
        <w:rPr>
          <w:rFonts w:hint="eastAsia"/>
        </w:rPr>
        <w:t>黏度与不溶物应联合判读。黏度上升伴随不溶物或机械杂质增加时，通常指向氧化聚合与沉积物累积；应关注过滤器压差、换热效率下降与加热面结焦风险。</w:t>
      </w:r>
    </w:p>
    <w:p w14:paraId="47A313AC">
      <w:pPr>
        <w:pStyle w:val="165"/>
        <w:spacing w:line="360" w:lineRule="auto"/>
      </w:pPr>
      <w:r>
        <w:rPr>
          <w:rFonts w:hint="eastAsia"/>
        </w:rPr>
        <w:t>水分异常应优先排查系统原因。水分升高或出现乳化时，应排查换热器泄漏、冷却水串漏、检修开口暴露与冷凝回流等路径，并实施脱水与系统干燥措施。</w:t>
      </w:r>
    </w:p>
    <w:p w14:paraId="02F2A3D9">
      <w:pPr>
        <w:pStyle w:val="165"/>
        <w:spacing w:line="360" w:lineRule="auto"/>
      </w:pPr>
      <w:r>
        <w:rPr>
          <w:rFonts w:hint="eastAsia"/>
        </w:rPr>
        <w:t>酸值上升应结合运行温度与补油策略判断。酸值持续上升且补油稀释无改善时，提示氧化反应占主导；应评估抗氧化添加剂消耗、密封与氮封条件以及再生可行性。</w:t>
      </w:r>
    </w:p>
    <w:p w14:paraId="414FF422">
      <w:pPr>
        <w:pStyle w:val="105"/>
        <w:spacing w:before="120" w:after="120" w:line="360" w:lineRule="auto"/>
      </w:pPr>
      <w:r>
        <w:rPr>
          <w:rFonts w:hint="eastAsia"/>
        </w:rPr>
        <w:t>方法适用性与补充检测建议</w:t>
      </w:r>
    </w:p>
    <w:p w14:paraId="72FA23CB">
      <w:pPr>
        <w:pStyle w:val="165"/>
        <w:spacing w:line="360" w:lineRule="auto"/>
      </w:pPr>
      <w:r>
        <w:rPr>
          <w:rFonts w:hint="eastAsia"/>
        </w:rPr>
        <w:t>当存在混油或牌号不明情形时，常规指标可能不足以判别来源。必要时可增加红外光谱、气相色谱或其他成分指纹分析，用于识别介质类型与混入物来源。</w:t>
      </w:r>
    </w:p>
    <w:p w14:paraId="7849D64C">
      <w:pPr>
        <w:pStyle w:val="165"/>
        <w:spacing w:line="360" w:lineRule="auto"/>
      </w:pPr>
      <w:r>
        <w:rPr>
          <w:rFonts w:hint="eastAsia"/>
        </w:rPr>
        <w:t>当系统频繁结焦或压差异常升高且常规指标变化不显著时，可结合沉积物取样分析、加热面温度分布核查与过滤系统效率评估，综合判断结焦机理与处置路径。</w:t>
      </w:r>
    </w:p>
    <w:p w14:paraId="3F451518">
      <w:pPr>
        <w:pStyle w:val="165"/>
        <w:spacing w:line="360" w:lineRule="auto"/>
      </w:pPr>
      <w:r>
        <w:rPr>
          <w:rFonts w:hint="eastAsia"/>
        </w:rPr>
        <w:t>当检测用于安全风险判定时，应优先确保闪点、水分与污染度等项目的取样代表性与测试准确性，并对异常结果实施复核。</w:t>
      </w:r>
    </w:p>
    <w:p w14:paraId="01E758A1">
      <w:pPr>
        <w:pStyle w:val="165"/>
        <w:numPr>
          <w:ilvl w:val="0"/>
          <w:numId w:val="0"/>
        </w:numPr>
        <w:spacing w:line="360" w:lineRule="auto"/>
      </w:pPr>
    </w:p>
    <w:p w14:paraId="0087C7DB">
      <w:pPr>
        <w:pStyle w:val="165"/>
        <w:numPr>
          <w:ilvl w:val="0"/>
          <w:numId w:val="0"/>
        </w:numPr>
        <w:spacing w:line="360" w:lineRule="auto"/>
        <w:rPr>
          <w:rFonts w:hint="eastAsia"/>
        </w:rPr>
      </w:pPr>
    </w:p>
    <w:p w14:paraId="56669BA9">
      <w:pPr>
        <w:pStyle w:val="104"/>
        <w:spacing w:before="240" w:after="240" w:line="360" w:lineRule="auto"/>
      </w:pPr>
      <w:bookmarkStart w:id="53" w:name="_Toc218978374"/>
      <w:r>
        <w:rPr>
          <w:rFonts w:hint="eastAsia"/>
        </w:rPr>
        <w:t>数据评价与分级处置建议</w:t>
      </w:r>
      <w:bookmarkEnd w:id="53"/>
    </w:p>
    <w:p w14:paraId="31439F2E">
      <w:pPr>
        <w:pStyle w:val="105"/>
        <w:spacing w:before="120" w:after="120" w:line="360" w:lineRule="auto"/>
      </w:pPr>
      <w:r>
        <w:rPr>
          <w:rFonts w:hint="eastAsia"/>
        </w:rPr>
        <w:t>一般要求</w:t>
      </w:r>
    </w:p>
    <w:p w14:paraId="1803122B">
      <w:pPr>
        <w:pStyle w:val="165"/>
        <w:spacing w:line="360" w:lineRule="auto"/>
      </w:pPr>
      <w:r>
        <w:rPr>
          <w:rFonts w:hint="eastAsia"/>
        </w:rPr>
        <w:t>数据评价应同时考虑单次检测结果与历史趋势。对安全风险强相关指标应优先采用保守判定原则，对趋势性劣化指标应关注变化速率与联动信号。</w:t>
      </w:r>
    </w:p>
    <w:p w14:paraId="57D3E59F">
      <w:pPr>
        <w:pStyle w:val="165"/>
        <w:spacing w:line="360" w:lineRule="auto"/>
      </w:pPr>
      <w:r>
        <w:rPr>
          <w:rFonts w:hint="eastAsia"/>
        </w:rPr>
        <w:t>数据评价应结合运行工况信息开展综合研判。至少应纳入最高运行温度与温度波动、循环泵运行状态、系统压差变化、过滤器维护记录、补油频次与补油来源、超温报警与联锁记录、检修开口暴露或泄漏进水事件等信息。</w:t>
      </w:r>
    </w:p>
    <w:p w14:paraId="29582E56">
      <w:pPr>
        <w:pStyle w:val="165"/>
        <w:spacing w:line="360" w:lineRule="auto"/>
      </w:pPr>
      <w:r>
        <w:rPr>
          <w:rFonts w:hint="eastAsia"/>
        </w:rPr>
        <w:t>数据评价应保持口径一致。涉及取样点位、方法版本、检测机构或仪器变更时，应说明可比性影响，并在必要时通过平行样比对建立衔接关系。</w:t>
      </w:r>
    </w:p>
    <w:p w14:paraId="23543039">
      <w:pPr>
        <w:pStyle w:val="105"/>
        <w:spacing w:before="120" w:after="120" w:line="360" w:lineRule="auto"/>
      </w:pPr>
      <w:r>
        <w:rPr>
          <w:rFonts w:hint="eastAsia"/>
        </w:rPr>
        <w:t>指标评价要点</w:t>
      </w:r>
    </w:p>
    <w:p w14:paraId="4918A17C">
      <w:pPr>
        <w:pStyle w:val="65"/>
        <w:spacing w:before="120" w:after="120" w:line="360" w:lineRule="auto"/>
      </w:pPr>
      <w:r>
        <w:rPr>
          <w:rFonts w:hint="eastAsia"/>
        </w:rPr>
        <w:t>安全风险指标评价</w:t>
      </w:r>
    </w:p>
    <w:p w14:paraId="5023F4BE">
      <w:pPr>
        <w:pStyle w:val="56"/>
        <w:spacing w:line="360" w:lineRule="auto"/>
        <w:ind w:firstLine="420"/>
      </w:pPr>
      <w:r>
        <w:rPr>
          <w:rFonts w:hint="eastAsia"/>
        </w:rPr>
        <w:t>闪点、水分与低沸物趋势属于优先评价指标。闪点异常下降或持续下降趋势应视为重大安全风险信号，应立即核查系统温控与局部过热风险，并评估是否需要停机处置或降低运行温度。水分异常应优先排查泄漏进水路径，并尽快实施脱水与系统干燥，避免汽蚀、腐蚀与异常放空。</w:t>
      </w:r>
    </w:p>
    <w:p w14:paraId="51148B1F">
      <w:pPr>
        <w:pStyle w:val="65"/>
        <w:spacing w:before="120" w:after="120" w:line="360" w:lineRule="auto"/>
      </w:pPr>
      <w:r>
        <w:rPr>
          <w:rFonts w:hint="eastAsia"/>
        </w:rPr>
        <w:t>稳定性指标评价</w:t>
      </w:r>
    </w:p>
    <w:p w14:paraId="1F22C94E">
      <w:pPr>
        <w:pStyle w:val="56"/>
        <w:spacing w:line="360" w:lineRule="auto"/>
        <w:ind w:firstLine="420"/>
      </w:pPr>
      <w:r>
        <w:rPr>
          <w:rFonts w:hint="eastAsia"/>
        </w:rPr>
        <w:t>酸值、黏度与高沸物趋势用于评价氧化聚合与热裂化平衡状态。酸值上升与黏度上升通常提示氧化聚合占主导，可能伴随沉积物生成与结焦风险提升。高沸物增加、馏程尾段上移或黏度持续上升时，应评估在线再生或更换计划。</w:t>
      </w:r>
    </w:p>
    <w:p w14:paraId="008F1E55">
      <w:pPr>
        <w:pStyle w:val="65"/>
        <w:spacing w:before="120" w:after="120" w:line="360" w:lineRule="auto"/>
      </w:pPr>
      <w:r>
        <w:rPr>
          <w:rFonts w:hint="eastAsia"/>
        </w:rPr>
        <w:t>清洁度指标评价</w:t>
      </w:r>
    </w:p>
    <w:p w14:paraId="2A20FD38">
      <w:pPr>
        <w:pStyle w:val="56"/>
        <w:spacing w:line="360" w:lineRule="auto"/>
        <w:ind w:firstLine="420"/>
      </w:pPr>
      <w:r>
        <w:rPr>
          <w:rFonts w:hint="eastAsia"/>
        </w:rPr>
        <w:t>机械杂质、不溶物与污染度反映固体污染与劣化产物积累。指标突增通常与过滤系统失效、结焦剥落、设备磨损或外来污染有关，应结合过滤器压差、排污沉积物与检修记录核查污染来源，并采取净化过滤或系统清洗措施。</w:t>
      </w:r>
    </w:p>
    <w:p w14:paraId="46D2343C">
      <w:pPr>
        <w:pStyle w:val="105"/>
        <w:spacing w:before="120" w:after="120" w:line="360" w:lineRule="auto"/>
      </w:pPr>
      <w:r>
        <w:rPr>
          <w:rFonts w:hint="eastAsia"/>
        </w:rPr>
        <w:t>分级评价框架</w:t>
      </w:r>
    </w:p>
    <w:p w14:paraId="4716F1C4">
      <w:pPr>
        <w:pStyle w:val="165"/>
        <w:spacing w:line="360" w:lineRule="auto"/>
      </w:pPr>
      <w:r>
        <w:rPr>
          <w:rFonts w:hint="eastAsia"/>
        </w:rPr>
        <w:t>分级评价宜采用四级管理，等级由低到高分别为正常、关注、预警、严重。分级应以关键安全指标为优先触发条件，并兼顾趋势性指标的累计风险。</w:t>
      </w:r>
    </w:p>
    <w:p w14:paraId="2F45552F">
      <w:pPr>
        <w:pStyle w:val="165"/>
        <w:spacing w:line="360" w:lineRule="auto"/>
      </w:pPr>
      <w:r>
        <w:rPr>
          <w:rFonts w:hint="eastAsia"/>
        </w:rPr>
        <w:t>分级判定宜遵循以下逻辑：</w:t>
      </w:r>
    </w:p>
    <w:p w14:paraId="11E1CB3C">
      <w:pPr>
        <w:pStyle w:val="56"/>
        <w:spacing w:line="360" w:lineRule="auto"/>
        <w:ind w:firstLine="420"/>
      </w:pPr>
      <w:r>
        <w:rPr>
          <w:rFonts w:hint="eastAsia"/>
        </w:rPr>
        <w:t>a) 任一关键安全指标出现明显异常，且复核确认后仍超出使用单位控制阈值，应至少判定为预警；</w:t>
      </w:r>
    </w:p>
    <w:p w14:paraId="1E3E8A80">
      <w:pPr>
        <w:pStyle w:val="56"/>
        <w:spacing w:line="360" w:lineRule="auto"/>
        <w:ind w:firstLine="420"/>
      </w:pPr>
      <w:r>
        <w:rPr>
          <w:rFonts w:hint="eastAsia"/>
        </w:rPr>
        <w:t>b) 闪点存在显著下降且伴随低沸物趋势增强，或存在与火灾爆燃相关的高风险信号时，应判定为严重；</w:t>
      </w:r>
    </w:p>
    <w:p w14:paraId="605411D6">
      <w:pPr>
        <w:pStyle w:val="56"/>
        <w:spacing w:line="360" w:lineRule="auto"/>
        <w:ind w:firstLine="420"/>
      </w:pPr>
      <w:r>
        <w:rPr>
          <w:rFonts w:hint="eastAsia"/>
        </w:rPr>
        <w:t>c) 酸值、黏度、不溶物等趋势性指标单次轻度异常但连续两个周期持续恶化时，应提高分级；</w:t>
      </w:r>
    </w:p>
    <w:p w14:paraId="4F01D7B3">
      <w:pPr>
        <w:pStyle w:val="56"/>
        <w:spacing w:line="360" w:lineRule="auto"/>
        <w:ind w:firstLine="420"/>
      </w:pPr>
      <w:r>
        <w:rPr>
          <w:rFonts w:hint="eastAsia"/>
        </w:rPr>
        <w:t>d) 多指标联动异常或异常与运行故障联动出现时，应提高分级并采取更强处置措施。</w:t>
      </w:r>
    </w:p>
    <w:p w14:paraId="2B8587B7">
      <w:pPr>
        <w:pStyle w:val="179"/>
      </w:pPr>
      <w:r>
        <w:rPr>
          <w:rFonts w:hint="eastAsia"/>
        </w:rPr>
        <w:t>具体阈值应以适用标准、产品技术文件或使用单位制度为准。本文件给出的分级为实施框架，用于统一处置强度与工作流程。</w:t>
      </w:r>
    </w:p>
    <w:p w14:paraId="6B029B15">
      <w:pPr>
        <w:pStyle w:val="105"/>
        <w:spacing w:before="120" w:after="120" w:line="360" w:lineRule="auto"/>
      </w:pPr>
      <w:r>
        <w:rPr>
          <w:rFonts w:hint="eastAsia"/>
        </w:rPr>
        <w:t>分级处置建议</w:t>
      </w:r>
    </w:p>
    <w:p w14:paraId="73629DAF">
      <w:pPr>
        <w:pStyle w:val="65"/>
        <w:spacing w:before="120" w:after="120" w:line="360" w:lineRule="auto"/>
      </w:pPr>
      <w:r>
        <w:rPr>
          <w:rFonts w:hint="eastAsia"/>
        </w:rPr>
        <w:t>正常等级处置建议</w:t>
      </w:r>
    </w:p>
    <w:p w14:paraId="68E3C513">
      <w:pPr>
        <w:pStyle w:val="56"/>
        <w:spacing w:line="360" w:lineRule="auto"/>
        <w:ind w:firstLine="420"/>
      </w:pPr>
      <w:r>
        <w:rPr>
          <w:rFonts w:hint="eastAsia"/>
        </w:rPr>
        <w:t>介质指标满足控制阈值且趋势稳定时，可继续运行。建议保持常规检测周期，并完善运行记录，形成可追溯的趋势数据。</w:t>
      </w:r>
    </w:p>
    <w:p w14:paraId="056A8C84">
      <w:pPr>
        <w:pStyle w:val="65"/>
        <w:spacing w:before="120" w:after="120" w:line="360" w:lineRule="auto"/>
      </w:pPr>
      <w:r>
        <w:rPr>
          <w:rFonts w:hint="eastAsia"/>
        </w:rPr>
        <w:t>关注等级处置建议</w:t>
      </w:r>
    </w:p>
    <w:p w14:paraId="48803D48">
      <w:pPr>
        <w:pStyle w:val="56"/>
        <w:spacing w:line="360" w:lineRule="auto"/>
        <w:ind w:firstLine="420"/>
      </w:pPr>
      <w:r>
        <w:rPr>
          <w:rFonts w:hint="eastAsia"/>
        </w:rPr>
        <w:t>出现轻度异常或趋势性劣化信号但未达到安全风险阈值时，应提高关注并缩短复检周期。建议开展一次针对性核查，包括过滤器状态、补油来源、密封与氮封条件、最高膜温控制、排污沉积物情况等，并对异常指标进行复测确认。必要时可采取过滤净化或小比例补油更新，以延缓劣化发展。</w:t>
      </w:r>
    </w:p>
    <w:p w14:paraId="65BC8B25">
      <w:pPr>
        <w:pStyle w:val="65"/>
        <w:spacing w:before="120" w:after="120" w:line="360" w:lineRule="auto"/>
      </w:pPr>
      <w:r>
        <w:rPr>
          <w:rFonts w:hint="eastAsia"/>
        </w:rPr>
        <w:t>预警等级处置建议</w:t>
      </w:r>
    </w:p>
    <w:p w14:paraId="0D3302C8">
      <w:pPr>
        <w:pStyle w:val="56"/>
        <w:spacing w:line="360" w:lineRule="auto"/>
        <w:ind w:firstLine="420"/>
      </w:pPr>
      <w:r>
        <w:rPr>
          <w:rFonts w:hint="eastAsia"/>
        </w:rPr>
        <w:t>出现关键指标明显异常或多指标联动异常时，应启动预警处置。建议采取以下措施：</w:t>
      </w:r>
    </w:p>
    <w:p w14:paraId="78FE5B30">
      <w:pPr>
        <w:pStyle w:val="56"/>
        <w:spacing w:line="360" w:lineRule="auto"/>
        <w:ind w:firstLine="420"/>
      </w:pPr>
      <w:r>
        <w:rPr>
          <w:rFonts w:hint="eastAsia"/>
        </w:rPr>
        <w:t>a) 立即复核异常指标，并采用平行样或替代方法进行交叉验证；</w:t>
      </w:r>
    </w:p>
    <w:p w14:paraId="50FD4AE7">
      <w:pPr>
        <w:pStyle w:val="56"/>
        <w:spacing w:line="360" w:lineRule="auto"/>
        <w:ind w:firstLine="420"/>
      </w:pPr>
      <w:r>
        <w:rPr>
          <w:rFonts w:hint="eastAsia"/>
        </w:rPr>
        <w:t>b) 对闪点下降或低沸物趋势明显的，降低运行温度并排查局部过热，必要时短期停机检查加热面结焦与温控系统；</w:t>
      </w:r>
    </w:p>
    <w:p w14:paraId="202F7389">
      <w:pPr>
        <w:pStyle w:val="56"/>
        <w:spacing w:line="360" w:lineRule="auto"/>
        <w:ind w:firstLine="420"/>
      </w:pPr>
      <w:r>
        <w:rPr>
          <w:rFonts w:hint="eastAsia"/>
        </w:rPr>
        <w:t>c) 对水分异常的，查找进水路径并实施脱水与系统干燥，检查换热器泄漏风险；</w:t>
      </w:r>
    </w:p>
    <w:p w14:paraId="57700CA9">
      <w:pPr>
        <w:pStyle w:val="56"/>
        <w:spacing w:line="360" w:lineRule="auto"/>
        <w:ind w:firstLine="420"/>
      </w:pPr>
      <w:r>
        <w:rPr>
          <w:rFonts w:hint="eastAsia"/>
        </w:rPr>
        <w:t>d) 对污染度或不溶物突增的，实施循环过滤净化并检查过滤系统，必要时开展系统清洗与沉积物分析；</w:t>
      </w:r>
    </w:p>
    <w:p w14:paraId="12A2B994">
      <w:pPr>
        <w:pStyle w:val="56"/>
        <w:spacing w:line="360" w:lineRule="auto"/>
        <w:ind w:firstLine="420"/>
      </w:pPr>
      <w:r>
        <w:rPr>
          <w:rFonts w:hint="eastAsia"/>
        </w:rPr>
        <w:t>e) 形成专项处置记录，并在处置完成后进行复检确认。</w:t>
      </w:r>
    </w:p>
    <w:p w14:paraId="257B0B05">
      <w:pPr>
        <w:pStyle w:val="65"/>
        <w:spacing w:before="120" w:after="120" w:line="360" w:lineRule="auto"/>
      </w:pPr>
      <w:r>
        <w:rPr>
          <w:rFonts w:hint="eastAsia"/>
        </w:rPr>
        <w:t>严重等级处置建议</w:t>
      </w:r>
    </w:p>
    <w:p w14:paraId="7C627908">
      <w:pPr>
        <w:pStyle w:val="56"/>
        <w:spacing w:line="360" w:lineRule="auto"/>
        <w:ind w:firstLine="420"/>
      </w:pPr>
      <w:r>
        <w:rPr>
          <w:rFonts w:hint="eastAsia"/>
        </w:rPr>
        <w:t>出现重大安全风险信号或异常已导致系统故障征兆时，应采取强制性控制措施。建议包括：</w:t>
      </w:r>
    </w:p>
    <w:p w14:paraId="68CA2D47">
      <w:pPr>
        <w:pStyle w:val="56"/>
        <w:spacing w:line="360" w:lineRule="auto"/>
        <w:ind w:firstLine="420"/>
      </w:pPr>
      <w:r>
        <w:rPr>
          <w:rFonts w:hint="eastAsia"/>
        </w:rPr>
        <w:t>a) 视风险程度实施停机或局部停运，并采取降温、泄压、隔离等安全控制；</w:t>
      </w:r>
    </w:p>
    <w:p w14:paraId="2F37E2EC">
      <w:pPr>
        <w:pStyle w:val="56"/>
        <w:spacing w:line="360" w:lineRule="auto"/>
        <w:ind w:firstLine="420"/>
      </w:pPr>
      <w:r>
        <w:rPr>
          <w:rFonts w:hint="eastAsia"/>
        </w:rPr>
        <w:t>b) 组织专项技术评估，评估介质是否具备继续使用条件及再生可行性；</w:t>
      </w:r>
    </w:p>
    <w:p w14:paraId="0E094151">
      <w:pPr>
        <w:pStyle w:val="56"/>
        <w:spacing w:line="360" w:lineRule="auto"/>
        <w:ind w:firstLine="420"/>
      </w:pPr>
      <w:r>
        <w:rPr>
          <w:rFonts w:hint="eastAsia"/>
        </w:rPr>
        <w:t>c) 对确认不可控或再生不可行的，应制定更换方案并实施全量更换或分段更换，同时处理系统沉积物并清理过滤器；</w:t>
      </w:r>
    </w:p>
    <w:p w14:paraId="141B8224">
      <w:pPr>
        <w:pStyle w:val="56"/>
        <w:spacing w:line="360" w:lineRule="auto"/>
        <w:ind w:firstLine="420"/>
      </w:pPr>
      <w:r>
        <w:rPr>
          <w:rFonts w:hint="eastAsia"/>
        </w:rPr>
        <w:t>d) 对混油风险或来源不明的，应停止补油并开展成分识别，避免扩大混油范围；</w:t>
      </w:r>
    </w:p>
    <w:p w14:paraId="6FED5547">
      <w:pPr>
        <w:pStyle w:val="56"/>
        <w:spacing w:line="360" w:lineRule="auto"/>
        <w:ind w:firstLine="420"/>
      </w:pPr>
      <w:r>
        <w:rPr>
          <w:rFonts w:hint="eastAsia"/>
        </w:rPr>
        <w:t>e) 完成处置后应开展基线检测，重建趋势监测基准。</w:t>
      </w:r>
    </w:p>
    <w:p w14:paraId="788A0297">
      <w:pPr>
        <w:pStyle w:val="105"/>
        <w:spacing w:before="120" w:after="120" w:line="360" w:lineRule="auto"/>
      </w:pPr>
      <w:r>
        <w:rPr>
          <w:rFonts w:hint="eastAsia"/>
        </w:rPr>
        <w:t>复检策略与闭环要求</w:t>
      </w:r>
    </w:p>
    <w:p w14:paraId="42DF4CAF">
      <w:pPr>
        <w:pStyle w:val="165"/>
        <w:spacing w:line="360" w:lineRule="auto"/>
      </w:pPr>
      <w:r>
        <w:rPr>
          <w:rFonts w:hint="eastAsia"/>
        </w:rPr>
        <w:t>处置后复检应针对触发指标与联动指标设置复检项目，确保处置有效。复检结论应与处置措施形成闭环记录，并纳入设备运行档案。</w:t>
      </w:r>
    </w:p>
    <w:p w14:paraId="56445F08">
      <w:pPr>
        <w:pStyle w:val="165"/>
        <w:spacing w:line="360" w:lineRule="auto"/>
      </w:pPr>
      <w:r>
        <w:rPr>
          <w:rFonts w:hint="eastAsia"/>
        </w:rPr>
        <w:t>对关注及以上等级，应建立趋势跟踪机制。趋势跟踪应至少包含关键指标曲线、运行温度曲线、压差与过滤维护记录、补油记录与异常事件记录。</w:t>
      </w:r>
    </w:p>
    <w:p w14:paraId="3CB24AE9">
      <w:pPr>
        <w:pStyle w:val="165"/>
        <w:spacing w:line="360" w:lineRule="auto"/>
      </w:pPr>
      <w:r>
        <w:rPr>
          <w:rFonts w:hint="eastAsia"/>
        </w:rPr>
        <w:t>对预警及严重等级事件应组织复盘，明确根因、纠正措施与防再发措施。复盘结果应用于优化检测频次、取样点位设置与运行控制策略。</w:t>
      </w:r>
    </w:p>
    <w:p w14:paraId="2BD9D1D8">
      <w:pPr>
        <w:pStyle w:val="104"/>
        <w:spacing w:before="240" w:after="240" w:line="360" w:lineRule="auto"/>
      </w:pPr>
      <w:bookmarkStart w:id="54" w:name="_Toc218978375"/>
      <w:r>
        <w:rPr>
          <w:rFonts w:hint="eastAsia"/>
        </w:rPr>
        <w:t>检测报告与资料归档要点</w:t>
      </w:r>
      <w:bookmarkEnd w:id="54"/>
    </w:p>
    <w:p w14:paraId="1D223572">
      <w:pPr>
        <w:pStyle w:val="105"/>
        <w:spacing w:before="120" w:after="120" w:line="360" w:lineRule="auto"/>
      </w:pPr>
      <w:r>
        <w:rPr>
          <w:rFonts w:hint="eastAsia"/>
        </w:rPr>
        <w:t>一般要求</w:t>
      </w:r>
    </w:p>
    <w:p w14:paraId="118FA93F">
      <w:pPr>
        <w:pStyle w:val="165"/>
        <w:spacing w:line="360" w:lineRule="auto"/>
      </w:pPr>
      <w:r>
        <w:rPr>
          <w:rFonts w:hint="eastAsia"/>
        </w:rPr>
        <w:t>检测报告应真实、准确、完整，能够复现取样条件、检测方法、数据处理过程与判读依据。报告内容应满足特种设备安全技术档案管理要求，并能支撑监督检验、定期检验与运行管理决策。</w:t>
      </w:r>
    </w:p>
    <w:p w14:paraId="2D8CD542">
      <w:pPr>
        <w:pStyle w:val="165"/>
        <w:spacing w:line="360" w:lineRule="auto"/>
      </w:pPr>
      <w:r>
        <w:rPr>
          <w:rFonts w:hint="eastAsia"/>
        </w:rPr>
        <w:t>检测报告应与样品编号一一对应，并与取样记录、样品流转记录、原始检测记录和复核记录形成可追溯链条。报告中引用的标准、方法版本与仪器校准状态应明确。</w:t>
      </w:r>
    </w:p>
    <w:p w14:paraId="78993D62">
      <w:pPr>
        <w:pStyle w:val="165"/>
        <w:spacing w:line="360" w:lineRule="auto"/>
      </w:pPr>
      <w:r>
        <w:rPr>
          <w:rFonts w:hint="eastAsia"/>
        </w:rPr>
        <w:t>检测报告应区分客观结果与技术建议。结果部分应给出实测数据与必要统计信息，建议部分应给出风险判断、分级结论与处置建议，并说明建议适用边界与依据。</w:t>
      </w:r>
    </w:p>
    <w:p w14:paraId="623E2EA8">
      <w:pPr>
        <w:pStyle w:val="105"/>
        <w:spacing w:before="120" w:after="120" w:line="360" w:lineRule="auto"/>
      </w:pPr>
      <w:r>
        <w:rPr>
          <w:rFonts w:hint="eastAsia"/>
        </w:rPr>
        <w:t>报告基本信息要求</w:t>
      </w:r>
    </w:p>
    <w:p w14:paraId="2B3F5A38">
      <w:pPr>
        <w:pStyle w:val="56"/>
        <w:spacing w:line="360" w:lineRule="auto"/>
        <w:ind w:firstLine="420"/>
      </w:pPr>
      <w:r>
        <w:rPr>
          <w:rFonts w:hint="eastAsia"/>
        </w:rPr>
        <w:t>检测报告应至少包含以下基本信息：</w:t>
      </w:r>
    </w:p>
    <w:p w14:paraId="3874DF1A">
      <w:pPr>
        <w:pStyle w:val="56"/>
        <w:spacing w:line="360" w:lineRule="auto"/>
        <w:ind w:firstLine="420"/>
      </w:pPr>
      <w:r>
        <w:rPr>
          <w:rFonts w:hint="eastAsia"/>
        </w:rPr>
        <w:t>a) 委托单位、使用单位、设备或系统名称、设备编号及特种设备使用登记信息相关标识；</w:t>
      </w:r>
    </w:p>
    <w:p w14:paraId="769FAA3B">
      <w:pPr>
        <w:pStyle w:val="56"/>
        <w:spacing w:line="360" w:lineRule="auto"/>
        <w:ind w:firstLine="420"/>
      </w:pPr>
      <w:r>
        <w:rPr>
          <w:rFonts w:hint="eastAsia"/>
        </w:rPr>
        <w:t>b) 有机热载体名称、牌号或类型、充装量、投运或更换日期、运行年限；</w:t>
      </w:r>
    </w:p>
    <w:p w14:paraId="665285B4">
      <w:pPr>
        <w:pStyle w:val="56"/>
        <w:spacing w:line="360" w:lineRule="auto"/>
        <w:ind w:firstLine="420"/>
      </w:pPr>
      <w:r>
        <w:rPr>
          <w:rFonts w:hint="eastAsia"/>
        </w:rPr>
        <w:t>c) 取样日期与时间、取样点位描述、运行温度与系统状态、取样人员与见证信息；</w:t>
      </w:r>
    </w:p>
    <w:p w14:paraId="7D8FFBCE">
      <w:pPr>
        <w:pStyle w:val="56"/>
        <w:spacing w:line="360" w:lineRule="auto"/>
        <w:ind w:firstLine="420"/>
      </w:pPr>
      <w:r>
        <w:rPr>
          <w:rFonts w:hint="eastAsia"/>
        </w:rPr>
        <w:t>d) 检测机构名称、资质信息、检测地点、检测日期、报告编号与页码信息。</w:t>
      </w:r>
    </w:p>
    <w:p w14:paraId="22CCDA51">
      <w:pPr>
        <w:pStyle w:val="105"/>
        <w:spacing w:before="120" w:after="120" w:line="360" w:lineRule="auto"/>
      </w:pPr>
      <w:r>
        <w:rPr>
          <w:rFonts w:hint="eastAsia"/>
        </w:rPr>
        <w:t>方法与条件描述要求</w:t>
      </w:r>
    </w:p>
    <w:p w14:paraId="5D3D43FD">
      <w:pPr>
        <w:pStyle w:val="165"/>
        <w:spacing w:line="360" w:lineRule="auto"/>
      </w:pPr>
      <w:r>
        <w:rPr>
          <w:rFonts w:hint="eastAsia"/>
        </w:rPr>
        <w:t>报告应列明采用的检测项目与对应方法依据，至少写明标准编号、方法名称与版本信息。采用等效方法或内部方法时，应说明等效性依据与适用范围。</w:t>
      </w:r>
    </w:p>
    <w:p w14:paraId="72D7E103">
      <w:pPr>
        <w:pStyle w:val="165"/>
        <w:spacing w:line="360" w:lineRule="auto"/>
      </w:pPr>
      <w:r>
        <w:rPr>
          <w:rFonts w:hint="eastAsia"/>
        </w:rPr>
        <w:t>报告应说明样品接收与保存情况，包括容器类型、密封状态、样品量、外观检查结果、运输与存放时间。对可能影响低沸物与闪点的样品，应说明控制措施与代表性说明。</w:t>
      </w:r>
    </w:p>
    <w:p w14:paraId="59B21EAE">
      <w:pPr>
        <w:pStyle w:val="165"/>
        <w:spacing w:line="360" w:lineRule="auto"/>
      </w:pPr>
      <w:r>
        <w:rPr>
          <w:rFonts w:hint="eastAsia"/>
        </w:rPr>
        <w:t>报告应列明关键仪器设备信息，包括仪器名称、型号、编号、校准或期间核查状态及有效期。对影响结论的关键参数控制点，应说明控制方式。</w:t>
      </w:r>
    </w:p>
    <w:p w14:paraId="0E8B8975">
      <w:pPr>
        <w:pStyle w:val="105"/>
        <w:spacing w:before="120" w:after="120" w:line="360" w:lineRule="auto"/>
      </w:pPr>
      <w:r>
        <w:rPr>
          <w:rFonts w:hint="eastAsia"/>
        </w:rPr>
        <w:t>数据记录与结果表达要求</w:t>
      </w:r>
    </w:p>
    <w:p w14:paraId="1ACE35E6">
      <w:pPr>
        <w:pStyle w:val="165"/>
        <w:spacing w:line="360" w:lineRule="auto"/>
      </w:pPr>
      <w:r>
        <w:rPr>
          <w:rFonts w:hint="eastAsia"/>
        </w:rPr>
        <w:t>报告应给出各检测项目的实测结果、单位与判读口径。对需要复测或平行样的项目，应同时给出复测结果并说明采用值。</w:t>
      </w:r>
    </w:p>
    <w:p w14:paraId="5113CFA3">
      <w:pPr>
        <w:pStyle w:val="165"/>
        <w:spacing w:line="360" w:lineRule="auto"/>
      </w:pPr>
      <w:r>
        <w:rPr>
          <w:rFonts w:hint="eastAsia"/>
        </w:rPr>
        <w:t>报告宜给出必要的对比信息，包括上次检测结果、历史趋势摘要或参考阈值区间。对趋势性评价应说明数据可比性前提，例如取样点位一致性、方法一致性与设备状态一致性。</w:t>
      </w:r>
    </w:p>
    <w:p w14:paraId="390B8231">
      <w:pPr>
        <w:pStyle w:val="165"/>
        <w:spacing w:line="360" w:lineRule="auto"/>
      </w:pPr>
      <w:r>
        <w:rPr>
          <w:rFonts w:hint="eastAsia"/>
        </w:rPr>
        <w:t>对异常结果应给出异常说明与复核结论。复核应包括复测方式、复测结果、差异原因分析与最终结论。不得仅以单次异常值直接给出更换结论而缺少复核与综合判读。</w:t>
      </w:r>
    </w:p>
    <w:p w14:paraId="34E472FF">
      <w:pPr>
        <w:pStyle w:val="165"/>
        <w:spacing w:line="360" w:lineRule="auto"/>
      </w:pPr>
      <w:r>
        <w:rPr>
          <w:rFonts w:hint="eastAsia"/>
        </w:rPr>
        <w:t>报告可附必要图示或附件索引，例如关键指标趋势曲线、馏程曲线摘要、污染度分级结果或典型照片。图示应能追溯到原始数据文件。</w:t>
      </w:r>
    </w:p>
    <w:p w14:paraId="4BF889FF">
      <w:pPr>
        <w:pStyle w:val="105"/>
        <w:spacing w:before="120" w:after="120" w:line="360" w:lineRule="auto"/>
      </w:pPr>
      <w:r>
        <w:rPr>
          <w:rFonts w:hint="eastAsia"/>
        </w:rPr>
        <w:t>判读结论与处置建议要求</w:t>
      </w:r>
    </w:p>
    <w:p w14:paraId="6AD040F0">
      <w:pPr>
        <w:pStyle w:val="165"/>
        <w:spacing w:line="360" w:lineRule="auto"/>
      </w:pPr>
      <w:r>
        <w:rPr>
          <w:rFonts w:hint="eastAsia"/>
        </w:rPr>
        <w:t>报告应给出分级评价结论，至少包括正常、关注、预警或严重的等级判定，并明确触发判定的关键指标与依据。</w:t>
      </w:r>
    </w:p>
    <w:p w14:paraId="1CEA4DBC">
      <w:pPr>
        <w:pStyle w:val="165"/>
        <w:spacing w:line="360" w:lineRule="auto"/>
      </w:pPr>
      <w:r>
        <w:rPr>
          <w:rFonts w:hint="eastAsia"/>
        </w:rPr>
        <w:t>报告应给出与分级相匹配的处置建议。处置建议应明确建议动作、建议完成时限或复检节点、建议关注指标以及安全控制要点。建议动作可包括继续使用并跟踪、过滤净化、脱水处理、补充更新、在线再生、分段更换或全部更换等。</w:t>
      </w:r>
    </w:p>
    <w:p w14:paraId="2C239325">
      <w:pPr>
        <w:pStyle w:val="165"/>
        <w:spacing w:line="360" w:lineRule="auto"/>
      </w:pPr>
      <w:r>
        <w:rPr>
          <w:rFonts w:hint="eastAsia"/>
        </w:rPr>
        <w:t>当报告建议涉及降温、停机、泄放、清洗或更换等高风险操作时，应提示使用单位按安全作业管理制度执行，并结合设备工艺条件制定专项方案。检测机构不应替代使用单位作出运行决策，但应提供必要的风险提示与技术依据。</w:t>
      </w:r>
    </w:p>
    <w:p w14:paraId="43EC1B52">
      <w:pPr>
        <w:pStyle w:val="105"/>
        <w:spacing w:before="120" w:after="120" w:line="360" w:lineRule="auto"/>
      </w:pPr>
      <w:r>
        <w:rPr>
          <w:rFonts w:hint="eastAsia"/>
        </w:rPr>
        <w:t>原始记录与证据链要求</w:t>
      </w:r>
    </w:p>
    <w:p w14:paraId="7727E366">
      <w:pPr>
        <w:pStyle w:val="165"/>
        <w:spacing w:line="360" w:lineRule="auto"/>
      </w:pPr>
      <w:r>
        <w:rPr>
          <w:rFonts w:hint="eastAsia"/>
        </w:rPr>
        <w:t>检测机构应保存原始记录。原始记录应包括样品接收记录、检测原始读数、计算过程、质量控制结果、复测记录、异常偏差处置记录与审核签字记录。</w:t>
      </w:r>
    </w:p>
    <w:p w14:paraId="05213578">
      <w:pPr>
        <w:pStyle w:val="165"/>
        <w:spacing w:line="360" w:lineRule="auto"/>
      </w:pPr>
      <w:r>
        <w:rPr>
          <w:rFonts w:hint="eastAsia"/>
        </w:rPr>
        <w:t>对外观异常、沉积物明显或疑似混油等情形，应保留照片或视频证据，并与样品编号对应。</w:t>
      </w:r>
    </w:p>
    <w:p w14:paraId="19209730">
      <w:pPr>
        <w:pStyle w:val="165"/>
        <w:spacing w:line="360" w:lineRule="auto"/>
      </w:pPr>
      <w:r>
        <w:rPr>
          <w:rFonts w:hint="eastAsia"/>
        </w:rPr>
        <w:t>电子数据应保存原始文件与导出文件，记录文件生成时间、软件版本或仪器版本信息，并具备防篡改与备份机制。</w:t>
      </w:r>
    </w:p>
    <w:p w14:paraId="5AF6C749">
      <w:pPr>
        <w:pStyle w:val="105"/>
        <w:spacing w:before="120" w:after="120" w:line="360" w:lineRule="auto"/>
      </w:pPr>
      <w:r>
        <w:rPr>
          <w:rFonts w:hint="eastAsia"/>
        </w:rPr>
        <w:t>资料归档与移交流程</w:t>
      </w:r>
    </w:p>
    <w:p w14:paraId="14AF6AD3">
      <w:pPr>
        <w:pStyle w:val="165"/>
        <w:spacing w:line="360" w:lineRule="auto"/>
      </w:pPr>
      <w:r>
        <w:rPr>
          <w:rFonts w:hint="eastAsia"/>
        </w:rPr>
        <w:t>使用单位应将检测报告及相关处置记录纳入特种设备安全技术档案。归档内容宜包括取样记录、检测报告、复检报告、处置措施记录、补油或更换记录、过滤器维护记录、异常事件与复盘记录。</w:t>
      </w:r>
    </w:p>
    <w:p w14:paraId="63ACE3A6">
      <w:pPr>
        <w:pStyle w:val="165"/>
        <w:spacing w:line="360" w:lineRule="auto"/>
      </w:pPr>
      <w:r>
        <w:rPr>
          <w:rFonts w:hint="eastAsia"/>
        </w:rPr>
        <w:t>检测机构向使用单位移交资料时，应确保报告为正式签发版本，并提供必要的附件或数据索引。涉及复核与偏差评审的，应一并移交复核说明或偏差评审结论。</w:t>
      </w:r>
    </w:p>
    <w:p w14:paraId="1535654F">
      <w:pPr>
        <w:pStyle w:val="165"/>
        <w:spacing w:line="360" w:lineRule="auto"/>
      </w:pPr>
      <w:r>
        <w:rPr>
          <w:rFonts w:hint="eastAsia"/>
        </w:rPr>
        <w:t>归档资料的保存期限应符合特种设备安全技术规范、监管要求及使用单位制度要求。涉及事故调查或争议的资料，应按更严格期限保存并确保可追溯性。</w:t>
      </w:r>
    </w:p>
    <w:p w14:paraId="3DFBD5A7">
      <w:pPr>
        <w:pStyle w:val="104"/>
        <w:spacing w:before="240" w:after="240" w:line="360" w:lineRule="auto"/>
      </w:pPr>
      <w:bookmarkStart w:id="55" w:name="_Toc218978376"/>
      <w:r>
        <w:rPr>
          <w:rFonts w:hint="eastAsia"/>
        </w:rPr>
        <w:t>附则</w:t>
      </w:r>
      <w:bookmarkEnd w:id="55"/>
    </w:p>
    <w:p w14:paraId="5880DE87">
      <w:pPr>
        <w:pStyle w:val="105"/>
        <w:spacing w:before="120" w:after="120" w:line="360" w:lineRule="auto"/>
      </w:pPr>
      <w:r>
        <w:rPr>
          <w:rFonts w:hint="eastAsia"/>
        </w:rPr>
        <w:t>实施要求</w:t>
      </w:r>
    </w:p>
    <w:p w14:paraId="26C88D87">
      <w:pPr>
        <w:pStyle w:val="165"/>
        <w:spacing w:line="360" w:lineRule="auto"/>
      </w:pPr>
      <w:r>
        <w:rPr>
          <w:rFonts w:hint="eastAsia"/>
        </w:rPr>
        <w:t>本文件发布后，使用单位应结合有机热载体系统规模、介质类型、运行温度区间与历史运行状况，建立适用本文件的检测计划与判读阈值管理文件，明确取样点位、检测频次、检测项目组合、复核规则与分级处置流程，并纳入特种设备安全管理制度。</w:t>
      </w:r>
    </w:p>
    <w:p w14:paraId="135F03EF">
      <w:pPr>
        <w:pStyle w:val="165"/>
        <w:spacing w:line="360" w:lineRule="auto"/>
      </w:pPr>
      <w:r>
        <w:rPr>
          <w:rFonts w:hint="eastAsia"/>
        </w:rPr>
        <w:t>检测机构应依据本文件要求完善作业指导书与记录模板，确保取样代表性、方法适用性、质量控制与证据链完整性。对涉及闪点、水分与馏程等安全关键项目，应建立异常复核与技术复审机制。</w:t>
      </w:r>
    </w:p>
    <w:p w14:paraId="4A45866F">
      <w:pPr>
        <w:pStyle w:val="165"/>
        <w:spacing w:line="360" w:lineRule="auto"/>
      </w:pPr>
      <w:r>
        <w:rPr>
          <w:rFonts w:hint="eastAsia"/>
        </w:rPr>
        <w:t>当产品技术文件、监管要求或安全技术规范对检测项目与判定口径提出更严格要求时，应优先执行其规定。本文件作为方法要点文件，可用于补充细化操作与记录要求，但不得削弱强制性要求。</w:t>
      </w:r>
    </w:p>
    <w:p w14:paraId="733124E0">
      <w:pPr>
        <w:pStyle w:val="105"/>
        <w:spacing w:before="120" w:after="120" w:line="360" w:lineRule="auto"/>
      </w:pPr>
      <w:r>
        <w:rPr>
          <w:rFonts w:hint="eastAsia"/>
        </w:rPr>
        <w:t>生效</w:t>
      </w:r>
    </w:p>
    <w:p w14:paraId="3396432E">
      <w:pPr>
        <w:pStyle w:val="56"/>
        <w:spacing w:line="360" w:lineRule="auto"/>
        <w:ind w:firstLine="420"/>
      </w:pPr>
      <w:r>
        <w:rPr>
          <w:rFonts w:hint="eastAsia"/>
        </w:rPr>
        <w:t>本文件自发布之日起实施。</w:t>
      </w:r>
    </w:p>
    <w:bookmarkEnd w:id="26"/>
    <w:p w14:paraId="285226B2">
      <w:pPr>
        <w:pStyle w:val="56"/>
        <w:ind w:firstLine="0" w:firstLineChars="0"/>
        <w:jc w:val="center"/>
      </w:pPr>
      <w:bookmarkStart w:id="56" w:name="BookMark8"/>
      <w:bookmarkStart w:id="57" w:name="_GoBack"/>
      <w:bookmarkEnd w:id="57"/>
      <w:r>
        <w:drawing>
          <wp:inline distT="0" distB="0" distL="0" distR="0">
            <wp:extent cx="1485900" cy="317500"/>
            <wp:effectExtent l="0" t="0" r="0" b="6350"/>
            <wp:docPr id="1702534221" name="图片 1"/>
            <wp:cNvGraphicFramePr/>
            <a:graphic xmlns:a="http://schemas.openxmlformats.org/drawingml/2006/main">
              <a:graphicData uri="http://schemas.openxmlformats.org/drawingml/2006/picture">
                <pic:pic xmlns:pic="http://schemas.openxmlformats.org/drawingml/2006/picture">
                  <pic:nvPicPr>
                    <pic:cNvPr id="1702534221" name="图片 1"/>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6"/>
    </w:p>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3DFB2">
    <w:pPr>
      <w:pStyle w:val="51"/>
    </w:pPr>
    <w:r>
      <w:fldChar w:fldCharType="begin"/>
    </w:r>
    <w:r>
      <w:instrText xml:space="preserve"> PAGE   \* MERGEFORMAT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0F158">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16CEC">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4CBFD">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F6DEA">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7CB62">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FE9A7">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A7C64">
    <w:pPr>
      <w:pStyle w:val="61"/>
    </w:pPr>
    <w:r>
      <w:fldChar w:fldCharType="begin"/>
    </w:r>
    <w:r>
      <w:instrText xml:space="preserve"> STYLEREF  标准文件_文件编号  \* MERGEFORMAT </w:instrText>
    </w:r>
    <w:r>
      <w:fldChar w:fldCharType="separate"/>
    </w:r>
    <w:r>
      <w:t>T/XJBX 0175—2026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327D7">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0175—2026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0175—2026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0175—2026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r>
      <w:pict>
        <v:shape id="PowerPlusWaterMarkObject29119159"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团体标准信息平台"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BE8DF">
    <w:pPr>
      <w:pStyle w:val="61"/>
    </w:pPr>
    <w:r>
      <w:fldChar w:fldCharType="begin"/>
    </w:r>
    <w:r>
      <w:instrText xml:space="preserve"> STYLEREF  标准文件_文件编号  \* MERGEFORMAT </w:instrText>
    </w:r>
    <w:r>
      <w:fldChar w:fldCharType="separate"/>
    </w:r>
    <w:r>
      <w:t>T/XJBX 0175—2026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8D1A8">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0175—2026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DFC97">
    <w:pPr>
      <w:pStyle w:val="61"/>
    </w:pPr>
    <w:r>
      <w:fldChar w:fldCharType="begin"/>
    </w:r>
    <w:r>
      <w:instrText xml:space="preserve"> STYLEREF  标准文件_文件编号  \* MERGEFORMAT </w:instrText>
    </w:r>
    <w:r>
      <w:fldChar w:fldCharType="separate"/>
    </w:r>
    <w:r>
      <w:t>T/XJBX 0175—2026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2FE70">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0175—2026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2"/>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15F1"/>
    <w:rsid w:val="00092B8A"/>
    <w:rsid w:val="00092FB0"/>
    <w:rsid w:val="000934C5"/>
    <w:rsid w:val="00093D25"/>
    <w:rsid w:val="00093DAB"/>
    <w:rsid w:val="00094D73"/>
    <w:rsid w:val="00096D63"/>
    <w:rsid w:val="000A0B60"/>
    <w:rsid w:val="000A0EB8"/>
    <w:rsid w:val="000A19FC"/>
    <w:rsid w:val="000A296B"/>
    <w:rsid w:val="000A3CAC"/>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5B0A"/>
    <w:rsid w:val="00281BB8"/>
    <w:rsid w:val="00281E9E"/>
    <w:rsid w:val="00281F64"/>
    <w:rsid w:val="002822A8"/>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114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19CD"/>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97AD2"/>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077F"/>
    <w:rsid w:val="00760B8D"/>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A78C4"/>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6E61"/>
    <w:rsid w:val="00977010"/>
    <w:rsid w:val="00977D02"/>
    <w:rsid w:val="00977FF9"/>
    <w:rsid w:val="009809BB"/>
    <w:rsid w:val="0098364B"/>
    <w:rsid w:val="00987FD3"/>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66AD"/>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1A81"/>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DB93DC3"/>
    <w:rsid w:val="77453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3.jpe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5BC4FB54">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42BB386A">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15E8582C">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153E34"/>
    <w:rsid w:val="00232C79"/>
    <w:rsid w:val="00292498"/>
    <w:rsid w:val="005E6634"/>
    <w:rsid w:val="007146E1"/>
    <w:rsid w:val="0076077F"/>
    <w:rsid w:val="00945F7D"/>
    <w:rsid w:val="009A66AD"/>
    <w:rsid w:val="00AB0425"/>
    <w:rsid w:val="00AE1DC6"/>
    <w:rsid w:val="00CE5598"/>
    <w:rsid w:val="00E51851"/>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19</Pages>
  <Words>4599</Words>
  <Characters>4933</Characters>
  <Lines>76</Lines>
  <Paragraphs>21</Paragraphs>
  <TotalTime>218</TotalTime>
  <ScaleCrop>false</ScaleCrop>
  <LinksUpToDate>false</LinksUpToDate>
  <CharactersWithSpaces>5042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2026-01-15T02:18:10Z</dcterms:modified>
  <dc:title>团体标准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EC104FD8427A46C293DD09B0087CFA78_12</vt:lpwstr>
  </property>
</Properties>
</file>