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29.06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29.060.20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K 13"/>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K 13</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73"/>
            </w:textInput>
          </w:ffData>
        </w:fldChar>
      </w:r>
      <w:bookmarkStart w:id="6" w:name="NSTD_CODE_F"/>
      <w:r>
        <w:instrText xml:space="preserve"> FORMTEXT </w:instrText>
      </w:r>
      <w:r>
        <w:fldChar w:fldCharType="separate"/>
      </w:r>
      <w:r>
        <w:t>0173</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电线电缆耐候性能加速检测操作指引"/>
            </w:textInput>
          </w:ffData>
        </w:fldChar>
      </w:r>
      <w:bookmarkStart w:id="9" w:name="CSTD_NAME"/>
      <w:r>
        <w:instrText xml:space="preserve"> FORMTEXT </w:instrText>
      </w:r>
      <w:r>
        <w:fldChar w:fldCharType="separate"/>
      </w:r>
      <w:r>
        <w:t>电线电缆耐候性能加速检测操作指引</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accelerated testing operation of weather resistance performance of wires and cabl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accelerated testing operation of weather resistance performance of wires and cables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7217BCE">
      <w:pPr>
        <w:pStyle w:val="91"/>
        <w:spacing w:after="360"/>
      </w:pPr>
      <w:bookmarkStart w:id="21" w:name="BookMark1"/>
      <w:r>
        <w:rPr>
          <w:rFonts w:hint="eastAsia"/>
          <w:spacing w:val="320"/>
        </w:rPr>
        <w:t>目</w:t>
      </w:r>
      <w:r>
        <w:rPr>
          <w:rFonts w:hint="eastAsia"/>
        </w:rPr>
        <w:t>次</w:t>
      </w:r>
    </w:p>
    <w:p w14:paraId="47E1025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"_Toc218973061"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_Toc218973061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E241D5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"_Toc218973062"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_Toc218973062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6A86B35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"_Toc218973063"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_Toc218973063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C9A68B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"_Toc218973064"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_Toc218973064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AB128F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"_Toc218973065"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_Toc218973065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97CC9A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"_Toc218973066" </w:instrText>
      </w:r>
      <w:r>
        <w:fldChar w:fldCharType="separate"/>
      </w:r>
      <w:r>
        <w:rPr>
          <w:rStyle w:val="32"/>
          <w:rFonts w:hint="eastAsia"/>
        </w:rPr>
        <w:t>4</w:t>
      </w:r>
      <w:r>
        <w:rPr>
          <w:rStyle w:val="32"/>
        </w:rPr>
        <w:t xml:space="preserve"> </w:t>
      </w:r>
      <w:r>
        <w:rPr>
          <w:rStyle w:val="32"/>
          <w:rFonts w:hint="eastAsia"/>
        </w:rPr>
        <w:t xml:space="preserve"> 试验原理与试验方案</w:t>
      </w:r>
      <w:r>
        <w:rPr>
          <w:rFonts w:hint="eastAsia"/>
        </w:rPr>
        <w:tab/>
      </w:r>
      <w:r>
        <w:rPr>
          <w:rFonts w:hint="eastAsia"/>
        </w:rPr>
        <w:fldChar w:fldCharType="begin"/>
      </w:r>
      <w:r>
        <w:rPr>
          <w:rFonts w:hint="eastAsia"/>
        </w:rPr>
        <w:instrText xml:space="preserve"> </w:instrText>
      </w:r>
      <w:r>
        <w:instrText xml:space="preserve">PAGEREF _Toc218973066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35090D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"_Toc218973067" </w:instrText>
      </w:r>
      <w:r>
        <w:fldChar w:fldCharType="separate"/>
      </w:r>
      <w:r>
        <w:rPr>
          <w:rStyle w:val="32"/>
          <w:rFonts w:hint="eastAsia"/>
        </w:rPr>
        <w:t>5</w:t>
      </w:r>
      <w:r>
        <w:rPr>
          <w:rStyle w:val="32"/>
        </w:rPr>
        <w:t xml:space="preserve"> </w:t>
      </w:r>
      <w:r>
        <w:rPr>
          <w:rStyle w:val="32"/>
          <w:rFonts w:hint="eastAsia"/>
        </w:rPr>
        <w:t xml:space="preserve"> 设备与校准</w:t>
      </w:r>
      <w:r>
        <w:rPr>
          <w:rFonts w:hint="eastAsia"/>
        </w:rPr>
        <w:tab/>
      </w:r>
      <w:r>
        <w:rPr>
          <w:rFonts w:hint="eastAsia"/>
        </w:rPr>
        <w:fldChar w:fldCharType="begin"/>
      </w:r>
      <w:r>
        <w:rPr>
          <w:rFonts w:hint="eastAsia"/>
        </w:rPr>
        <w:instrText xml:space="preserve"> </w:instrText>
      </w:r>
      <w:r>
        <w:instrText xml:space="preserve">PAGEREF _Toc218973067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4D1500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"_Toc218973068" </w:instrText>
      </w:r>
      <w:r>
        <w:fldChar w:fldCharType="separate"/>
      </w:r>
      <w:r>
        <w:rPr>
          <w:rStyle w:val="32"/>
          <w:rFonts w:hint="eastAsia"/>
        </w:rPr>
        <w:t>6</w:t>
      </w:r>
      <w:r>
        <w:rPr>
          <w:rStyle w:val="32"/>
        </w:rPr>
        <w:t xml:space="preserve"> </w:t>
      </w:r>
      <w:r>
        <w:rPr>
          <w:rStyle w:val="32"/>
          <w:rFonts w:hint="eastAsia"/>
        </w:rPr>
        <w:t xml:space="preserve"> 试样制备与预处理</w:t>
      </w:r>
      <w:r>
        <w:rPr>
          <w:rFonts w:hint="eastAsia"/>
        </w:rPr>
        <w:tab/>
      </w:r>
      <w:r>
        <w:rPr>
          <w:rFonts w:hint="eastAsia"/>
        </w:rPr>
        <w:fldChar w:fldCharType="begin"/>
      </w:r>
      <w:r>
        <w:rPr>
          <w:rFonts w:hint="eastAsia"/>
        </w:rPr>
        <w:instrText xml:space="preserve"> </w:instrText>
      </w:r>
      <w:r>
        <w:instrText xml:space="preserve">PAGEREF _Toc218973068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CF8517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"_Toc218973069" </w:instrText>
      </w:r>
      <w:r>
        <w:fldChar w:fldCharType="separate"/>
      </w:r>
      <w:r>
        <w:rPr>
          <w:rStyle w:val="32"/>
          <w:rFonts w:hint="eastAsia"/>
        </w:rPr>
        <w:t>7</w:t>
      </w:r>
      <w:r>
        <w:rPr>
          <w:rStyle w:val="32"/>
        </w:rPr>
        <w:t xml:space="preserve"> </w:t>
      </w:r>
      <w:r>
        <w:rPr>
          <w:rStyle w:val="32"/>
          <w:rFonts w:hint="eastAsia"/>
        </w:rPr>
        <w:t xml:space="preserve"> 暴露运行与取样</w:t>
      </w:r>
      <w:r>
        <w:rPr>
          <w:rFonts w:hint="eastAsia"/>
        </w:rPr>
        <w:tab/>
      </w:r>
      <w:r>
        <w:rPr>
          <w:rFonts w:hint="eastAsia"/>
        </w:rPr>
        <w:fldChar w:fldCharType="begin"/>
      </w:r>
      <w:r>
        <w:rPr>
          <w:rFonts w:hint="eastAsia"/>
        </w:rPr>
        <w:instrText xml:space="preserve"> </w:instrText>
      </w:r>
      <w:r>
        <w:instrText xml:space="preserve">PAGEREF _Toc218973069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D5B420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"_Toc218973070" </w:instrText>
      </w:r>
      <w:r>
        <w:fldChar w:fldCharType="separate"/>
      </w:r>
      <w:r>
        <w:rPr>
          <w:rStyle w:val="32"/>
          <w:rFonts w:hint="eastAsia"/>
        </w:rPr>
        <w:t>8</w:t>
      </w:r>
      <w:r>
        <w:rPr>
          <w:rStyle w:val="32"/>
        </w:rPr>
        <w:t xml:space="preserve"> </w:t>
      </w:r>
      <w:r>
        <w:rPr>
          <w:rStyle w:val="32"/>
          <w:rFonts w:hint="eastAsia"/>
        </w:rPr>
        <w:t xml:space="preserve"> 性能测试与数据处理</w:t>
      </w:r>
      <w:r>
        <w:rPr>
          <w:rFonts w:hint="eastAsia"/>
        </w:rPr>
        <w:tab/>
      </w:r>
      <w:r>
        <w:rPr>
          <w:rFonts w:hint="eastAsia"/>
        </w:rPr>
        <w:fldChar w:fldCharType="begin"/>
      </w:r>
      <w:r>
        <w:rPr>
          <w:rFonts w:hint="eastAsia"/>
        </w:rPr>
        <w:instrText xml:space="preserve"> </w:instrText>
      </w:r>
      <w:r>
        <w:instrText xml:space="preserve">PAGEREF _Toc218973070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610054D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"_Toc218973071" </w:instrText>
      </w:r>
      <w:r>
        <w:fldChar w:fldCharType="separate"/>
      </w:r>
      <w:r>
        <w:rPr>
          <w:rStyle w:val="32"/>
          <w:rFonts w:hint="eastAsia"/>
        </w:rPr>
        <w:t>9</w:t>
      </w:r>
      <w:r>
        <w:rPr>
          <w:rStyle w:val="32"/>
        </w:rPr>
        <w:t xml:space="preserve"> </w:t>
      </w:r>
      <w:r>
        <w:rPr>
          <w:rStyle w:val="32"/>
          <w:rFonts w:hint="eastAsia"/>
        </w:rPr>
        <w:t xml:space="preserve"> 质量控制与报告编制</w:t>
      </w:r>
      <w:r>
        <w:rPr>
          <w:rFonts w:hint="eastAsia"/>
        </w:rPr>
        <w:tab/>
      </w:r>
      <w:r>
        <w:rPr>
          <w:rFonts w:hint="eastAsia"/>
        </w:rPr>
        <w:fldChar w:fldCharType="begin"/>
      </w:r>
      <w:r>
        <w:rPr>
          <w:rFonts w:hint="eastAsia"/>
        </w:rPr>
        <w:instrText xml:space="preserve"> </w:instrText>
      </w:r>
      <w:r>
        <w:instrText xml:space="preserve">PAGEREF _Toc218973071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4C4922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"_Toc218973072" </w:instrText>
      </w:r>
      <w:r>
        <w:fldChar w:fldCharType="separate"/>
      </w:r>
      <w:r>
        <w:rPr>
          <w:rStyle w:val="32"/>
          <w:rFonts w:hint="eastAsia"/>
        </w:rPr>
        <w:t>10</w:t>
      </w:r>
      <w:r>
        <w:rPr>
          <w:rStyle w:val="32"/>
        </w:rPr>
        <w:t xml:space="preserve"> </w:t>
      </w:r>
      <w:r>
        <w:rPr>
          <w:rStyle w:val="32"/>
          <w:rFonts w:hint="eastAsia"/>
        </w:rPr>
        <w:t xml:space="preserve"> 附则</w:t>
      </w:r>
      <w:r>
        <w:rPr>
          <w:rFonts w:hint="eastAsia"/>
        </w:rPr>
        <w:tab/>
      </w:r>
      <w:r>
        <w:rPr>
          <w:rFonts w:hint="eastAsia"/>
        </w:rPr>
        <w:fldChar w:fldCharType="begin"/>
      </w:r>
      <w:r>
        <w:rPr>
          <w:rFonts w:hint="eastAsia"/>
        </w:rPr>
        <w:instrText xml:space="preserve"> </w:instrText>
      </w:r>
      <w:r>
        <w:instrText xml:space="preserve">PAGEREF _Toc218973072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06774FF2">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8973061"/>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485E983E">
      <w:pPr>
        <w:pStyle w:val="56"/>
        <w:spacing w:line="360" w:lineRule="auto"/>
        <w:ind w:firstLine="420"/>
      </w:pPr>
      <w:r>
        <w:rPr>
          <w:rFonts w:hint="eastAsia"/>
        </w:rPr>
        <w:t>本文件起草单位：江苏勇胜电缆科技有限公司。</w:t>
      </w:r>
    </w:p>
    <w:p w14:paraId="55F4A5D1">
      <w:pPr>
        <w:pStyle w:val="56"/>
        <w:spacing w:line="360" w:lineRule="auto"/>
        <w:ind w:firstLine="420"/>
      </w:pPr>
      <w:r>
        <w:rPr>
          <w:rFonts w:hint="eastAsia"/>
        </w:rPr>
        <w:t>本文件主要起草人：钱立。</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8973062"/>
      <w:bookmarkStart w:id="25" w:name="BookMark3"/>
      <w:r>
        <w:rPr>
          <w:spacing w:val="320"/>
        </w:rPr>
        <w:t>引</w:t>
      </w:r>
      <w:r>
        <w:t>言</w:t>
      </w:r>
      <w:bookmarkEnd w:id="24"/>
    </w:p>
    <w:p w14:paraId="13634FE4">
      <w:pPr>
        <w:pStyle w:val="56"/>
        <w:spacing w:line="360" w:lineRule="auto"/>
        <w:ind w:firstLine="420"/>
      </w:pPr>
      <w:r>
        <w:rPr>
          <w:rFonts w:hint="eastAsia"/>
        </w:rPr>
        <w:t>电线电缆在户外或半户外环境中长期服役时，受太阳辐射、温湿循环、降雨结露、风沙磨蚀以及臭氧等因素共同作用，其护套与绝缘材料可能发生光氧化降解、热氧老化、龟裂、粉化、褪色、硬化及力学性能衰减等现象，进而影响电气性能与运行可靠性。为在较短时间内评价电线电缆材料体系的耐候性能，工程与检测领域通常采用加速老化试验方法，通过可控的光源、温度、湿度与喷淋循环等条件，模拟自然暴露过程中的关键劣化机理，实现材料耐候等级评估、配方比选、质量一致性验证与产品寿命相关性分析。</w:t>
      </w:r>
    </w:p>
    <w:p w14:paraId="6BEC08AB">
      <w:pPr>
        <w:pStyle w:val="56"/>
        <w:spacing w:line="360" w:lineRule="auto"/>
        <w:ind w:firstLine="420"/>
      </w:pPr>
      <w:r>
        <w:rPr>
          <w:rFonts w:hint="eastAsia"/>
        </w:rPr>
        <w:t>在实际检测工作中，不同实验室在试样制备、试验条件设定、设备校准、暴露循环控制、取样间隔、性能测试项目以及数据处理与结果判定等方面存在差异，容易导致试验结果可比性不足、重复性偏低或试验条件偏离标准要求，从而影响质量评价的客观性与工程应用决策的可靠性。为规范电线电缆耐候性能加速检测的操作流程，统一关键控制点与记录要求，降低人为差异并提高结果可追溯性，本文件提出电线电缆耐候性能加速检测的操作指引，覆盖试验准备、设备确认、试样处理、加速暴露、阶段取样、性能测试、数据处理、结果判定以及报告编制等内容。</w:t>
      </w:r>
    </w:p>
    <w:p w14:paraId="7F4A69FE">
      <w:pPr>
        <w:pStyle w:val="56"/>
        <w:spacing w:line="360" w:lineRule="auto"/>
        <w:ind w:firstLine="420"/>
      </w:pPr>
      <w:r>
        <w:rPr>
          <w:rFonts w:hint="eastAsia"/>
        </w:rPr>
        <w:t>本文件适用于采用氙弧灯、荧光紫外等光源的耐候加速老化设备对电线电缆护套、绝缘及相关材料或制品开展耐候性能评价的检测活动。</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电线电缆耐候性能加速检测操作指引</w:t>
          </w:r>
        </w:p>
      </w:sdtContent>
    </w:sdt>
    <w:bookmarkEnd w:id="27"/>
    <w:p w14:paraId="3DB22445">
      <w:pPr>
        <w:pStyle w:val="104"/>
        <w:spacing w:before="240" w:after="240" w:line="360" w:lineRule="auto"/>
      </w:pPr>
      <w:bookmarkStart w:id="28" w:name="_Toc26986530"/>
      <w:bookmarkStart w:id="29" w:name="_Toc24884218"/>
      <w:bookmarkStart w:id="30" w:name="_Toc26986771"/>
      <w:bookmarkStart w:id="31" w:name="_Toc17233333"/>
      <w:bookmarkStart w:id="32" w:name="_Toc97192964"/>
      <w:bookmarkStart w:id="33" w:name="_Toc26648465"/>
      <w:bookmarkStart w:id="34" w:name="_Toc218973063"/>
      <w:bookmarkStart w:id="35" w:name="_Toc24884211"/>
      <w:bookmarkStart w:id="36" w:name="_Toc17233325"/>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189560AC">
      <w:pPr>
        <w:pStyle w:val="56"/>
        <w:spacing w:line="360" w:lineRule="auto"/>
        <w:ind w:firstLine="420"/>
      </w:pPr>
      <w:bookmarkStart w:id="38" w:name="_Toc17233326"/>
      <w:bookmarkStart w:id="39" w:name="_Toc17233334"/>
      <w:bookmarkStart w:id="40" w:name="_Toc24884219"/>
      <w:bookmarkStart w:id="41" w:name="_Toc24884212"/>
      <w:bookmarkStart w:id="42" w:name="_Toc26648466"/>
      <w:r>
        <w:rPr>
          <w:rFonts w:hint="eastAsia"/>
        </w:rPr>
        <w:t>本文件规定了电线电缆耐候性能加速检测的试验原理与试验方案、设备与校准、试样制备与预处理、暴露运行与取样、性能测试与数据处理、质量控制与报告编制等内容。</w:t>
      </w:r>
    </w:p>
    <w:p w14:paraId="76265264">
      <w:pPr>
        <w:pStyle w:val="56"/>
        <w:spacing w:line="360" w:lineRule="auto"/>
        <w:ind w:firstLine="420"/>
      </w:pPr>
      <w:r>
        <w:rPr>
          <w:rFonts w:hint="eastAsia"/>
        </w:rPr>
        <w:t>本文件适用于电线电缆护套、绝缘材料及其制品的耐候加速老化试验，适用于采用氙弧灯耐候试验设备和荧光紫外耐候试验设备等开展的实验室检测与型式试验。工程现场自然暴露试验可参照本文件的记录与质量控制要求执行。</w:t>
      </w:r>
    </w:p>
    <w:p w14:paraId="3733B2AD">
      <w:pPr>
        <w:pStyle w:val="104"/>
        <w:spacing w:before="240" w:after="240" w:line="360" w:lineRule="auto"/>
      </w:pPr>
      <w:bookmarkStart w:id="43" w:name="_Toc26986531"/>
      <w:bookmarkStart w:id="44" w:name="_Toc97192965"/>
      <w:bookmarkStart w:id="45" w:name="_Toc26718931"/>
      <w:bookmarkStart w:id="46" w:name="_Toc218973064"/>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49A2B1D">
      <w:pPr>
        <w:pStyle w:val="56"/>
        <w:spacing w:line="360" w:lineRule="auto"/>
        <w:ind w:firstLine="420"/>
      </w:pPr>
      <w:r>
        <w:rPr>
          <w:rFonts w:hint="eastAsia"/>
        </w:rPr>
        <w:t>GB/T 1.1 标准化工作导则  第1部分：标准化文件的结构和起草规则</w:t>
      </w:r>
    </w:p>
    <w:p w14:paraId="0A2C12E7">
      <w:pPr>
        <w:pStyle w:val="56"/>
        <w:spacing w:line="360" w:lineRule="auto"/>
        <w:ind w:firstLine="420"/>
      </w:pPr>
      <w:r>
        <w:rPr>
          <w:rFonts w:hint="eastAsia"/>
        </w:rPr>
        <w:t>GB/T 1040.1 塑料  拉伸性能的测定  第1部分：总则</w:t>
      </w:r>
    </w:p>
    <w:p w14:paraId="07A7F860">
      <w:pPr>
        <w:pStyle w:val="56"/>
        <w:spacing w:line="360" w:lineRule="auto"/>
        <w:ind w:firstLine="420"/>
      </w:pPr>
      <w:r>
        <w:rPr>
          <w:rFonts w:hint="eastAsia"/>
        </w:rPr>
        <w:t>GB/T 1040.2 塑料  拉伸性能的测定  第2部分：模塑和挤塑塑料的试验条件</w:t>
      </w:r>
    </w:p>
    <w:p w14:paraId="082DC3CB">
      <w:pPr>
        <w:pStyle w:val="56"/>
        <w:spacing w:line="360" w:lineRule="auto"/>
        <w:ind w:firstLine="420"/>
      </w:pPr>
      <w:r>
        <w:rPr>
          <w:rFonts w:hint="eastAsia"/>
        </w:rPr>
        <w:t>GB/T 2951 电缆和光缆绝缘和护套材料通用试验方法</w:t>
      </w:r>
    </w:p>
    <w:p w14:paraId="0A74D9BB">
      <w:pPr>
        <w:pStyle w:val="56"/>
        <w:spacing w:line="360" w:lineRule="auto"/>
        <w:ind w:firstLine="420"/>
      </w:pPr>
      <w:r>
        <w:rPr>
          <w:rFonts w:hint="eastAsia"/>
        </w:rPr>
        <w:t>GB/T 9341 塑料  弯曲性能的测定</w:t>
      </w:r>
    </w:p>
    <w:p w14:paraId="0426EB46">
      <w:pPr>
        <w:pStyle w:val="56"/>
        <w:spacing w:line="360" w:lineRule="auto"/>
        <w:ind w:firstLine="420"/>
      </w:pPr>
      <w:r>
        <w:rPr>
          <w:rFonts w:hint="eastAsia"/>
        </w:rPr>
        <w:t>GB/T 16422.2 塑料  实验室光源暴露试验方法  第2部分：氙弧灯</w:t>
      </w:r>
    </w:p>
    <w:p w14:paraId="4306E192">
      <w:pPr>
        <w:pStyle w:val="56"/>
        <w:spacing w:line="360" w:lineRule="auto"/>
        <w:ind w:firstLine="420"/>
      </w:pPr>
      <w:r>
        <w:rPr>
          <w:rFonts w:hint="eastAsia"/>
        </w:rPr>
        <w:t>GB/T 16422.3 塑料  实验室光源暴露试验方法  第3部分：荧光紫外灯</w:t>
      </w:r>
    </w:p>
    <w:p w14:paraId="3EA9BE25">
      <w:pPr>
        <w:pStyle w:val="56"/>
        <w:spacing w:line="360" w:lineRule="auto"/>
        <w:ind w:firstLine="420"/>
      </w:pPr>
      <w:r>
        <w:rPr>
          <w:rFonts w:hint="eastAsia"/>
        </w:rPr>
        <w:t>GB/T 41937—2022 橡胶或塑料涂覆织物  物理机械性能试验  挠度仪法测定耐曲挠性</w:t>
      </w:r>
    </w:p>
    <w:p w14:paraId="51F02A4E">
      <w:pPr>
        <w:pStyle w:val="104"/>
        <w:spacing w:before="240" w:after="240" w:line="360" w:lineRule="auto"/>
      </w:pPr>
      <w:bookmarkStart w:id="48" w:name="_Toc218973065"/>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295B19D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耐候性能 weathering resistance</w:t>
      </w:r>
    </w:p>
    <w:p w14:paraId="26FA3A2C">
      <w:pPr>
        <w:pStyle w:val="56"/>
        <w:spacing w:line="360" w:lineRule="auto"/>
        <w:ind w:firstLine="420"/>
      </w:pPr>
      <w:r>
        <w:rPr>
          <w:rFonts w:hint="eastAsia"/>
        </w:rPr>
        <w:t>材料或制品在光照、温度、湿度、降雨结露及大气因素作用下抵抗性能劣化的能力。</w:t>
      </w:r>
    </w:p>
    <w:p w14:paraId="7029B46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加速耐候试验 accelerated weathering test</w:t>
      </w:r>
    </w:p>
    <w:p w14:paraId="0AFA0D97">
      <w:pPr>
        <w:pStyle w:val="56"/>
        <w:spacing w:line="360" w:lineRule="auto"/>
        <w:ind w:firstLine="420"/>
      </w:pPr>
      <w:r>
        <w:rPr>
          <w:rFonts w:hint="eastAsia"/>
        </w:rPr>
        <w:t>在实验室中通过强化光照、温湿循环及喷淋等条件，在较短时间内模拟自然暴露主要劣化作用并评价材料或制品耐候性能的试验方法。</w:t>
      </w:r>
    </w:p>
    <w:p w14:paraId="20AADAB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氙弧灯暴露 xenon arc exposure</w:t>
      </w:r>
    </w:p>
    <w:p w14:paraId="55948DCB">
      <w:pPr>
        <w:pStyle w:val="56"/>
        <w:spacing w:line="360" w:lineRule="auto"/>
        <w:ind w:firstLine="420"/>
      </w:pPr>
      <w:r>
        <w:rPr>
          <w:rFonts w:hint="eastAsia"/>
        </w:rPr>
        <w:t>以氙弧灯作为光源并通过滤光系统模拟太阳光谱，按规定辐照度、温度、湿度和喷淋循环对试样进行暴露的试验过程。</w:t>
      </w:r>
    </w:p>
    <w:p w14:paraId="7847E17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荧光紫外暴露 fluorescent ultraviolet exposure</w:t>
      </w:r>
    </w:p>
    <w:p w14:paraId="78A20A8A">
      <w:pPr>
        <w:pStyle w:val="56"/>
        <w:spacing w:line="360" w:lineRule="auto"/>
        <w:ind w:firstLine="420"/>
      </w:pPr>
      <w:r>
        <w:rPr>
          <w:rFonts w:hint="eastAsia"/>
        </w:rPr>
        <w:t>以荧光紫外灯作为光源模拟太阳紫外波段辐射，并按规定温度、冷凝或喷淋循环对试样进行暴露的试验过程。</w:t>
      </w:r>
    </w:p>
    <w:p w14:paraId="448C479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取样间隔 sampling interval</w:t>
      </w:r>
    </w:p>
    <w:p w14:paraId="54A2B887">
      <w:pPr>
        <w:pStyle w:val="56"/>
        <w:spacing w:line="360" w:lineRule="auto"/>
        <w:ind w:firstLine="420"/>
      </w:pPr>
      <w:r>
        <w:rPr>
          <w:rFonts w:hint="eastAsia"/>
        </w:rPr>
        <w:t>在加速耐候暴露过程中，为开展阶段性能测试而规定的累计暴露时间或累计辐照量节点。</w:t>
      </w:r>
    </w:p>
    <w:p w14:paraId="4015659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辐照度 irradiance</w:t>
      </w:r>
    </w:p>
    <w:p w14:paraId="0FE86A12">
      <w:pPr>
        <w:pStyle w:val="56"/>
        <w:spacing w:line="360" w:lineRule="auto"/>
        <w:ind w:firstLine="420"/>
      </w:pPr>
      <w:r>
        <w:rPr>
          <w:rFonts w:hint="eastAsia"/>
        </w:rPr>
        <w:t>单位面积上接收到的辐射功率密度，通常以 W/m² 表示，并可按规定波段表示。</w:t>
      </w:r>
    </w:p>
    <w:p w14:paraId="61D19B4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黑板温度 black panel temperature</w:t>
      </w:r>
    </w:p>
    <w:p w14:paraId="413E9CE7">
      <w:pPr>
        <w:pStyle w:val="56"/>
        <w:spacing w:line="360" w:lineRule="auto"/>
        <w:ind w:firstLine="420"/>
      </w:pPr>
      <w:r>
        <w:rPr>
          <w:rFonts w:hint="eastAsia"/>
        </w:rPr>
        <w:t>在暴露箱内用黑板温度计测得的代表试样表面受热状态的温度。</w:t>
      </w:r>
    </w:p>
    <w:p w14:paraId="5EDF55B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参考标准样 reference specimen</w:t>
      </w:r>
    </w:p>
    <w:p w14:paraId="11ED0D72">
      <w:pPr>
        <w:pStyle w:val="56"/>
        <w:spacing w:line="360" w:lineRule="auto"/>
        <w:ind w:firstLine="420"/>
      </w:pPr>
      <w:r>
        <w:rPr>
          <w:rFonts w:hint="eastAsia"/>
        </w:rPr>
        <w:t>用于验证试验条件稳定性与实验室重复性的对照样品，可为已知耐候性能的标准材料或内部控制样。</w:t>
      </w:r>
    </w:p>
    <w:p w14:paraId="7028AAB5">
      <w:pPr>
        <w:pStyle w:val="104"/>
        <w:spacing w:before="240" w:after="240" w:line="360" w:lineRule="auto"/>
      </w:pPr>
      <w:bookmarkStart w:id="51" w:name="_Toc218973066"/>
      <w:r>
        <w:rPr>
          <w:rFonts w:hint="eastAsia"/>
        </w:rPr>
        <w:t>试验原理与试验方案</w:t>
      </w:r>
      <w:bookmarkEnd w:id="51"/>
    </w:p>
    <w:p w14:paraId="6329C4A8">
      <w:pPr>
        <w:pStyle w:val="105"/>
        <w:spacing w:before="120" w:after="120" w:line="360" w:lineRule="auto"/>
      </w:pPr>
      <w:r>
        <w:rPr>
          <w:rFonts w:hint="eastAsia"/>
        </w:rPr>
        <w:t>试验原理</w:t>
      </w:r>
    </w:p>
    <w:p w14:paraId="0EC81BFE">
      <w:pPr>
        <w:pStyle w:val="165"/>
        <w:spacing w:line="360" w:lineRule="auto"/>
      </w:pPr>
      <w:r>
        <w:rPr>
          <w:rFonts w:hint="eastAsia"/>
        </w:rPr>
        <w:t>电线电缆耐候性能加速检测通过实验室光源暴露条件，强化光照辐射、温度和湿度变化，并可叠加喷淋或冷凝过程，以加速材料光氧化、热氧老化和水解等主要劣化机理的发展，从而在可控时间内获得可比的性能衰减数据。</w:t>
      </w:r>
    </w:p>
    <w:p w14:paraId="00E66972">
      <w:pPr>
        <w:pStyle w:val="165"/>
        <w:spacing w:line="360" w:lineRule="auto"/>
      </w:pPr>
      <w:r>
        <w:rPr>
          <w:rFonts w:hint="eastAsia"/>
        </w:rPr>
        <w:t>氙弧灯暴露适用于模拟太阳光谱的可见光与紫外波段综合作用，适合对户外自然暴露相关性要求较高的评价。荧光紫外暴露主要强化紫外波段并配合冷凝或喷淋循环，适合对紫外敏感材料的快速筛选与配方对比。</w:t>
      </w:r>
    </w:p>
    <w:p w14:paraId="0618ACC9">
      <w:pPr>
        <w:pStyle w:val="165"/>
        <w:spacing w:line="360" w:lineRule="auto"/>
      </w:pPr>
      <w:r>
        <w:rPr>
          <w:rFonts w:hint="eastAsia"/>
        </w:rPr>
        <w:t>加速耐候试验结果用于比较与评价，不应直接等同于实际服役寿命。开展寿命推算时，应结合自然暴露数据、工程工况与材料劣化机理一致性进行相关性分析，并在报告中说明适用边界与假设条件。</w:t>
      </w:r>
    </w:p>
    <w:p w14:paraId="270BD8B5">
      <w:pPr>
        <w:pStyle w:val="105"/>
        <w:spacing w:before="120" w:after="120" w:line="360" w:lineRule="auto"/>
      </w:pPr>
      <w:r>
        <w:rPr>
          <w:rFonts w:hint="eastAsia"/>
        </w:rPr>
        <w:t>试验方案制定</w:t>
      </w:r>
    </w:p>
    <w:p w14:paraId="719B1CFB">
      <w:pPr>
        <w:pStyle w:val="165"/>
        <w:spacing w:line="360" w:lineRule="auto"/>
      </w:pPr>
      <w:r>
        <w:rPr>
          <w:rFonts w:hint="eastAsia"/>
        </w:rPr>
        <w:t>试验方案应在试验前确定，并至少包括试验方法选择、暴露循环设定、试样数量与取样间隔、测试项目与判定指标、质量控制措施、偏差处置规则和报告要求。</w:t>
      </w:r>
    </w:p>
    <w:p w14:paraId="18D1BD45">
      <w:pPr>
        <w:pStyle w:val="165"/>
        <w:spacing w:line="360" w:lineRule="auto"/>
      </w:pPr>
      <w:r>
        <w:rPr>
          <w:rFonts w:hint="eastAsia"/>
        </w:rPr>
        <w:t>试验方法选择应遵循产品标准、合同技术条件或型式试验方案要求。未明确时，可按以下原则选择：</w:t>
      </w:r>
    </w:p>
    <w:p w14:paraId="4156B078">
      <w:pPr>
        <w:pStyle w:val="56"/>
        <w:spacing w:line="360" w:lineRule="auto"/>
        <w:ind w:firstLine="420"/>
      </w:pPr>
      <w:r>
        <w:rPr>
          <w:rFonts w:hint="eastAsia"/>
        </w:rPr>
        <w:t>a) 需模拟自然太阳光谱综合作用，优先选用氙弧灯暴露；</w:t>
      </w:r>
    </w:p>
    <w:p w14:paraId="35BCD279">
      <w:pPr>
        <w:pStyle w:val="56"/>
        <w:spacing w:line="360" w:lineRule="auto"/>
        <w:ind w:firstLine="420"/>
      </w:pPr>
      <w:r>
        <w:rPr>
          <w:rFonts w:hint="eastAsia"/>
        </w:rPr>
        <w:t>b) 需快速筛选紫外敏感性或开展配方对比，优先选用荧光紫外暴露；</w:t>
      </w:r>
    </w:p>
    <w:p w14:paraId="27E32E7F">
      <w:pPr>
        <w:pStyle w:val="56"/>
        <w:spacing w:line="360" w:lineRule="auto"/>
        <w:ind w:firstLine="420"/>
      </w:pPr>
      <w:r>
        <w:rPr>
          <w:rFonts w:hint="eastAsia"/>
        </w:rPr>
        <w:t>c) 对同一材料或制品进行方法变更时，应在报告中说明方法差异与可比性限制。</w:t>
      </w:r>
    </w:p>
    <w:p w14:paraId="0977520E">
      <w:pPr>
        <w:pStyle w:val="165"/>
        <w:spacing w:line="360" w:lineRule="auto"/>
      </w:pPr>
      <w:r>
        <w:rPr>
          <w:rFonts w:hint="eastAsia"/>
        </w:rPr>
        <w:t>暴露循环应明确光照阶段参数、暗阶段参数、喷淋或冷凝条件、循环周期与累计暴露目标。暴露目标可用累计时间表示，也可按累计辐照量控制，具体以所用方法标准和委托要求为准。</w:t>
      </w:r>
    </w:p>
    <w:p w14:paraId="540FBA7C">
      <w:pPr>
        <w:pStyle w:val="165"/>
        <w:spacing w:line="360" w:lineRule="auto"/>
      </w:pPr>
      <w:r>
        <w:rPr>
          <w:rFonts w:hint="eastAsia"/>
        </w:rPr>
        <w:t>取样间隔应结合预期劣化速度设置。取样间隔过大可能漏判早期裂纹或脆化拐点，取样间隔过小会增加试样消耗并提高测试误差。推荐采用不少于三个阶段节点，并包含终止节点。</w:t>
      </w:r>
    </w:p>
    <w:p w14:paraId="06812923">
      <w:pPr>
        <w:pStyle w:val="165"/>
        <w:spacing w:line="360" w:lineRule="auto"/>
      </w:pPr>
      <w:r>
        <w:rPr>
          <w:rFonts w:hint="eastAsia"/>
        </w:rPr>
        <w:t>测试项目应与材料类型和应用场景匹配。常用项目包括外观变化、颜色变化、表面粉化与龟裂、拉伸强度与断裂伸长率保持率、硬度变化、质量变化；对绝缘材料或成品电缆可增加体积电阻率、绝缘电阻、耐电压或击穿强度等电性能项目，具体以产品标准或委托要求为准。</w:t>
      </w:r>
    </w:p>
    <w:p w14:paraId="25F45E57">
      <w:pPr>
        <w:pStyle w:val="105"/>
        <w:spacing w:before="120" w:after="120" w:line="360" w:lineRule="auto"/>
      </w:pPr>
      <w:r>
        <w:rPr>
          <w:rFonts w:hint="eastAsia"/>
        </w:rPr>
        <w:t>试样类型与数量</w:t>
      </w:r>
    </w:p>
    <w:p w14:paraId="20730F02">
      <w:pPr>
        <w:pStyle w:val="165"/>
        <w:spacing w:line="360" w:lineRule="auto"/>
      </w:pPr>
      <w:r>
        <w:rPr>
          <w:rFonts w:hint="eastAsia"/>
        </w:rPr>
        <w:t>试样应具有代表性，来源、批次、型号规格和生产日期应明确记录。涉及对比试验时，各组试样应来自同一批次或可证明等效。</w:t>
      </w:r>
    </w:p>
    <w:p w14:paraId="7A2BE414">
      <w:pPr>
        <w:pStyle w:val="165"/>
        <w:spacing w:line="360" w:lineRule="auto"/>
      </w:pPr>
      <w:r>
        <w:rPr>
          <w:rFonts w:hint="eastAsia"/>
        </w:rPr>
        <w:t>试样形式可按目的选择：</w:t>
      </w:r>
    </w:p>
    <w:p w14:paraId="00D9BD4B">
      <w:pPr>
        <w:pStyle w:val="56"/>
        <w:spacing w:line="360" w:lineRule="auto"/>
        <w:ind w:firstLine="420"/>
      </w:pPr>
      <w:r>
        <w:rPr>
          <w:rFonts w:hint="eastAsia"/>
        </w:rPr>
        <w:t>a) 材料试片，用于护套或绝缘配方对比与性能机理评价；</w:t>
      </w:r>
    </w:p>
    <w:p w14:paraId="3C3F9A9F">
      <w:pPr>
        <w:pStyle w:val="56"/>
        <w:spacing w:line="360" w:lineRule="auto"/>
        <w:ind w:firstLine="420"/>
      </w:pPr>
      <w:r>
        <w:rPr>
          <w:rFonts w:hint="eastAsia"/>
        </w:rPr>
        <w:t>b) 制品试样，从电缆护套或绝缘层制备标准试样，用于与产品标准指标对接的力学或电性能评价；</w:t>
      </w:r>
    </w:p>
    <w:p w14:paraId="6F1B9E53">
      <w:pPr>
        <w:pStyle w:val="56"/>
        <w:spacing w:line="360" w:lineRule="auto"/>
        <w:ind w:firstLine="420"/>
      </w:pPr>
      <w:r>
        <w:rPr>
          <w:rFonts w:hint="eastAsia"/>
        </w:rPr>
        <w:t>c) 成品段样，用于外观、开裂、粉化及结构完整性评价；如需电性能测试，应明确端部处理与屏蔽方式。</w:t>
      </w:r>
    </w:p>
    <w:p w14:paraId="3C4A5303">
      <w:pPr>
        <w:pStyle w:val="165"/>
        <w:spacing w:line="360" w:lineRule="auto"/>
      </w:pPr>
      <w:r>
        <w:rPr>
          <w:rFonts w:hint="eastAsia"/>
        </w:rPr>
        <w:t>每一取样节点应保留足量试样以满足测试重复性要求。原则上每一测试项目不应少于三件有效试样，必要时应考虑备用试样，用于设备异常、取样破损或复测。</w:t>
      </w:r>
    </w:p>
    <w:p w14:paraId="07D306F6">
      <w:pPr>
        <w:pStyle w:val="105"/>
        <w:spacing w:before="120" w:after="120" w:line="360" w:lineRule="auto"/>
      </w:pPr>
      <w:r>
        <w:rPr>
          <w:rFonts w:hint="eastAsia"/>
        </w:rPr>
        <w:t>判定指标与结果表达</w:t>
      </w:r>
    </w:p>
    <w:p w14:paraId="4033A715">
      <w:pPr>
        <w:pStyle w:val="165"/>
        <w:spacing w:line="360" w:lineRule="auto"/>
      </w:pPr>
      <w:r>
        <w:rPr>
          <w:rFonts w:hint="eastAsia"/>
        </w:rPr>
        <w:t>判定指标应优先采用产品标准或合同技术条件规定的限值或等级。未规定时，宜采用保持率、变化量或等级描述作为评价依据，并在试验方案中提前约定。</w:t>
      </w:r>
    </w:p>
    <w:p w14:paraId="73FAAB41">
      <w:pPr>
        <w:pStyle w:val="165"/>
        <w:spacing w:line="360" w:lineRule="auto"/>
      </w:pPr>
      <w:r>
        <w:rPr>
          <w:rFonts w:hint="eastAsia"/>
        </w:rPr>
        <w:t>力学性能结果宜以保持率表示，并明确初始值的取值规则。外观评价应明确评级依据、观察方法与记录方式。颜色变化如采用色差方法，应明确测量条件、测点数量与计算方法。</w:t>
      </w:r>
    </w:p>
    <w:p w14:paraId="0595063C">
      <w:pPr>
        <w:pStyle w:val="165"/>
        <w:spacing w:line="360" w:lineRule="auto"/>
      </w:pPr>
      <w:r>
        <w:rPr>
          <w:rFonts w:hint="eastAsia"/>
        </w:rPr>
        <w:t>结果表达应包含各阶段节点数据、统计量、异常值处置说明，以及与判定指标的符合性结论。对未达到终止节点即发生严重开裂、脆断或失效的试样，应记录失效时的累计暴露量并说明失效特征。</w:t>
      </w:r>
    </w:p>
    <w:p w14:paraId="0A77E013">
      <w:pPr>
        <w:pStyle w:val="104"/>
        <w:spacing w:before="240" w:after="240" w:line="360" w:lineRule="auto"/>
      </w:pPr>
      <w:bookmarkStart w:id="52" w:name="_Toc218973067"/>
      <w:r>
        <w:rPr>
          <w:rFonts w:hint="eastAsia"/>
        </w:rPr>
        <w:t>设备与校准</w:t>
      </w:r>
      <w:bookmarkEnd w:id="52"/>
    </w:p>
    <w:p w14:paraId="33DBDCA5">
      <w:pPr>
        <w:pStyle w:val="105"/>
        <w:spacing w:before="120" w:after="120" w:line="360" w:lineRule="auto"/>
      </w:pPr>
      <w:r>
        <w:rPr>
          <w:rFonts w:hint="eastAsia"/>
        </w:rPr>
        <w:t>设备要求</w:t>
      </w:r>
    </w:p>
    <w:p w14:paraId="36A0E4FF">
      <w:pPr>
        <w:pStyle w:val="165"/>
        <w:spacing w:line="360" w:lineRule="auto"/>
      </w:pPr>
      <w:r>
        <w:rPr>
          <w:rFonts w:hint="eastAsia"/>
        </w:rPr>
        <w:t>氙弧灯耐候试验设备应具备辐照度闭环控制功能，并配备满足方法标准要求的滤光系统。设备应具备黑板温度控制、箱内温度控制、相对湿度控制功能，并具备喷淋功能或可按方案实现湿润循环。</w:t>
      </w:r>
    </w:p>
    <w:p w14:paraId="57AAA566">
      <w:pPr>
        <w:pStyle w:val="165"/>
        <w:spacing w:line="360" w:lineRule="auto"/>
      </w:pPr>
      <w:r>
        <w:rPr>
          <w:rFonts w:hint="eastAsia"/>
        </w:rPr>
        <w:t>荧光紫外耐候试验设备应具备规定波段灯管配置，具备辐照强度控制或按标准规定的输出控制方式，并具备冷凝或喷淋功能及箱内温度控制功能。</w:t>
      </w:r>
    </w:p>
    <w:p w14:paraId="0FBB4D49">
      <w:pPr>
        <w:pStyle w:val="165"/>
        <w:spacing w:line="360" w:lineRule="auto"/>
      </w:pPr>
      <w:r>
        <w:rPr>
          <w:rFonts w:hint="eastAsia"/>
        </w:rPr>
        <w:t>设备应配备试样架，保证试样固定牢靠、受光均匀，并避免遮挡。对要求旋转或位置轮换的设备，应按规定频次执行轮换，并记录轮换情况。</w:t>
      </w:r>
    </w:p>
    <w:p w14:paraId="0B50C3E3">
      <w:pPr>
        <w:pStyle w:val="165"/>
        <w:spacing w:line="360" w:lineRule="auto"/>
      </w:pPr>
      <w:r>
        <w:rPr>
          <w:rFonts w:hint="eastAsia"/>
        </w:rPr>
        <w:t>喷淋用水水质应满足设备与方法标准要求，宜使用去离子水或符合规定电导率要求的水，避免水渍沉积影响外观评价或引入额外污染。</w:t>
      </w:r>
    </w:p>
    <w:p w14:paraId="6BB04E54">
      <w:pPr>
        <w:pStyle w:val="105"/>
        <w:spacing w:before="120" w:after="120" w:line="360" w:lineRule="auto"/>
      </w:pPr>
      <w:r>
        <w:rPr>
          <w:rFonts w:hint="eastAsia"/>
        </w:rPr>
        <w:t>环境与安全要求</w:t>
      </w:r>
    </w:p>
    <w:p w14:paraId="2895C259">
      <w:pPr>
        <w:pStyle w:val="165"/>
        <w:spacing w:line="360" w:lineRule="auto"/>
      </w:pPr>
      <w:r>
        <w:rPr>
          <w:rFonts w:hint="eastAsia"/>
        </w:rPr>
        <w:t>试验室环境应满足设备运行要求，保持通风，控制粉尘与腐蚀性气体，避免外界光照干扰试样取出后的外观记录。</w:t>
      </w:r>
    </w:p>
    <w:p w14:paraId="01135C58">
      <w:pPr>
        <w:pStyle w:val="165"/>
        <w:spacing w:line="360" w:lineRule="auto"/>
      </w:pPr>
      <w:r>
        <w:rPr>
          <w:rFonts w:hint="eastAsia"/>
        </w:rPr>
        <w:t>操作人员应采取防护措施，避免紫外辐射灼伤与高温烫伤。更换灯管、维护喷淋系统和清洁试验箱时，应执行断电与冷却确认。</w:t>
      </w:r>
    </w:p>
    <w:p w14:paraId="1173844F">
      <w:pPr>
        <w:pStyle w:val="165"/>
        <w:spacing w:line="360" w:lineRule="auto"/>
      </w:pPr>
      <w:r>
        <w:rPr>
          <w:rFonts w:hint="eastAsia"/>
        </w:rPr>
        <w:t>设备运行异常如辐照失控、温度超限、喷淋故障应及时处置并记录。必要时应暂停试验，并按质量控制程序评估对结果的影响。</w:t>
      </w:r>
    </w:p>
    <w:p w14:paraId="0E52E506">
      <w:pPr>
        <w:pStyle w:val="105"/>
        <w:spacing w:before="120" w:after="120" w:line="360" w:lineRule="auto"/>
      </w:pPr>
      <w:r>
        <w:rPr>
          <w:rFonts w:hint="eastAsia"/>
        </w:rPr>
        <w:t>校准与期间核查要求</w:t>
      </w:r>
    </w:p>
    <w:p w14:paraId="438882F5">
      <w:pPr>
        <w:pStyle w:val="56"/>
        <w:spacing w:line="360" w:lineRule="auto"/>
        <w:ind w:firstLine="420"/>
      </w:pPr>
      <w:r>
        <w:rPr>
          <w:rFonts w:hint="eastAsia"/>
        </w:rPr>
        <w:t>设备关键参数应校准或期间核查，确保辐照度、温度、湿度和时间控制准确可靠。校准与核查应形成证书或记录，并在试验前确认处于有效期内。对多台设备或多实验室对比试验，应优先采用同一校准链和一致的核查方法。关键试验条件与记录要点见表1。</w:t>
      </w:r>
    </w:p>
    <w:p w14:paraId="4E298868">
      <w:pPr>
        <w:pStyle w:val="112"/>
        <w:spacing w:before="120" w:after="120" w:line="360" w:lineRule="auto"/>
      </w:pPr>
      <w:r>
        <w:rPr>
          <w:rFonts w:hint="eastAsia"/>
        </w:rPr>
        <w:t>关键试验条件与记录要点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325"/>
        <w:gridCol w:w="2069"/>
        <w:gridCol w:w="1665"/>
        <w:gridCol w:w="1867"/>
      </w:tblGrid>
      <w:tr w14:paraId="78821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60601F5F">
            <w:pPr>
              <w:pStyle w:val="178"/>
            </w:pPr>
            <w:r>
              <w:rPr>
                <w:rFonts w:hint="eastAsia"/>
              </w:rPr>
              <w:t>控制项目</w:t>
            </w:r>
          </w:p>
        </w:tc>
        <w:tc>
          <w:tcPr>
            <w:tcW w:w="2325" w:type="dxa"/>
            <w:tcBorders>
              <w:top w:val="single" w:color="auto" w:sz="8" w:space="0"/>
              <w:bottom w:val="single" w:color="auto" w:sz="8" w:space="0"/>
            </w:tcBorders>
            <w:vAlign w:val="center"/>
          </w:tcPr>
          <w:p w14:paraId="62A05DC5">
            <w:pPr>
              <w:pStyle w:val="178"/>
            </w:pPr>
            <w:r>
              <w:rPr>
                <w:rFonts w:hint="eastAsia"/>
              </w:rPr>
              <w:t>氙弧灯建议控制要点</w:t>
            </w:r>
          </w:p>
        </w:tc>
        <w:tc>
          <w:tcPr>
            <w:tcW w:w="2069" w:type="dxa"/>
            <w:tcBorders>
              <w:top w:val="single" w:color="auto" w:sz="8" w:space="0"/>
              <w:bottom w:val="single" w:color="auto" w:sz="8" w:space="0"/>
            </w:tcBorders>
            <w:vAlign w:val="center"/>
          </w:tcPr>
          <w:p w14:paraId="3D3A3BBD">
            <w:pPr>
              <w:pStyle w:val="178"/>
            </w:pPr>
            <w:r>
              <w:rPr>
                <w:rFonts w:hint="eastAsia"/>
              </w:rPr>
              <w:t>荧光紫外建议控制要点</w:t>
            </w:r>
          </w:p>
        </w:tc>
        <w:tc>
          <w:tcPr>
            <w:tcW w:w="1665" w:type="dxa"/>
            <w:tcBorders>
              <w:top w:val="single" w:color="auto" w:sz="8" w:space="0"/>
              <w:bottom w:val="single" w:color="auto" w:sz="8" w:space="0"/>
            </w:tcBorders>
            <w:vAlign w:val="center"/>
          </w:tcPr>
          <w:p w14:paraId="7E128E15">
            <w:pPr>
              <w:pStyle w:val="178"/>
            </w:pPr>
            <w:r>
              <w:rPr>
                <w:rFonts w:hint="eastAsia"/>
              </w:rPr>
              <w:t>校准或核查频次</w:t>
            </w:r>
          </w:p>
        </w:tc>
        <w:tc>
          <w:tcPr>
            <w:tcW w:w="1867" w:type="dxa"/>
            <w:tcBorders>
              <w:top w:val="single" w:color="auto" w:sz="8" w:space="0"/>
              <w:bottom w:val="single" w:color="auto" w:sz="8" w:space="0"/>
            </w:tcBorders>
            <w:vAlign w:val="center"/>
          </w:tcPr>
          <w:p w14:paraId="28E1C653">
            <w:pPr>
              <w:pStyle w:val="178"/>
            </w:pPr>
            <w:r>
              <w:rPr>
                <w:rFonts w:hint="eastAsia"/>
              </w:rPr>
              <w:t>记录要点</w:t>
            </w:r>
          </w:p>
        </w:tc>
      </w:tr>
      <w:tr w14:paraId="79D45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tcBorders>
            <w:vAlign w:val="center"/>
          </w:tcPr>
          <w:p w14:paraId="322D10AD">
            <w:pPr>
              <w:pStyle w:val="178"/>
            </w:pPr>
            <w:r>
              <w:rPr>
                <w:rFonts w:hint="eastAsia"/>
              </w:rPr>
              <w:t>光源与滤光</w:t>
            </w:r>
          </w:p>
        </w:tc>
        <w:tc>
          <w:tcPr>
            <w:tcW w:w="2325" w:type="dxa"/>
            <w:tcBorders>
              <w:top w:val="single" w:color="auto" w:sz="8" w:space="0"/>
            </w:tcBorders>
            <w:vAlign w:val="center"/>
          </w:tcPr>
          <w:p w14:paraId="05E59531">
            <w:pPr>
              <w:pStyle w:val="178"/>
            </w:pPr>
            <w:r>
              <w:rPr>
                <w:rFonts w:hint="eastAsia"/>
              </w:rPr>
              <w:t>按方法标准配置滤光系统；确认光谱匹配要求</w:t>
            </w:r>
          </w:p>
        </w:tc>
        <w:tc>
          <w:tcPr>
            <w:tcW w:w="2069" w:type="dxa"/>
            <w:tcBorders>
              <w:top w:val="single" w:color="auto" w:sz="8" w:space="0"/>
            </w:tcBorders>
            <w:vAlign w:val="center"/>
          </w:tcPr>
          <w:p w14:paraId="53993232">
            <w:pPr>
              <w:pStyle w:val="178"/>
            </w:pPr>
            <w:r>
              <w:rPr>
                <w:rFonts w:hint="eastAsia"/>
              </w:rPr>
              <w:t>按方法标准选用规定类型灯管；确认灯管老化状态</w:t>
            </w:r>
          </w:p>
        </w:tc>
        <w:tc>
          <w:tcPr>
            <w:tcW w:w="1665" w:type="dxa"/>
            <w:tcBorders>
              <w:top w:val="single" w:color="auto" w:sz="8" w:space="0"/>
            </w:tcBorders>
            <w:vAlign w:val="center"/>
          </w:tcPr>
          <w:p w14:paraId="37278740">
            <w:pPr>
              <w:pStyle w:val="178"/>
            </w:pPr>
            <w:r>
              <w:rPr>
                <w:rFonts w:hint="eastAsia"/>
              </w:rPr>
              <w:t>每次更换光源后核查；按设备要求定期确认</w:t>
            </w:r>
          </w:p>
        </w:tc>
        <w:tc>
          <w:tcPr>
            <w:tcW w:w="1867" w:type="dxa"/>
            <w:tcBorders>
              <w:top w:val="single" w:color="auto" w:sz="8" w:space="0"/>
            </w:tcBorders>
            <w:vAlign w:val="center"/>
          </w:tcPr>
          <w:p w14:paraId="027C68FD">
            <w:pPr>
              <w:pStyle w:val="178"/>
            </w:pPr>
            <w:r>
              <w:rPr>
                <w:rFonts w:hint="eastAsia"/>
              </w:rPr>
              <w:t>记录滤光配置、灯管型号、累计使用时间</w:t>
            </w:r>
          </w:p>
        </w:tc>
      </w:tr>
      <w:tr w14:paraId="67D75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61347BD0">
            <w:pPr>
              <w:pStyle w:val="178"/>
            </w:pPr>
            <w:r>
              <w:rPr>
                <w:rFonts w:hint="eastAsia"/>
              </w:rPr>
              <w:t>辐照度</w:t>
            </w:r>
          </w:p>
        </w:tc>
        <w:tc>
          <w:tcPr>
            <w:tcW w:w="2325" w:type="dxa"/>
            <w:vAlign w:val="center"/>
          </w:tcPr>
          <w:p w14:paraId="357ED36C">
            <w:pPr>
              <w:pStyle w:val="178"/>
            </w:pPr>
            <w:r>
              <w:rPr>
                <w:rFonts w:hint="eastAsia"/>
              </w:rPr>
              <w:t>采用闭环控制；按规定波段设置辐照度并稳定运行</w:t>
            </w:r>
          </w:p>
        </w:tc>
        <w:tc>
          <w:tcPr>
            <w:tcW w:w="2069" w:type="dxa"/>
            <w:vAlign w:val="center"/>
          </w:tcPr>
          <w:p w14:paraId="5D81AF8C">
            <w:pPr>
              <w:pStyle w:val="178"/>
            </w:pPr>
            <w:r>
              <w:rPr>
                <w:rFonts w:hint="eastAsia"/>
              </w:rPr>
              <w:t>按规定波段设置辐照强度或按标准规定输出控制</w:t>
            </w:r>
          </w:p>
        </w:tc>
        <w:tc>
          <w:tcPr>
            <w:tcW w:w="1665" w:type="dxa"/>
            <w:vAlign w:val="center"/>
          </w:tcPr>
          <w:p w14:paraId="53387B7B">
            <w:pPr>
              <w:pStyle w:val="178"/>
            </w:pPr>
            <w:r>
              <w:rPr>
                <w:rFonts w:hint="eastAsia"/>
              </w:rPr>
              <w:t>按校准周期校准；试验期间按规定核查</w:t>
            </w:r>
          </w:p>
        </w:tc>
        <w:tc>
          <w:tcPr>
            <w:tcW w:w="1867" w:type="dxa"/>
            <w:vAlign w:val="center"/>
          </w:tcPr>
          <w:p w14:paraId="38E5ED8F">
            <w:pPr>
              <w:pStyle w:val="178"/>
            </w:pPr>
            <w:r>
              <w:rPr>
                <w:rFonts w:hint="eastAsia"/>
              </w:rPr>
              <w:t>记录设定值、实测值、偏差及调整时间点</w:t>
            </w:r>
          </w:p>
        </w:tc>
      </w:tr>
      <w:tr w14:paraId="360DD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4A86CFA0">
            <w:pPr>
              <w:pStyle w:val="178"/>
            </w:pPr>
            <w:r>
              <w:rPr>
                <w:rFonts w:hint="eastAsia"/>
              </w:rPr>
              <w:t>黑板温度</w:t>
            </w:r>
          </w:p>
        </w:tc>
        <w:tc>
          <w:tcPr>
            <w:tcW w:w="2325" w:type="dxa"/>
            <w:vAlign w:val="center"/>
          </w:tcPr>
          <w:p w14:paraId="30D81640">
            <w:pPr>
              <w:pStyle w:val="178"/>
            </w:pPr>
            <w:r>
              <w:rPr>
                <w:rFonts w:hint="eastAsia"/>
              </w:rPr>
              <w:t>按方案设定并控制；传感器位置符合要求</w:t>
            </w:r>
          </w:p>
        </w:tc>
        <w:tc>
          <w:tcPr>
            <w:tcW w:w="2069" w:type="dxa"/>
            <w:vAlign w:val="center"/>
          </w:tcPr>
          <w:p w14:paraId="6CDA6904">
            <w:pPr>
              <w:pStyle w:val="178"/>
            </w:pPr>
            <w:r>
              <w:rPr>
                <w:rFonts w:hint="eastAsia"/>
              </w:rPr>
              <w:t>按方案设定并控制箱内温度或面板温度</w:t>
            </w:r>
          </w:p>
        </w:tc>
        <w:tc>
          <w:tcPr>
            <w:tcW w:w="1665" w:type="dxa"/>
            <w:vAlign w:val="center"/>
          </w:tcPr>
          <w:p w14:paraId="11FBC181">
            <w:pPr>
              <w:pStyle w:val="178"/>
            </w:pPr>
            <w:r>
              <w:rPr>
                <w:rFonts w:hint="eastAsia"/>
              </w:rPr>
              <w:t>按校准周期校准；关键试验前核查</w:t>
            </w:r>
          </w:p>
        </w:tc>
        <w:tc>
          <w:tcPr>
            <w:tcW w:w="1867" w:type="dxa"/>
            <w:vAlign w:val="center"/>
          </w:tcPr>
          <w:p w14:paraId="023B3FDE">
            <w:pPr>
              <w:pStyle w:val="178"/>
            </w:pPr>
            <w:r>
              <w:rPr>
                <w:rFonts w:hint="eastAsia"/>
              </w:rPr>
              <w:t>记录设定值、实测值、波动范围</w:t>
            </w:r>
          </w:p>
        </w:tc>
      </w:tr>
    </w:tbl>
    <w:p w14:paraId="404B9741">
      <w:pPr>
        <w:pStyle w:val="56"/>
        <w:ind w:firstLine="420"/>
        <w:rPr>
          <w:rFonts w:hint="eastAsia"/>
        </w:rPr>
      </w:pPr>
    </w:p>
    <w:p w14:paraId="669DC455">
      <w:pPr>
        <w:pStyle w:val="56"/>
        <w:spacing w:before="120" w:beforeLines="50" w:after="120" w:afterLines="50"/>
        <w:ind w:firstLine="0" w:firstLineChars="0"/>
        <w:jc w:val="center"/>
        <w:rPr>
          <w:rFonts w:ascii="黑体" w:hAnsi="黑体" w:eastAsia="黑体"/>
        </w:rPr>
      </w:pPr>
      <w:r>
        <w:rPr>
          <w:rFonts w:hint="eastAsia" w:ascii="黑体" w:hAnsi="黑体" w:eastAsia="黑体"/>
        </w:rPr>
        <w:t>表1  关键试验条件与记录要点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2325"/>
        <w:gridCol w:w="2069"/>
        <w:gridCol w:w="1665"/>
        <w:gridCol w:w="1867"/>
      </w:tblGrid>
      <w:tr w14:paraId="497D0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8" w:type="dxa"/>
            <w:tcBorders>
              <w:top w:val="single" w:color="auto" w:sz="8" w:space="0"/>
              <w:bottom w:val="single" w:color="auto" w:sz="8" w:space="0"/>
            </w:tcBorders>
            <w:vAlign w:val="center"/>
          </w:tcPr>
          <w:p w14:paraId="4D81E2EB">
            <w:pPr>
              <w:pStyle w:val="178"/>
            </w:pPr>
            <w:r>
              <w:rPr>
                <w:rFonts w:hint="eastAsia"/>
              </w:rPr>
              <w:t>控制项目</w:t>
            </w:r>
          </w:p>
        </w:tc>
        <w:tc>
          <w:tcPr>
            <w:tcW w:w="2325" w:type="dxa"/>
            <w:tcBorders>
              <w:top w:val="single" w:color="auto" w:sz="8" w:space="0"/>
              <w:bottom w:val="single" w:color="auto" w:sz="8" w:space="0"/>
            </w:tcBorders>
            <w:vAlign w:val="center"/>
          </w:tcPr>
          <w:p w14:paraId="0AEB3CBF">
            <w:pPr>
              <w:pStyle w:val="178"/>
            </w:pPr>
            <w:r>
              <w:rPr>
                <w:rFonts w:hint="eastAsia"/>
              </w:rPr>
              <w:t>氙弧灯建议控制要点</w:t>
            </w:r>
          </w:p>
        </w:tc>
        <w:tc>
          <w:tcPr>
            <w:tcW w:w="2069" w:type="dxa"/>
            <w:tcBorders>
              <w:top w:val="single" w:color="auto" w:sz="8" w:space="0"/>
              <w:bottom w:val="single" w:color="auto" w:sz="8" w:space="0"/>
            </w:tcBorders>
            <w:vAlign w:val="center"/>
          </w:tcPr>
          <w:p w14:paraId="7D862A06">
            <w:pPr>
              <w:pStyle w:val="178"/>
            </w:pPr>
            <w:r>
              <w:rPr>
                <w:rFonts w:hint="eastAsia"/>
              </w:rPr>
              <w:t>荧光紫外建议控制要点</w:t>
            </w:r>
          </w:p>
        </w:tc>
        <w:tc>
          <w:tcPr>
            <w:tcW w:w="1665" w:type="dxa"/>
            <w:tcBorders>
              <w:top w:val="single" w:color="auto" w:sz="8" w:space="0"/>
              <w:bottom w:val="single" w:color="auto" w:sz="8" w:space="0"/>
            </w:tcBorders>
            <w:vAlign w:val="center"/>
          </w:tcPr>
          <w:p w14:paraId="1F0722B1">
            <w:pPr>
              <w:pStyle w:val="178"/>
            </w:pPr>
            <w:r>
              <w:rPr>
                <w:rFonts w:hint="eastAsia"/>
              </w:rPr>
              <w:t>校准或核查频次</w:t>
            </w:r>
          </w:p>
        </w:tc>
        <w:tc>
          <w:tcPr>
            <w:tcW w:w="1867" w:type="dxa"/>
            <w:tcBorders>
              <w:top w:val="single" w:color="auto" w:sz="8" w:space="0"/>
              <w:bottom w:val="single" w:color="auto" w:sz="8" w:space="0"/>
            </w:tcBorders>
            <w:vAlign w:val="center"/>
          </w:tcPr>
          <w:p w14:paraId="6FCA932D">
            <w:pPr>
              <w:pStyle w:val="178"/>
            </w:pPr>
            <w:r>
              <w:rPr>
                <w:rFonts w:hint="eastAsia"/>
              </w:rPr>
              <w:t>记录要点</w:t>
            </w:r>
          </w:p>
        </w:tc>
      </w:tr>
      <w:tr w14:paraId="0D263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453E5AF3">
            <w:pPr>
              <w:pStyle w:val="178"/>
            </w:pPr>
            <w:r>
              <w:rPr>
                <w:rFonts w:hint="eastAsia"/>
              </w:rPr>
              <w:t>箱内温度与湿度</w:t>
            </w:r>
          </w:p>
        </w:tc>
        <w:tc>
          <w:tcPr>
            <w:tcW w:w="2325" w:type="dxa"/>
            <w:vAlign w:val="center"/>
          </w:tcPr>
          <w:p w14:paraId="0433FEAA">
            <w:pPr>
              <w:pStyle w:val="178"/>
            </w:pPr>
            <w:r>
              <w:rPr>
                <w:rFonts w:hint="eastAsia"/>
              </w:rPr>
              <w:t>依据循环阶段控制温湿条件；喷淋阶段按标准执行</w:t>
            </w:r>
          </w:p>
        </w:tc>
        <w:tc>
          <w:tcPr>
            <w:tcW w:w="2069" w:type="dxa"/>
            <w:vAlign w:val="center"/>
          </w:tcPr>
          <w:p w14:paraId="59BD5FD3">
            <w:pPr>
              <w:pStyle w:val="178"/>
            </w:pPr>
            <w:r>
              <w:rPr>
                <w:rFonts w:hint="eastAsia"/>
              </w:rPr>
              <w:t>冷凝或喷淋阶段按标准执行；温度按阶段控制</w:t>
            </w:r>
          </w:p>
        </w:tc>
        <w:tc>
          <w:tcPr>
            <w:tcW w:w="1665" w:type="dxa"/>
            <w:vAlign w:val="center"/>
          </w:tcPr>
          <w:p w14:paraId="511217F7">
            <w:pPr>
              <w:pStyle w:val="178"/>
            </w:pPr>
            <w:r>
              <w:rPr>
                <w:rFonts w:hint="eastAsia"/>
              </w:rPr>
              <w:t>按校准周期校准；试验期间抽查</w:t>
            </w:r>
          </w:p>
        </w:tc>
        <w:tc>
          <w:tcPr>
            <w:tcW w:w="1867" w:type="dxa"/>
            <w:vAlign w:val="center"/>
          </w:tcPr>
          <w:p w14:paraId="3E2E314D">
            <w:pPr>
              <w:pStyle w:val="178"/>
            </w:pPr>
            <w:r>
              <w:rPr>
                <w:rFonts w:hint="eastAsia"/>
              </w:rPr>
              <w:t>记录各阶段温湿设定、实测与持续时间</w:t>
            </w:r>
          </w:p>
        </w:tc>
      </w:tr>
      <w:tr w14:paraId="713F5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0E22A21E">
            <w:pPr>
              <w:pStyle w:val="178"/>
            </w:pPr>
            <w:r>
              <w:rPr>
                <w:rFonts w:hint="eastAsia"/>
              </w:rPr>
              <w:t>喷淋与冷凝</w:t>
            </w:r>
          </w:p>
        </w:tc>
        <w:tc>
          <w:tcPr>
            <w:tcW w:w="2325" w:type="dxa"/>
            <w:vAlign w:val="center"/>
          </w:tcPr>
          <w:p w14:paraId="61B202C8">
            <w:pPr>
              <w:pStyle w:val="178"/>
            </w:pPr>
            <w:r>
              <w:rPr>
                <w:rFonts w:hint="eastAsia"/>
              </w:rPr>
              <w:t>喷淋周期与水质满足要求；喷嘴状态良好</w:t>
            </w:r>
          </w:p>
        </w:tc>
        <w:tc>
          <w:tcPr>
            <w:tcW w:w="2069" w:type="dxa"/>
            <w:vAlign w:val="center"/>
          </w:tcPr>
          <w:p w14:paraId="0521A11B">
            <w:pPr>
              <w:pStyle w:val="178"/>
            </w:pPr>
            <w:r>
              <w:rPr>
                <w:rFonts w:hint="eastAsia"/>
              </w:rPr>
              <w:t>冷凝温度与时间满足要求；喷淋时水质满足要求</w:t>
            </w:r>
          </w:p>
        </w:tc>
        <w:tc>
          <w:tcPr>
            <w:tcW w:w="1665" w:type="dxa"/>
            <w:vAlign w:val="center"/>
          </w:tcPr>
          <w:p w14:paraId="762E323E">
            <w:pPr>
              <w:pStyle w:val="178"/>
            </w:pPr>
            <w:r>
              <w:rPr>
                <w:rFonts w:hint="eastAsia"/>
              </w:rPr>
              <w:t>每次试验前确认；周期性维护后复核</w:t>
            </w:r>
          </w:p>
        </w:tc>
        <w:tc>
          <w:tcPr>
            <w:tcW w:w="1867" w:type="dxa"/>
            <w:vAlign w:val="center"/>
          </w:tcPr>
          <w:p w14:paraId="654A5F85">
            <w:pPr>
              <w:pStyle w:val="178"/>
            </w:pPr>
            <w:r>
              <w:rPr>
                <w:rFonts w:hint="eastAsia"/>
              </w:rPr>
              <w:t>记录喷淋或冷凝周期、水质指标、异常情况</w:t>
            </w:r>
          </w:p>
        </w:tc>
      </w:tr>
      <w:tr w14:paraId="5CFEA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266675DB">
            <w:pPr>
              <w:pStyle w:val="178"/>
            </w:pPr>
            <w:r>
              <w:rPr>
                <w:rFonts w:hint="eastAsia"/>
              </w:rPr>
              <w:t>时间与循环控制</w:t>
            </w:r>
          </w:p>
        </w:tc>
        <w:tc>
          <w:tcPr>
            <w:tcW w:w="2325" w:type="dxa"/>
            <w:vAlign w:val="center"/>
          </w:tcPr>
          <w:p w14:paraId="43C42A00">
            <w:pPr>
              <w:pStyle w:val="178"/>
            </w:pPr>
            <w:r>
              <w:rPr>
                <w:rFonts w:hint="eastAsia"/>
              </w:rPr>
              <w:t>循环程序正确；累计暴露量可追溯</w:t>
            </w:r>
          </w:p>
        </w:tc>
        <w:tc>
          <w:tcPr>
            <w:tcW w:w="2069" w:type="dxa"/>
            <w:vAlign w:val="center"/>
          </w:tcPr>
          <w:p w14:paraId="578C1ADD">
            <w:pPr>
              <w:pStyle w:val="178"/>
            </w:pPr>
            <w:r>
              <w:rPr>
                <w:rFonts w:hint="eastAsia"/>
              </w:rPr>
              <w:t>循环程序正确；累计暴露量可追溯</w:t>
            </w:r>
          </w:p>
        </w:tc>
        <w:tc>
          <w:tcPr>
            <w:tcW w:w="1665" w:type="dxa"/>
            <w:vAlign w:val="center"/>
          </w:tcPr>
          <w:p w14:paraId="34EF7A76">
            <w:pPr>
              <w:pStyle w:val="178"/>
            </w:pPr>
            <w:r>
              <w:rPr>
                <w:rFonts w:hint="eastAsia"/>
              </w:rPr>
              <w:t>每次试验前核对；试验过程中核查</w:t>
            </w:r>
          </w:p>
        </w:tc>
        <w:tc>
          <w:tcPr>
            <w:tcW w:w="1867" w:type="dxa"/>
            <w:vAlign w:val="center"/>
          </w:tcPr>
          <w:p w14:paraId="6239C31A">
            <w:pPr>
              <w:pStyle w:val="178"/>
            </w:pPr>
            <w:r>
              <w:rPr>
                <w:rFonts w:hint="eastAsia"/>
              </w:rPr>
              <w:t>记录循环参数、累计时间或累计辐照量、停机时长</w:t>
            </w:r>
          </w:p>
        </w:tc>
      </w:tr>
      <w:tr w14:paraId="3E633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Align w:val="center"/>
          </w:tcPr>
          <w:p w14:paraId="311F9A6E">
            <w:pPr>
              <w:pStyle w:val="178"/>
            </w:pPr>
            <w:r>
              <w:rPr>
                <w:rFonts w:hint="eastAsia"/>
              </w:rPr>
              <w:t>试样位置与轮换</w:t>
            </w:r>
          </w:p>
        </w:tc>
        <w:tc>
          <w:tcPr>
            <w:tcW w:w="2325" w:type="dxa"/>
            <w:vAlign w:val="center"/>
          </w:tcPr>
          <w:p w14:paraId="24743944">
            <w:pPr>
              <w:pStyle w:val="178"/>
            </w:pPr>
            <w:r>
              <w:rPr>
                <w:rFonts w:hint="eastAsia"/>
              </w:rPr>
              <w:t>受光均匀；按规定轮换或旋转</w:t>
            </w:r>
          </w:p>
        </w:tc>
        <w:tc>
          <w:tcPr>
            <w:tcW w:w="2069" w:type="dxa"/>
            <w:vAlign w:val="center"/>
          </w:tcPr>
          <w:p w14:paraId="19C5AE3D">
            <w:pPr>
              <w:pStyle w:val="178"/>
            </w:pPr>
            <w:r>
              <w:rPr>
                <w:rFonts w:hint="eastAsia"/>
              </w:rPr>
              <w:t>受光均匀；按规定轮换</w:t>
            </w:r>
          </w:p>
        </w:tc>
        <w:tc>
          <w:tcPr>
            <w:tcW w:w="1665" w:type="dxa"/>
            <w:vAlign w:val="center"/>
          </w:tcPr>
          <w:p w14:paraId="4FBA070B">
            <w:pPr>
              <w:pStyle w:val="178"/>
            </w:pPr>
            <w:r>
              <w:rPr>
                <w:rFonts w:hint="eastAsia"/>
              </w:rPr>
              <w:t>每次试验执行并记录</w:t>
            </w:r>
          </w:p>
        </w:tc>
        <w:tc>
          <w:tcPr>
            <w:tcW w:w="1867" w:type="dxa"/>
            <w:vAlign w:val="center"/>
          </w:tcPr>
          <w:p w14:paraId="2EAD0345">
            <w:pPr>
              <w:pStyle w:val="178"/>
            </w:pPr>
            <w:r>
              <w:rPr>
                <w:rFonts w:hint="eastAsia"/>
              </w:rPr>
              <w:t>记录试样布置图、轮换频次、位置变更原因</w:t>
            </w:r>
          </w:p>
        </w:tc>
      </w:tr>
    </w:tbl>
    <w:p w14:paraId="6B4F7966">
      <w:pPr>
        <w:pStyle w:val="105"/>
        <w:spacing w:before="120" w:after="120" w:line="360" w:lineRule="auto"/>
      </w:pPr>
      <w:r>
        <w:rPr>
          <w:rFonts w:hint="eastAsia"/>
        </w:rPr>
        <w:t>试验前设备确认</w:t>
      </w:r>
    </w:p>
    <w:p w14:paraId="59D17806">
      <w:pPr>
        <w:pStyle w:val="165"/>
        <w:spacing w:line="360" w:lineRule="auto"/>
      </w:pPr>
      <w:r>
        <w:rPr>
          <w:rFonts w:hint="eastAsia"/>
        </w:rPr>
        <w:t>试验前应进行空载运行确认，核查辐照度、温度、湿度与喷淋或冷凝功能达到设定并稳定。</w:t>
      </w:r>
    </w:p>
    <w:p w14:paraId="2E6494ED">
      <w:pPr>
        <w:pStyle w:val="165"/>
        <w:spacing w:line="360" w:lineRule="auto"/>
      </w:pPr>
      <w:r>
        <w:rPr>
          <w:rFonts w:hint="eastAsia"/>
        </w:rPr>
        <w:t>应检查传感器状态、供水系统、排水系统和报警保护功能，确认无渗漏、无堵塞、无异常噪声或异常气味。</w:t>
      </w:r>
    </w:p>
    <w:p w14:paraId="2A62EE40">
      <w:pPr>
        <w:pStyle w:val="165"/>
        <w:spacing w:line="360" w:lineRule="auto"/>
      </w:pPr>
      <w:r>
        <w:rPr>
          <w:rFonts w:hint="eastAsia"/>
        </w:rPr>
        <w:t>设备确认结果应记录并归档。确认不合格时不得开展正式试验。</w:t>
      </w:r>
    </w:p>
    <w:p w14:paraId="0C7FCA50">
      <w:pPr>
        <w:pStyle w:val="104"/>
        <w:spacing w:before="240" w:after="240" w:line="360" w:lineRule="auto"/>
      </w:pPr>
      <w:bookmarkStart w:id="53" w:name="_Toc218973068"/>
      <w:r>
        <w:rPr>
          <w:rFonts w:hint="eastAsia"/>
        </w:rPr>
        <w:t>试样制备与预处理</w:t>
      </w:r>
      <w:bookmarkEnd w:id="53"/>
    </w:p>
    <w:p w14:paraId="1D810581">
      <w:pPr>
        <w:pStyle w:val="105"/>
        <w:spacing w:before="120" w:after="120" w:line="360" w:lineRule="auto"/>
      </w:pPr>
      <w:r>
        <w:rPr>
          <w:rFonts w:hint="eastAsia"/>
        </w:rPr>
        <w:t>一般要求</w:t>
      </w:r>
    </w:p>
    <w:p w14:paraId="5DF60440">
      <w:pPr>
        <w:pStyle w:val="165"/>
        <w:spacing w:line="360" w:lineRule="auto"/>
      </w:pPr>
      <w:r>
        <w:rPr>
          <w:rFonts w:hint="eastAsia"/>
        </w:rPr>
        <w:t>试样制备与预处理应保证试样代表性与一致性，避免因制样缺陷、污染或应力引入导致结果失真。试样的来源、批次、型号规格、取样位置、制备方法、数量以及预处理条件应记录完整。</w:t>
      </w:r>
    </w:p>
    <w:p w14:paraId="2A1A7507">
      <w:pPr>
        <w:pStyle w:val="165"/>
        <w:spacing w:line="360" w:lineRule="auto"/>
      </w:pPr>
      <w:r>
        <w:rPr>
          <w:rFonts w:hint="eastAsia"/>
        </w:rPr>
        <w:t>试样制备应优先遵循产品标准或材料通用试验方法标准的要求。产品标准与本文件不一致时，应以产品标准或委托技术条件为准，并在报告中说明差异。</w:t>
      </w:r>
    </w:p>
    <w:p w14:paraId="6161AD0C">
      <w:pPr>
        <w:pStyle w:val="165"/>
        <w:spacing w:line="360" w:lineRule="auto"/>
      </w:pPr>
      <w:r>
        <w:rPr>
          <w:rFonts w:hint="eastAsia"/>
        </w:rPr>
        <w:t>对同一组试验样品，初始性能测试试样与暴露试样应来自同一批次并采用同一制备方法。不同组别对比试验应保证除对比因素外其他条件一致。</w:t>
      </w:r>
    </w:p>
    <w:p w14:paraId="4517EF4C">
      <w:pPr>
        <w:pStyle w:val="105"/>
        <w:spacing w:before="120" w:after="120" w:line="360" w:lineRule="auto"/>
      </w:pPr>
      <w:r>
        <w:rPr>
          <w:rFonts w:hint="eastAsia"/>
        </w:rPr>
        <w:t>试样类型与制备要求</w:t>
      </w:r>
    </w:p>
    <w:p w14:paraId="494BD109">
      <w:pPr>
        <w:pStyle w:val="65"/>
        <w:spacing w:before="120" w:after="120" w:line="360" w:lineRule="auto"/>
      </w:pPr>
      <w:r>
        <w:rPr>
          <w:rFonts w:hint="eastAsia"/>
        </w:rPr>
        <w:t>材料试片</w:t>
      </w:r>
    </w:p>
    <w:p w14:paraId="7C9F13AB">
      <w:pPr>
        <w:pStyle w:val="56"/>
        <w:spacing w:line="360" w:lineRule="auto"/>
        <w:ind w:firstLine="420"/>
      </w:pPr>
      <w:r>
        <w:rPr>
          <w:rFonts w:hint="eastAsia"/>
        </w:rPr>
        <w:t>材料试片可采用压制、注塑或挤出片材等方式制备。试片厚度、表面状态与尺寸应满足所选暴露方法及后续性能测试要求。试片表面应平整、无明显气泡、夹杂、裂纹和分层。</w:t>
      </w:r>
    </w:p>
    <w:p w14:paraId="28B4C503">
      <w:pPr>
        <w:pStyle w:val="65"/>
        <w:spacing w:before="120" w:after="120" w:line="360" w:lineRule="auto"/>
      </w:pPr>
      <w:r>
        <w:rPr>
          <w:rFonts w:hint="eastAsia"/>
        </w:rPr>
        <w:t>制品取样试样</w:t>
      </w:r>
    </w:p>
    <w:p w14:paraId="39F6BA90">
      <w:pPr>
        <w:pStyle w:val="56"/>
        <w:spacing w:line="360" w:lineRule="auto"/>
        <w:ind w:firstLine="420"/>
      </w:pPr>
      <w:r>
        <w:rPr>
          <w:rFonts w:hint="eastAsia"/>
        </w:rPr>
        <w:t>从电缆护套或绝缘层制样时，应按标准规定方法制备哑铃状试样或条状试样。制样方向应明确，宜保持沿挤出方向一致。采用冲裁制样时，应避免毛刺、缺口与局部拉伤；采用机加工制样时，应控制热影响与表面划伤。</w:t>
      </w:r>
    </w:p>
    <w:p w14:paraId="3C362367">
      <w:pPr>
        <w:pStyle w:val="56"/>
        <w:spacing w:line="360" w:lineRule="auto"/>
        <w:ind w:firstLine="420"/>
        <w:rPr>
          <w:rFonts w:hint="eastAsia"/>
        </w:rPr>
      </w:pPr>
    </w:p>
    <w:p w14:paraId="0340465A">
      <w:pPr>
        <w:pStyle w:val="65"/>
        <w:spacing w:before="120" w:after="120" w:line="360" w:lineRule="auto"/>
      </w:pPr>
      <w:r>
        <w:rPr>
          <w:rFonts w:hint="eastAsia"/>
        </w:rPr>
        <w:t>成品段样</w:t>
      </w:r>
    </w:p>
    <w:p w14:paraId="53D7A18B">
      <w:pPr>
        <w:pStyle w:val="56"/>
        <w:spacing w:line="360" w:lineRule="auto"/>
        <w:ind w:firstLine="420"/>
      </w:pPr>
      <w:r>
        <w:rPr>
          <w:rFonts w:hint="eastAsia"/>
        </w:rPr>
        <w:t>成品段样应按方案规定长度截取。端部应处理平整并防止结构松散。需进行外观开裂或表面粉化观察的，应明确观察面并进行标识。需进行电性能测试的，应明确屏蔽层处理、端部封堵方式及端距要求，并保证与产品标准一致。</w:t>
      </w:r>
    </w:p>
    <w:p w14:paraId="1B1AED82">
      <w:pPr>
        <w:pStyle w:val="105"/>
        <w:spacing w:before="120" w:after="120" w:line="360" w:lineRule="auto"/>
      </w:pPr>
      <w:r>
        <w:rPr>
          <w:rFonts w:hint="eastAsia"/>
        </w:rPr>
        <w:t>试样尺寸与数量要求</w:t>
      </w:r>
    </w:p>
    <w:p w14:paraId="3836FCA9">
      <w:pPr>
        <w:pStyle w:val="165"/>
        <w:spacing w:line="360" w:lineRule="auto"/>
      </w:pPr>
      <w:r>
        <w:rPr>
          <w:rFonts w:hint="eastAsia"/>
        </w:rPr>
        <w:t>试样尺寸应满足暴露设备夹具安装要求，保证试样固定可靠且受光面无遮挡。试样边缘与夹具接触部位不应成为主要受光区域，避免边缘效应影响评价。</w:t>
      </w:r>
    </w:p>
    <w:p w14:paraId="5ECC27A5">
      <w:pPr>
        <w:pStyle w:val="165"/>
        <w:spacing w:line="360" w:lineRule="auto"/>
      </w:pPr>
      <w:r>
        <w:rPr>
          <w:rFonts w:hint="eastAsia"/>
        </w:rPr>
        <w:t>每一阶段节点的每一项性能测试应至少具备三件有效试样。若试验包含多项性能测试，应在试验方案中明确各项目对应的试样分配，避免重复使用导致结果干扰。</w:t>
      </w:r>
    </w:p>
    <w:p w14:paraId="4CE9829E">
      <w:pPr>
        <w:pStyle w:val="165"/>
        <w:spacing w:line="360" w:lineRule="auto"/>
      </w:pPr>
      <w:r>
        <w:rPr>
          <w:rFonts w:hint="eastAsia"/>
        </w:rPr>
        <w:t>当采用累计辐照量控制或需要中途复测时，应配置备用试样。备用试样的来源与处理条件应与正式试样一致。</w:t>
      </w:r>
    </w:p>
    <w:p w14:paraId="2D2B6B00">
      <w:pPr>
        <w:pStyle w:val="105"/>
        <w:spacing w:before="120" w:after="120" w:line="360" w:lineRule="auto"/>
      </w:pPr>
      <w:r>
        <w:rPr>
          <w:rFonts w:hint="eastAsia"/>
        </w:rPr>
        <w:t>标识与布置要求</w:t>
      </w:r>
    </w:p>
    <w:p w14:paraId="3094283F">
      <w:pPr>
        <w:pStyle w:val="165"/>
        <w:spacing w:line="360" w:lineRule="auto"/>
      </w:pPr>
      <w:r>
        <w:rPr>
          <w:rFonts w:hint="eastAsia"/>
        </w:rPr>
        <w:t>试样应在不影响暴露面的前提下进行永久性标识，标识内容至少包括样品编号、组别、取样节点、制样方向或部位信息。标识方式可采用背面耐候标记、耐温标签或边缘刻印等。</w:t>
      </w:r>
    </w:p>
    <w:p w14:paraId="1B6A25AA">
      <w:pPr>
        <w:pStyle w:val="165"/>
        <w:spacing w:line="360" w:lineRule="auto"/>
      </w:pPr>
      <w:r>
        <w:rPr>
          <w:rFonts w:hint="eastAsia"/>
        </w:rPr>
        <w:t>试样在试样架上的布置应尽量均匀，避免同组试样集中在同一位置。需要位置轮换的，应按规定频次轮换，并记录轮换顺序与时间点。</w:t>
      </w:r>
    </w:p>
    <w:p w14:paraId="2291E6BA">
      <w:pPr>
        <w:pStyle w:val="165"/>
        <w:spacing w:line="360" w:lineRule="auto"/>
      </w:pPr>
      <w:r>
        <w:rPr>
          <w:rFonts w:hint="eastAsia"/>
        </w:rPr>
        <w:t>对存在明显各向异性的材料或制品，应统一受光方向，并在台账中记录受光面与背光面定义。</w:t>
      </w:r>
    </w:p>
    <w:p w14:paraId="783DE9E2">
      <w:pPr>
        <w:pStyle w:val="105"/>
        <w:spacing w:before="120" w:after="120" w:line="360" w:lineRule="auto"/>
      </w:pPr>
      <w:r>
        <w:rPr>
          <w:rFonts w:hint="eastAsia"/>
        </w:rPr>
        <w:t>预处理要求</w:t>
      </w:r>
    </w:p>
    <w:p w14:paraId="65AB4DF5">
      <w:pPr>
        <w:pStyle w:val="165"/>
        <w:spacing w:line="360" w:lineRule="auto"/>
      </w:pPr>
      <w:r>
        <w:rPr>
          <w:rFonts w:hint="eastAsia"/>
        </w:rPr>
        <w:t>试样在暴露前应进行状态调节。状态调节条件应按相关材料试验方法标准执行，未规定时宜在温度 23 ℃、相对湿度 50 % 条件下调节不少于 16 h。调节期间应避免直射光照与污染。</w:t>
      </w:r>
    </w:p>
    <w:p w14:paraId="1B44F753">
      <w:pPr>
        <w:pStyle w:val="165"/>
        <w:spacing w:line="360" w:lineRule="auto"/>
      </w:pPr>
      <w:r>
        <w:rPr>
          <w:rFonts w:hint="eastAsia"/>
        </w:rPr>
        <w:t>初始性能测试试样与暴露试样应在相同状态调节条件下处理。对吸湿性材料或含增塑剂材料，应避免过度干燥或异常吸湿导致初始状态偏离实际。</w:t>
      </w:r>
    </w:p>
    <w:p w14:paraId="4EA86DBE">
      <w:pPr>
        <w:pStyle w:val="165"/>
        <w:spacing w:line="360" w:lineRule="auto"/>
      </w:pPr>
      <w:r>
        <w:rPr>
          <w:rFonts w:hint="eastAsia"/>
        </w:rPr>
        <w:t>若委托要求包含清洗或表面处理，应明确清洗介质、清洗方法、干燥条件与放置时间。清洗应避免溶胀、萃取或残留物影响试样表面状态。</w:t>
      </w:r>
    </w:p>
    <w:p w14:paraId="07A91F41">
      <w:pPr>
        <w:pStyle w:val="105"/>
        <w:spacing w:before="120" w:after="120" w:line="360" w:lineRule="auto"/>
      </w:pPr>
      <w:r>
        <w:rPr>
          <w:rFonts w:hint="eastAsia"/>
        </w:rPr>
        <w:t>初始基线测试要求</w:t>
      </w:r>
    </w:p>
    <w:p w14:paraId="4AAC055E">
      <w:pPr>
        <w:pStyle w:val="165"/>
        <w:spacing w:line="360" w:lineRule="auto"/>
      </w:pPr>
      <w:r>
        <w:rPr>
          <w:rFonts w:hint="eastAsia"/>
        </w:rPr>
        <w:t>试验开始前应对试样开展初始基线测试或初始外观记录，作为保持率或变化量计算基准。初始测试项目应与阶段测试项目一致或满足判定指标要求。</w:t>
      </w:r>
    </w:p>
    <w:p w14:paraId="50616E22">
      <w:pPr>
        <w:pStyle w:val="165"/>
        <w:spacing w:line="360" w:lineRule="auto"/>
      </w:pPr>
      <w:r>
        <w:rPr>
          <w:rFonts w:hint="eastAsia"/>
        </w:rPr>
        <w:t>初始测试结果应记录原始数据、统计量与测试条件。对初始数据离散性异常的，应排查制样缺陷或测试偏差，并按质量控制程序决定是否补样或重测。</w:t>
      </w:r>
    </w:p>
    <w:p w14:paraId="69733EFC">
      <w:pPr>
        <w:pStyle w:val="165"/>
        <w:spacing w:line="360" w:lineRule="auto"/>
      </w:pPr>
      <w:r>
        <w:rPr>
          <w:rFonts w:hint="eastAsia"/>
        </w:rPr>
        <w:t>初始外观记录宜包含照片与文字描述，照片应具备尺度参照与标识信息，并确保后续阶段可在相同角度与光照条件下对比。</w:t>
      </w:r>
    </w:p>
    <w:p w14:paraId="6A3B3A8C">
      <w:pPr>
        <w:pStyle w:val="104"/>
        <w:spacing w:before="240" w:after="240" w:line="360" w:lineRule="auto"/>
      </w:pPr>
      <w:bookmarkStart w:id="54" w:name="_Toc218973069"/>
      <w:r>
        <w:rPr>
          <w:rFonts w:hint="eastAsia"/>
        </w:rPr>
        <w:t>暴露运行与取样</w:t>
      </w:r>
      <w:bookmarkEnd w:id="54"/>
    </w:p>
    <w:p w14:paraId="7D420844">
      <w:pPr>
        <w:pStyle w:val="105"/>
        <w:spacing w:before="120" w:after="120" w:line="360" w:lineRule="auto"/>
      </w:pPr>
      <w:r>
        <w:rPr>
          <w:rFonts w:hint="eastAsia"/>
        </w:rPr>
        <w:t>一般要求</w:t>
      </w:r>
    </w:p>
    <w:p w14:paraId="7162F1B8">
      <w:pPr>
        <w:pStyle w:val="165"/>
        <w:spacing w:line="360" w:lineRule="auto"/>
      </w:pPr>
      <w:r>
        <w:rPr>
          <w:rFonts w:hint="eastAsia"/>
        </w:rPr>
        <w:t>暴露运行应严格按试验方案和所采用方法标准执行，确保辐照度、温度、湿度、喷淋或冷凝循环等关键条件受控且可追溯。任何偏离设定条件的情况均应记录，并评估对试验结果的影响。</w:t>
      </w:r>
    </w:p>
    <w:p w14:paraId="5F2EEA35">
      <w:pPr>
        <w:pStyle w:val="165"/>
        <w:spacing w:line="360" w:lineRule="auto"/>
      </w:pPr>
      <w:r>
        <w:rPr>
          <w:rFonts w:hint="eastAsia"/>
        </w:rPr>
        <w:t>暴露运行期间应保持设备连续稳定运行。需要停机维护或发生故障停机时，应记录停机原因、停机时长、停机期间试样状态与恢复运行后的参数确认结果，并按质量控制程序处理累计暴露量的折算或补偿。</w:t>
      </w:r>
    </w:p>
    <w:p w14:paraId="7E51CCA0">
      <w:pPr>
        <w:pStyle w:val="165"/>
        <w:spacing w:line="360" w:lineRule="auto"/>
      </w:pPr>
      <w:r>
        <w:rPr>
          <w:rFonts w:hint="eastAsia"/>
        </w:rPr>
        <w:t>暴露试样的受光面定义、试样架布置、位置轮换要求应与试验方案一致。轮换或旋转属于关键控制动作，执行情况应记录完整。</w:t>
      </w:r>
    </w:p>
    <w:p w14:paraId="3AF220D5">
      <w:pPr>
        <w:pStyle w:val="105"/>
        <w:spacing w:before="120" w:after="120" w:line="360" w:lineRule="auto"/>
      </w:pPr>
      <w:r>
        <w:rPr>
          <w:rFonts w:hint="eastAsia"/>
        </w:rPr>
        <w:t>暴露条件设定与确认</w:t>
      </w:r>
    </w:p>
    <w:p w14:paraId="075ADDA7">
      <w:pPr>
        <w:pStyle w:val="165"/>
        <w:spacing w:line="360" w:lineRule="auto"/>
      </w:pPr>
      <w:r>
        <w:rPr>
          <w:rFonts w:hint="eastAsia"/>
        </w:rPr>
        <w:t>暴露条件设定应包括光源类型与配置、辐照度设定与控制方式、黑板温度或箱内温度设定、相对湿度设定、喷淋或冷凝条件、循环周期以及累计暴露目标。设定值应与表1对应的记录要点一致。</w:t>
      </w:r>
    </w:p>
    <w:p w14:paraId="4EAD0214">
      <w:pPr>
        <w:pStyle w:val="165"/>
        <w:spacing w:line="360" w:lineRule="auto"/>
      </w:pPr>
      <w:r>
        <w:rPr>
          <w:rFonts w:hint="eastAsia"/>
        </w:rPr>
        <w:t>试验开始前应确认设备参数稳定。确认内容至少包括辐照度实测值、温度实测值、湿度实测值、喷淋或冷凝运行状态、循环程序运行正确性和报警保护功能有效性。</w:t>
      </w:r>
    </w:p>
    <w:p w14:paraId="4BBD5D6C">
      <w:pPr>
        <w:pStyle w:val="165"/>
        <w:spacing w:line="360" w:lineRule="auto"/>
      </w:pPr>
      <w:r>
        <w:rPr>
          <w:rFonts w:hint="eastAsia"/>
        </w:rPr>
        <w:t>对采用累计辐照量控制的试验，应确认辐照度传感器读数可靠，并明确累计辐照量的采集方式、采样间隔和数据导出格式。</w:t>
      </w:r>
    </w:p>
    <w:p w14:paraId="6F6DD05C">
      <w:pPr>
        <w:pStyle w:val="105"/>
        <w:spacing w:before="120" w:after="120" w:line="360" w:lineRule="auto"/>
      </w:pPr>
      <w:r>
        <w:rPr>
          <w:rFonts w:hint="eastAsia"/>
        </w:rPr>
        <w:t>试样装载与位置管理</w:t>
      </w:r>
    </w:p>
    <w:p w14:paraId="2CF9E6D2">
      <w:pPr>
        <w:pStyle w:val="165"/>
        <w:spacing w:line="360" w:lineRule="auto"/>
      </w:pPr>
      <w:r>
        <w:rPr>
          <w:rFonts w:hint="eastAsia"/>
        </w:rPr>
        <w:t>试样装载前应检查试样标识与受光面定义，确认试样表面洁净无污染，无指印、油污或残留清洗剂。必要时应按方案规定进行无损清洁，并记录清洁方法。</w:t>
      </w:r>
    </w:p>
    <w:p w14:paraId="77FEFC49">
      <w:pPr>
        <w:pStyle w:val="165"/>
        <w:spacing w:line="360" w:lineRule="auto"/>
      </w:pPr>
      <w:r>
        <w:rPr>
          <w:rFonts w:hint="eastAsia"/>
        </w:rPr>
        <w:t>试样装载应保证固定牢靠，避免在喷淋或冷凝过程中松动。试样之间应保持适当间距，避免相互遮挡或贴靠影响受光与水膜形成。</w:t>
      </w:r>
    </w:p>
    <w:p w14:paraId="7AF43FF3">
      <w:pPr>
        <w:pStyle w:val="165"/>
        <w:spacing w:line="360" w:lineRule="auto"/>
      </w:pPr>
      <w:r>
        <w:rPr>
          <w:rFonts w:hint="eastAsia"/>
        </w:rPr>
        <w:t>需要轮换的试验应在方案中明确轮换频次与轮换规则。轮换记录应至少包含轮换时间点、轮换规则、试样位置变化和执行人。因设备结构限制无法按规则轮换时，应记录原因并评估影响。</w:t>
      </w:r>
    </w:p>
    <w:p w14:paraId="2DBB6928">
      <w:pPr>
        <w:pStyle w:val="105"/>
        <w:spacing w:before="120" w:after="120" w:line="360" w:lineRule="auto"/>
      </w:pPr>
      <w:r>
        <w:rPr>
          <w:rFonts w:hint="eastAsia"/>
        </w:rPr>
        <w:t>暴露运行监控与记录</w:t>
      </w:r>
    </w:p>
    <w:p w14:paraId="54F0C240">
      <w:pPr>
        <w:pStyle w:val="165"/>
        <w:spacing w:line="360" w:lineRule="auto"/>
      </w:pPr>
      <w:r>
        <w:rPr>
          <w:rFonts w:hint="eastAsia"/>
        </w:rPr>
        <w:t>运行监控应对辐照度、温度、湿度以及喷淋或冷凝状态进行过程记录。记录方式可采用设备自动记录与人工复核相结合。关键参数记录频次应满足方法标准或内部质量控制要求。</w:t>
      </w:r>
    </w:p>
    <w:p w14:paraId="73DE12EE">
      <w:pPr>
        <w:pStyle w:val="165"/>
        <w:spacing w:line="360" w:lineRule="auto"/>
      </w:pPr>
      <w:r>
        <w:rPr>
          <w:rFonts w:hint="eastAsia"/>
        </w:rPr>
        <w:t>运行记录应至少包含试验开始时间、循环程序版本或参数文件标识、设定值、实测值、波动范围、异常报警信息、停机信息、维护信息以及试样轮换信息。</w:t>
      </w:r>
    </w:p>
    <w:p w14:paraId="10DE4243">
      <w:pPr>
        <w:pStyle w:val="165"/>
        <w:spacing w:line="360" w:lineRule="auto"/>
      </w:pPr>
      <w:r>
        <w:rPr>
          <w:rFonts w:hint="eastAsia"/>
        </w:rPr>
        <w:t>运行期间发生参数漂移超出允许偏差时，应立即采取纠正措施。纠正措施包括参数调整、传感器检查、光源维护、供水系统维护等。纠正后应再次确认参数稳定，并记录调整前后数据。</w:t>
      </w:r>
    </w:p>
    <w:p w14:paraId="675F2B96">
      <w:pPr>
        <w:pStyle w:val="105"/>
        <w:spacing w:before="120" w:after="120" w:line="360" w:lineRule="auto"/>
      </w:pPr>
      <w:r>
        <w:rPr>
          <w:rFonts w:hint="eastAsia"/>
        </w:rPr>
        <w:t>停机与异常处置</w:t>
      </w:r>
    </w:p>
    <w:p w14:paraId="3801287D">
      <w:pPr>
        <w:pStyle w:val="65"/>
        <w:spacing w:before="120" w:after="120" w:line="360" w:lineRule="auto"/>
      </w:pPr>
      <w:r>
        <w:rPr>
          <w:rFonts w:hint="eastAsia"/>
        </w:rPr>
        <w:t>非计划停机</w:t>
      </w:r>
    </w:p>
    <w:p w14:paraId="1F7B2292">
      <w:pPr>
        <w:pStyle w:val="56"/>
        <w:spacing w:line="360" w:lineRule="auto"/>
        <w:ind w:firstLine="420"/>
      </w:pPr>
      <w:r>
        <w:rPr>
          <w:rFonts w:hint="eastAsia"/>
        </w:rPr>
        <w:t>发生设备故障、供电中断、供水异常或报警停机时，应立即记录停机时间与原因，并采取措施保护试样，避免试样在高温高湿或强光条件下处于不可控状态。恢复运行前应进行设备确认，确认满足设定条件后方可继续试验。</w:t>
      </w:r>
    </w:p>
    <w:p w14:paraId="1A5E225D">
      <w:pPr>
        <w:pStyle w:val="65"/>
        <w:spacing w:before="120" w:after="120" w:line="360" w:lineRule="auto"/>
      </w:pPr>
      <w:r>
        <w:rPr>
          <w:rFonts w:hint="eastAsia"/>
        </w:rPr>
        <w:t>计划停机</w:t>
      </w:r>
    </w:p>
    <w:p w14:paraId="28590C40">
      <w:pPr>
        <w:pStyle w:val="56"/>
        <w:spacing w:line="360" w:lineRule="auto"/>
        <w:ind w:firstLine="420"/>
      </w:pPr>
      <w:r>
        <w:rPr>
          <w:rFonts w:hint="eastAsia"/>
        </w:rPr>
        <w:t>计划维护或更换光源时，应在不影响取样节点的前提下安排停机。停机期间应对试样采取避光防尘措施，并记录停机时长。更换光源或滤光系统后应按表1要求核查并记录。</w:t>
      </w:r>
    </w:p>
    <w:p w14:paraId="21AD979D">
      <w:pPr>
        <w:pStyle w:val="65"/>
        <w:spacing w:before="120" w:after="120" w:line="360" w:lineRule="auto"/>
      </w:pPr>
      <w:r>
        <w:rPr>
          <w:rFonts w:hint="eastAsia"/>
        </w:rPr>
        <w:t>异常偏差评估</w:t>
      </w:r>
    </w:p>
    <w:p w14:paraId="1B9E2E8A">
      <w:pPr>
        <w:pStyle w:val="56"/>
        <w:spacing w:line="360" w:lineRule="auto"/>
        <w:ind w:firstLine="420"/>
      </w:pPr>
      <w:r>
        <w:rPr>
          <w:rFonts w:hint="eastAsia"/>
        </w:rPr>
        <w:t>发生下列情况之一时，应进行异常偏差评估，并在报告中说明处理结论：辐照度累计偏差超限、温湿控制持续超限、喷淋或冷凝失效、停机时间过长、试样脱落或遮挡、试样污染或损伤。必要时应补充试样或重新开始试验，并保留原试验记录。</w:t>
      </w:r>
    </w:p>
    <w:p w14:paraId="36704F36">
      <w:pPr>
        <w:pStyle w:val="105"/>
        <w:spacing w:before="120" w:after="120" w:line="360" w:lineRule="auto"/>
      </w:pPr>
      <w:r>
        <w:rPr>
          <w:rFonts w:hint="eastAsia"/>
        </w:rPr>
        <w:t>阶段取样与样品保存</w:t>
      </w:r>
    </w:p>
    <w:p w14:paraId="26C490E5">
      <w:pPr>
        <w:pStyle w:val="65"/>
        <w:spacing w:before="120" w:after="120" w:line="360" w:lineRule="auto"/>
      </w:pPr>
      <w:r>
        <w:rPr>
          <w:rFonts w:hint="eastAsia"/>
        </w:rPr>
        <w:t>取样节点</w:t>
      </w:r>
    </w:p>
    <w:p w14:paraId="5DF75E08">
      <w:pPr>
        <w:pStyle w:val="56"/>
        <w:spacing w:line="360" w:lineRule="auto"/>
        <w:ind w:firstLine="420"/>
      </w:pPr>
      <w:r>
        <w:rPr>
          <w:rFonts w:hint="eastAsia"/>
        </w:rPr>
        <w:t>取样节点应按试验方案执行，可按累计暴露时间或累计辐照量到达节点后取样。取样时应记录节点值、取样时间以及对应试样编号。</w:t>
      </w:r>
    </w:p>
    <w:p w14:paraId="117EFA79">
      <w:pPr>
        <w:pStyle w:val="65"/>
        <w:spacing w:before="120" w:after="120" w:line="360" w:lineRule="auto"/>
      </w:pPr>
      <w:r>
        <w:rPr>
          <w:rFonts w:hint="eastAsia"/>
        </w:rPr>
        <w:t>取样操作</w:t>
      </w:r>
    </w:p>
    <w:p w14:paraId="4F5BA46F">
      <w:pPr>
        <w:pStyle w:val="56"/>
        <w:spacing w:line="360" w:lineRule="auto"/>
        <w:ind w:firstLine="420"/>
      </w:pPr>
      <w:r>
        <w:rPr>
          <w:rFonts w:hint="eastAsia"/>
        </w:rPr>
        <w:t>取样应在最短时间内完成，减少试样离箱时间对温湿状态的影响。取样人员应佩戴洁净手套，避免污染试样表面。取样后应立即恢复设备运行并确认参数回稳。</w:t>
      </w:r>
    </w:p>
    <w:p w14:paraId="2B386A67">
      <w:pPr>
        <w:pStyle w:val="65"/>
        <w:spacing w:before="120" w:after="120" w:line="360" w:lineRule="auto"/>
      </w:pPr>
      <w:r>
        <w:rPr>
          <w:rFonts w:hint="eastAsia"/>
        </w:rPr>
        <w:t>取样后状态调节</w:t>
      </w:r>
    </w:p>
    <w:p w14:paraId="2E56B0A9">
      <w:pPr>
        <w:pStyle w:val="56"/>
        <w:spacing w:line="360" w:lineRule="auto"/>
        <w:ind w:firstLine="420"/>
      </w:pPr>
      <w:r>
        <w:rPr>
          <w:rFonts w:hint="eastAsia"/>
        </w:rPr>
        <w:t>取样试样在开展性能测试前应进行状态调节。状态调节条件应与第6章一致或按相关测试标准要求执行，并记录调节时间与环境条件。对需观察水渍、粉化或表面裂纹的试样，应明确是否允许擦拭以及擦拭方法，避免影响外观评价。</w:t>
      </w:r>
    </w:p>
    <w:p w14:paraId="50A30682">
      <w:pPr>
        <w:pStyle w:val="65"/>
        <w:spacing w:before="120" w:after="120" w:line="360" w:lineRule="auto"/>
      </w:pPr>
      <w:r>
        <w:rPr>
          <w:rFonts w:hint="eastAsia"/>
        </w:rPr>
        <w:t>样品保存</w:t>
      </w:r>
    </w:p>
    <w:p w14:paraId="193D8BE9">
      <w:pPr>
        <w:pStyle w:val="56"/>
        <w:spacing w:line="360" w:lineRule="auto"/>
        <w:ind w:firstLine="420"/>
      </w:pPr>
      <w:r>
        <w:rPr>
          <w:rFonts w:hint="eastAsia"/>
        </w:rPr>
        <w:t>取样试样在测试前应避光保存，防止二次光照或污染。保存容器应清洁干燥，必要时使用不含增塑剂迁移风险的材料。保存时间应尽量缩短，确需延长保存时应记录保存条件并评估影响。</w:t>
      </w:r>
    </w:p>
    <w:p w14:paraId="0407D153">
      <w:pPr>
        <w:pStyle w:val="105"/>
        <w:spacing w:before="120" w:after="120" w:line="360" w:lineRule="auto"/>
      </w:pPr>
      <w:r>
        <w:rPr>
          <w:rFonts w:hint="eastAsia"/>
        </w:rPr>
        <w:t>终止条件与试验结束</w:t>
      </w:r>
    </w:p>
    <w:p w14:paraId="0C0B6C1F">
      <w:pPr>
        <w:pStyle w:val="165"/>
        <w:spacing w:line="360" w:lineRule="auto"/>
      </w:pPr>
      <w:r>
        <w:rPr>
          <w:rFonts w:hint="eastAsia"/>
        </w:rPr>
        <w:t>试验应在达到累计暴露目标后结束。若试样在达到终止节点前出现严重开裂、脆断、粉化或其他失效特征，且已满足失效判定条件时，可按方案提前终止并记录终止节点。</w:t>
      </w:r>
    </w:p>
    <w:p w14:paraId="305AD961">
      <w:pPr>
        <w:pStyle w:val="165"/>
        <w:spacing w:line="360" w:lineRule="auto"/>
      </w:pPr>
      <w:r>
        <w:rPr>
          <w:rFonts w:hint="eastAsia"/>
        </w:rPr>
        <w:t>试验结束后应对全部试样进行最终外观记录，并按方案开展终止性能测试。试验结束记录应包含累计暴露时间或累计辐照量、实际运行时长、停机总时长、主要异常及处置结论。</w:t>
      </w:r>
    </w:p>
    <w:p w14:paraId="1F89172B">
      <w:pPr>
        <w:pStyle w:val="104"/>
        <w:spacing w:before="240" w:after="240" w:line="360" w:lineRule="auto"/>
      </w:pPr>
      <w:bookmarkStart w:id="55" w:name="_Toc218973070"/>
      <w:r>
        <w:rPr>
          <w:rFonts w:hint="eastAsia"/>
        </w:rPr>
        <w:t>性能测试与数据处理</w:t>
      </w:r>
      <w:bookmarkEnd w:id="55"/>
    </w:p>
    <w:p w14:paraId="694A7E99">
      <w:pPr>
        <w:pStyle w:val="105"/>
        <w:spacing w:before="120" w:after="120" w:line="360" w:lineRule="auto"/>
      </w:pPr>
      <w:r>
        <w:rPr>
          <w:rFonts w:hint="eastAsia"/>
        </w:rPr>
        <w:t>一般要求</w:t>
      </w:r>
    </w:p>
    <w:p w14:paraId="740C4FB0">
      <w:pPr>
        <w:pStyle w:val="165"/>
        <w:spacing w:line="360" w:lineRule="auto"/>
      </w:pPr>
      <w:r>
        <w:rPr>
          <w:rFonts w:hint="eastAsia"/>
        </w:rPr>
        <w:t>性能测试应按试验方案规定的取样节点开展，并采用与产品标准或所引用试验方法一致的测试方法与条件。测试前应确认试样已按规定完成状态调节，且试样编号与节点信息对应准确。</w:t>
      </w:r>
    </w:p>
    <w:p w14:paraId="72C01EBA">
      <w:pPr>
        <w:pStyle w:val="165"/>
        <w:spacing w:line="360" w:lineRule="auto"/>
      </w:pPr>
      <w:r>
        <w:rPr>
          <w:rFonts w:hint="eastAsia"/>
        </w:rPr>
        <w:t>同一项目的初始测试与阶段测试应使用一致的测试条件、设备与夹具。确需变更时，应记录变更原因、变更内容并评估对可比性的影响。</w:t>
      </w:r>
    </w:p>
    <w:p w14:paraId="578BD7BF">
      <w:pPr>
        <w:pStyle w:val="165"/>
        <w:spacing w:line="360" w:lineRule="auto"/>
      </w:pPr>
      <w:r>
        <w:rPr>
          <w:rFonts w:hint="eastAsia"/>
        </w:rPr>
        <w:t>性能测试原始数据应完整记录并可追溯。记录内容应包括设备编号、校准状态、测试环境、操作人员、试样编号、试验条件、原始读数与计算结果。</w:t>
      </w:r>
    </w:p>
    <w:p w14:paraId="06F64BFA">
      <w:pPr>
        <w:pStyle w:val="165"/>
        <w:spacing w:line="360" w:lineRule="auto"/>
      </w:pPr>
      <w:r>
        <w:rPr>
          <w:rFonts w:hint="eastAsia"/>
        </w:rPr>
        <w:t>试样出现脆断、开裂或明显缺陷导致无法按标准完成测试时，应记录失效状态并在数据处理中说明，必要时按方案启用备用试样或调整测试项目。</w:t>
      </w:r>
    </w:p>
    <w:p w14:paraId="2EE04AB5">
      <w:pPr>
        <w:pStyle w:val="105"/>
        <w:spacing w:before="120" w:after="120" w:line="360" w:lineRule="auto"/>
      </w:pPr>
      <w:r>
        <w:rPr>
          <w:rFonts w:hint="eastAsia"/>
        </w:rPr>
        <w:t>外观评价</w:t>
      </w:r>
    </w:p>
    <w:p w14:paraId="003BE056">
      <w:pPr>
        <w:pStyle w:val="165"/>
        <w:spacing w:line="360" w:lineRule="auto"/>
      </w:pPr>
      <w:r>
        <w:rPr>
          <w:rFonts w:hint="eastAsia"/>
        </w:rPr>
        <w:t>外观评价应在规定光照条件下进行。宜采用统一的背景、照度和观察距离，并保持各节点对比条件一致。</w:t>
      </w:r>
    </w:p>
    <w:p w14:paraId="44C9EF1E">
      <w:pPr>
        <w:pStyle w:val="165"/>
        <w:spacing w:line="360" w:lineRule="auto"/>
      </w:pPr>
      <w:r>
        <w:rPr>
          <w:rFonts w:hint="eastAsia"/>
        </w:rPr>
        <w:t>外观记录应至少包括颜色变化、光泽变化、粉化、龟裂、起泡、分层、表面侵蚀和污染沉积等现象。外观记录宜包含照片，照片应包含试样编号与尺度参照，并保持拍摄角度一致。</w:t>
      </w:r>
    </w:p>
    <w:p w14:paraId="6DF4FAD4">
      <w:pPr>
        <w:pStyle w:val="165"/>
        <w:spacing w:line="360" w:lineRule="auto"/>
      </w:pPr>
      <w:r>
        <w:rPr>
          <w:rFonts w:hint="eastAsia"/>
        </w:rPr>
        <w:t>龟裂评价应明确裂纹位置、方向、密度与长度分布。对裂纹较细或早期裂纹，宜使用放大镜或显微镜辅助观察，并记录放大倍率与观察区域。</w:t>
      </w:r>
    </w:p>
    <w:p w14:paraId="538A5ED1">
      <w:pPr>
        <w:pStyle w:val="165"/>
        <w:spacing w:line="360" w:lineRule="auto"/>
      </w:pPr>
      <w:r>
        <w:rPr>
          <w:rFonts w:hint="eastAsia"/>
        </w:rPr>
        <w:t>外观评价采用等级法时，应在试验方案中明确评级标准、参考样或图谱依据，并确保同一评价人员或同一评价规则在各节点一致执行。</w:t>
      </w:r>
    </w:p>
    <w:p w14:paraId="6B312BE5">
      <w:pPr>
        <w:pStyle w:val="105"/>
        <w:spacing w:before="120" w:after="120" w:line="360" w:lineRule="auto"/>
      </w:pPr>
      <w:r>
        <w:rPr>
          <w:rFonts w:hint="eastAsia"/>
        </w:rPr>
        <w:t>颜色变化与色差测定</w:t>
      </w:r>
    </w:p>
    <w:p w14:paraId="0D026090">
      <w:pPr>
        <w:pStyle w:val="165"/>
        <w:spacing w:line="360" w:lineRule="auto"/>
      </w:pPr>
      <w:r>
        <w:rPr>
          <w:rFonts w:hint="eastAsia"/>
        </w:rPr>
        <w:t>当采用色差法评价颜色变化时，应明确测量仪器类型、光源条件、观察角度、测点数量与测点位置。测点应避开试样边缘和夹持区，避免边缘效应。</w:t>
      </w:r>
    </w:p>
    <w:p w14:paraId="2498A58C">
      <w:pPr>
        <w:pStyle w:val="165"/>
        <w:spacing w:line="360" w:lineRule="auto"/>
      </w:pPr>
      <w:r>
        <w:rPr>
          <w:rFonts w:hint="eastAsia"/>
        </w:rPr>
        <w:t>色差计算方法应在方案中明确。多测点结果宜给出平均值与离散性指标，并说明是否剔除异常点及其依据。</w:t>
      </w:r>
    </w:p>
    <w:p w14:paraId="03F05D13">
      <w:pPr>
        <w:pStyle w:val="165"/>
        <w:spacing w:line="360" w:lineRule="auto"/>
      </w:pPr>
      <w:r>
        <w:rPr>
          <w:rFonts w:hint="eastAsia"/>
        </w:rPr>
        <w:t>对存在喷淋水渍或表面污染的试样，应明确是否允许清洁以及清洁方法。清洁行为会影响颜色与光泽评价时，应保持各节点一致并记录清洁条件。</w:t>
      </w:r>
    </w:p>
    <w:p w14:paraId="2E8F148A">
      <w:pPr>
        <w:pStyle w:val="105"/>
        <w:spacing w:before="120" w:after="120" w:line="360" w:lineRule="auto"/>
      </w:pPr>
      <w:r>
        <w:rPr>
          <w:rFonts w:hint="eastAsia"/>
        </w:rPr>
        <w:t>力学性能测试</w:t>
      </w:r>
    </w:p>
    <w:p w14:paraId="0BBE8A0E">
      <w:pPr>
        <w:pStyle w:val="65"/>
        <w:spacing w:before="120" w:after="120" w:line="360" w:lineRule="auto"/>
      </w:pPr>
      <w:r>
        <w:rPr>
          <w:rFonts w:hint="eastAsia"/>
        </w:rPr>
        <w:t>拉伸性能</w:t>
      </w:r>
    </w:p>
    <w:p w14:paraId="27C2FDEC">
      <w:pPr>
        <w:pStyle w:val="56"/>
        <w:spacing w:line="360" w:lineRule="auto"/>
        <w:ind w:firstLine="420"/>
      </w:pPr>
      <w:r>
        <w:rPr>
          <w:rFonts w:hint="eastAsia"/>
        </w:rPr>
        <w:t>拉伸强度与断裂伸长率测试应按相应材料试验方法标准执行，明确试样类型、标距、拉伸速度、夹具形式和断裂判定。对从电缆护套或绝缘层制样的，应记录制样方向与取样位置。</w:t>
      </w:r>
    </w:p>
    <w:p w14:paraId="13D4F786">
      <w:pPr>
        <w:pStyle w:val="65"/>
        <w:spacing w:before="120" w:after="120" w:line="360" w:lineRule="auto"/>
      </w:pPr>
      <w:r>
        <w:rPr>
          <w:rFonts w:hint="eastAsia"/>
        </w:rPr>
        <w:t>弯曲性能与其他力学指标</w:t>
      </w:r>
    </w:p>
    <w:p w14:paraId="6C289E21">
      <w:pPr>
        <w:pStyle w:val="56"/>
        <w:spacing w:line="360" w:lineRule="auto"/>
        <w:ind w:firstLine="420"/>
      </w:pPr>
      <w:r>
        <w:rPr>
          <w:rFonts w:hint="eastAsia"/>
        </w:rPr>
        <w:t>需要测定弯曲性能、撕裂强度、硬度等指标时，应按对应标准执行并保持初始与阶段条件一致。硬度测试应明确试样厚度、压针类型、保持时间与测点数量。</w:t>
      </w:r>
    </w:p>
    <w:p w14:paraId="6054F811">
      <w:pPr>
        <w:pStyle w:val="65"/>
        <w:spacing w:before="120" w:after="120" w:line="360" w:lineRule="auto"/>
      </w:pPr>
      <w:r>
        <w:rPr>
          <w:rFonts w:hint="eastAsia"/>
        </w:rPr>
        <w:t>试样有效性</w:t>
      </w:r>
    </w:p>
    <w:p w14:paraId="36BD9432">
      <w:pPr>
        <w:pStyle w:val="56"/>
        <w:spacing w:line="360" w:lineRule="auto"/>
        <w:ind w:firstLine="420"/>
      </w:pPr>
      <w:r>
        <w:rPr>
          <w:rFonts w:hint="eastAsia"/>
        </w:rPr>
        <w:t>出现夹持打滑、断裂发生在夹持区、明显缺口导致的非代表性断裂等情况时，应按试验方法标准判定为无效数据，并补测。无效原因与补测情况应记录。</w:t>
      </w:r>
    </w:p>
    <w:p w14:paraId="510BE1A6">
      <w:pPr>
        <w:pStyle w:val="105"/>
        <w:spacing w:before="120" w:after="120" w:line="360" w:lineRule="auto"/>
      </w:pPr>
      <w:r>
        <w:rPr>
          <w:rFonts w:hint="eastAsia"/>
        </w:rPr>
        <w:t>电性能测试</w:t>
      </w:r>
    </w:p>
    <w:p w14:paraId="5B34D12F">
      <w:pPr>
        <w:pStyle w:val="165"/>
        <w:spacing w:line="360" w:lineRule="auto"/>
      </w:pPr>
      <w:r>
        <w:rPr>
          <w:rFonts w:hint="eastAsia"/>
        </w:rPr>
        <w:t>当委托要求或产品标准规定需开展电性能测试时，应明确测试项目、试样形式与端部处理方式。常见项目包括体积电阻率、表面电阻率、绝缘电阻、介电强度或耐电压。</w:t>
      </w:r>
    </w:p>
    <w:p w14:paraId="72C9C45A">
      <w:pPr>
        <w:pStyle w:val="165"/>
        <w:spacing w:line="360" w:lineRule="auto"/>
      </w:pPr>
      <w:r>
        <w:rPr>
          <w:rFonts w:hint="eastAsia"/>
        </w:rPr>
        <w:t>电性能测试环境条件应满足相应标准要求，并记录温度、湿度和试样状态。对吸湿敏感材料，应严格控制状态调节条件，避免环境波动引入额外偏差。</w:t>
      </w:r>
    </w:p>
    <w:p w14:paraId="34581919">
      <w:pPr>
        <w:pStyle w:val="165"/>
        <w:spacing w:line="360" w:lineRule="auto"/>
      </w:pPr>
      <w:r>
        <w:rPr>
          <w:rFonts w:hint="eastAsia"/>
        </w:rPr>
        <w:t>对成品段样测试耐电压或绝缘电阻时，应明确电极布置、浸水条件、端部封堵方式与泄漏路径控制措施，确保试验结果代表绝缘体系而非端部缺陷。</w:t>
      </w:r>
    </w:p>
    <w:p w14:paraId="30B8B04C">
      <w:pPr>
        <w:pStyle w:val="105"/>
        <w:spacing w:before="120" w:after="120" w:line="360" w:lineRule="auto"/>
      </w:pPr>
      <w:r>
        <w:rPr>
          <w:rFonts w:hint="eastAsia"/>
        </w:rPr>
        <w:t>数据处理</w:t>
      </w:r>
    </w:p>
    <w:p w14:paraId="7448E4D7">
      <w:pPr>
        <w:pStyle w:val="65"/>
        <w:spacing w:before="120" w:after="120" w:line="360" w:lineRule="auto"/>
      </w:pPr>
      <w:r>
        <w:rPr>
          <w:rFonts w:hint="eastAsia"/>
        </w:rPr>
        <w:t>保持率计算</w:t>
      </w:r>
    </w:p>
    <w:p w14:paraId="2B7FEEDD">
      <w:pPr>
        <w:pStyle w:val="56"/>
        <w:spacing w:line="360" w:lineRule="auto"/>
        <w:ind w:firstLine="420"/>
      </w:pPr>
      <w:r>
        <w:rPr>
          <w:rFonts w:hint="eastAsia"/>
        </w:rPr>
        <w:t>力学性能等指标宜采用保持率表示。保持率计算应明确初始值取值规则，通常以同批次初始测试的平均值作为基线。保持率计算公式应在报告中给出，并保持各节点一致。</w:t>
      </w:r>
    </w:p>
    <w:p w14:paraId="7652BA9C">
      <w:pPr>
        <w:pStyle w:val="65"/>
        <w:spacing w:before="120" w:after="120" w:line="360" w:lineRule="auto"/>
      </w:pPr>
      <w:r>
        <w:rPr>
          <w:rFonts w:hint="eastAsia"/>
        </w:rPr>
        <w:t>变化量计算</w:t>
      </w:r>
    </w:p>
    <w:p w14:paraId="5ECDE53C">
      <w:pPr>
        <w:pStyle w:val="56"/>
        <w:spacing w:line="360" w:lineRule="auto"/>
        <w:ind w:firstLine="420"/>
      </w:pPr>
      <w:r>
        <w:rPr>
          <w:rFonts w:hint="eastAsia"/>
        </w:rPr>
        <w:t>硬度、颜色、质量等指标可用变化量表示。变化量应明确符号方向与单位，并说明是否采用平均值或中位数。</w:t>
      </w:r>
    </w:p>
    <w:p w14:paraId="00EB3686">
      <w:pPr>
        <w:pStyle w:val="65"/>
        <w:spacing w:before="120" w:after="120" w:line="360" w:lineRule="auto"/>
      </w:pPr>
      <w:r>
        <w:rPr>
          <w:rFonts w:hint="eastAsia"/>
        </w:rPr>
        <w:t>统计量与离散性</w:t>
      </w:r>
    </w:p>
    <w:p w14:paraId="5A975EF6">
      <w:pPr>
        <w:pStyle w:val="56"/>
        <w:spacing w:line="360" w:lineRule="auto"/>
        <w:ind w:firstLine="420"/>
      </w:pPr>
      <w:r>
        <w:rPr>
          <w:rFonts w:hint="eastAsia"/>
        </w:rPr>
        <w:t>每一节点每一指标宜给出平均值与标准偏差或变异系数。对样本量较小时，应在报告中说明统计量的适用性限制。</w:t>
      </w:r>
    </w:p>
    <w:p w14:paraId="41CE8557">
      <w:pPr>
        <w:pStyle w:val="56"/>
        <w:spacing w:line="360" w:lineRule="auto"/>
        <w:ind w:firstLine="420"/>
        <w:rPr>
          <w:rFonts w:hint="eastAsia"/>
        </w:rPr>
      </w:pPr>
    </w:p>
    <w:p w14:paraId="628FA03D">
      <w:pPr>
        <w:pStyle w:val="65"/>
        <w:spacing w:before="120" w:after="120" w:line="360" w:lineRule="auto"/>
      </w:pPr>
      <w:r>
        <w:rPr>
          <w:rFonts w:hint="eastAsia"/>
        </w:rPr>
        <w:t>异常值处置</w:t>
      </w:r>
    </w:p>
    <w:p w14:paraId="3B033348">
      <w:pPr>
        <w:pStyle w:val="56"/>
        <w:spacing w:line="360" w:lineRule="auto"/>
        <w:ind w:firstLine="420"/>
      </w:pPr>
      <w:r>
        <w:rPr>
          <w:rFonts w:hint="eastAsia"/>
        </w:rPr>
        <w:t>发现明显异常值时，应首先核查试样缺陷、测试操作、设备状态与记录完整性。确需剔除异常值时，应给出剔除依据并保留原始数据，不得无依据剔除。异常值处置结论应在报告中说明。</w:t>
      </w:r>
    </w:p>
    <w:p w14:paraId="308A93D3">
      <w:pPr>
        <w:pStyle w:val="65"/>
        <w:spacing w:before="120" w:after="120" w:line="360" w:lineRule="auto"/>
      </w:pPr>
      <w:r>
        <w:rPr>
          <w:rFonts w:hint="eastAsia"/>
        </w:rPr>
        <w:t>失效判定</w:t>
      </w:r>
    </w:p>
    <w:p w14:paraId="4F55CB2F">
      <w:pPr>
        <w:pStyle w:val="56"/>
        <w:spacing w:line="360" w:lineRule="auto"/>
        <w:ind w:firstLine="420"/>
      </w:pPr>
      <w:r>
        <w:rPr>
          <w:rFonts w:hint="eastAsia"/>
        </w:rPr>
        <w:t>试样出现严重开裂、脆断或电性能无法满足最低要求时，可按试验方案或产品标准判定失效。失效判定应记录失效节点、失效特征、相关证据与判定依据，并说明是否提前终止试验。</w:t>
      </w:r>
    </w:p>
    <w:p w14:paraId="7EB8F46E">
      <w:pPr>
        <w:pStyle w:val="105"/>
        <w:spacing w:before="120" w:after="120" w:line="360" w:lineRule="auto"/>
      </w:pPr>
      <w:r>
        <w:rPr>
          <w:rFonts w:hint="eastAsia"/>
        </w:rPr>
        <w:t>结果判定与表达</w:t>
      </w:r>
    </w:p>
    <w:p w14:paraId="6CD779A4">
      <w:pPr>
        <w:pStyle w:val="165"/>
        <w:spacing w:line="360" w:lineRule="auto"/>
      </w:pPr>
      <w:r>
        <w:rPr>
          <w:rFonts w:hint="eastAsia"/>
        </w:rPr>
        <w:t>结果判定应依据产品标准、合同技术条件或试验方案规定的指标限值或等级。判定结论应明确每一指标的符合性及总体结论，并说明判定采用的节点与依据。</w:t>
      </w:r>
    </w:p>
    <w:p w14:paraId="58913B95">
      <w:pPr>
        <w:pStyle w:val="165"/>
        <w:spacing w:line="360" w:lineRule="auto"/>
      </w:pPr>
      <w:r>
        <w:rPr>
          <w:rFonts w:hint="eastAsia"/>
        </w:rPr>
        <w:t>结果表达应至少包含初始数据、各取样节点数据、保持率或变化量、外观变化描述、关键异常与偏差处置说明。对用于对比评价的试验，应采用同一尺度表达不同组别的结果，并避免仅给出结论而缺少数据支撑。</w:t>
      </w:r>
    </w:p>
    <w:p w14:paraId="64421DA2">
      <w:pPr>
        <w:pStyle w:val="165"/>
        <w:spacing w:line="360" w:lineRule="auto"/>
      </w:pPr>
      <w:r>
        <w:rPr>
          <w:rFonts w:hint="eastAsia"/>
        </w:rPr>
        <w:t>当试验结果用于寿命相关性分析时，应单独说明相关性模型、自然暴露对照数据来源、假设条件和适用范围，不得将加速试验时间直接等同于实际服役年限。</w:t>
      </w:r>
    </w:p>
    <w:p w14:paraId="4F55EDD2">
      <w:pPr>
        <w:pStyle w:val="104"/>
        <w:spacing w:before="240" w:after="240" w:line="360" w:lineRule="auto"/>
      </w:pPr>
      <w:bookmarkStart w:id="56" w:name="_Toc218973071"/>
      <w:r>
        <w:rPr>
          <w:rFonts w:hint="eastAsia"/>
        </w:rPr>
        <w:t>质量控制与报告编制</w:t>
      </w:r>
      <w:bookmarkEnd w:id="56"/>
    </w:p>
    <w:p w14:paraId="2E91656F">
      <w:pPr>
        <w:pStyle w:val="105"/>
        <w:spacing w:before="120" w:after="120" w:line="360" w:lineRule="auto"/>
      </w:pPr>
      <w:r>
        <w:rPr>
          <w:rFonts w:hint="eastAsia"/>
        </w:rPr>
        <w:t>一般要求</w:t>
      </w:r>
    </w:p>
    <w:p w14:paraId="17D09719">
      <w:pPr>
        <w:pStyle w:val="165"/>
        <w:spacing w:line="360" w:lineRule="auto"/>
      </w:pPr>
      <w:r>
        <w:rPr>
          <w:rFonts w:hint="eastAsia"/>
        </w:rPr>
        <w:t>加速耐候检测应建立全过程质量控制，覆盖试验方案确认、设备状态确认、试样制备与预处理、暴露运行监控、阶段取样与测试、数据处理与判定、文书与记录归档等环节，确保结果可靠、可复核、可追溯。</w:t>
      </w:r>
    </w:p>
    <w:p w14:paraId="3C071B99">
      <w:pPr>
        <w:pStyle w:val="165"/>
        <w:spacing w:line="360" w:lineRule="auto"/>
      </w:pPr>
      <w:r>
        <w:rPr>
          <w:rFonts w:hint="eastAsia"/>
        </w:rPr>
        <w:t>质量控制记录应与试验数据同步保存，且能够追溯到具体设备、具体批次试样、具体操作人员与关键时间节点。</w:t>
      </w:r>
    </w:p>
    <w:p w14:paraId="490D42BB">
      <w:pPr>
        <w:pStyle w:val="165"/>
        <w:spacing w:line="360" w:lineRule="auto"/>
      </w:pPr>
      <w:r>
        <w:rPr>
          <w:rFonts w:hint="eastAsia"/>
        </w:rPr>
        <w:t>对涉及强制性产品认证、型式试验或仲裁检测的任务，应严格执行样品封样、流转、留样与授权签字要求，并确保数据与记录满足外部审查要求。</w:t>
      </w:r>
    </w:p>
    <w:p w14:paraId="6BCAA369">
      <w:pPr>
        <w:pStyle w:val="105"/>
        <w:spacing w:before="120" w:after="120" w:line="360" w:lineRule="auto"/>
      </w:pPr>
      <w:r>
        <w:rPr>
          <w:rFonts w:hint="eastAsia"/>
        </w:rPr>
        <w:t>参考标准样与过程核查</w:t>
      </w:r>
    </w:p>
    <w:p w14:paraId="119E7230">
      <w:pPr>
        <w:pStyle w:val="165"/>
        <w:spacing w:line="360" w:lineRule="auto"/>
      </w:pPr>
      <w:r>
        <w:rPr>
          <w:rFonts w:hint="eastAsia"/>
        </w:rPr>
        <w:t>宜设置参考标准样或内部控制样用于验证设备运行稳定性与实验室重复性。参考标准样的材料类型与耐候敏感性应与受检样品相近，且其历史暴露表现应具备可追溯记录。</w:t>
      </w:r>
    </w:p>
    <w:p w14:paraId="4160695D">
      <w:pPr>
        <w:pStyle w:val="165"/>
        <w:spacing w:line="360" w:lineRule="auto"/>
      </w:pPr>
      <w:r>
        <w:rPr>
          <w:rFonts w:hint="eastAsia"/>
        </w:rPr>
        <w:t>参考标准样应与试样同批装载、同条件暴露，并在关键节点进行外观或力学指标核查。参考标准样结果出现异常漂移时，应优先排查设备参数、光源衰减、传感器偏差、喷淋水质与试样布置均匀性等因素。</w:t>
      </w:r>
    </w:p>
    <w:p w14:paraId="460A2C03">
      <w:pPr>
        <w:pStyle w:val="165"/>
        <w:spacing w:line="360" w:lineRule="auto"/>
      </w:pPr>
      <w:r>
        <w:rPr>
          <w:rFonts w:hint="eastAsia"/>
        </w:rPr>
        <w:t>过程核查宜包括辐照度稳定性核查、温湿控制核查、喷淋或冷凝周期核查、累计暴露量核查、试样轮换执行核查和记录完整性核查。核查频次应满足方法标准或实验室内部管理要求。</w:t>
      </w:r>
    </w:p>
    <w:p w14:paraId="3F8024B5">
      <w:pPr>
        <w:pStyle w:val="105"/>
        <w:spacing w:before="120" w:after="120" w:line="360" w:lineRule="auto"/>
      </w:pPr>
      <w:r>
        <w:rPr>
          <w:rFonts w:hint="eastAsia"/>
        </w:rPr>
        <w:t>设备异常与偏差处理</w:t>
      </w:r>
    </w:p>
    <w:p w14:paraId="3925B986">
      <w:pPr>
        <w:pStyle w:val="165"/>
        <w:spacing w:line="360" w:lineRule="auto"/>
      </w:pPr>
      <w:r>
        <w:rPr>
          <w:rFonts w:hint="eastAsia"/>
        </w:rPr>
        <w:t>设备异常或参数偏差应立即记录并采取纠正措施。记录应至少包括异常发生时间、异常现象、影响参数、持续时长、处置措施、恢复确认结果以及对试验累计暴露量的影响评估。</w:t>
      </w:r>
    </w:p>
    <w:p w14:paraId="14BEC39C">
      <w:pPr>
        <w:pStyle w:val="165"/>
        <w:spacing w:line="360" w:lineRule="auto"/>
      </w:pPr>
      <w:r>
        <w:rPr>
          <w:rFonts w:hint="eastAsia"/>
        </w:rPr>
        <w:t>当偏差影响可能导致结果不可比或超出方法标准允许范围时，应进行偏差评审并形成结论。偏差评审结论应明确是否继续试验、是否补偿暴露量、是否补样或重做试验，并说明依据。</w:t>
      </w:r>
    </w:p>
    <w:p w14:paraId="6F2E9F1D">
      <w:pPr>
        <w:pStyle w:val="165"/>
        <w:spacing w:line="360" w:lineRule="auto"/>
      </w:pPr>
      <w:r>
        <w:rPr>
          <w:rFonts w:hint="eastAsia"/>
        </w:rPr>
        <w:t>发生更换光源、滤光系统或关键传感器的情况时，应按表1要求完成核查与记录。更换前后数据应分别保存，确保追溯链完整。</w:t>
      </w:r>
    </w:p>
    <w:p w14:paraId="56E3A8B0">
      <w:pPr>
        <w:pStyle w:val="105"/>
        <w:spacing w:before="120" w:after="120" w:line="360" w:lineRule="auto"/>
      </w:pPr>
      <w:r>
        <w:rPr>
          <w:rFonts w:hint="eastAsia"/>
        </w:rPr>
        <w:t>测试重复性与再现性控制</w:t>
      </w:r>
    </w:p>
    <w:p w14:paraId="711CC4A4">
      <w:pPr>
        <w:pStyle w:val="165"/>
        <w:spacing w:line="360" w:lineRule="auto"/>
      </w:pPr>
      <w:r>
        <w:rPr>
          <w:rFonts w:hint="eastAsia"/>
        </w:rPr>
        <w:t>同一节点同一指标应满足规定的重复性要求。出现离散性异常时，应优先排查制样一致性、试样缺陷、状态调节条件、测试设备校准状态与操作一致性。</w:t>
      </w:r>
    </w:p>
    <w:p w14:paraId="50D978D6">
      <w:pPr>
        <w:pStyle w:val="165"/>
        <w:spacing w:line="360" w:lineRule="auto"/>
      </w:pPr>
      <w:r>
        <w:rPr>
          <w:rFonts w:hint="eastAsia"/>
        </w:rPr>
        <w:t>实验室应建立关键指标的内部控制限，用于判断数据波动是否处于正常范围。必要时可通过重复测试、交叉复核或与历史数据对比进行确认。</w:t>
      </w:r>
    </w:p>
    <w:p w14:paraId="3928D4B6">
      <w:pPr>
        <w:pStyle w:val="165"/>
        <w:spacing w:line="360" w:lineRule="auto"/>
      </w:pPr>
      <w:r>
        <w:rPr>
          <w:rFonts w:hint="eastAsia"/>
        </w:rPr>
        <w:t>对关键结论数据宜实施复核。复核可采用数据复算、原始记录核对、照片复核、设备日志复核或第二人复查等方式，复核过程应形成记录。</w:t>
      </w:r>
    </w:p>
    <w:p w14:paraId="1D25545F">
      <w:pPr>
        <w:pStyle w:val="105"/>
        <w:spacing w:before="120" w:after="120" w:line="360" w:lineRule="auto"/>
      </w:pPr>
      <w:r>
        <w:rPr>
          <w:rFonts w:hint="eastAsia"/>
        </w:rPr>
        <w:t>记录与归档要求</w:t>
      </w:r>
    </w:p>
    <w:p w14:paraId="11D0F6B0">
      <w:pPr>
        <w:pStyle w:val="165"/>
        <w:spacing w:line="360" w:lineRule="auto"/>
      </w:pPr>
      <w:r>
        <w:rPr>
          <w:rFonts w:hint="eastAsia"/>
        </w:rPr>
        <w:t>试验记录应至少包括试验方案、样品信息、试样制备记录、预处理记录、设备确认记录、运行记录、停机与异常记录、取样记录、测试原始记录、数据处理记录、偏差评审记录、判定记录与报告签发记录。</w:t>
      </w:r>
    </w:p>
    <w:p w14:paraId="126AFA33">
      <w:pPr>
        <w:pStyle w:val="165"/>
        <w:spacing w:line="360" w:lineRule="auto"/>
      </w:pPr>
      <w:r>
        <w:rPr>
          <w:rFonts w:hint="eastAsia"/>
        </w:rPr>
        <w:t>电子记录应具备防篡改与可追踪能力。数据导出文件应保存原始版本，并保留生成时间、软件版本或设备版本信息。</w:t>
      </w:r>
    </w:p>
    <w:p w14:paraId="6E252D9E">
      <w:pPr>
        <w:pStyle w:val="165"/>
        <w:spacing w:line="360" w:lineRule="auto"/>
      </w:pPr>
      <w:r>
        <w:rPr>
          <w:rFonts w:hint="eastAsia"/>
        </w:rPr>
        <w:t>记录保存期限应按实验室质量管理体系、委托协议或法规要求执行。涉及争议或仲裁的样品与数据应按更严格期限保存。</w:t>
      </w:r>
    </w:p>
    <w:p w14:paraId="67B0E928">
      <w:pPr>
        <w:pStyle w:val="105"/>
        <w:spacing w:before="120" w:after="120" w:line="360" w:lineRule="auto"/>
      </w:pPr>
      <w:r>
        <w:rPr>
          <w:rFonts w:hint="eastAsia"/>
        </w:rPr>
        <w:t>报告编制要求</w:t>
      </w:r>
    </w:p>
    <w:p w14:paraId="1FB214D7">
      <w:pPr>
        <w:pStyle w:val="165"/>
        <w:spacing w:line="360" w:lineRule="auto"/>
      </w:pPr>
      <w:r>
        <w:rPr>
          <w:rFonts w:hint="eastAsia"/>
        </w:rPr>
        <w:t>报告应真实、完整、清晰，能够复现试验条件与判定依据。报告应至少包含以下内容：</w:t>
      </w:r>
    </w:p>
    <w:p w14:paraId="0DD65161">
      <w:pPr>
        <w:pStyle w:val="56"/>
        <w:spacing w:line="360" w:lineRule="auto"/>
        <w:ind w:firstLine="420"/>
      </w:pPr>
      <w:r>
        <w:rPr>
          <w:rFonts w:hint="eastAsia"/>
        </w:rPr>
        <w:t>a) 基本信息，包括委托单位、样品名称、型号规格、批次、数量、送检日期与检测日期；</w:t>
      </w:r>
    </w:p>
    <w:p w14:paraId="71FC9E79">
      <w:pPr>
        <w:pStyle w:val="56"/>
        <w:spacing w:line="360" w:lineRule="auto"/>
        <w:ind w:firstLine="420"/>
      </w:pPr>
      <w:r>
        <w:rPr>
          <w:rFonts w:hint="eastAsia"/>
        </w:rPr>
        <w:t>b) 依据文件，包括采用的标准、方法版本、委托技术条件与偏离说明；</w:t>
      </w:r>
    </w:p>
    <w:p w14:paraId="0358768E">
      <w:pPr>
        <w:pStyle w:val="56"/>
        <w:spacing w:line="360" w:lineRule="auto"/>
        <w:ind w:firstLine="420"/>
      </w:pPr>
      <w:r>
        <w:rPr>
          <w:rFonts w:hint="eastAsia"/>
        </w:rPr>
        <w:t>c) 试验方法与条件，包括设备类型、光源与配置、滤光系统或灯管类型、辐照度设定与控制方式、温度与湿度设定、喷淋或冷凝循环、试样布置与轮换规则、累计暴露目标与取样节点；</w:t>
      </w:r>
    </w:p>
    <w:p w14:paraId="73C8DCF5">
      <w:pPr>
        <w:pStyle w:val="56"/>
        <w:spacing w:line="360" w:lineRule="auto"/>
        <w:ind w:firstLine="420"/>
      </w:pPr>
      <w:r>
        <w:rPr>
          <w:rFonts w:hint="eastAsia"/>
        </w:rPr>
        <w:t>d) 试样制备与预处理，包括试样形式、尺寸、制备方法、状态调节条件、初始基线测试结果；</w:t>
      </w:r>
    </w:p>
    <w:p w14:paraId="7BD185C2">
      <w:pPr>
        <w:pStyle w:val="56"/>
        <w:spacing w:line="360" w:lineRule="auto"/>
        <w:ind w:firstLine="420"/>
      </w:pPr>
      <w:r>
        <w:rPr>
          <w:rFonts w:hint="eastAsia"/>
        </w:rPr>
        <w:t>e) 结果与数据，包括各节点外观记录、性能测试数据、保持率或变化量、统计量与图示表达；</w:t>
      </w:r>
    </w:p>
    <w:p w14:paraId="30054CE7">
      <w:pPr>
        <w:pStyle w:val="56"/>
        <w:spacing w:line="360" w:lineRule="auto"/>
        <w:ind w:firstLine="420"/>
      </w:pPr>
      <w:r>
        <w:rPr>
          <w:rFonts w:hint="eastAsia"/>
        </w:rPr>
        <w:t>f) 偏差与异常处理，包括停机记录、参数偏差、异常值处置、偏差评审结论及对结果影响说明；</w:t>
      </w:r>
    </w:p>
    <w:p w14:paraId="56640346">
      <w:pPr>
        <w:pStyle w:val="56"/>
        <w:spacing w:line="360" w:lineRule="auto"/>
        <w:ind w:firstLine="420"/>
      </w:pPr>
      <w:r>
        <w:rPr>
          <w:rFonts w:hint="eastAsia"/>
        </w:rPr>
        <w:t>g) 判定结论，包括与判定指标的符合性结论、失效节点说明及总体评价；</w:t>
      </w:r>
    </w:p>
    <w:p w14:paraId="55DE6799">
      <w:pPr>
        <w:pStyle w:val="56"/>
        <w:spacing w:line="360" w:lineRule="auto"/>
        <w:ind w:firstLine="420"/>
      </w:pPr>
      <w:r>
        <w:rPr>
          <w:rFonts w:hint="eastAsia"/>
        </w:rPr>
        <w:t>h) 质量声明，包括设备校准状态、参考标准样使用情况、复核方式与签字信息。</w:t>
      </w:r>
    </w:p>
    <w:p w14:paraId="40E241C8">
      <w:pPr>
        <w:pStyle w:val="165"/>
        <w:spacing w:line="360" w:lineRule="auto"/>
      </w:pPr>
      <w:r>
        <w:rPr>
          <w:rFonts w:hint="eastAsia"/>
        </w:rPr>
        <w:t>报告应附必要的记录索引。照片、设备运行日志、原始数据表、校准证书编号等宜作为附件或在报告中给出可追溯路径。</w:t>
      </w:r>
    </w:p>
    <w:p w14:paraId="44AF29D6">
      <w:pPr>
        <w:pStyle w:val="165"/>
        <w:spacing w:line="360" w:lineRule="auto"/>
      </w:pPr>
      <w:r>
        <w:rPr>
          <w:rFonts w:hint="eastAsia"/>
        </w:rPr>
        <w:t>报告中涉及寿命推算或工程应用建议时，应单独说明假设条件、适用范围与不确定性，不得以加速暴露时间直接替代实际服役年限。</w:t>
      </w:r>
    </w:p>
    <w:p w14:paraId="1D5F95D0">
      <w:pPr>
        <w:pStyle w:val="104"/>
        <w:spacing w:before="240" w:after="240" w:line="360" w:lineRule="auto"/>
      </w:pPr>
      <w:bookmarkStart w:id="57" w:name="_Toc218973072"/>
      <w:r>
        <w:rPr>
          <w:rFonts w:hint="eastAsia"/>
        </w:rPr>
        <w:t>附则</w:t>
      </w:r>
      <w:bookmarkEnd w:id="57"/>
    </w:p>
    <w:p w14:paraId="770301C2">
      <w:pPr>
        <w:pStyle w:val="105"/>
        <w:spacing w:before="120" w:after="120" w:line="360" w:lineRule="auto"/>
      </w:pPr>
      <w:r>
        <w:rPr>
          <w:rFonts w:hint="eastAsia"/>
        </w:rPr>
        <w:t>实施要求</w:t>
      </w:r>
    </w:p>
    <w:p w14:paraId="7BC5203C">
      <w:pPr>
        <w:pStyle w:val="165"/>
        <w:spacing w:line="360" w:lineRule="auto"/>
      </w:pPr>
      <w:r>
        <w:rPr>
          <w:rFonts w:hint="eastAsia"/>
        </w:rPr>
        <w:t>当产品标准、认证规则或委托技术条件对试验条件、取样节点、判定指标另有规定时，应按其规定执行。本文件与上述文件存在差异时，应在试验方案和报告中说明差异内容及其对结果可比性的影响。</w:t>
      </w:r>
    </w:p>
    <w:p w14:paraId="4DD6444B">
      <w:pPr>
        <w:pStyle w:val="165"/>
        <w:spacing w:line="360" w:lineRule="auto"/>
      </w:pPr>
      <w:r>
        <w:rPr>
          <w:rFonts w:hint="eastAsia"/>
        </w:rPr>
        <w:t>本文件实施过程中如需调整暴露循环、取样间隔或测试项目，应在试验开始前完成方案变更审批并记录。试验开始后发生变更的，应启动偏差评审并形成书面结论，明确对试验有效性的影响与处置方式。</w:t>
      </w:r>
    </w:p>
    <w:p w14:paraId="106A7401">
      <w:pPr>
        <w:pStyle w:val="105"/>
        <w:spacing w:before="120" w:after="120" w:line="360" w:lineRule="auto"/>
      </w:pPr>
      <w:r>
        <w:rPr>
          <w:rFonts w:hint="eastAsia"/>
        </w:rPr>
        <w:t>解释责任</w:t>
      </w:r>
    </w:p>
    <w:p w14:paraId="5D13609D">
      <w:pPr>
        <w:pStyle w:val="56"/>
        <w:spacing w:line="360" w:lineRule="auto"/>
        <w:ind w:firstLine="420"/>
      </w:pPr>
      <w:r>
        <w:rPr>
          <w:rFonts w:hint="eastAsia"/>
        </w:rPr>
        <w:t>本文件的技术条款解释和应用指导宜由提出单位或归口管理单位负责。检测机构在应用本文件过程中形成的典型问题、偏差案例与改进建议，宜纳入内部经验库并反馈至归口单位，用于持续完善操作要点与质量控制要求。</w:t>
      </w:r>
    </w:p>
    <w:p w14:paraId="6281A31A">
      <w:pPr>
        <w:pStyle w:val="105"/>
        <w:spacing w:before="120" w:after="120" w:line="360" w:lineRule="auto"/>
      </w:pPr>
      <w:r>
        <w:rPr>
          <w:rFonts w:hint="eastAsia"/>
        </w:rPr>
        <w:t>生效</w:t>
      </w:r>
    </w:p>
    <w:p w14:paraId="092D8AED">
      <w:pPr>
        <w:pStyle w:val="56"/>
        <w:spacing w:line="360" w:lineRule="auto"/>
        <w:ind w:firstLine="420"/>
      </w:pPr>
      <w:r>
        <w:rPr>
          <w:rFonts w:hint="eastAsia"/>
        </w:rPr>
        <w:t>本文件自发布之日起实施。</w:t>
      </w:r>
    </w:p>
    <w:bookmarkEnd w:id="26"/>
    <w:p w14:paraId="285226B2">
      <w:pPr>
        <w:pStyle w:val="56"/>
        <w:ind w:firstLine="0" w:firstLineChars="0"/>
        <w:jc w:val="center"/>
      </w:pPr>
      <w:bookmarkStart w:id="58" w:name="BookMark8"/>
      <w:bookmarkStart w:id="59" w:name="_GoBack"/>
      <w:bookmarkEnd w:id="59"/>
      <w:r>
        <w:drawing>
          <wp:inline distT="0" distB="0" distL="0" distR="0">
            <wp:extent cx="1485900" cy="317500"/>
            <wp:effectExtent l="0" t="0" r="0" b="6350"/>
            <wp:docPr id="971297780" name="图片 1"/>
            <wp:cNvGraphicFramePr/>
            <a:graphic xmlns:a="http://schemas.openxmlformats.org/drawingml/2006/main">
              <a:graphicData uri="http://schemas.openxmlformats.org/drawingml/2006/picture">
                <pic:pic xmlns:pic="http://schemas.openxmlformats.org/drawingml/2006/picture">
                  <pic:nvPicPr>
                    <pic:cNvPr id="971297780"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A056">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E899">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313D3">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932F3">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2B39">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FDFD">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BD10">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0F24">
    <w:pPr>
      <w:pStyle w:val="61"/>
    </w:pPr>
    <w:r>
      <w:fldChar w:fldCharType="begin"/>
    </w:r>
    <w:r>
      <w:instrText xml:space="preserve"> STYLEREF  标准文件_文件编号  \* MERGEFORMAT </w:instrText>
    </w:r>
    <w:r>
      <w:fldChar w:fldCharType="separate"/>
    </w:r>
    <w:r>
      <w:t>T/XJBX 0173—2026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EBEF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0173—2026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0173—2026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fldChar w:fldCharType="begin"/>
    </w:r>
    <w:r>
      <w:instrText xml:space="preserve"> STYLEREF  标准文件_文件编号 \* MERGEFORMAT </w:instrText>
    </w:r>
    <w:r>
      <w:fldChar w:fldCharType="separate"/>
    </w:r>
    <w:r>
      <w:t>T/XJBX 0173—2026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0089">
    <w:pPr>
      <w:pStyle w:val="61"/>
    </w:pPr>
    <w:r>
      <w:fldChar w:fldCharType="begin"/>
    </w:r>
    <w:r>
      <w:instrText xml:space="preserve"> STYLEREF  标准文件_文件编号  \* MERGEFORMAT </w:instrText>
    </w:r>
    <w:r>
      <w:fldChar w:fldCharType="separate"/>
    </w:r>
    <w:r>
      <w:t>T/XJBX 0173—2026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F4DA">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0173—2026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67B5">
    <w:pPr>
      <w:pStyle w:val="61"/>
    </w:pPr>
    <w:r>
      <w:fldChar w:fldCharType="begin"/>
    </w:r>
    <w:r>
      <w:instrText xml:space="preserve"> STYLEREF  标准文件_文件编号  \* MERGEFORMAT </w:instrText>
    </w:r>
    <w:r>
      <w:fldChar w:fldCharType="separate"/>
    </w:r>
    <w:r>
      <w:t>T/XJBX 0173—2026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8243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0173—2026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1345"/>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E66"/>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889"/>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1B5"/>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47"/>
    <w:rsid w:val="00516088"/>
    <w:rsid w:val="00516B0B"/>
    <w:rsid w:val="005220EC"/>
    <w:rsid w:val="00523F95"/>
    <w:rsid w:val="00524D65"/>
    <w:rsid w:val="00525B16"/>
    <w:rsid w:val="0052675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767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0712"/>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2DDC"/>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37A8B"/>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697"/>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B70"/>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3822"/>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5DC7"/>
    <w:rsid w:val="00BC6B8B"/>
    <w:rsid w:val="00BC73D8"/>
    <w:rsid w:val="00BD52D7"/>
    <w:rsid w:val="00BD5AD2"/>
    <w:rsid w:val="00BE0839"/>
    <w:rsid w:val="00BE1794"/>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18D"/>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083"/>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3131"/>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A7652A"/>
    <w:rsid w:val="60325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6392E01D">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B7C5646">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2E87FDC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B24CF"/>
    <w:rsid w:val="00232C79"/>
    <w:rsid w:val="005E6634"/>
    <w:rsid w:val="007146E1"/>
    <w:rsid w:val="00A205F2"/>
    <w:rsid w:val="00AE1DC6"/>
    <w:rsid w:val="00BC5D36"/>
    <w:rsid w:val="00BE0839"/>
    <w:rsid w:val="00BE1794"/>
    <w:rsid w:val="00E51851"/>
    <w:rsid w:val="00F01E09"/>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21</Pages>
  <Words>4003</Words>
  <Characters>4340</Characters>
  <Lines>92</Lines>
  <Paragraphs>25</Paragraphs>
  <TotalTime>99</TotalTime>
  <ScaleCrop>false</ScaleCrop>
  <LinksUpToDate>false</LinksUpToDate>
  <CharactersWithSpaces>4471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2026-01-15T02:17:29Z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F10B7DEE748B4073B1B8037543C45355_12</vt:lpwstr>
  </property>
</Properties>
</file>