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1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91.010.01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09"/>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09</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2"/>
            </w:textInput>
          </w:ffData>
        </w:fldChar>
      </w:r>
      <w:bookmarkStart w:id="6" w:name="NSTD_CODE_F"/>
      <w:r>
        <w:instrText xml:space="preserve"> FORMTEXT </w:instrText>
      </w:r>
      <w:r>
        <w:fldChar w:fldCharType="separate"/>
      </w:r>
      <w:r>
        <w:t>0172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工程施工安全监理隐患排查与处理流程"/>
            </w:textInput>
          </w:ffData>
        </w:fldChar>
      </w:r>
      <w:bookmarkStart w:id="9" w:name="CSTD_NAME"/>
      <w:r>
        <w:instrText xml:space="preserve"> FORMTEXT </w:instrText>
      </w:r>
      <w:r>
        <w:fldChar w:fldCharType="separate"/>
      </w:r>
      <w:r>
        <w:t>工程施工安全监理隐患排查与处理流程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Procedure for hazard identification and handling in construction safety supervis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Procedure for hazard identification and handling in construction safety supervision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bookmarkStart w:id="61" w:name="_GoBack"/>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bookmarkEnd w:id="6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E567405">
      <w:pPr>
        <w:pStyle w:val="91"/>
        <w:spacing w:after="360"/>
      </w:pPr>
      <w:bookmarkStart w:id="21" w:name="BookMark1"/>
      <w:r>
        <w:rPr>
          <w:rFonts w:hint="eastAsia"/>
          <w:spacing w:val="320"/>
        </w:rPr>
        <w:t>目</w:t>
      </w:r>
      <w:r>
        <w:rPr>
          <w:rFonts w:hint="eastAsia"/>
        </w:rPr>
        <w:t>次</w:t>
      </w:r>
    </w:p>
    <w:p w14:paraId="27E0B87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"_Toc218970742"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_Toc218970742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31110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_Toc218970743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0B6FBA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_Toc218970744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E1EE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_Toc218970745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987E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_Toc218970746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3309C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"_Toc218970747"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_Toc218970747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60ABFA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"_Toc218970748" </w:instrText>
      </w:r>
      <w:r>
        <w:fldChar w:fldCharType="separate"/>
      </w:r>
      <w:r>
        <w:rPr>
          <w:rStyle w:val="32"/>
          <w:rFonts w:hint="eastAsia"/>
        </w:rPr>
        <w:t>5</w:t>
      </w:r>
      <w:r>
        <w:rPr>
          <w:rStyle w:val="32"/>
        </w:rPr>
        <w:t xml:space="preserve"> </w:t>
      </w:r>
      <w:r>
        <w:rPr>
          <w:rStyle w:val="32"/>
          <w:rFonts w:hint="eastAsia"/>
        </w:rPr>
        <w:t xml:space="preserve"> 隐患排查流程</w:t>
      </w:r>
      <w:r>
        <w:rPr>
          <w:rFonts w:hint="eastAsia"/>
        </w:rPr>
        <w:tab/>
      </w:r>
      <w:r>
        <w:rPr>
          <w:rFonts w:hint="eastAsia"/>
        </w:rPr>
        <w:fldChar w:fldCharType="begin"/>
      </w:r>
      <w:r>
        <w:rPr>
          <w:rFonts w:hint="eastAsia"/>
        </w:rPr>
        <w:instrText xml:space="preserve"> </w:instrText>
      </w:r>
      <w:r>
        <w:instrText xml:space="preserve">PAGEREF _Toc218970748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5684C6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"_Toc218970749" </w:instrText>
      </w:r>
      <w:r>
        <w:fldChar w:fldCharType="separate"/>
      </w:r>
      <w:r>
        <w:rPr>
          <w:rStyle w:val="32"/>
          <w:rFonts w:hint="eastAsia"/>
        </w:rPr>
        <w:t>6</w:t>
      </w:r>
      <w:r>
        <w:rPr>
          <w:rStyle w:val="32"/>
        </w:rPr>
        <w:t xml:space="preserve"> </w:t>
      </w:r>
      <w:r>
        <w:rPr>
          <w:rStyle w:val="32"/>
          <w:rFonts w:hint="eastAsia"/>
        </w:rPr>
        <w:t xml:space="preserve"> 升级报告要求</w:t>
      </w:r>
      <w:r>
        <w:rPr>
          <w:rFonts w:hint="eastAsia"/>
        </w:rPr>
        <w:tab/>
      </w:r>
      <w:r>
        <w:rPr>
          <w:rFonts w:hint="eastAsia"/>
        </w:rPr>
        <w:fldChar w:fldCharType="begin"/>
      </w:r>
      <w:r>
        <w:rPr>
          <w:rFonts w:hint="eastAsia"/>
        </w:rPr>
        <w:instrText xml:space="preserve"> </w:instrText>
      </w:r>
      <w:r>
        <w:instrText xml:space="preserve">PAGEREF _Toc218970749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D46FA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"_Toc218970750" </w:instrText>
      </w:r>
      <w:r>
        <w:fldChar w:fldCharType="separate"/>
      </w:r>
      <w:r>
        <w:rPr>
          <w:rStyle w:val="32"/>
          <w:rFonts w:hint="eastAsia"/>
        </w:rPr>
        <w:t>7</w:t>
      </w:r>
      <w:r>
        <w:rPr>
          <w:rStyle w:val="32"/>
        </w:rPr>
        <w:t xml:space="preserve"> </w:t>
      </w:r>
      <w:r>
        <w:rPr>
          <w:rStyle w:val="32"/>
          <w:rFonts w:hint="eastAsia"/>
        </w:rPr>
        <w:t xml:space="preserve"> 停工复工管理要求</w:t>
      </w:r>
      <w:r>
        <w:rPr>
          <w:rFonts w:hint="eastAsia"/>
        </w:rPr>
        <w:tab/>
      </w:r>
      <w:r>
        <w:rPr>
          <w:rFonts w:hint="eastAsia"/>
        </w:rPr>
        <w:fldChar w:fldCharType="begin"/>
      </w:r>
      <w:r>
        <w:rPr>
          <w:rFonts w:hint="eastAsia"/>
        </w:rPr>
        <w:instrText xml:space="preserve"> </w:instrText>
      </w:r>
      <w:r>
        <w:instrText xml:space="preserve">PAGEREF _Toc218970750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7137B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"_Toc218970751" </w:instrText>
      </w:r>
      <w:r>
        <w:fldChar w:fldCharType="separate"/>
      </w:r>
      <w:r>
        <w:rPr>
          <w:rStyle w:val="32"/>
          <w:rFonts w:hint="eastAsia"/>
        </w:rPr>
        <w:t>8</w:t>
      </w:r>
      <w:r>
        <w:rPr>
          <w:rStyle w:val="32"/>
        </w:rPr>
        <w:t xml:space="preserve"> </w:t>
      </w:r>
      <w:r>
        <w:rPr>
          <w:rStyle w:val="32"/>
          <w:rFonts w:hint="eastAsia"/>
        </w:rPr>
        <w:t xml:space="preserve"> 文书管理要求</w:t>
      </w:r>
      <w:r>
        <w:rPr>
          <w:rFonts w:hint="eastAsia"/>
        </w:rPr>
        <w:tab/>
      </w:r>
      <w:r>
        <w:rPr>
          <w:rFonts w:hint="eastAsia"/>
        </w:rPr>
        <w:fldChar w:fldCharType="begin"/>
      </w:r>
      <w:r>
        <w:rPr>
          <w:rFonts w:hint="eastAsia"/>
        </w:rPr>
        <w:instrText xml:space="preserve"> </w:instrText>
      </w:r>
      <w:r>
        <w:instrText xml:space="preserve">PAGEREF _Toc218970751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1696DB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"_Toc218970752" </w:instrText>
      </w:r>
      <w:r>
        <w:fldChar w:fldCharType="separate"/>
      </w:r>
      <w:r>
        <w:rPr>
          <w:rStyle w:val="32"/>
          <w:rFonts w:hint="eastAsia"/>
        </w:rPr>
        <w:t>9</w:t>
      </w:r>
      <w:r>
        <w:rPr>
          <w:rStyle w:val="32"/>
        </w:rPr>
        <w:t xml:space="preserve"> </w:t>
      </w:r>
      <w:r>
        <w:rPr>
          <w:rStyle w:val="32"/>
          <w:rFonts w:hint="eastAsia"/>
        </w:rPr>
        <w:t xml:space="preserve"> 资料归档要求</w:t>
      </w:r>
      <w:r>
        <w:rPr>
          <w:rFonts w:hint="eastAsia"/>
        </w:rPr>
        <w:tab/>
      </w:r>
      <w:r>
        <w:rPr>
          <w:rFonts w:hint="eastAsia"/>
        </w:rPr>
        <w:fldChar w:fldCharType="begin"/>
      </w:r>
      <w:r>
        <w:rPr>
          <w:rFonts w:hint="eastAsia"/>
        </w:rPr>
        <w:instrText xml:space="preserve"> </w:instrText>
      </w:r>
      <w:r>
        <w:instrText xml:space="preserve">PAGEREF _Toc218970752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4A24B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"_Toc218970753" </w:instrText>
      </w:r>
      <w:r>
        <w:fldChar w:fldCharType="separate"/>
      </w:r>
      <w:r>
        <w:rPr>
          <w:rStyle w:val="32"/>
          <w:rFonts w:hint="eastAsia"/>
        </w:rPr>
        <w:t>10</w:t>
      </w:r>
      <w:r>
        <w:rPr>
          <w:rStyle w:val="32"/>
        </w:rPr>
        <w:t xml:space="preserve"> </w:t>
      </w:r>
      <w:r>
        <w:rPr>
          <w:rStyle w:val="32"/>
          <w:rFonts w:hint="eastAsia"/>
        </w:rPr>
        <w:t xml:space="preserve"> 统计分析要求</w:t>
      </w:r>
      <w:r>
        <w:rPr>
          <w:rFonts w:hint="eastAsia"/>
        </w:rPr>
        <w:tab/>
      </w:r>
      <w:r>
        <w:rPr>
          <w:rFonts w:hint="eastAsia"/>
        </w:rPr>
        <w:fldChar w:fldCharType="begin"/>
      </w:r>
      <w:r>
        <w:rPr>
          <w:rFonts w:hint="eastAsia"/>
        </w:rPr>
        <w:instrText xml:space="preserve"> </w:instrText>
      </w:r>
      <w:r>
        <w:instrText xml:space="preserve">PAGEREF _Toc218970753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13C7D5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"_Toc218970754" </w:instrText>
      </w:r>
      <w:r>
        <w:fldChar w:fldCharType="separate"/>
      </w:r>
      <w:r>
        <w:rPr>
          <w:rStyle w:val="32"/>
          <w:rFonts w:hint="eastAsia"/>
        </w:rPr>
        <w:t>11</w:t>
      </w:r>
      <w:r>
        <w:rPr>
          <w:rStyle w:val="32"/>
        </w:rPr>
        <w:t xml:space="preserve"> </w:t>
      </w:r>
      <w:r>
        <w:rPr>
          <w:rStyle w:val="32"/>
          <w:rFonts w:hint="eastAsia"/>
        </w:rPr>
        <w:t xml:space="preserve"> 持续改进要求</w:t>
      </w:r>
      <w:r>
        <w:rPr>
          <w:rFonts w:hint="eastAsia"/>
        </w:rPr>
        <w:tab/>
      </w:r>
      <w:r>
        <w:rPr>
          <w:rFonts w:hint="eastAsia"/>
        </w:rPr>
        <w:fldChar w:fldCharType="begin"/>
      </w:r>
      <w:r>
        <w:rPr>
          <w:rFonts w:hint="eastAsia"/>
        </w:rPr>
        <w:instrText xml:space="preserve"> </w:instrText>
      </w:r>
      <w:r>
        <w:instrText xml:space="preserve">PAGEREF _Toc218970754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8A227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"_Toc218970755" </w:instrText>
      </w:r>
      <w:r>
        <w:fldChar w:fldCharType="separate"/>
      </w:r>
      <w:r>
        <w:rPr>
          <w:rStyle w:val="32"/>
          <w:rFonts w:hint="eastAsia"/>
        </w:rPr>
        <w:t>12</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_Toc218970755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80ECAC8">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897074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7E7ADC62">
      <w:pPr>
        <w:pStyle w:val="56"/>
        <w:spacing w:line="360" w:lineRule="auto"/>
        <w:ind w:firstLine="420"/>
      </w:pPr>
      <w:r>
        <w:rPr>
          <w:rFonts w:hint="eastAsia"/>
        </w:rPr>
        <w:t>本文件起草单位：中节能（西安）环保能源有限公司。</w:t>
      </w:r>
    </w:p>
    <w:p w14:paraId="55F4A5D1">
      <w:pPr>
        <w:pStyle w:val="56"/>
        <w:spacing w:line="360" w:lineRule="auto"/>
        <w:ind w:firstLine="420"/>
      </w:pPr>
      <w:r>
        <w:rPr>
          <w:rFonts w:hint="eastAsia"/>
        </w:rPr>
        <w:t>本文件主要起草人：宋景全。</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8970743"/>
      <w:bookmarkStart w:id="25" w:name="BookMark3"/>
      <w:r>
        <w:rPr>
          <w:spacing w:val="320"/>
        </w:rPr>
        <w:t>引</w:t>
      </w:r>
      <w:r>
        <w:t>言</w:t>
      </w:r>
      <w:bookmarkEnd w:id="24"/>
    </w:p>
    <w:p w14:paraId="61779C48">
      <w:pPr>
        <w:pStyle w:val="56"/>
        <w:spacing w:line="360" w:lineRule="auto"/>
        <w:ind w:firstLine="420"/>
      </w:pPr>
      <w:r>
        <w:rPr>
          <w:rFonts w:hint="eastAsia"/>
        </w:rPr>
        <w:t>工程施工安全监理是建设工程安全生产管理体系的重要组成部分，其核心任务是对施工单位安全生产条件和施工现场安全行为实施过程监督，及时发现并推动消除事故隐患。当前工程项目施工环节工序复杂，交叉作业频繁，分包队伍多，临时用电起重吊装高处作业深基坑模板支撑脚手架等高风险作业点分布广，隐患呈现类型多样化和动态演化特征。若隐患排查缺乏统一的流程与标准化处置要求，容易出现隐患识别不一致，分级不清，闭环不严，整改验证不到位，信息传递滞后等问题，进而削弱安全监理的预防效能并增加事故风险。</w:t>
      </w:r>
    </w:p>
    <w:p w14:paraId="32CDC4BC">
      <w:pPr>
        <w:pStyle w:val="56"/>
        <w:spacing w:line="360" w:lineRule="auto"/>
        <w:ind w:firstLine="420"/>
      </w:pPr>
      <w:r>
        <w:rPr>
          <w:rFonts w:hint="eastAsia"/>
        </w:rPr>
        <w:t>为规范工程施工安全监理隐患排查与处理活动，提高隐患发现质量与整改闭环效率，本文件在总结施工安全监理实践经验的基础上，建立隐患排查计划制定，隐患识别记录，隐患分级判定，整改通知与跟踪复查，验收销项，复盘改进的信息流和证据链要求，明确监理单位与建设单位施工单位分包单位等相关方在隐患排查与处置中的职责边界与接口要求。本文件强调以风险分级和闭环管理为主线，突出重大隐患的升级报告停工指令联动和应急处置要求，推动隐患治理从被动整改向主动预防和过程控制转变。</w:t>
      </w:r>
    </w:p>
    <w:p w14:paraId="7F4A69FE">
      <w:pPr>
        <w:pStyle w:val="56"/>
        <w:spacing w:line="360" w:lineRule="auto"/>
        <w:ind w:firstLine="420"/>
      </w:pPr>
      <w:r>
        <w:rPr>
          <w:rFonts w:hint="eastAsia"/>
        </w:rPr>
        <w:t>本文件适用于房屋建筑市政基础设施交通水利能源化工等建设工程施工阶段的安全监理隐患排查与处理工作，可作为监理规划监理实施细则安全监理检查表单体系建设以及项目安全管理信息化平台配置的技术依据。</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工程施工安全监理隐患排查与处理流程</w:t>
          </w:r>
        </w:p>
      </w:sdtContent>
    </w:sdt>
    <w:bookmarkEnd w:id="27"/>
    <w:p w14:paraId="3DB22445">
      <w:pPr>
        <w:pStyle w:val="104"/>
        <w:spacing w:before="240" w:after="240" w:line="360" w:lineRule="auto"/>
      </w:pPr>
      <w:bookmarkStart w:id="28" w:name="_Toc26718930"/>
      <w:bookmarkStart w:id="29" w:name="_Toc218970744"/>
      <w:bookmarkStart w:id="30" w:name="_Toc97192964"/>
      <w:bookmarkStart w:id="31" w:name="_Toc24884218"/>
      <w:bookmarkStart w:id="32" w:name="_Toc26648465"/>
      <w:bookmarkStart w:id="33" w:name="_Toc24884211"/>
      <w:bookmarkStart w:id="34" w:name="_Toc17233325"/>
      <w:bookmarkStart w:id="35" w:name="_Toc17233333"/>
      <w:bookmarkStart w:id="36" w:name="_Toc26986771"/>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56ED3086">
      <w:pPr>
        <w:pStyle w:val="56"/>
        <w:spacing w:line="360" w:lineRule="auto"/>
        <w:ind w:firstLine="420"/>
      </w:pPr>
      <w:bookmarkStart w:id="38" w:name="_Toc17233326"/>
      <w:bookmarkStart w:id="39" w:name="_Toc24884219"/>
      <w:bookmarkStart w:id="40" w:name="_Toc24884212"/>
      <w:bookmarkStart w:id="41" w:name="_Toc17233334"/>
      <w:bookmarkStart w:id="42" w:name="_Toc26648466"/>
      <w:r>
        <w:rPr>
          <w:rFonts w:hint="eastAsia"/>
        </w:rPr>
        <w:t>本文件规定了工程施工阶段安全监理隐患排查与处理的总体要求、隐患排查流程、升级报告要求、停工复工管理要求、文书管理要求、资料归档要求、统计分析要求及持续改进要求等内容。</w:t>
      </w:r>
    </w:p>
    <w:p w14:paraId="76265264">
      <w:pPr>
        <w:pStyle w:val="56"/>
        <w:spacing w:line="360" w:lineRule="auto"/>
        <w:ind w:firstLine="420"/>
      </w:pPr>
      <w:r>
        <w:rPr>
          <w:rFonts w:hint="eastAsia"/>
        </w:rPr>
        <w:t>本文件适用于房屋建筑、市政基础设施、交通、水利、能源化工等建设工程施工阶段的安全监理工作，适用于监理单位在施工准备、施工实施、竣工验收前的全过程隐患排查与处理活动。建设单位、施工总承包单位、专业分包单位、劳务分包单位以及项目管理咨询等相关方可参照本文件开展隐患闭环管理与协同处置。</w:t>
      </w:r>
    </w:p>
    <w:p w14:paraId="3733B2AD">
      <w:pPr>
        <w:pStyle w:val="104"/>
        <w:spacing w:before="240" w:after="240" w:line="360" w:lineRule="auto"/>
      </w:pPr>
      <w:bookmarkStart w:id="43" w:name="_Toc26986772"/>
      <w:bookmarkStart w:id="44" w:name="_Toc218970745"/>
      <w:bookmarkStart w:id="45" w:name="_Toc26986531"/>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5907A3">
      <w:pPr>
        <w:pStyle w:val="56"/>
        <w:spacing w:line="360" w:lineRule="auto"/>
        <w:ind w:firstLine="420"/>
      </w:pPr>
      <w:r>
        <w:rPr>
          <w:rFonts w:hint="eastAsia"/>
        </w:rPr>
        <w:t>GB/T 1.1 标准化工作导则 第1部分：标准化文件的结构和起草规则</w:t>
      </w:r>
    </w:p>
    <w:p w14:paraId="2C86A76C">
      <w:pPr>
        <w:pStyle w:val="56"/>
        <w:spacing w:line="360" w:lineRule="auto"/>
        <w:ind w:firstLine="420"/>
      </w:pPr>
      <w:r>
        <w:rPr>
          <w:rFonts w:hint="eastAsia"/>
        </w:rPr>
        <w:t>GB/T 50319 建设工程监理规范</w:t>
      </w:r>
    </w:p>
    <w:p w14:paraId="00008239">
      <w:pPr>
        <w:pStyle w:val="56"/>
        <w:spacing w:line="360" w:lineRule="auto"/>
        <w:ind w:firstLine="420"/>
      </w:pPr>
      <w:r>
        <w:t>GB/T 50720</w:t>
      </w:r>
      <w:r>
        <w:rPr>
          <w:rFonts w:hint="eastAsia"/>
        </w:rPr>
        <w:t>—</w:t>
      </w:r>
      <w:r>
        <w:t>2011</w:t>
      </w:r>
      <w:r>
        <w:rPr>
          <w:rFonts w:hint="eastAsia"/>
        </w:rPr>
        <w:t xml:space="preserve"> 建设工程施工现场消防安全技术标准</w:t>
      </w:r>
    </w:p>
    <w:p w14:paraId="38B48B15">
      <w:pPr>
        <w:pStyle w:val="56"/>
        <w:spacing w:line="360" w:lineRule="auto"/>
        <w:ind w:firstLine="420"/>
      </w:pPr>
      <w:r>
        <w:rPr>
          <w:rFonts w:hint="eastAsia"/>
        </w:rPr>
        <w:t>JGJ 59 建筑施工安全检查标准</w:t>
      </w:r>
    </w:p>
    <w:p w14:paraId="51F02A4E">
      <w:pPr>
        <w:pStyle w:val="104"/>
        <w:spacing w:before="240" w:after="240" w:line="360" w:lineRule="auto"/>
      </w:pPr>
      <w:bookmarkStart w:id="48" w:name="_Toc218970746"/>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7AD71C9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安全监理 safety supervision</w:t>
      </w:r>
    </w:p>
    <w:p w14:paraId="0C8A3815">
      <w:pPr>
        <w:pStyle w:val="56"/>
        <w:spacing w:line="360" w:lineRule="auto"/>
        <w:ind w:firstLine="420"/>
      </w:pPr>
      <w:r>
        <w:rPr>
          <w:rFonts w:hint="eastAsia"/>
        </w:rPr>
        <w:t>监理单位依据法律法规、工程建设标准和合同约定，对施工活动中的安全生产条件、安全管理行为和安全技术措施实施监督检查，督促施工单位消除事故隐患的监理活动。</w:t>
      </w:r>
    </w:p>
    <w:p w14:paraId="304D53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事故隐患 safety hazard</w:t>
      </w:r>
    </w:p>
    <w:p w14:paraId="78B54A25">
      <w:pPr>
        <w:pStyle w:val="56"/>
        <w:spacing w:line="360" w:lineRule="auto"/>
        <w:ind w:firstLine="420"/>
      </w:pPr>
      <w:r>
        <w:rPr>
          <w:rFonts w:hint="eastAsia"/>
        </w:rPr>
        <w:t>在施工生产过程中可能导致事故发生的人的不安全行为、物的不安全状态、环境不安全因素以及管理缺陷的组合或单项问题。</w:t>
      </w:r>
    </w:p>
    <w:p w14:paraId="79362E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隐患排查 hazard inspection</w:t>
      </w:r>
    </w:p>
    <w:p w14:paraId="06409BE6">
      <w:pPr>
        <w:pStyle w:val="56"/>
        <w:spacing w:line="360" w:lineRule="auto"/>
        <w:ind w:firstLine="420"/>
      </w:pPr>
      <w:r>
        <w:rPr>
          <w:rFonts w:hint="eastAsia"/>
        </w:rPr>
        <w:t>按照既定计划和检查方法，对施工现场、施工工序、设备设施和管理活动进行检查识别，发现隐患并形成记录的活动。</w:t>
      </w:r>
    </w:p>
    <w:p w14:paraId="781105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隐患分级 hazard grading</w:t>
      </w:r>
    </w:p>
    <w:p w14:paraId="3AF4FF81">
      <w:pPr>
        <w:pStyle w:val="56"/>
        <w:spacing w:line="360" w:lineRule="auto"/>
        <w:ind w:firstLine="420"/>
      </w:pPr>
      <w:r>
        <w:rPr>
          <w:rFonts w:hint="eastAsia"/>
        </w:rPr>
        <w:t>依据隐患可能造成的后果严重程度、发生可能性和可控性等因素，对隐患进行等级划分以确定处置措施、时限要求和升级路径的管理方法。</w:t>
      </w:r>
    </w:p>
    <w:p w14:paraId="1CE57E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整改通知 rectification notice</w:t>
      </w:r>
    </w:p>
    <w:p w14:paraId="24DC1FA3">
      <w:pPr>
        <w:pStyle w:val="56"/>
        <w:spacing w:line="360" w:lineRule="auto"/>
        <w:ind w:firstLine="420"/>
      </w:pPr>
      <w:r>
        <w:rPr>
          <w:rFonts w:hint="eastAsia"/>
        </w:rPr>
        <w:t>监理单位对发现的隐患向施工单位发出的书面整改要求文件，明确隐患描述、整改措施、责任主体、整改时限和复查要求。</w:t>
      </w:r>
    </w:p>
    <w:p w14:paraId="28618E0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复查 verification</w:t>
      </w:r>
    </w:p>
    <w:p w14:paraId="140C1612">
      <w:pPr>
        <w:pStyle w:val="56"/>
        <w:spacing w:line="360" w:lineRule="auto"/>
        <w:ind w:firstLine="420"/>
      </w:pPr>
      <w:r>
        <w:rPr>
          <w:rFonts w:hint="eastAsia"/>
        </w:rPr>
        <w:t>监理单位对隐患整改落实情况进行现场核验和资料核查，确认整改有效性并形成结论的活动。</w:t>
      </w:r>
    </w:p>
    <w:p w14:paraId="7E470D3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销项 closure</w:t>
      </w:r>
    </w:p>
    <w:p w14:paraId="50AC4F46">
      <w:pPr>
        <w:pStyle w:val="56"/>
        <w:spacing w:line="360" w:lineRule="auto"/>
        <w:ind w:firstLine="420"/>
      </w:pPr>
      <w:r>
        <w:rPr>
          <w:rFonts w:hint="eastAsia"/>
        </w:rPr>
        <w:t>隐患经整改并复查合格后，在隐患台账中完成状态关闭和资料归档的管理动作。</w:t>
      </w:r>
    </w:p>
    <w:p w14:paraId="12A7FA1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重大事故隐患 major accident hazard</w:t>
      </w:r>
    </w:p>
    <w:p w14:paraId="11ED0D72">
      <w:pPr>
        <w:pStyle w:val="56"/>
        <w:spacing w:line="360" w:lineRule="auto"/>
        <w:ind w:firstLine="420"/>
      </w:pPr>
      <w:r>
        <w:rPr>
          <w:rFonts w:hint="eastAsia"/>
        </w:rPr>
        <w:t>一旦发生事故可能造成群死群伤或重大财产损失，或存在明显失控风险，需立即停工处置或立即采取紧急控制措施并按规定升级报告的隐患。</w:t>
      </w:r>
    </w:p>
    <w:p w14:paraId="1277E388">
      <w:pPr>
        <w:pStyle w:val="104"/>
        <w:spacing w:before="240" w:after="240" w:line="360" w:lineRule="auto"/>
      </w:pPr>
      <w:bookmarkStart w:id="51" w:name="_Toc218970747"/>
      <w:r>
        <w:rPr>
          <w:rFonts w:hint="eastAsia"/>
        </w:rPr>
        <w:t>总体要求</w:t>
      </w:r>
      <w:bookmarkEnd w:id="51"/>
    </w:p>
    <w:p w14:paraId="697D3AB3">
      <w:pPr>
        <w:pStyle w:val="105"/>
        <w:spacing w:before="120" w:after="120" w:line="360" w:lineRule="auto"/>
      </w:pPr>
      <w:r>
        <w:rPr>
          <w:rFonts w:hint="eastAsia"/>
        </w:rPr>
        <w:t>工作目标</w:t>
      </w:r>
    </w:p>
    <w:p w14:paraId="4E298868">
      <w:pPr>
        <w:pStyle w:val="56"/>
        <w:spacing w:line="360" w:lineRule="auto"/>
        <w:ind w:firstLine="420"/>
      </w:pPr>
      <w:r>
        <w:rPr>
          <w:rFonts w:hint="eastAsia"/>
        </w:rPr>
        <w:t>安全监理隐患排查与处理应以预防事故为目标，坚持源头预防与过程控制并重，通过计划化排查、标准化记录、分级处置、闭环整改、复查验收和持续改进，确保施工现场重大风险受控、一般隐患及时消除、管理缺陷得到纠正，形成可追溯的隐患治理证据链，满足监管检查、竣工验收及事故调查追溯需要。</w:t>
      </w:r>
    </w:p>
    <w:p w14:paraId="6D20EFD4">
      <w:pPr>
        <w:pStyle w:val="105"/>
        <w:spacing w:before="120" w:after="120" w:line="360" w:lineRule="auto"/>
      </w:pPr>
      <w:r>
        <w:rPr>
          <w:rFonts w:hint="eastAsia"/>
        </w:rPr>
        <w:t>基本原则</w:t>
      </w:r>
    </w:p>
    <w:p w14:paraId="1183E25E">
      <w:pPr>
        <w:pStyle w:val="65"/>
        <w:spacing w:before="120" w:after="120" w:line="360" w:lineRule="auto"/>
      </w:pPr>
      <w:r>
        <w:rPr>
          <w:rFonts w:hint="eastAsia"/>
        </w:rPr>
        <w:t>合法合规</w:t>
      </w:r>
    </w:p>
    <w:p w14:paraId="70192BC3">
      <w:pPr>
        <w:pStyle w:val="56"/>
        <w:spacing w:line="360" w:lineRule="auto"/>
        <w:ind w:firstLine="420"/>
      </w:pPr>
      <w:r>
        <w:rPr>
          <w:rFonts w:hint="eastAsia"/>
        </w:rPr>
        <w:t>隐患排查与处理应符合国家及项目所在地安全生产法律法规、工程建设强制性标准和合同文件要求。监理单位签发的通知、指令与处置建议应依据充分，程序规范，记录完整，形成可核查的过程留痕。</w:t>
      </w:r>
    </w:p>
    <w:p w14:paraId="6D71FA61">
      <w:pPr>
        <w:pStyle w:val="65"/>
        <w:spacing w:before="120" w:after="120" w:line="360" w:lineRule="auto"/>
      </w:pPr>
      <w:r>
        <w:rPr>
          <w:rFonts w:hint="eastAsia"/>
        </w:rPr>
        <w:t>分级管控</w:t>
      </w:r>
    </w:p>
    <w:p w14:paraId="66F9023B">
      <w:pPr>
        <w:pStyle w:val="56"/>
        <w:spacing w:line="360" w:lineRule="auto"/>
        <w:ind w:firstLine="420"/>
      </w:pPr>
      <w:r>
        <w:rPr>
          <w:rFonts w:hint="eastAsia"/>
        </w:rPr>
        <w:t>隐患应按风险程度实施分级处置。隐患等级越高，控制措施应越严格，整改时限应越短，升级处置要求应越明确，确保处置强度与风险水平相匹配。</w:t>
      </w:r>
    </w:p>
    <w:p w14:paraId="368C00EE">
      <w:pPr>
        <w:pStyle w:val="65"/>
        <w:spacing w:before="120" w:after="120" w:line="360" w:lineRule="auto"/>
      </w:pPr>
      <w:r>
        <w:rPr>
          <w:rFonts w:hint="eastAsia"/>
        </w:rPr>
        <w:t>闭环管理</w:t>
      </w:r>
    </w:p>
    <w:p w14:paraId="5DEC8C88">
      <w:pPr>
        <w:pStyle w:val="56"/>
        <w:spacing w:line="360" w:lineRule="auto"/>
        <w:ind w:firstLine="420"/>
      </w:pPr>
      <w:r>
        <w:rPr>
          <w:rFonts w:hint="eastAsia"/>
        </w:rPr>
        <w:t>隐患治理应实行闭环管理，覆盖发现、记录、通知、整改、复查、验收和销项归档全过程。隐患未经复查确认合格不得销项，整改资料与现场实际状态不一致不得销项。</w:t>
      </w:r>
    </w:p>
    <w:p w14:paraId="383689E9">
      <w:pPr>
        <w:pStyle w:val="65"/>
        <w:spacing w:before="120" w:after="120" w:line="360" w:lineRule="auto"/>
      </w:pPr>
      <w:r>
        <w:rPr>
          <w:rFonts w:hint="eastAsia"/>
        </w:rPr>
        <w:t>预防优先</w:t>
      </w:r>
    </w:p>
    <w:p w14:paraId="3E08BAA4">
      <w:pPr>
        <w:pStyle w:val="56"/>
        <w:spacing w:line="360" w:lineRule="auto"/>
        <w:ind w:firstLine="420"/>
      </w:pPr>
      <w:r>
        <w:rPr>
          <w:rFonts w:hint="eastAsia"/>
        </w:rPr>
        <w:t>隐患治理应突出预防优先，管理措施应前移至施工准备阶段和专项方案审查阶段。监理单位应加强对危险性较大分部分项工程、关键工序、交叉作业和临时设施的预控，减少事后纠偏成本。</w:t>
      </w:r>
    </w:p>
    <w:p w14:paraId="56D66028">
      <w:pPr>
        <w:pStyle w:val="65"/>
        <w:spacing w:before="120" w:after="120" w:line="360" w:lineRule="auto"/>
      </w:pPr>
      <w:r>
        <w:rPr>
          <w:rFonts w:hint="eastAsia"/>
        </w:rPr>
        <w:t>权责明确</w:t>
      </w:r>
    </w:p>
    <w:p w14:paraId="71F87E93">
      <w:pPr>
        <w:pStyle w:val="56"/>
        <w:spacing w:line="360" w:lineRule="auto"/>
        <w:ind w:firstLine="420"/>
      </w:pPr>
      <w:r>
        <w:rPr>
          <w:rFonts w:hint="eastAsia"/>
        </w:rPr>
        <w:t>隐患排查与处理应明确建设单位、监理单位、施工单位及分包单位的职责边界和接口关系，落实到岗位与责任人，保证指令传递顺畅，整改责任落实到位，避免责任悬空与处置推诿。</w:t>
      </w:r>
    </w:p>
    <w:p w14:paraId="17F2FE30">
      <w:pPr>
        <w:pStyle w:val="65"/>
        <w:spacing w:before="120" w:after="120" w:line="360" w:lineRule="auto"/>
      </w:pPr>
      <w:r>
        <w:rPr>
          <w:rFonts w:hint="eastAsia"/>
        </w:rPr>
        <w:t>证据可追溯</w:t>
      </w:r>
    </w:p>
    <w:p w14:paraId="2A62EE40">
      <w:pPr>
        <w:pStyle w:val="56"/>
        <w:spacing w:line="360" w:lineRule="auto"/>
        <w:ind w:firstLine="420"/>
      </w:pPr>
      <w:r>
        <w:rPr>
          <w:rFonts w:hint="eastAsia"/>
        </w:rPr>
        <w:t>隐患处置全过程资料应完整保存并可追溯。相关资料应至少包括隐患记录、监理通知或指令、整改回复、复查结论、影像资料、会议纪要以及停工复工手续等，并能对应到具体时间、地点、责任主体和处置过程。</w:t>
      </w:r>
    </w:p>
    <w:p w14:paraId="1C2E0EE3">
      <w:pPr>
        <w:pStyle w:val="105"/>
        <w:spacing w:before="120" w:after="120" w:line="360" w:lineRule="auto"/>
      </w:pPr>
      <w:r>
        <w:rPr>
          <w:rFonts w:hint="eastAsia"/>
        </w:rPr>
        <w:t>职责与接口要求</w:t>
      </w:r>
    </w:p>
    <w:p w14:paraId="0991F93C">
      <w:pPr>
        <w:pStyle w:val="65"/>
        <w:spacing w:before="120" w:after="120" w:line="360" w:lineRule="auto"/>
      </w:pPr>
      <w:r>
        <w:rPr>
          <w:rFonts w:hint="eastAsia"/>
        </w:rPr>
        <w:t>建设单位职责</w:t>
      </w:r>
    </w:p>
    <w:p w14:paraId="7EBDF21B">
      <w:pPr>
        <w:pStyle w:val="56"/>
        <w:spacing w:line="360" w:lineRule="auto"/>
        <w:ind w:firstLine="420"/>
      </w:pPr>
      <w:r>
        <w:rPr>
          <w:rFonts w:hint="eastAsia"/>
        </w:rPr>
        <w:t>建设单位应组织建立项目安全管理目标与制度体系，明确监理单位安全监理权限与工作要求，保障隐患治理所需资源，督促施工单位落实整改，对重大隐患处置、停工复工和重大风险控制措施提供决策支持并履行相应管理责任。</w:t>
      </w:r>
    </w:p>
    <w:p w14:paraId="3AA98590">
      <w:pPr>
        <w:pStyle w:val="65"/>
        <w:spacing w:before="120" w:after="120" w:line="360" w:lineRule="auto"/>
      </w:pPr>
      <w:r>
        <w:rPr>
          <w:rFonts w:hint="eastAsia"/>
        </w:rPr>
        <w:t>监理单位职责</w:t>
      </w:r>
    </w:p>
    <w:p w14:paraId="42A31BFB">
      <w:pPr>
        <w:pStyle w:val="56"/>
        <w:spacing w:line="360" w:lineRule="auto"/>
        <w:ind w:firstLine="420"/>
      </w:pPr>
      <w:r>
        <w:rPr>
          <w:rFonts w:hint="eastAsia"/>
        </w:rPr>
        <w:t>监理单位应在监理规划和实施细则中明确隐患排查计划、检查要点、分级标准、处置流程和文书模板，组织实施日常巡查、专项检查和旁站监督，及时签发整改通知或监理指令，跟踪整改并复查验收，必要时提出停工建议或签发停工指令，按规定向建设单位报告重大隐患及处置进展，并完成隐患台账管理、资料归档和统计分析。</w:t>
      </w:r>
    </w:p>
    <w:p w14:paraId="2A17151D">
      <w:pPr>
        <w:pStyle w:val="65"/>
        <w:spacing w:before="120" w:after="120" w:line="360" w:lineRule="auto"/>
      </w:pPr>
      <w:r>
        <w:rPr>
          <w:rFonts w:hint="eastAsia"/>
        </w:rPr>
        <w:t>施工单位职责</w:t>
      </w:r>
    </w:p>
    <w:p w14:paraId="5BAD4A1E">
      <w:pPr>
        <w:pStyle w:val="56"/>
        <w:spacing w:line="360" w:lineRule="auto"/>
        <w:ind w:firstLine="420"/>
      </w:pPr>
      <w:r>
        <w:rPr>
          <w:rFonts w:hint="eastAsia"/>
        </w:rPr>
        <w:t>施工单位应对施工现场安全生产负主体责任，建立隐患自查自纠机制，落实专项施工方案、技术交底和安全措施，按监理整改要求及时整改并提交整改回复资料，配合监理复查验收。对重大隐患应立即采取控制措施并停止相关作业，组织专项治理和复盘整改，防止风险扩散。</w:t>
      </w:r>
    </w:p>
    <w:p w14:paraId="076A949F">
      <w:pPr>
        <w:pStyle w:val="65"/>
        <w:spacing w:before="120" w:after="120" w:line="360" w:lineRule="auto"/>
      </w:pPr>
      <w:r>
        <w:rPr>
          <w:rFonts w:hint="eastAsia"/>
        </w:rPr>
        <w:t>分包单位职责</w:t>
      </w:r>
    </w:p>
    <w:p w14:paraId="2747F307">
      <w:pPr>
        <w:pStyle w:val="56"/>
        <w:spacing w:line="360" w:lineRule="auto"/>
        <w:ind w:firstLine="420"/>
      </w:pPr>
      <w:r>
        <w:rPr>
          <w:rFonts w:hint="eastAsia"/>
        </w:rPr>
        <w:t>分包单位应服从总承包单位安全管理并落实本单位作业面安全措施，开展班组级隐患排查与整改，配合监理与总包检查，对本单位隐患整改质量与时效承担责任。</w:t>
      </w:r>
    </w:p>
    <w:p w14:paraId="377045E7">
      <w:pPr>
        <w:pStyle w:val="65"/>
        <w:spacing w:before="120" w:after="120" w:line="360" w:lineRule="auto"/>
      </w:pPr>
      <w:r>
        <w:rPr>
          <w:rFonts w:hint="eastAsia"/>
        </w:rPr>
        <w:t>接口与信息传递</w:t>
      </w:r>
    </w:p>
    <w:p w14:paraId="403F90A6">
      <w:pPr>
        <w:pStyle w:val="56"/>
        <w:spacing w:line="360" w:lineRule="auto"/>
        <w:ind w:firstLine="420"/>
      </w:pPr>
      <w:r>
        <w:rPr>
          <w:rFonts w:hint="eastAsia"/>
        </w:rPr>
        <w:t>监理单位与施工单位应建立隐患信息传递机制，明确隐患整改通知签收方式、整改回复时限、复查申请流程、紧急隐患即时通报渠道。对涉及多专业多分包交叉作业的隐患，应由总承包单位牵头组织整改协调，监理单位监督落实并核验效果。</w:t>
      </w:r>
    </w:p>
    <w:p w14:paraId="5E257B6F">
      <w:pPr>
        <w:pStyle w:val="105"/>
        <w:spacing w:before="120" w:after="120" w:line="360" w:lineRule="auto"/>
      </w:pPr>
      <w:r>
        <w:rPr>
          <w:rFonts w:hint="eastAsia"/>
        </w:rPr>
        <w:t>排查策划与频次要求</w:t>
      </w:r>
    </w:p>
    <w:p w14:paraId="785DD6CF">
      <w:pPr>
        <w:pStyle w:val="65"/>
        <w:spacing w:before="120" w:after="120" w:line="360" w:lineRule="auto"/>
      </w:pPr>
      <w:r>
        <w:rPr>
          <w:rFonts w:hint="eastAsia"/>
        </w:rPr>
        <w:t>排查策划</w:t>
      </w:r>
    </w:p>
    <w:p w14:paraId="3461B9EB">
      <w:pPr>
        <w:pStyle w:val="56"/>
        <w:spacing w:line="360" w:lineRule="auto"/>
        <w:ind w:firstLine="420"/>
      </w:pPr>
      <w:r>
        <w:rPr>
          <w:rFonts w:hint="eastAsia"/>
        </w:rPr>
        <w:t>监理单位应在开工前完成隐患排查策划，形成年度或阶段性排查计划，并在施工过程中根据工程进展、季节变化、重大节点和风险变化动态调整。排查策划应明确排查范围、排查方法、检查频次、重点部位和关键工序、人员分工、记录要求以及与施工单位自检的衔接方式。</w:t>
      </w:r>
    </w:p>
    <w:p w14:paraId="0A321D19">
      <w:pPr>
        <w:pStyle w:val="65"/>
        <w:spacing w:before="120" w:after="120" w:line="360" w:lineRule="auto"/>
      </w:pPr>
      <w:r>
        <w:rPr>
          <w:rFonts w:hint="eastAsia"/>
        </w:rPr>
        <w:t>排查频次</w:t>
      </w:r>
    </w:p>
    <w:p w14:paraId="69DC48BF">
      <w:pPr>
        <w:pStyle w:val="56"/>
        <w:spacing w:line="360" w:lineRule="auto"/>
        <w:ind w:firstLine="420"/>
      </w:pPr>
      <w:r>
        <w:rPr>
          <w:rFonts w:hint="eastAsia"/>
        </w:rPr>
        <w:t>隐患排查应至少包括日常巡查、专项检查和季节性检查。对深基坑、起重吊装、脚手架、模板支撑、高处作业、有限空间、临时用电、动火作业、消防管理等高风险内容，应提高检查频次并实施重点抽查或旁站监督。对施工现场出现管理水平下降、事故苗头、违规高发、外部检查通报等情形时，应立即开展专项排查。</w:t>
      </w:r>
    </w:p>
    <w:p w14:paraId="6DC061F7">
      <w:pPr>
        <w:pStyle w:val="65"/>
        <w:spacing w:before="120" w:after="120" w:line="360" w:lineRule="auto"/>
      </w:pPr>
      <w:r>
        <w:rPr>
          <w:rFonts w:hint="eastAsia"/>
        </w:rPr>
        <w:t>覆盖要求</w:t>
      </w:r>
    </w:p>
    <w:p w14:paraId="1B0A7F49">
      <w:pPr>
        <w:pStyle w:val="56"/>
        <w:spacing w:line="360" w:lineRule="auto"/>
        <w:ind w:firstLine="420"/>
      </w:pPr>
      <w:r>
        <w:rPr>
          <w:rFonts w:hint="eastAsia"/>
        </w:rPr>
        <w:t>排查范围应覆盖人员行为、设备设施、作业环境、管理制度与执行、危险性较大分部分项工程控制措施、应急管理和文明施工等内容，做到作业面全覆盖、关键环节全覆盖、重要时段全覆盖。</w:t>
      </w:r>
    </w:p>
    <w:p w14:paraId="312154A1">
      <w:pPr>
        <w:pStyle w:val="105"/>
        <w:spacing w:before="120" w:after="120" w:line="360" w:lineRule="auto"/>
      </w:pPr>
      <w:r>
        <w:rPr>
          <w:rFonts w:hint="eastAsia"/>
        </w:rPr>
        <w:t>隐患分级与处置要求</w:t>
      </w:r>
    </w:p>
    <w:p w14:paraId="3C4A6E6B">
      <w:pPr>
        <w:pStyle w:val="65"/>
        <w:spacing w:before="120" w:after="120" w:line="360" w:lineRule="auto"/>
      </w:pPr>
      <w:r>
        <w:rPr>
          <w:rFonts w:hint="eastAsia"/>
        </w:rPr>
        <w:t>分级原则</w:t>
      </w:r>
    </w:p>
    <w:p w14:paraId="4C7D4916">
      <w:pPr>
        <w:pStyle w:val="56"/>
        <w:spacing w:line="360" w:lineRule="auto"/>
        <w:ind w:firstLine="420"/>
      </w:pPr>
      <w:r>
        <w:rPr>
          <w:rFonts w:hint="eastAsia"/>
        </w:rPr>
        <w:t>隐患分级应综合考虑可能导致的后果严重程度、发生可能性、失控速度以及可通过现场措施立即控制的程度。分级结论应与整改时限、处置权限、停工复工条件和升级报告要求直接挂钩。</w:t>
      </w:r>
    </w:p>
    <w:p w14:paraId="74B818BD">
      <w:pPr>
        <w:pStyle w:val="65"/>
        <w:spacing w:before="120" w:after="120" w:line="360" w:lineRule="auto"/>
      </w:pPr>
      <w:r>
        <w:rPr>
          <w:rFonts w:hint="eastAsia"/>
        </w:rPr>
        <w:t>处置要求</w:t>
      </w:r>
    </w:p>
    <w:p w14:paraId="5BB42910">
      <w:pPr>
        <w:pStyle w:val="56"/>
        <w:spacing w:line="360" w:lineRule="auto"/>
        <w:ind w:firstLine="420"/>
      </w:pPr>
      <w:r>
        <w:rPr>
          <w:rFonts w:hint="eastAsia"/>
        </w:rPr>
        <w:t>一般隐患应在规定时限内整改并复查销项。重大隐患应立即采取控制措施，必要时立即停工并组织专项治理，监理单位应及时报告建设单位并按规定形成书面记录。对涉及强制性条文或存在立即导致事故风险的隐患，监理单位应采取更严格的处置措施并推动施工单位立即纠正。</w:t>
      </w:r>
    </w:p>
    <w:p w14:paraId="005602F0">
      <w:pPr>
        <w:pStyle w:val="65"/>
        <w:spacing w:before="120" w:after="120" w:line="360" w:lineRule="auto"/>
      </w:pPr>
      <w:r>
        <w:rPr>
          <w:rFonts w:hint="eastAsia"/>
        </w:rPr>
        <w:t>升级报告要求</w:t>
      </w:r>
    </w:p>
    <w:p w14:paraId="50F03C3B">
      <w:pPr>
        <w:pStyle w:val="56"/>
        <w:spacing w:line="360" w:lineRule="auto"/>
        <w:ind w:firstLine="420"/>
      </w:pPr>
      <w:r>
        <w:rPr>
          <w:rFonts w:hint="eastAsia"/>
        </w:rPr>
        <w:t>当隐患达到重大隐患判定条件，或施工单位拒不整改、逾期不整改、整改无效、反复出现同类隐患、存在恶劣影响等情形时，监理单位应按项目制度进行升级报告，并可建议建设单位启动合同约束措施或组织联合执法检查。</w:t>
      </w:r>
    </w:p>
    <w:p w14:paraId="5751F64A">
      <w:pPr>
        <w:pStyle w:val="105"/>
        <w:spacing w:before="120" w:after="120" w:line="360" w:lineRule="auto"/>
      </w:pPr>
      <w:r>
        <w:rPr>
          <w:rFonts w:hint="eastAsia"/>
        </w:rPr>
        <w:t>文件化与台账管理要求</w:t>
      </w:r>
    </w:p>
    <w:p w14:paraId="305AD961">
      <w:pPr>
        <w:pStyle w:val="56"/>
        <w:spacing w:line="360" w:lineRule="auto"/>
        <w:ind w:firstLine="420"/>
      </w:pPr>
      <w:r>
        <w:rPr>
          <w:rFonts w:hint="eastAsia"/>
        </w:rPr>
        <w:t>监理单位应建立隐患台账管理制度，统一隐患编号、记录要素、状态管理、整改与复查资料归档要求。隐患处理过程应形成完整资料链，包括隐患发现记录、影像证据、整改通知、整改回复、复查记录、销项结论、停工复工手续及会议纪要等。隐患资料应按工程部位、专业类别和时间顺序归档，保证检索便利与审计可追溯。</w:t>
      </w:r>
    </w:p>
    <w:p w14:paraId="5A0B96A1">
      <w:pPr>
        <w:pStyle w:val="104"/>
        <w:spacing w:before="240" w:after="240" w:line="360" w:lineRule="auto"/>
      </w:pPr>
      <w:bookmarkStart w:id="52" w:name="_Toc218970748"/>
      <w:r>
        <w:rPr>
          <w:rFonts w:hint="eastAsia"/>
        </w:rPr>
        <w:t>隐患排查流程</w:t>
      </w:r>
      <w:bookmarkEnd w:id="52"/>
    </w:p>
    <w:p w14:paraId="1F3BC0CF">
      <w:pPr>
        <w:pStyle w:val="105"/>
        <w:spacing w:before="120" w:after="120" w:line="360" w:lineRule="auto"/>
      </w:pPr>
      <w:r>
        <w:rPr>
          <w:rFonts w:hint="eastAsia"/>
        </w:rPr>
        <w:t>一般要求</w:t>
      </w:r>
    </w:p>
    <w:p w14:paraId="5C07BF3D">
      <w:pPr>
        <w:pStyle w:val="165"/>
        <w:spacing w:line="360" w:lineRule="auto"/>
      </w:pPr>
      <w:r>
        <w:rPr>
          <w:rFonts w:hint="eastAsia"/>
        </w:rPr>
        <w:t>隐患排查应纳入监理规划与监理实施细则，形成计划化组织与过程化控制。隐患排查应覆盖施工准备阶段、施工实施阶段和关键节点阶段，做到范围明确、频次明确、责任明确、记录完整。</w:t>
      </w:r>
    </w:p>
    <w:p w14:paraId="3496237A">
      <w:pPr>
        <w:pStyle w:val="165"/>
        <w:spacing w:line="360" w:lineRule="auto"/>
      </w:pPr>
      <w:r>
        <w:rPr>
          <w:rFonts w:hint="eastAsia"/>
        </w:rPr>
        <w:t>隐患排查应与危险性较大分部分项工程管理、专项施工方案审查、施工组织设计审查、旁站监理、验收管理和应急管理衔接。对高风险作业点应实施重点排查并提高排查频次。</w:t>
      </w:r>
    </w:p>
    <w:p w14:paraId="53C7C453">
      <w:pPr>
        <w:pStyle w:val="165"/>
        <w:spacing w:line="360" w:lineRule="auto"/>
      </w:pPr>
      <w:r>
        <w:rPr>
          <w:rFonts w:hint="eastAsia"/>
        </w:rPr>
        <w:t>隐患排查应遵循统一表单和统一口径，隐患描述应清晰可定位，应包含作业位置、隐患事实、违反依据、风险后果、整改要求和整改时限等信息，确保施工单位可执行、可整改、可验证。</w:t>
      </w:r>
    </w:p>
    <w:p w14:paraId="33A2CC80">
      <w:pPr>
        <w:pStyle w:val="165"/>
        <w:spacing w:line="360" w:lineRule="auto"/>
      </w:pPr>
      <w:r>
        <w:rPr>
          <w:rFonts w:hint="eastAsia"/>
        </w:rPr>
        <w:t>隐患排查记录、整改通知、整改回复、复查结论和销项归档资料应纳入隐患台账统一管理，形成证据链并满足可追溯要求。</w:t>
      </w:r>
    </w:p>
    <w:p w14:paraId="22335F21">
      <w:pPr>
        <w:pStyle w:val="105"/>
        <w:spacing w:before="120" w:after="120" w:line="360" w:lineRule="auto"/>
      </w:pPr>
      <w:r>
        <w:rPr>
          <w:rFonts w:hint="eastAsia"/>
        </w:rPr>
        <w:t>排查策划与准备</w:t>
      </w:r>
    </w:p>
    <w:p w14:paraId="3BB6FE47">
      <w:pPr>
        <w:pStyle w:val="165"/>
        <w:spacing w:line="360" w:lineRule="auto"/>
      </w:pPr>
      <w:r>
        <w:rPr>
          <w:rFonts w:hint="eastAsia"/>
        </w:rPr>
        <w:t>监理单位应在开工前编制隐患排查计划，明确排查范围、检查要点、检查方法、频次安排、人员分工、记录要求和与施工单位自查的协同方式。隐患排查计划应结合工程特点、重大风险源分布、施工阶段安排和季节性风险进行动态调整。</w:t>
      </w:r>
    </w:p>
    <w:p w14:paraId="6B1ECA2A">
      <w:pPr>
        <w:pStyle w:val="165"/>
        <w:spacing w:line="360" w:lineRule="auto"/>
      </w:pPr>
      <w:r>
        <w:rPr>
          <w:rFonts w:hint="eastAsia"/>
        </w:rPr>
        <w:t>监理单位应建立隐患排查依据清单，至少包括适用法律法规、强制性标准条文、项目安全管理制度、专项施工方案及其审查意见、监理规划与实施细则、企业安全管理标准化要求等。</w:t>
      </w:r>
    </w:p>
    <w:p w14:paraId="557E1411">
      <w:pPr>
        <w:pStyle w:val="165"/>
        <w:spacing w:line="360" w:lineRule="auto"/>
      </w:pPr>
      <w:r>
        <w:rPr>
          <w:rFonts w:hint="eastAsia"/>
        </w:rPr>
        <w:t>监理单位应在现场建立隐患排查工具和资料条件，至少包括检查表单、影像取证设备、隐患台账模板、监理通知与指令模板、整改回复模板、复查记录模板和销项归档清单。</w:t>
      </w:r>
    </w:p>
    <w:p w14:paraId="5DB59D25">
      <w:pPr>
        <w:pStyle w:val="105"/>
        <w:spacing w:before="120" w:after="120" w:line="360" w:lineRule="auto"/>
      </w:pPr>
      <w:r>
        <w:rPr>
          <w:rFonts w:hint="eastAsia"/>
        </w:rPr>
        <w:t>排查实施</w:t>
      </w:r>
    </w:p>
    <w:p w14:paraId="0ED21B18">
      <w:pPr>
        <w:pStyle w:val="65"/>
        <w:spacing w:before="120" w:after="120" w:line="360" w:lineRule="auto"/>
      </w:pPr>
      <w:r>
        <w:rPr>
          <w:rFonts w:hint="eastAsia"/>
        </w:rPr>
        <w:t>排查方式</w:t>
      </w:r>
    </w:p>
    <w:p w14:paraId="780BE8E7">
      <w:pPr>
        <w:pStyle w:val="56"/>
        <w:spacing w:line="360" w:lineRule="auto"/>
        <w:ind w:firstLine="420"/>
      </w:pPr>
      <w:r>
        <w:rPr>
          <w:rFonts w:hint="eastAsia"/>
        </w:rPr>
        <w:t>隐患排查宜采取日常巡查、专项检查、旁站监督、联合检查和季节性检查等方式组织实施。对危险性较大分部分项工程和关键工序，宜将旁站监督与专项检查结合开展。</w:t>
      </w:r>
    </w:p>
    <w:p w14:paraId="28FD6164">
      <w:pPr>
        <w:pStyle w:val="65"/>
        <w:spacing w:before="120" w:after="120" w:line="360" w:lineRule="auto"/>
      </w:pPr>
      <w:r>
        <w:rPr>
          <w:rFonts w:hint="eastAsia"/>
        </w:rPr>
        <w:t>排查范围</w:t>
      </w:r>
    </w:p>
    <w:p w14:paraId="2E034126">
      <w:pPr>
        <w:pStyle w:val="56"/>
        <w:spacing w:line="360" w:lineRule="auto"/>
        <w:ind w:firstLine="420"/>
      </w:pPr>
      <w:r>
        <w:rPr>
          <w:rFonts w:hint="eastAsia"/>
        </w:rPr>
        <w:t>隐患排查范围应覆盖人员行为、设备设施、作业环境和管理体系执行情况。排查对象宜包括临时用电、消防管理、起重机械与吊装作业、高处作业、脚手架与模板支撑体系、深基坑与边坡、有限空间与动火作业、临边洞口防护、施工机具与运输车辆、文明施工与应急物资等。</w:t>
      </w:r>
    </w:p>
    <w:p w14:paraId="485D7CD2">
      <w:pPr>
        <w:pStyle w:val="65"/>
        <w:spacing w:before="120" w:after="120" w:line="360" w:lineRule="auto"/>
      </w:pPr>
      <w:r>
        <w:rPr>
          <w:rFonts w:hint="eastAsia"/>
        </w:rPr>
        <w:t>排查记录</w:t>
      </w:r>
    </w:p>
    <w:p w14:paraId="3620A9DC">
      <w:pPr>
        <w:pStyle w:val="56"/>
        <w:spacing w:line="360" w:lineRule="auto"/>
        <w:ind w:firstLine="420"/>
      </w:pPr>
      <w:r>
        <w:rPr>
          <w:rFonts w:hint="eastAsia"/>
        </w:rPr>
        <w:t>监理单位发现隐患后应立即记录并取证。记录内容应包括隐患位置、隐患事实、涉及作业单位、现场责任人、发现时间、适用依据、风险说明、拟定处置方式与整改时限。取证应以照片、视频、测量记录、设备参数记录、人员资质与交底记录等形式固定证据，并纳入台账附件索引。</w:t>
      </w:r>
    </w:p>
    <w:p w14:paraId="782B0BF2">
      <w:pPr>
        <w:pStyle w:val="105"/>
        <w:spacing w:before="120" w:after="120" w:line="360" w:lineRule="auto"/>
      </w:pPr>
      <w:r>
        <w:rPr>
          <w:rFonts w:hint="eastAsia"/>
        </w:rPr>
        <w:t>隐患分级与处置决定</w:t>
      </w:r>
    </w:p>
    <w:p w14:paraId="57E6F93A">
      <w:pPr>
        <w:pStyle w:val="65"/>
        <w:spacing w:before="120" w:after="120" w:line="360" w:lineRule="auto"/>
      </w:pPr>
      <w:r>
        <w:rPr>
          <w:rFonts w:hint="eastAsia"/>
        </w:rPr>
        <w:t>分级判定</w:t>
      </w:r>
    </w:p>
    <w:p w14:paraId="1EA6CDEE">
      <w:pPr>
        <w:pStyle w:val="56"/>
        <w:spacing w:line="360" w:lineRule="auto"/>
        <w:ind w:firstLine="420"/>
      </w:pPr>
      <w:r>
        <w:rPr>
          <w:rFonts w:hint="eastAsia"/>
        </w:rPr>
        <w:t>监理单位应依据隐患后果严重程度、发生可能性、失控速度和可立即控制程度对隐患进行分级，并据此确定处置方式、整改时限和升级路径。隐患分级应在隐患记录中明确标注，并与后续整改通知、复查要求保持一致。</w:t>
      </w:r>
    </w:p>
    <w:p w14:paraId="5B9262A7">
      <w:pPr>
        <w:pStyle w:val="65"/>
        <w:spacing w:before="120" w:after="120" w:line="360" w:lineRule="auto"/>
      </w:pPr>
      <w:r>
        <w:rPr>
          <w:rFonts w:hint="eastAsia"/>
        </w:rPr>
        <w:t>处置决定</w:t>
      </w:r>
    </w:p>
    <w:p w14:paraId="52AFA90F">
      <w:pPr>
        <w:pStyle w:val="56"/>
        <w:spacing w:line="360" w:lineRule="auto"/>
        <w:ind w:firstLine="420"/>
      </w:pPr>
      <w:r>
        <w:rPr>
          <w:rFonts w:hint="eastAsia"/>
        </w:rPr>
        <w:t>对一般隐患，监理单位应签发整改通知并明确整改要求和时限。对重大隐患，监理单位应要求施工单位立即采取控制措施，必要时签发停工指令或提出停工建议，并及时报告建设单位。对存在立即导致事故风险的隐患，监理单位应采取即时制止措施并推动现场立即纠正。隐患分级判定要素与处置要求见表1。</w:t>
      </w:r>
    </w:p>
    <w:p w14:paraId="285226B2">
      <w:pPr>
        <w:pStyle w:val="112"/>
        <w:spacing w:before="120" w:after="120" w:line="360" w:lineRule="auto"/>
      </w:pPr>
      <w:r>
        <w:rPr>
          <w:rFonts w:hint="eastAsia"/>
        </w:rPr>
        <w:t>隐患分级判定要素与处置要求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410"/>
        <w:gridCol w:w="2126"/>
        <w:gridCol w:w="1134"/>
        <w:gridCol w:w="1701"/>
        <w:gridCol w:w="1122"/>
      </w:tblGrid>
      <w:tr w14:paraId="7460B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4" w:space="0"/>
            </w:tcBorders>
            <w:vAlign w:val="center"/>
          </w:tcPr>
          <w:p w14:paraId="789373C2">
            <w:pPr>
              <w:pStyle w:val="178"/>
            </w:pPr>
            <w:r>
              <w:rPr>
                <w:rFonts w:hint="eastAsia"/>
              </w:rPr>
              <w:t>隐患等级</w:t>
            </w:r>
          </w:p>
        </w:tc>
        <w:tc>
          <w:tcPr>
            <w:tcW w:w="2410" w:type="dxa"/>
            <w:tcBorders>
              <w:top w:val="single" w:color="auto" w:sz="8" w:space="0"/>
              <w:bottom w:val="single" w:color="auto" w:sz="4" w:space="0"/>
            </w:tcBorders>
            <w:vAlign w:val="center"/>
          </w:tcPr>
          <w:p w14:paraId="4BCCD6FB">
            <w:pPr>
              <w:pStyle w:val="178"/>
            </w:pPr>
            <w:r>
              <w:rPr>
                <w:rFonts w:hint="eastAsia"/>
              </w:rPr>
              <w:t>判定要素要求</w:t>
            </w:r>
          </w:p>
        </w:tc>
        <w:tc>
          <w:tcPr>
            <w:tcW w:w="2126" w:type="dxa"/>
            <w:tcBorders>
              <w:top w:val="single" w:color="auto" w:sz="8" w:space="0"/>
              <w:bottom w:val="single" w:color="auto" w:sz="4" w:space="0"/>
            </w:tcBorders>
            <w:vAlign w:val="center"/>
          </w:tcPr>
          <w:p w14:paraId="0C603E9E">
            <w:pPr>
              <w:pStyle w:val="178"/>
            </w:pPr>
            <w:r>
              <w:rPr>
                <w:rFonts w:hint="eastAsia"/>
              </w:rPr>
              <w:t>处置要求</w:t>
            </w:r>
          </w:p>
        </w:tc>
        <w:tc>
          <w:tcPr>
            <w:tcW w:w="1134" w:type="dxa"/>
            <w:tcBorders>
              <w:top w:val="single" w:color="auto" w:sz="8" w:space="0"/>
              <w:bottom w:val="single" w:color="auto" w:sz="4" w:space="0"/>
            </w:tcBorders>
            <w:vAlign w:val="center"/>
          </w:tcPr>
          <w:p w14:paraId="634EE84C">
            <w:pPr>
              <w:pStyle w:val="178"/>
            </w:pPr>
            <w:r>
              <w:rPr>
                <w:rFonts w:hint="eastAsia"/>
              </w:rPr>
              <w:t>整改时限要求</w:t>
            </w:r>
          </w:p>
        </w:tc>
        <w:tc>
          <w:tcPr>
            <w:tcW w:w="1701" w:type="dxa"/>
            <w:tcBorders>
              <w:top w:val="single" w:color="auto" w:sz="8" w:space="0"/>
              <w:bottom w:val="single" w:color="auto" w:sz="4" w:space="0"/>
            </w:tcBorders>
            <w:vAlign w:val="center"/>
          </w:tcPr>
          <w:p w14:paraId="65328E96">
            <w:pPr>
              <w:pStyle w:val="178"/>
            </w:pPr>
            <w:r>
              <w:rPr>
                <w:rFonts w:hint="eastAsia"/>
              </w:rPr>
              <w:t>复查要求</w:t>
            </w:r>
          </w:p>
        </w:tc>
        <w:tc>
          <w:tcPr>
            <w:tcW w:w="1122" w:type="dxa"/>
            <w:tcBorders>
              <w:top w:val="single" w:color="auto" w:sz="8" w:space="0"/>
              <w:bottom w:val="single" w:color="auto" w:sz="4" w:space="0"/>
            </w:tcBorders>
            <w:vAlign w:val="center"/>
          </w:tcPr>
          <w:p w14:paraId="5F950EAB">
            <w:pPr>
              <w:pStyle w:val="178"/>
            </w:pPr>
            <w:r>
              <w:rPr>
                <w:rFonts w:hint="eastAsia"/>
              </w:rPr>
              <w:t>升级要求</w:t>
            </w:r>
          </w:p>
        </w:tc>
      </w:tr>
      <w:tr w14:paraId="325B5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bottom w:val="single" w:color="auto" w:sz="4" w:space="0"/>
            </w:tcBorders>
            <w:vAlign w:val="center"/>
          </w:tcPr>
          <w:p w14:paraId="3C92E796">
            <w:pPr>
              <w:pStyle w:val="178"/>
            </w:pPr>
            <w:r>
              <w:rPr>
                <w:rFonts w:hint="eastAsia"/>
              </w:rPr>
              <w:t>一级</w:t>
            </w:r>
          </w:p>
        </w:tc>
        <w:tc>
          <w:tcPr>
            <w:tcW w:w="2410" w:type="dxa"/>
            <w:tcBorders>
              <w:top w:val="single" w:color="auto" w:sz="4" w:space="0"/>
              <w:bottom w:val="single" w:color="auto" w:sz="4" w:space="0"/>
            </w:tcBorders>
            <w:vAlign w:val="center"/>
          </w:tcPr>
          <w:p w14:paraId="6ACB29C0">
            <w:pPr>
              <w:pStyle w:val="178"/>
            </w:pPr>
            <w:r>
              <w:rPr>
                <w:rFonts w:hint="eastAsia"/>
              </w:rPr>
              <w:t>存在立即导致事故风险或可能造成群死群伤重大财产损失的失控状态或关键防护缺失</w:t>
            </w:r>
          </w:p>
        </w:tc>
        <w:tc>
          <w:tcPr>
            <w:tcW w:w="2126" w:type="dxa"/>
            <w:tcBorders>
              <w:top w:val="single" w:color="auto" w:sz="4" w:space="0"/>
              <w:bottom w:val="single" w:color="auto" w:sz="4" w:space="0"/>
            </w:tcBorders>
            <w:vAlign w:val="center"/>
          </w:tcPr>
          <w:p w14:paraId="0F0D96CD">
            <w:pPr>
              <w:pStyle w:val="178"/>
            </w:pPr>
            <w:r>
              <w:rPr>
                <w:rFonts w:hint="eastAsia"/>
              </w:rPr>
              <w:t>立即停止相关作业 立即采取控制措施 组织专项治理 必要时实施停工</w:t>
            </w:r>
          </w:p>
        </w:tc>
        <w:tc>
          <w:tcPr>
            <w:tcW w:w="1134" w:type="dxa"/>
            <w:tcBorders>
              <w:top w:val="single" w:color="auto" w:sz="4" w:space="0"/>
              <w:bottom w:val="single" w:color="auto" w:sz="4" w:space="0"/>
            </w:tcBorders>
            <w:vAlign w:val="center"/>
          </w:tcPr>
          <w:p w14:paraId="175EE741">
            <w:pPr>
              <w:pStyle w:val="178"/>
            </w:pPr>
            <w:r>
              <w:rPr>
                <w:rFonts w:hint="eastAsia"/>
              </w:rPr>
              <w:t>立即整改或限时整改并采取替代控制措施</w:t>
            </w:r>
          </w:p>
        </w:tc>
        <w:tc>
          <w:tcPr>
            <w:tcW w:w="1701" w:type="dxa"/>
            <w:tcBorders>
              <w:top w:val="single" w:color="auto" w:sz="4" w:space="0"/>
              <w:bottom w:val="single" w:color="auto" w:sz="4" w:space="0"/>
            </w:tcBorders>
            <w:vAlign w:val="center"/>
          </w:tcPr>
          <w:p w14:paraId="2EDA659B">
            <w:pPr>
              <w:pStyle w:val="178"/>
            </w:pPr>
            <w:r>
              <w:rPr>
                <w:rFonts w:hint="eastAsia"/>
              </w:rPr>
              <w:t>监理单位现场复查 验证控制措施有效后方可复工</w:t>
            </w:r>
          </w:p>
        </w:tc>
        <w:tc>
          <w:tcPr>
            <w:tcW w:w="1122" w:type="dxa"/>
            <w:tcBorders>
              <w:top w:val="single" w:color="auto" w:sz="4" w:space="0"/>
              <w:bottom w:val="single" w:color="auto" w:sz="4" w:space="0"/>
            </w:tcBorders>
            <w:vAlign w:val="center"/>
          </w:tcPr>
          <w:p w14:paraId="0B78BF9B">
            <w:pPr>
              <w:pStyle w:val="178"/>
            </w:pPr>
            <w:r>
              <w:rPr>
                <w:rFonts w:hint="eastAsia"/>
              </w:rPr>
              <w:t>立即报告建设单位 必要时按规定上报</w:t>
            </w:r>
          </w:p>
        </w:tc>
      </w:tr>
    </w:tbl>
    <w:p w14:paraId="25283387">
      <w:pPr>
        <w:pStyle w:val="56"/>
        <w:spacing w:before="120" w:beforeLines="50" w:after="120" w:afterLines="50"/>
        <w:ind w:firstLine="0" w:firstLineChars="0"/>
        <w:jc w:val="center"/>
        <w:rPr>
          <w:rFonts w:ascii="黑体" w:hAnsi="黑体" w:eastAsia="黑体"/>
        </w:rPr>
      </w:pPr>
    </w:p>
    <w:p w14:paraId="7317CB25">
      <w:pPr>
        <w:pStyle w:val="56"/>
        <w:spacing w:before="120" w:beforeLines="50" w:after="120" w:afterLines="50"/>
        <w:ind w:firstLine="0" w:firstLineChars="0"/>
        <w:jc w:val="center"/>
        <w:rPr>
          <w:rFonts w:ascii="黑体" w:hAnsi="黑体" w:eastAsia="黑体"/>
        </w:rPr>
      </w:pPr>
      <w:r>
        <w:rPr>
          <w:rFonts w:hint="eastAsia" w:ascii="黑体" w:hAnsi="黑体" w:eastAsia="黑体"/>
        </w:rPr>
        <w:t>表1  隐患分级判定要素与处置要求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410"/>
        <w:gridCol w:w="2126"/>
        <w:gridCol w:w="1134"/>
        <w:gridCol w:w="1701"/>
        <w:gridCol w:w="1122"/>
      </w:tblGrid>
      <w:tr w14:paraId="297BC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4" w:space="0"/>
            </w:tcBorders>
            <w:vAlign w:val="center"/>
          </w:tcPr>
          <w:p w14:paraId="72D94432">
            <w:pPr>
              <w:pStyle w:val="178"/>
            </w:pPr>
            <w:r>
              <w:rPr>
                <w:rFonts w:hint="eastAsia"/>
              </w:rPr>
              <w:t>隐患等级</w:t>
            </w:r>
          </w:p>
        </w:tc>
        <w:tc>
          <w:tcPr>
            <w:tcW w:w="2410" w:type="dxa"/>
            <w:tcBorders>
              <w:top w:val="single" w:color="auto" w:sz="8" w:space="0"/>
              <w:bottom w:val="single" w:color="auto" w:sz="4" w:space="0"/>
            </w:tcBorders>
            <w:vAlign w:val="center"/>
          </w:tcPr>
          <w:p w14:paraId="141A38D0">
            <w:pPr>
              <w:pStyle w:val="178"/>
            </w:pPr>
            <w:r>
              <w:rPr>
                <w:rFonts w:hint="eastAsia"/>
              </w:rPr>
              <w:t>判定要素要求</w:t>
            </w:r>
          </w:p>
        </w:tc>
        <w:tc>
          <w:tcPr>
            <w:tcW w:w="2126" w:type="dxa"/>
            <w:tcBorders>
              <w:top w:val="single" w:color="auto" w:sz="8" w:space="0"/>
              <w:bottom w:val="single" w:color="auto" w:sz="4" w:space="0"/>
            </w:tcBorders>
            <w:vAlign w:val="center"/>
          </w:tcPr>
          <w:p w14:paraId="4D0246C6">
            <w:pPr>
              <w:pStyle w:val="178"/>
            </w:pPr>
            <w:r>
              <w:rPr>
                <w:rFonts w:hint="eastAsia"/>
              </w:rPr>
              <w:t>处置要求</w:t>
            </w:r>
          </w:p>
        </w:tc>
        <w:tc>
          <w:tcPr>
            <w:tcW w:w="1134" w:type="dxa"/>
            <w:tcBorders>
              <w:top w:val="single" w:color="auto" w:sz="8" w:space="0"/>
              <w:bottom w:val="single" w:color="auto" w:sz="4" w:space="0"/>
            </w:tcBorders>
            <w:vAlign w:val="center"/>
          </w:tcPr>
          <w:p w14:paraId="6B61F125">
            <w:pPr>
              <w:pStyle w:val="178"/>
            </w:pPr>
            <w:r>
              <w:rPr>
                <w:rFonts w:hint="eastAsia"/>
              </w:rPr>
              <w:t>整改时限要求</w:t>
            </w:r>
          </w:p>
        </w:tc>
        <w:tc>
          <w:tcPr>
            <w:tcW w:w="1701" w:type="dxa"/>
            <w:tcBorders>
              <w:top w:val="single" w:color="auto" w:sz="8" w:space="0"/>
              <w:bottom w:val="single" w:color="auto" w:sz="4" w:space="0"/>
            </w:tcBorders>
            <w:vAlign w:val="center"/>
          </w:tcPr>
          <w:p w14:paraId="276D02C4">
            <w:pPr>
              <w:pStyle w:val="178"/>
            </w:pPr>
            <w:r>
              <w:rPr>
                <w:rFonts w:hint="eastAsia"/>
              </w:rPr>
              <w:t>复查要求</w:t>
            </w:r>
          </w:p>
        </w:tc>
        <w:tc>
          <w:tcPr>
            <w:tcW w:w="1122" w:type="dxa"/>
            <w:tcBorders>
              <w:top w:val="single" w:color="auto" w:sz="8" w:space="0"/>
              <w:bottom w:val="single" w:color="auto" w:sz="4" w:space="0"/>
            </w:tcBorders>
            <w:vAlign w:val="center"/>
          </w:tcPr>
          <w:p w14:paraId="1C0FE974">
            <w:pPr>
              <w:pStyle w:val="178"/>
            </w:pPr>
            <w:r>
              <w:rPr>
                <w:rFonts w:hint="eastAsia"/>
              </w:rPr>
              <w:t>升级要求</w:t>
            </w:r>
          </w:p>
        </w:tc>
      </w:tr>
      <w:tr w14:paraId="4AD3A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4" w:space="0"/>
            </w:tcBorders>
            <w:vAlign w:val="center"/>
          </w:tcPr>
          <w:p w14:paraId="19094C32">
            <w:pPr>
              <w:pStyle w:val="178"/>
            </w:pPr>
            <w:r>
              <w:rPr>
                <w:rFonts w:hint="eastAsia"/>
              </w:rPr>
              <w:t>二级</w:t>
            </w:r>
          </w:p>
        </w:tc>
        <w:tc>
          <w:tcPr>
            <w:tcW w:w="2410" w:type="dxa"/>
            <w:tcBorders>
              <w:top w:val="single" w:color="auto" w:sz="4" w:space="0"/>
            </w:tcBorders>
            <w:vAlign w:val="center"/>
          </w:tcPr>
          <w:p w14:paraId="14BCEA91">
            <w:pPr>
              <w:pStyle w:val="178"/>
            </w:pPr>
            <w:r>
              <w:rPr>
                <w:rFonts w:hint="eastAsia"/>
              </w:rPr>
              <w:t>可能导致较大事故或导致高风险作业失控 条件不满足或关键措施执行不到位</w:t>
            </w:r>
          </w:p>
        </w:tc>
        <w:tc>
          <w:tcPr>
            <w:tcW w:w="2126" w:type="dxa"/>
            <w:tcBorders>
              <w:top w:val="single" w:color="auto" w:sz="4" w:space="0"/>
            </w:tcBorders>
            <w:vAlign w:val="center"/>
          </w:tcPr>
          <w:p w14:paraId="2E7F6C55">
            <w:pPr>
              <w:pStyle w:val="178"/>
            </w:pPr>
            <w:r>
              <w:rPr>
                <w:rFonts w:hint="eastAsia"/>
              </w:rPr>
              <w:t>限制作业或局部停工 签发整改通知 制定纠正措施</w:t>
            </w:r>
          </w:p>
        </w:tc>
        <w:tc>
          <w:tcPr>
            <w:tcW w:w="1134" w:type="dxa"/>
            <w:tcBorders>
              <w:top w:val="single" w:color="auto" w:sz="4" w:space="0"/>
            </w:tcBorders>
            <w:vAlign w:val="center"/>
          </w:tcPr>
          <w:p w14:paraId="696BC06F">
            <w:pPr>
              <w:pStyle w:val="178"/>
            </w:pPr>
            <w:r>
              <w:rPr>
                <w:rFonts w:hint="eastAsia"/>
              </w:rPr>
              <w:t>限期整改</w:t>
            </w:r>
          </w:p>
        </w:tc>
        <w:tc>
          <w:tcPr>
            <w:tcW w:w="1701" w:type="dxa"/>
            <w:tcBorders>
              <w:top w:val="single" w:color="auto" w:sz="4" w:space="0"/>
            </w:tcBorders>
            <w:vAlign w:val="center"/>
          </w:tcPr>
          <w:p w14:paraId="65C24E12">
            <w:pPr>
              <w:pStyle w:val="178"/>
            </w:pPr>
            <w:r>
              <w:rPr>
                <w:rFonts w:hint="eastAsia"/>
              </w:rPr>
              <w:t>复查确认合格后销项</w:t>
            </w:r>
          </w:p>
        </w:tc>
        <w:tc>
          <w:tcPr>
            <w:tcW w:w="1122" w:type="dxa"/>
            <w:tcBorders>
              <w:top w:val="single" w:color="auto" w:sz="4" w:space="0"/>
            </w:tcBorders>
            <w:vAlign w:val="center"/>
          </w:tcPr>
          <w:p w14:paraId="6A39EA05">
            <w:pPr>
              <w:pStyle w:val="178"/>
            </w:pPr>
            <w:r>
              <w:rPr>
                <w:rFonts w:hint="eastAsia"/>
              </w:rPr>
              <w:t>逾期未改或整改无效应升级</w:t>
            </w:r>
          </w:p>
        </w:tc>
      </w:tr>
      <w:tr w14:paraId="3B30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4D618E2">
            <w:pPr>
              <w:pStyle w:val="178"/>
            </w:pPr>
            <w:r>
              <w:rPr>
                <w:rFonts w:hint="eastAsia"/>
              </w:rPr>
              <w:t>三级</w:t>
            </w:r>
          </w:p>
        </w:tc>
        <w:tc>
          <w:tcPr>
            <w:tcW w:w="2410" w:type="dxa"/>
            <w:vAlign w:val="center"/>
          </w:tcPr>
          <w:p w14:paraId="1485642E">
            <w:pPr>
              <w:pStyle w:val="178"/>
            </w:pPr>
            <w:r>
              <w:rPr>
                <w:rFonts w:hint="eastAsia"/>
              </w:rPr>
              <w:t>一般性不符合项 可能导致轻微事故或引发管理性风险</w:t>
            </w:r>
          </w:p>
        </w:tc>
        <w:tc>
          <w:tcPr>
            <w:tcW w:w="2126" w:type="dxa"/>
            <w:vAlign w:val="center"/>
          </w:tcPr>
          <w:p w14:paraId="5C60F686">
            <w:pPr>
              <w:pStyle w:val="178"/>
            </w:pPr>
            <w:r>
              <w:rPr>
                <w:rFonts w:hint="eastAsia"/>
              </w:rPr>
              <w:t>签发整改通知 督促立即纠正或限期纠正</w:t>
            </w:r>
          </w:p>
        </w:tc>
        <w:tc>
          <w:tcPr>
            <w:tcW w:w="1134" w:type="dxa"/>
            <w:vAlign w:val="center"/>
          </w:tcPr>
          <w:p w14:paraId="0EDE6D44">
            <w:pPr>
              <w:pStyle w:val="178"/>
            </w:pPr>
            <w:r>
              <w:rPr>
                <w:rFonts w:hint="eastAsia"/>
              </w:rPr>
              <w:t>限期整改</w:t>
            </w:r>
          </w:p>
        </w:tc>
        <w:tc>
          <w:tcPr>
            <w:tcW w:w="1701" w:type="dxa"/>
            <w:vAlign w:val="center"/>
          </w:tcPr>
          <w:p w14:paraId="0612837A">
            <w:pPr>
              <w:pStyle w:val="178"/>
            </w:pPr>
            <w:r>
              <w:rPr>
                <w:rFonts w:hint="eastAsia"/>
              </w:rPr>
              <w:t>复查或抽查确认后销项</w:t>
            </w:r>
          </w:p>
        </w:tc>
        <w:tc>
          <w:tcPr>
            <w:tcW w:w="1122" w:type="dxa"/>
            <w:vAlign w:val="center"/>
          </w:tcPr>
          <w:p w14:paraId="0F4A9486">
            <w:pPr>
              <w:pStyle w:val="178"/>
            </w:pPr>
            <w:r>
              <w:rPr>
                <w:rFonts w:hint="eastAsia"/>
              </w:rPr>
              <w:t>同类问题反复出现应升级</w:t>
            </w:r>
          </w:p>
        </w:tc>
      </w:tr>
      <w:tr w14:paraId="6511D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049EE88">
            <w:pPr>
              <w:pStyle w:val="178"/>
            </w:pPr>
            <w:r>
              <w:rPr>
                <w:rFonts w:hint="eastAsia"/>
              </w:rPr>
              <w:t>四级</w:t>
            </w:r>
          </w:p>
        </w:tc>
        <w:tc>
          <w:tcPr>
            <w:tcW w:w="2410" w:type="dxa"/>
            <w:vAlign w:val="center"/>
          </w:tcPr>
          <w:p w14:paraId="3F50AE40">
            <w:pPr>
              <w:pStyle w:val="178"/>
            </w:pPr>
            <w:r>
              <w:rPr>
                <w:rFonts w:hint="eastAsia"/>
              </w:rPr>
              <w:t>低风险问题或资料管理缺陷 对现场安全影响较小</w:t>
            </w:r>
          </w:p>
        </w:tc>
        <w:tc>
          <w:tcPr>
            <w:tcW w:w="2126" w:type="dxa"/>
            <w:vAlign w:val="center"/>
          </w:tcPr>
          <w:p w14:paraId="153994BC">
            <w:pPr>
              <w:pStyle w:val="178"/>
            </w:pPr>
            <w:r>
              <w:rPr>
                <w:rFonts w:hint="eastAsia"/>
              </w:rPr>
              <w:t>现场纠正或资料补正 记录纳入台账</w:t>
            </w:r>
          </w:p>
        </w:tc>
        <w:tc>
          <w:tcPr>
            <w:tcW w:w="1134" w:type="dxa"/>
            <w:vAlign w:val="center"/>
          </w:tcPr>
          <w:p w14:paraId="5D0BAEB6">
            <w:pPr>
              <w:pStyle w:val="178"/>
            </w:pPr>
            <w:r>
              <w:rPr>
                <w:rFonts w:hint="eastAsia"/>
              </w:rPr>
              <w:t>约定期限内完成</w:t>
            </w:r>
          </w:p>
        </w:tc>
        <w:tc>
          <w:tcPr>
            <w:tcW w:w="1701" w:type="dxa"/>
            <w:vAlign w:val="center"/>
          </w:tcPr>
          <w:p w14:paraId="243A61B9">
            <w:pPr>
              <w:pStyle w:val="178"/>
            </w:pPr>
            <w:r>
              <w:rPr>
                <w:rFonts w:hint="eastAsia"/>
              </w:rPr>
              <w:t>抽查或资料核验</w:t>
            </w:r>
          </w:p>
        </w:tc>
        <w:tc>
          <w:tcPr>
            <w:tcW w:w="1122" w:type="dxa"/>
            <w:vAlign w:val="center"/>
          </w:tcPr>
          <w:p w14:paraId="6EC3B55E">
            <w:pPr>
              <w:pStyle w:val="178"/>
            </w:pPr>
            <w:r>
              <w:rPr>
                <w:rFonts w:hint="eastAsia"/>
              </w:rPr>
              <w:t>趋势性上升应升级</w:t>
            </w:r>
          </w:p>
        </w:tc>
      </w:tr>
    </w:tbl>
    <w:p w14:paraId="0E04E3DD">
      <w:pPr>
        <w:pStyle w:val="56"/>
        <w:spacing w:before="120" w:beforeLines="50" w:line="360" w:lineRule="auto"/>
        <w:ind w:firstLine="420"/>
      </w:pPr>
      <w:r>
        <w:rPr>
          <w:rFonts w:hint="eastAsia"/>
        </w:rPr>
        <w:t>隐患等级命名和判定阈值可结合项目所在地监管要求和项目安全管理制度进行细化 但应在项目范围内保持一致 并与停工复工制度联动。</w:t>
      </w:r>
    </w:p>
    <w:p w14:paraId="5EE9A93A">
      <w:pPr>
        <w:pStyle w:val="105"/>
        <w:spacing w:before="120" w:after="120" w:line="360" w:lineRule="auto"/>
      </w:pPr>
      <w:r>
        <w:rPr>
          <w:rFonts w:hint="eastAsia"/>
        </w:rPr>
        <w:t>整改通知与整改落实</w:t>
      </w:r>
    </w:p>
    <w:p w14:paraId="26DB5F8F">
      <w:pPr>
        <w:pStyle w:val="65"/>
        <w:spacing w:before="120" w:after="120" w:line="360" w:lineRule="auto"/>
      </w:pPr>
      <w:r>
        <w:rPr>
          <w:rFonts w:hint="eastAsia"/>
        </w:rPr>
        <w:t>整改通知签发</w:t>
      </w:r>
    </w:p>
    <w:p w14:paraId="431E2ACA">
      <w:pPr>
        <w:pStyle w:val="56"/>
        <w:spacing w:line="360" w:lineRule="auto"/>
        <w:ind w:firstLine="420"/>
      </w:pPr>
      <w:r>
        <w:rPr>
          <w:rFonts w:hint="eastAsia"/>
        </w:rPr>
        <w:t>监理单位对隐患应以书面形式提出整改要求。整改通知应明确隐患事实、依据条款、整改要求、整改时限、责任单位、复查方式和复查申请要求。对重大隐患应同步明确控制措施和复工条件。</w:t>
      </w:r>
    </w:p>
    <w:p w14:paraId="5ACAC94E">
      <w:pPr>
        <w:pStyle w:val="65"/>
        <w:spacing w:before="120" w:after="120" w:line="360" w:lineRule="auto"/>
      </w:pPr>
      <w:r>
        <w:rPr>
          <w:rFonts w:hint="eastAsia"/>
        </w:rPr>
        <w:t>整改落实要求</w:t>
      </w:r>
    </w:p>
    <w:p w14:paraId="2F5AEA40">
      <w:pPr>
        <w:pStyle w:val="56"/>
        <w:spacing w:line="360" w:lineRule="auto"/>
        <w:ind w:firstLine="420"/>
      </w:pPr>
      <w:r>
        <w:rPr>
          <w:rFonts w:hint="eastAsia"/>
        </w:rPr>
        <w:t>施工单位应在规定时限内完成整改并提交整改回复资料。整改回复资料应包括整改措施说明、完成时间、责任人签字确认、影像资料和相关验收记录。涉及专项施工方案调整的应补充方案审批与交底记录。</w:t>
      </w:r>
    </w:p>
    <w:p w14:paraId="47829C62">
      <w:pPr>
        <w:pStyle w:val="65"/>
        <w:spacing w:before="120" w:after="120" w:line="360" w:lineRule="auto"/>
      </w:pPr>
      <w:r>
        <w:rPr>
          <w:rFonts w:hint="eastAsia"/>
        </w:rPr>
        <w:t>逾期整改处置</w:t>
      </w:r>
    </w:p>
    <w:p w14:paraId="26CE314F">
      <w:pPr>
        <w:pStyle w:val="56"/>
        <w:spacing w:line="360" w:lineRule="auto"/>
        <w:ind w:firstLine="420"/>
      </w:pPr>
      <w:r>
        <w:rPr>
          <w:rFonts w:hint="eastAsia"/>
        </w:rPr>
        <w:t>施工单位逾期未整改或整改无效的，监理单位应再次签发整改要求并按规定升级报告。对重大隐患或拒不整改情形，监理单位应提出停工建议或签发停工指令，并推动建设单位采取合同约束或管理措施。</w:t>
      </w:r>
    </w:p>
    <w:p w14:paraId="5D0EB707">
      <w:pPr>
        <w:pStyle w:val="105"/>
        <w:spacing w:before="120" w:after="120" w:line="360" w:lineRule="auto"/>
      </w:pPr>
      <w:r>
        <w:rPr>
          <w:rFonts w:hint="eastAsia"/>
        </w:rPr>
        <w:t>复查验收与销项归档</w:t>
      </w:r>
    </w:p>
    <w:p w14:paraId="2CBFD46C">
      <w:pPr>
        <w:pStyle w:val="65"/>
        <w:spacing w:before="120" w:after="120" w:line="360" w:lineRule="auto"/>
      </w:pPr>
      <w:r>
        <w:rPr>
          <w:rFonts w:hint="eastAsia"/>
        </w:rPr>
        <w:t>复查组织</w:t>
      </w:r>
    </w:p>
    <w:p w14:paraId="7A9508FD">
      <w:pPr>
        <w:pStyle w:val="56"/>
        <w:spacing w:line="360" w:lineRule="auto"/>
        <w:ind w:firstLine="420"/>
      </w:pPr>
      <w:r>
        <w:rPr>
          <w:rFonts w:hint="eastAsia"/>
        </w:rPr>
        <w:t>施工单位完成整改后应向监理单位提出复查申请。监理单位应依据整改通知要求开展复查，复查应包括现场核验与资料核查，并形成书面复查结论。</w:t>
      </w:r>
    </w:p>
    <w:p w14:paraId="3A8D6B8F">
      <w:pPr>
        <w:pStyle w:val="65"/>
        <w:spacing w:before="120" w:after="120" w:line="360" w:lineRule="auto"/>
      </w:pPr>
      <w:r>
        <w:rPr>
          <w:rFonts w:hint="eastAsia"/>
        </w:rPr>
        <w:t>销项条件</w:t>
      </w:r>
    </w:p>
    <w:p w14:paraId="5E643087">
      <w:pPr>
        <w:pStyle w:val="56"/>
        <w:spacing w:line="360" w:lineRule="auto"/>
        <w:ind w:firstLine="420"/>
      </w:pPr>
      <w:r>
        <w:rPr>
          <w:rFonts w:hint="eastAsia"/>
        </w:rPr>
        <w:t>隐患复查结论为合格且证据资料完整时方可销项。存在以下情形之一不得销项：</w:t>
      </w:r>
    </w:p>
    <w:p w14:paraId="44A6943E">
      <w:pPr>
        <w:pStyle w:val="56"/>
        <w:spacing w:line="360" w:lineRule="auto"/>
        <w:ind w:firstLine="420"/>
      </w:pPr>
      <w:r>
        <w:rPr>
          <w:rFonts w:hint="eastAsia"/>
        </w:rPr>
        <w:t>a) 现场状态与整改回复不一致；</w:t>
      </w:r>
    </w:p>
    <w:p w14:paraId="4591E943">
      <w:pPr>
        <w:pStyle w:val="56"/>
        <w:spacing w:line="360" w:lineRule="auto"/>
        <w:ind w:firstLine="420"/>
      </w:pPr>
      <w:r>
        <w:rPr>
          <w:rFonts w:hint="eastAsia"/>
        </w:rPr>
        <w:t>b) 控制措施未落实或有效性未验证；</w:t>
      </w:r>
    </w:p>
    <w:p w14:paraId="09AE87E9">
      <w:pPr>
        <w:pStyle w:val="56"/>
        <w:spacing w:line="360" w:lineRule="auto"/>
        <w:ind w:firstLine="420"/>
      </w:pPr>
      <w:r>
        <w:rPr>
          <w:rFonts w:hint="eastAsia"/>
        </w:rPr>
        <w:t>c) 关键手续缺失或记录不完整；</w:t>
      </w:r>
    </w:p>
    <w:p w14:paraId="47AAC621">
      <w:pPr>
        <w:pStyle w:val="56"/>
        <w:spacing w:line="360" w:lineRule="auto"/>
        <w:ind w:firstLine="420"/>
      </w:pPr>
      <w:r>
        <w:rPr>
          <w:rFonts w:hint="eastAsia"/>
        </w:rPr>
        <w:t>d) 同类隐患短期内反复出现且未采取根因整改措施。</w:t>
      </w:r>
    </w:p>
    <w:p w14:paraId="629A860D">
      <w:pPr>
        <w:pStyle w:val="65"/>
        <w:spacing w:before="120" w:after="120" w:line="360" w:lineRule="auto"/>
      </w:pPr>
      <w:r>
        <w:rPr>
          <w:rFonts w:hint="eastAsia"/>
        </w:rPr>
        <w:t>归档要求</w:t>
      </w:r>
    </w:p>
    <w:p w14:paraId="3F457F08">
      <w:pPr>
        <w:pStyle w:val="56"/>
        <w:spacing w:line="360" w:lineRule="auto"/>
        <w:ind w:firstLine="420"/>
      </w:pPr>
      <w:r>
        <w:rPr>
          <w:rFonts w:hint="eastAsia"/>
        </w:rPr>
        <w:t>隐患销项后应完成资料归档。归档资料应与隐患台账一致并按编号归集，形成可检索的闭环记录。重大隐患应单独立卷并形成专项处置记录。</w:t>
      </w:r>
    </w:p>
    <w:p w14:paraId="1C5294F1">
      <w:pPr>
        <w:pStyle w:val="104"/>
        <w:spacing w:before="240" w:after="240" w:line="360" w:lineRule="auto"/>
      </w:pPr>
      <w:bookmarkStart w:id="53" w:name="_Toc218970749"/>
      <w:r>
        <w:rPr>
          <w:rFonts w:hint="eastAsia"/>
        </w:rPr>
        <w:t>升级报告要求</w:t>
      </w:r>
      <w:bookmarkEnd w:id="53"/>
    </w:p>
    <w:p w14:paraId="28002C14">
      <w:pPr>
        <w:pStyle w:val="105"/>
        <w:spacing w:before="120" w:after="120" w:line="360" w:lineRule="auto"/>
      </w:pPr>
      <w:r>
        <w:rPr>
          <w:rFonts w:hint="eastAsia"/>
        </w:rPr>
        <w:t>一般要求</w:t>
      </w:r>
    </w:p>
    <w:p w14:paraId="22B36C01">
      <w:pPr>
        <w:pStyle w:val="165"/>
        <w:spacing w:line="360" w:lineRule="auto"/>
      </w:pPr>
      <w:r>
        <w:rPr>
          <w:rFonts w:hint="eastAsia"/>
        </w:rPr>
        <w:t>隐患升级报告应与隐患分级处置相衔接，当隐患达到升级条件时应及时启动，确保重大风险及时进入更高层级的决策与资源配置链条。</w:t>
      </w:r>
    </w:p>
    <w:p w14:paraId="254435C1">
      <w:pPr>
        <w:pStyle w:val="165"/>
        <w:spacing w:line="360" w:lineRule="auto"/>
      </w:pPr>
      <w:r>
        <w:rPr>
          <w:rFonts w:hint="eastAsia"/>
        </w:rPr>
        <w:t>升级报告应坚持事实清晰、依据明确、处置可执行、责任可追溯。报告内容应与隐患记录、影像取证、整改通知、整改回复、复查结论等资料一致，并纳入隐患台账附件索引。</w:t>
      </w:r>
    </w:p>
    <w:p w14:paraId="54FA13EF">
      <w:pPr>
        <w:pStyle w:val="165"/>
        <w:spacing w:line="360" w:lineRule="auto"/>
      </w:pPr>
      <w:r>
        <w:rPr>
          <w:rFonts w:hint="eastAsia"/>
        </w:rPr>
        <w:t>升级报告应明确拟采取的控制措施、整改计划、复查安排和复工条件，避免仅报告问题而缺少处置路径。</w:t>
      </w:r>
    </w:p>
    <w:p w14:paraId="3A6A38B0">
      <w:pPr>
        <w:pStyle w:val="105"/>
        <w:spacing w:before="120" w:after="120" w:line="360" w:lineRule="auto"/>
      </w:pPr>
      <w:r>
        <w:rPr>
          <w:rFonts w:hint="eastAsia"/>
        </w:rPr>
        <w:t>升级条件</w:t>
      </w:r>
    </w:p>
    <w:p w14:paraId="3E386C01">
      <w:pPr>
        <w:pStyle w:val="56"/>
        <w:spacing w:line="360" w:lineRule="auto"/>
        <w:ind w:firstLine="420"/>
      </w:pPr>
      <w:r>
        <w:rPr>
          <w:rFonts w:hint="eastAsia"/>
        </w:rPr>
        <w:t>出现下列情形之一时，监理单位应启动升级报告程序：</w:t>
      </w:r>
    </w:p>
    <w:p w14:paraId="1594384F">
      <w:pPr>
        <w:pStyle w:val="56"/>
        <w:spacing w:line="360" w:lineRule="auto"/>
        <w:ind w:firstLine="420"/>
      </w:pPr>
      <w:r>
        <w:rPr>
          <w:rFonts w:hint="eastAsia"/>
        </w:rPr>
        <w:t>a) 隐患分级为一级或符合重大事故隐患判定条件；</w:t>
      </w:r>
    </w:p>
    <w:p w14:paraId="7240EF49">
      <w:pPr>
        <w:pStyle w:val="56"/>
        <w:spacing w:line="360" w:lineRule="auto"/>
        <w:ind w:firstLine="420"/>
      </w:pPr>
      <w:r>
        <w:rPr>
          <w:rFonts w:hint="eastAsia"/>
        </w:rPr>
        <w:t>b) 隐患可能导致群死群伤或重大财产损失的风险处于失控状态；</w:t>
      </w:r>
    </w:p>
    <w:p w14:paraId="4028B363">
      <w:pPr>
        <w:pStyle w:val="56"/>
        <w:spacing w:line="360" w:lineRule="auto"/>
        <w:ind w:firstLine="420"/>
      </w:pPr>
      <w:r>
        <w:rPr>
          <w:rFonts w:hint="eastAsia"/>
        </w:rPr>
        <w:t>c) 施工单位拒不整改或逾期不整改或整改无效；</w:t>
      </w:r>
    </w:p>
    <w:p w14:paraId="7476BE25">
      <w:pPr>
        <w:pStyle w:val="56"/>
        <w:spacing w:line="360" w:lineRule="auto"/>
        <w:ind w:firstLine="420"/>
      </w:pPr>
      <w:r>
        <w:rPr>
          <w:rFonts w:hint="eastAsia"/>
        </w:rPr>
        <w:t>d) 同类隐患短期内反复出现且未采取根因整改措施；</w:t>
      </w:r>
    </w:p>
    <w:p w14:paraId="0A6981D6">
      <w:pPr>
        <w:pStyle w:val="56"/>
        <w:spacing w:line="360" w:lineRule="auto"/>
        <w:ind w:firstLine="420"/>
      </w:pPr>
      <w:r>
        <w:rPr>
          <w:rFonts w:hint="eastAsia"/>
        </w:rPr>
        <w:t>e) 隐患涉及危险性较大分部分项工程关键控制指标失守或专项施工方案未按批准内容执行；</w:t>
      </w:r>
    </w:p>
    <w:p w14:paraId="0CA6B3E8">
      <w:pPr>
        <w:pStyle w:val="56"/>
        <w:spacing w:line="360" w:lineRule="auto"/>
        <w:ind w:firstLine="420"/>
      </w:pPr>
      <w:r>
        <w:rPr>
          <w:rFonts w:hint="eastAsia"/>
        </w:rPr>
        <w:t>f) 因隐患导致停工或可能引发停工或引发社会影响事件；</w:t>
      </w:r>
    </w:p>
    <w:p w14:paraId="5CC94383">
      <w:pPr>
        <w:pStyle w:val="56"/>
        <w:spacing w:line="360" w:lineRule="auto"/>
        <w:ind w:firstLine="420"/>
      </w:pPr>
      <w:r>
        <w:rPr>
          <w:rFonts w:hint="eastAsia"/>
        </w:rPr>
        <w:t>g) 外部监管检查通报或媒体关注或建设单位要求升级报告的情形。</w:t>
      </w:r>
    </w:p>
    <w:p w14:paraId="3A5A2193">
      <w:pPr>
        <w:pStyle w:val="105"/>
        <w:spacing w:before="120" w:after="120" w:line="360" w:lineRule="auto"/>
      </w:pPr>
      <w:r>
        <w:rPr>
          <w:rFonts w:hint="eastAsia"/>
        </w:rPr>
        <w:t>升级路径与时限</w:t>
      </w:r>
    </w:p>
    <w:p w14:paraId="195D5AA9">
      <w:pPr>
        <w:pStyle w:val="65"/>
        <w:spacing w:before="120" w:after="120" w:line="360" w:lineRule="auto"/>
      </w:pPr>
      <w:r>
        <w:rPr>
          <w:rFonts w:hint="eastAsia"/>
        </w:rPr>
        <w:t>升级路径</w:t>
      </w:r>
    </w:p>
    <w:p w14:paraId="1EC73C82">
      <w:pPr>
        <w:pStyle w:val="56"/>
        <w:spacing w:line="360" w:lineRule="auto"/>
        <w:ind w:firstLine="420"/>
      </w:pPr>
      <w:r>
        <w:rPr>
          <w:rFonts w:hint="eastAsia"/>
        </w:rPr>
        <w:t>隐患升级报告宜按项目管理链条逐级上报，通常包括项目总监理工程师向建设单位项目负责人报告，必要时同步抄送施工总承包单位项目负责人和安全负责人。对涉及多标段或多分包的重大隐患，应同步报告项目建设单位管理机构或代建项目管理机构。</w:t>
      </w:r>
    </w:p>
    <w:p w14:paraId="673824D6">
      <w:pPr>
        <w:pStyle w:val="65"/>
        <w:spacing w:before="120" w:after="120" w:line="360" w:lineRule="auto"/>
      </w:pPr>
      <w:r>
        <w:rPr>
          <w:rFonts w:hint="eastAsia"/>
        </w:rPr>
        <w:t>时限要求</w:t>
      </w:r>
    </w:p>
    <w:p w14:paraId="43E7CBBC">
      <w:pPr>
        <w:pStyle w:val="56"/>
        <w:spacing w:line="360" w:lineRule="auto"/>
        <w:ind w:firstLine="420"/>
      </w:pPr>
      <w:r>
        <w:rPr>
          <w:rFonts w:hint="eastAsia"/>
        </w:rPr>
        <w:t>对一级隐患或存在立即致险情形的隐患应即时报告。对拒不整改或逾期整改或整改无效等升级情形，应在确认事实后及时报告并明确下一步处置建议。项目可在实施细则中进一步细化具体时限要求，但不得弱化即时报告要求。</w:t>
      </w:r>
    </w:p>
    <w:p w14:paraId="7464BC49">
      <w:pPr>
        <w:pStyle w:val="105"/>
        <w:spacing w:before="120" w:after="120" w:line="360" w:lineRule="auto"/>
      </w:pPr>
      <w:r>
        <w:rPr>
          <w:rFonts w:hint="eastAsia"/>
        </w:rPr>
        <w:t>升级报告内容要求</w:t>
      </w:r>
    </w:p>
    <w:p w14:paraId="7058EEC2">
      <w:pPr>
        <w:pStyle w:val="56"/>
        <w:spacing w:line="360" w:lineRule="auto"/>
        <w:ind w:firstLine="420"/>
      </w:pPr>
      <w:r>
        <w:rPr>
          <w:rFonts w:hint="eastAsia"/>
        </w:rPr>
        <w:t>升级报告应至少包括以下内容：</w:t>
      </w:r>
    </w:p>
    <w:p w14:paraId="1ECC7D11">
      <w:pPr>
        <w:pStyle w:val="56"/>
        <w:spacing w:line="360" w:lineRule="auto"/>
        <w:ind w:firstLine="420"/>
      </w:pPr>
      <w:r>
        <w:rPr>
          <w:rFonts w:hint="eastAsia"/>
        </w:rPr>
        <w:t>a) 隐患基本信息 包括编号位置涉及单位发现时间隐患事实描述；</w:t>
      </w:r>
    </w:p>
    <w:p w14:paraId="25E6C0EE">
      <w:pPr>
        <w:pStyle w:val="56"/>
        <w:spacing w:line="360" w:lineRule="auto"/>
        <w:ind w:firstLine="420"/>
      </w:pPr>
      <w:r>
        <w:rPr>
          <w:rFonts w:hint="eastAsia"/>
        </w:rPr>
        <w:t>b) 依据与分级 包括适用标准条款监理判断依据隐患等级判定理由；</w:t>
      </w:r>
    </w:p>
    <w:p w14:paraId="20843671">
      <w:pPr>
        <w:pStyle w:val="56"/>
        <w:spacing w:line="360" w:lineRule="auto"/>
        <w:ind w:firstLine="420"/>
      </w:pPr>
      <w:r>
        <w:rPr>
          <w:rFonts w:hint="eastAsia"/>
        </w:rPr>
        <w:t>c) 风险后果 包括可能事故类型影响范围失控速度和紧急程度；</w:t>
      </w:r>
    </w:p>
    <w:p w14:paraId="0B294793">
      <w:pPr>
        <w:pStyle w:val="56"/>
        <w:spacing w:line="360" w:lineRule="auto"/>
        <w:ind w:firstLine="420"/>
      </w:pPr>
      <w:r>
        <w:rPr>
          <w:rFonts w:hint="eastAsia"/>
        </w:rPr>
        <w:t>d) 已采取措施 包括现场控制措施停工范围人员撤离临时防护等；</w:t>
      </w:r>
    </w:p>
    <w:p w14:paraId="49AB808F">
      <w:pPr>
        <w:pStyle w:val="56"/>
        <w:spacing w:line="360" w:lineRule="auto"/>
        <w:ind w:firstLine="420"/>
      </w:pPr>
      <w:r>
        <w:rPr>
          <w:rFonts w:hint="eastAsia"/>
        </w:rPr>
        <w:t>e) 整改要求 包括整改措施责任主体整改时限复查方式复工条件；</w:t>
      </w:r>
    </w:p>
    <w:p w14:paraId="536FC397">
      <w:pPr>
        <w:pStyle w:val="56"/>
        <w:spacing w:line="360" w:lineRule="auto"/>
        <w:ind w:firstLine="420"/>
      </w:pPr>
      <w:r>
        <w:rPr>
          <w:rFonts w:hint="eastAsia"/>
        </w:rPr>
        <w:t>f) 协同需求 包括需建设单位协调事项需资源支持事项需联合检查事项；</w:t>
      </w:r>
    </w:p>
    <w:p w14:paraId="02874330">
      <w:pPr>
        <w:pStyle w:val="56"/>
        <w:spacing w:line="360" w:lineRule="auto"/>
        <w:ind w:firstLine="420"/>
      </w:pPr>
      <w:r>
        <w:rPr>
          <w:rFonts w:hint="eastAsia"/>
        </w:rPr>
        <w:t>g) 附件清单 包括影像资料整改通知签收记录相关会议纪要等。</w:t>
      </w:r>
    </w:p>
    <w:p w14:paraId="3A6537C3">
      <w:pPr>
        <w:pStyle w:val="105"/>
        <w:spacing w:before="120" w:after="120" w:line="360" w:lineRule="auto"/>
      </w:pPr>
      <w:r>
        <w:rPr>
          <w:rFonts w:hint="eastAsia"/>
        </w:rPr>
        <w:t>跟踪与反馈</w:t>
      </w:r>
    </w:p>
    <w:p w14:paraId="5217F5F0">
      <w:pPr>
        <w:pStyle w:val="56"/>
        <w:spacing w:line="360" w:lineRule="auto"/>
        <w:ind w:firstLine="420"/>
      </w:pPr>
      <w:r>
        <w:rPr>
          <w:rFonts w:hint="eastAsia"/>
        </w:rPr>
        <w:t>监理单位对升级报告涉及的隐患应纳入重点跟踪，形成跟踪记录并定期向建设单位反馈整改进展。隐患完成整改并复查合格后，应形成升级事项关闭报告或在月度安全监理报告中体现关闭结论和复盘要点。</w:t>
      </w:r>
    </w:p>
    <w:p w14:paraId="78D94187">
      <w:pPr>
        <w:pStyle w:val="104"/>
        <w:spacing w:before="240" w:after="240" w:line="360" w:lineRule="auto"/>
      </w:pPr>
      <w:bookmarkStart w:id="54" w:name="_Toc218970750"/>
      <w:r>
        <w:rPr>
          <w:rFonts w:hint="eastAsia"/>
        </w:rPr>
        <w:t>停工复工管理要求</w:t>
      </w:r>
      <w:bookmarkEnd w:id="54"/>
    </w:p>
    <w:p w14:paraId="2A522A49">
      <w:pPr>
        <w:pStyle w:val="105"/>
        <w:spacing w:before="120" w:after="120" w:line="360" w:lineRule="auto"/>
      </w:pPr>
      <w:r>
        <w:rPr>
          <w:rFonts w:hint="eastAsia"/>
        </w:rPr>
        <w:t>一般要求</w:t>
      </w:r>
    </w:p>
    <w:p w14:paraId="32968A3C">
      <w:pPr>
        <w:pStyle w:val="165"/>
        <w:spacing w:line="360" w:lineRule="auto"/>
      </w:pPr>
      <w:r>
        <w:rPr>
          <w:rFonts w:hint="eastAsia"/>
        </w:rPr>
        <w:t>停工复工管理应与隐患分级处置和升级报告联动。对存在立即致险的隐患或重大事故隐患，应优先采取停止相关作业的控制措施，防止风险扩散。</w:t>
      </w:r>
    </w:p>
    <w:p w14:paraId="016BFB64">
      <w:pPr>
        <w:pStyle w:val="165"/>
        <w:spacing w:line="360" w:lineRule="auto"/>
      </w:pPr>
      <w:r>
        <w:rPr>
          <w:rFonts w:hint="eastAsia"/>
        </w:rPr>
        <w:t>停工复工的指令和手续应书面化并留痕管理。停工范围应明确到作业区域、工序类型、设备设施或分包队伍，复工条件应可核查可验证。</w:t>
      </w:r>
    </w:p>
    <w:p w14:paraId="2C8D4807">
      <w:pPr>
        <w:pStyle w:val="165"/>
        <w:spacing w:line="360" w:lineRule="auto"/>
      </w:pPr>
      <w:r>
        <w:rPr>
          <w:rFonts w:hint="eastAsia"/>
        </w:rPr>
        <w:t>停工复工管理应坚持最小影响原则与安全优先原则统一，在确保风险有效控制的前提下合理界定停工范围，避免无边界停工或带病复工。</w:t>
      </w:r>
    </w:p>
    <w:p w14:paraId="7C1BD87B">
      <w:pPr>
        <w:pStyle w:val="105"/>
        <w:spacing w:before="120" w:after="120" w:line="360" w:lineRule="auto"/>
      </w:pPr>
      <w:r>
        <w:rPr>
          <w:rFonts w:hint="eastAsia"/>
        </w:rPr>
        <w:t>停工触发条件</w:t>
      </w:r>
    </w:p>
    <w:p w14:paraId="0B051DF2">
      <w:pPr>
        <w:pStyle w:val="56"/>
        <w:spacing w:line="360" w:lineRule="auto"/>
        <w:ind w:firstLine="420"/>
      </w:pPr>
      <w:r>
        <w:rPr>
          <w:rFonts w:hint="eastAsia"/>
        </w:rPr>
        <w:t>出现下列情形之一时监理单位应采取停工建议或签发停工指令：</w:t>
      </w:r>
    </w:p>
    <w:p w14:paraId="5E5A76A6">
      <w:pPr>
        <w:pStyle w:val="56"/>
        <w:spacing w:line="360" w:lineRule="auto"/>
        <w:ind w:firstLine="420"/>
      </w:pPr>
      <w:r>
        <w:rPr>
          <w:rFonts w:hint="eastAsia"/>
        </w:rPr>
        <w:t>a) 一级隐患或存在立即导致事故风险的失控状态；</w:t>
      </w:r>
    </w:p>
    <w:p w14:paraId="4F869ED0">
      <w:pPr>
        <w:pStyle w:val="56"/>
        <w:spacing w:line="360" w:lineRule="auto"/>
        <w:ind w:firstLine="420"/>
      </w:pPr>
      <w:r>
        <w:rPr>
          <w:rFonts w:hint="eastAsia"/>
        </w:rPr>
        <w:t>b) 关键防护或关键控制系统缺失或失效且无法通过临时措施可靠控制；</w:t>
      </w:r>
    </w:p>
    <w:p w14:paraId="7A87699A">
      <w:pPr>
        <w:pStyle w:val="56"/>
        <w:spacing w:line="360" w:lineRule="auto"/>
        <w:ind w:firstLine="420"/>
      </w:pPr>
      <w:r>
        <w:rPr>
          <w:rFonts w:hint="eastAsia"/>
        </w:rPr>
        <w:t>c) 专项施工方案未按批准内容实施导致危险性较大分部分项工程失控风险；</w:t>
      </w:r>
    </w:p>
    <w:p w14:paraId="37EB2332">
      <w:pPr>
        <w:pStyle w:val="56"/>
        <w:spacing w:line="360" w:lineRule="auto"/>
        <w:ind w:firstLine="420"/>
      </w:pPr>
      <w:r>
        <w:rPr>
          <w:rFonts w:hint="eastAsia"/>
        </w:rPr>
        <w:t>d) 施工单位拒不执行监理整改要求或拒绝采取控制措施；</w:t>
      </w:r>
    </w:p>
    <w:p w14:paraId="52B1FE85">
      <w:pPr>
        <w:pStyle w:val="56"/>
        <w:spacing w:line="360" w:lineRule="auto"/>
        <w:ind w:firstLine="420"/>
      </w:pPr>
      <w:r>
        <w:rPr>
          <w:rFonts w:hint="eastAsia"/>
        </w:rPr>
        <w:t>e) 隐患已造成事故或险情或存在明显事故苗头；</w:t>
      </w:r>
    </w:p>
    <w:p w14:paraId="44966E6D">
      <w:pPr>
        <w:pStyle w:val="56"/>
        <w:spacing w:line="360" w:lineRule="auto"/>
        <w:ind w:firstLine="420"/>
      </w:pPr>
      <w:r>
        <w:rPr>
          <w:rFonts w:hint="eastAsia"/>
        </w:rPr>
        <w:t>f) 法律法规或监管要求明确应停工的情形。</w:t>
      </w:r>
    </w:p>
    <w:p w14:paraId="45ADA3BB">
      <w:pPr>
        <w:pStyle w:val="105"/>
        <w:spacing w:before="120" w:after="120" w:line="360" w:lineRule="auto"/>
      </w:pPr>
      <w:r>
        <w:rPr>
          <w:rFonts w:hint="eastAsia"/>
        </w:rPr>
        <w:t>停工指令要求</w:t>
      </w:r>
    </w:p>
    <w:p w14:paraId="0BC6F2C1">
      <w:pPr>
        <w:pStyle w:val="56"/>
        <w:spacing w:line="360" w:lineRule="auto"/>
        <w:ind w:firstLine="420"/>
      </w:pPr>
      <w:r>
        <w:rPr>
          <w:rFonts w:hint="eastAsia"/>
        </w:rPr>
        <w:t>停工指令或停工建议应至少明确停工范围停工原因依据条款控制措施要求整改责任主体整改时限复查申请方式以及复工条件。对需要立即处置的情形，监理单位应先口头制止并同步固定证据，随后及时补发书面指令并完成签收留痕。</w:t>
      </w:r>
    </w:p>
    <w:p w14:paraId="55F9492C">
      <w:pPr>
        <w:pStyle w:val="105"/>
        <w:spacing w:before="120" w:after="120" w:line="360" w:lineRule="auto"/>
      </w:pPr>
      <w:r>
        <w:rPr>
          <w:rFonts w:hint="eastAsia"/>
        </w:rPr>
        <w:t>复工条件与复工程序</w:t>
      </w:r>
    </w:p>
    <w:p w14:paraId="0425F178">
      <w:pPr>
        <w:pStyle w:val="65"/>
        <w:spacing w:before="120" w:after="120" w:line="360" w:lineRule="auto"/>
      </w:pPr>
      <w:r>
        <w:rPr>
          <w:rFonts w:hint="eastAsia"/>
        </w:rPr>
        <w:t>复工条件</w:t>
      </w:r>
    </w:p>
    <w:p w14:paraId="3EAD3819">
      <w:pPr>
        <w:pStyle w:val="56"/>
        <w:spacing w:line="360" w:lineRule="auto"/>
        <w:ind w:firstLine="420"/>
      </w:pPr>
      <w:r>
        <w:rPr>
          <w:rFonts w:hint="eastAsia"/>
        </w:rPr>
        <w:t>复工应满足以下条件：</w:t>
      </w:r>
    </w:p>
    <w:p w14:paraId="164DF711">
      <w:pPr>
        <w:pStyle w:val="56"/>
        <w:spacing w:line="360" w:lineRule="auto"/>
        <w:ind w:firstLine="420"/>
      </w:pPr>
      <w:r>
        <w:rPr>
          <w:rFonts w:hint="eastAsia"/>
        </w:rPr>
        <w:t>a) 隐患整改完成并通过监理复查确认；</w:t>
      </w:r>
    </w:p>
    <w:p w14:paraId="480C14CD">
      <w:pPr>
        <w:pStyle w:val="56"/>
        <w:spacing w:line="360" w:lineRule="auto"/>
        <w:ind w:firstLine="420"/>
      </w:pPr>
      <w:r>
        <w:rPr>
          <w:rFonts w:hint="eastAsia"/>
        </w:rPr>
        <w:t>b) 控制措施有效并通过现场验证；</w:t>
      </w:r>
    </w:p>
    <w:p w14:paraId="1286DD35">
      <w:pPr>
        <w:pStyle w:val="56"/>
        <w:spacing w:line="360" w:lineRule="auto"/>
        <w:ind w:firstLine="420"/>
      </w:pPr>
      <w:r>
        <w:rPr>
          <w:rFonts w:hint="eastAsia"/>
        </w:rPr>
        <w:t>c) 相关专项施工方案已按程序补充完善并完成审批；</w:t>
      </w:r>
    </w:p>
    <w:p w14:paraId="5AE100D6">
      <w:pPr>
        <w:pStyle w:val="56"/>
        <w:spacing w:line="360" w:lineRule="auto"/>
        <w:ind w:firstLine="420"/>
      </w:pPr>
      <w:r>
        <w:rPr>
          <w:rFonts w:hint="eastAsia"/>
        </w:rPr>
        <w:t>d) 相关人员完成再交底再培训并具备上岗条件；</w:t>
      </w:r>
    </w:p>
    <w:p w14:paraId="04E9EFA2">
      <w:pPr>
        <w:pStyle w:val="56"/>
        <w:spacing w:line="360" w:lineRule="auto"/>
        <w:ind w:firstLine="420"/>
      </w:pPr>
      <w:r>
        <w:rPr>
          <w:rFonts w:hint="eastAsia"/>
        </w:rPr>
        <w:t>e) 必要的设备设施检测验收资料齐全有效；</w:t>
      </w:r>
    </w:p>
    <w:p w14:paraId="5700AA0E">
      <w:pPr>
        <w:pStyle w:val="56"/>
        <w:spacing w:line="360" w:lineRule="auto"/>
        <w:ind w:firstLine="420"/>
      </w:pPr>
      <w:r>
        <w:rPr>
          <w:rFonts w:hint="eastAsia"/>
        </w:rPr>
        <w:t>f) 停工范围内风险评估已更新并明确防再发措施。</w:t>
      </w:r>
    </w:p>
    <w:p w14:paraId="08B32877">
      <w:pPr>
        <w:pStyle w:val="65"/>
        <w:spacing w:before="120" w:after="120" w:line="360" w:lineRule="auto"/>
      </w:pPr>
      <w:r>
        <w:rPr>
          <w:rFonts w:hint="eastAsia"/>
        </w:rPr>
        <w:t>复工程序</w:t>
      </w:r>
    </w:p>
    <w:p w14:paraId="4D1E3C69">
      <w:pPr>
        <w:pStyle w:val="56"/>
        <w:spacing w:line="360" w:lineRule="auto"/>
        <w:ind w:firstLine="420"/>
      </w:pPr>
      <w:r>
        <w:rPr>
          <w:rFonts w:hint="eastAsia"/>
        </w:rPr>
        <w:t>施工单位应提交复工申请和整改资料。监理单位应组织复查，复查合格后出具复工同意文件或在监理指令中明确复工许可。对重大隐患治理后的复工，宜组织建设单位施工单位相关专业人员开展联合验收或专题会议确认复工条件。</w:t>
      </w:r>
    </w:p>
    <w:p w14:paraId="59340A41">
      <w:pPr>
        <w:pStyle w:val="105"/>
        <w:spacing w:before="120" w:after="120" w:line="360" w:lineRule="auto"/>
      </w:pPr>
      <w:r>
        <w:rPr>
          <w:rFonts w:hint="eastAsia"/>
        </w:rPr>
        <w:t>停工期间管理</w:t>
      </w:r>
    </w:p>
    <w:p w14:paraId="3360B877">
      <w:pPr>
        <w:pStyle w:val="56"/>
        <w:spacing w:line="360" w:lineRule="auto"/>
        <w:ind w:firstLine="420"/>
      </w:pPr>
      <w:r>
        <w:rPr>
          <w:rFonts w:hint="eastAsia"/>
        </w:rPr>
        <w:t>停工期间施工单位应维护现场安全状态，保留必要防护和警戒，严禁无关人员进入危险区域。监理单位应对停工范围实施跟踪检查，防止擅自复工或隐患状态反复。停工相关记录应纳入隐患台账并归档。</w:t>
      </w:r>
    </w:p>
    <w:p w14:paraId="66530C23">
      <w:pPr>
        <w:pStyle w:val="104"/>
        <w:spacing w:before="240" w:after="240" w:line="360" w:lineRule="auto"/>
      </w:pPr>
      <w:bookmarkStart w:id="55" w:name="_Toc218970751"/>
      <w:r>
        <w:rPr>
          <w:rFonts w:hint="eastAsia"/>
        </w:rPr>
        <w:t>文书管理要求</w:t>
      </w:r>
      <w:bookmarkEnd w:id="55"/>
    </w:p>
    <w:p w14:paraId="3C8CD42D">
      <w:pPr>
        <w:pStyle w:val="105"/>
        <w:spacing w:before="120" w:after="120" w:line="360" w:lineRule="auto"/>
      </w:pPr>
      <w:r>
        <w:rPr>
          <w:rFonts w:hint="eastAsia"/>
        </w:rPr>
        <w:t>一般要求</w:t>
      </w:r>
    </w:p>
    <w:p w14:paraId="0A627D65">
      <w:pPr>
        <w:pStyle w:val="165"/>
        <w:spacing w:line="360" w:lineRule="auto"/>
      </w:pPr>
      <w:r>
        <w:rPr>
          <w:rFonts w:hint="eastAsia"/>
        </w:rPr>
        <w:t>安全监理隐患排查与处理过程应实行文书化管理。监理单位应使用统一的文书模板和编号规则，确保隐患事实表述准确，整改要求明确，时限可核查，签收可追溯，复查结论可验证。</w:t>
      </w:r>
    </w:p>
    <w:p w14:paraId="3820CB50">
      <w:pPr>
        <w:pStyle w:val="165"/>
        <w:spacing w:line="360" w:lineRule="auto"/>
      </w:pPr>
      <w:r>
        <w:rPr>
          <w:rFonts w:hint="eastAsia"/>
        </w:rPr>
        <w:t>文书应与隐患台账一致，同一隐患在记录、通知、整改回复、复查、销项等环节的编号应保持一致，不得一患多号或多患一号。</w:t>
      </w:r>
    </w:p>
    <w:p w14:paraId="5C4A769C">
      <w:pPr>
        <w:pStyle w:val="165"/>
        <w:spacing w:line="360" w:lineRule="auto"/>
      </w:pPr>
      <w:r>
        <w:rPr>
          <w:rFonts w:hint="eastAsia"/>
        </w:rPr>
        <w:t>文书签发、送达、签收、回复、复查和销项应形成闭环记录。口头制止和现场即时纠正应同步形成书面补充记录并留存影像证据。</w:t>
      </w:r>
    </w:p>
    <w:p w14:paraId="54C1857F">
      <w:pPr>
        <w:pStyle w:val="105"/>
        <w:spacing w:before="120" w:after="120" w:line="360" w:lineRule="auto"/>
      </w:pPr>
      <w:r>
        <w:rPr>
          <w:rFonts w:hint="eastAsia"/>
        </w:rPr>
        <w:t>文书类型与使用要求</w:t>
      </w:r>
    </w:p>
    <w:p w14:paraId="2B8B9ECC">
      <w:pPr>
        <w:pStyle w:val="65"/>
        <w:spacing w:before="120" w:after="120" w:line="360" w:lineRule="auto"/>
      </w:pPr>
      <w:r>
        <w:rPr>
          <w:rFonts w:hint="eastAsia"/>
        </w:rPr>
        <w:t>隐患记录</w:t>
      </w:r>
    </w:p>
    <w:p w14:paraId="5AE1895D">
      <w:pPr>
        <w:pStyle w:val="56"/>
        <w:spacing w:line="360" w:lineRule="auto"/>
        <w:ind w:firstLine="420"/>
      </w:pPr>
      <w:r>
        <w:rPr>
          <w:rFonts w:hint="eastAsia"/>
        </w:rPr>
        <w:t>监理单位发现隐患后应形成隐患记录。隐患记录应明确位置、时间、涉及单位、隐患事实、适用依据、风险说明、拟定处置方式、整改时限和取证材料索引。</w:t>
      </w:r>
    </w:p>
    <w:p w14:paraId="0D311764">
      <w:pPr>
        <w:pStyle w:val="65"/>
        <w:spacing w:before="120" w:after="120" w:line="360" w:lineRule="auto"/>
      </w:pPr>
      <w:r>
        <w:rPr>
          <w:rFonts w:hint="eastAsia"/>
        </w:rPr>
        <w:t>整改通知</w:t>
      </w:r>
    </w:p>
    <w:p w14:paraId="06B22AF7">
      <w:pPr>
        <w:pStyle w:val="56"/>
        <w:spacing w:line="360" w:lineRule="auto"/>
        <w:ind w:firstLine="420"/>
      </w:pPr>
      <w:r>
        <w:rPr>
          <w:rFonts w:hint="eastAsia"/>
        </w:rPr>
        <w:t>对一般隐患和需要限期整改的隐患，监理单位应签发整改通知。整改通知应明确隐患事实、依据条款、整改措施要求、整改时限、责任单位、复查申请方式和销项条件。</w:t>
      </w:r>
    </w:p>
    <w:p w14:paraId="2F319C40">
      <w:pPr>
        <w:pStyle w:val="65"/>
        <w:spacing w:before="120" w:after="120" w:line="360" w:lineRule="auto"/>
      </w:pPr>
      <w:r>
        <w:rPr>
          <w:rFonts w:hint="eastAsia"/>
        </w:rPr>
        <w:t>监理指令</w:t>
      </w:r>
    </w:p>
    <w:p w14:paraId="00BCDAB4">
      <w:pPr>
        <w:pStyle w:val="56"/>
        <w:spacing w:line="360" w:lineRule="auto"/>
        <w:ind w:firstLine="420"/>
      </w:pPr>
      <w:r>
        <w:rPr>
          <w:rFonts w:hint="eastAsia"/>
        </w:rPr>
        <w:t>对施工单位未落实整改、整改无效、重复发生或涉及危险性较大分部分项工程控制要求的隐患，监理单位应根据合同约定签发监理指令。监理指令应明确必须执行事项、执行期限、复查要求以及不执行的后果提示。</w:t>
      </w:r>
    </w:p>
    <w:p w14:paraId="39B42600">
      <w:pPr>
        <w:pStyle w:val="65"/>
        <w:spacing w:before="120" w:after="120" w:line="360" w:lineRule="auto"/>
      </w:pPr>
      <w:r>
        <w:rPr>
          <w:rFonts w:hint="eastAsia"/>
        </w:rPr>
        <w:t>停工文件</w:t>
      </w:r>
    </w:p>
    <w:p w14:paraId="01AF4F77">
      <w:pPr>
        <w:pStyle w:val="56"/>
        <w:spacing w:line="360" w:lineRule="auto"/>
        <w:ind w:firstLine="420"/>
      </w:pPr>
      <w:r>
        <w:rPr>
          <w:rFonts w:hint="eastAsia"/>
        </w:rPr>
        <w:t>触发停工条件时，监理单位应出具停工文件或形成停工建议并报建设单位。停工文件应明确停工范围、停工原因、控制措施、整改要求、复工条件和复查程序。</w:t>
      </w:r>
    </w:p>
    <w:p w14:paraId="37FF2E04">
      <w:pPr>
        <w:pStyle w:val="65"/>
        <w:spacing w:before="120" w:after="120" w:line="360" w:lineRule="auto"/>
      </w:pPr>
      <w:r>
        <w:rPr>
          <w:rFonts w:hint="eastAsia"/>
        </w:rPr>
        <w:t>复查记录</w:t>
      </w:r>
    </w:p>
    <w:p w14:paraId="2F787425">
      <w:pPr>
        <w:pStyle w:val="56"/>
        <w:spacing w:line="360" w:lineRule="auto"/>
        <w:ind w:firstLine="420"/>
      </w:pPr>
      <w:r>
        <w:rPr>
          <w:rFonts w:hint="eastAsia"/>
        </w:rPr>
        <w:t>施工单位提交复查申请后，监理单位应形成复查记录。复查记录应包含现场核验要点、资料核查要点、复查结论、存在问题、补充整改要求、复查人员签字和复查时间。</w:t>
      </w:r>
    </w:p>
    <w:p w14:paraId="5FAD9450">
      <w:pPr>
        <w:pStyle w:val="65"/>
        <w:spacing w:before="120" w:after="120" w:line="360" w:lineRule="auto"/>
      </w:pPr>
      <w:r>
        <w:rPr>
          <w:rFonts w:hint="eastAsia"/>
        </w:rPr>
        <w:t>销项记录</w:t>
      </w:r>
    </w:p>
    <w:p w14:paraId="676F09B1">
      <w:pPr>
        <w:pStyle w:val="56"/>
        <w:spacing w:line="360" w:lineRule="auto"/>
        <w:ind w:firstLine="420"/>
      </w:pPr>
      <w:r>
        <w:rPr>
          <w:rFonts w:hint="eastAsia"/>
        </w:rPr>
        <w:t>隐患复查合格后，监理单位应形成销项记录并在台账中更新状态。销项记录应明确销项依据、销项时间、销项人员、资料归档位置或电子索引路径。</w:t>
      </w:r>
    </w:p>
    <w:p w14:paraId="39A72107">
      <w:pPr>
        <w:pStyle w:val="65"/>
        <w:spacing w:before="120" w:after="120" w:line="360" w:lineRule="auto"/>
      </w:pPr>
      <w:r>
        <w:rPr>
          <w:rFonts w:hint="eastAsia"/>
        </w:rPr>
        <w:t>会议纪要</w:t>
      </w:r>
    </w:p>
    <w:p w14:paraId="3CD129EF">
      <w:pPr>
        <w:pStyle w:val="56"/>
        <w:spacing w:line="360" w:lineRule="auto"/>
        <w:ind w:firstLine="420"/>
      </w:pPr>
      <w:r>
        <w:rPr>
          <w:rFonts w:hint="eastAsia"/>
        </w:rPr>
        <w:t>对重大隐患治理、停工复工、专项整治、争议事项协调等情形，应形成会议纪要。会议纪要应明确结论、责任分工、时间节点和验证方式，并纳入隐患台账索引。</w:t>
      </w:r>
    </w:p>
    <w:p w14:paraId="757D5639">
      <w:pPr>
        <w:pStyle w:val="105"/>
        <w:spacing w:before="120" w:after="120" w:line="360" w:lineRule="auto"/>
      </w:pPr>
      <w:r>
        <w:rPr>
          <w:rFonts w:hint="eastAsia"/>
        </w:rPr>
        <w:t>文书送达与签收要求</w:t>
      </w:r>
    </w:p>
    <w:p w14:paraId="14FB34B0">
      <w:pPr>
        <w:pStyle w:val="165"/>
        <w:spacing w:line="360" w:lineRule="auto"/>
      </w:pPr>
      <w:r>
        <w:rPr>
          <w:rFonts w:hint="eastAsia"/>
        </w:rPr>
        <w:t>文书送达应确保到达施工单位项目负责人或安全负责人以及隐患涉及的责任单位。采用纸质送达时应签收留存，采用信息化平台送达时应保留送达回执、阅读记录和时间戳。</w:t>
      </w:r>
    </w:p>
    <w:p w14:paraId="03CE207F">
      <w:pPr>
        <w:pStyle w:val="165"/>
        <w:spacing w:line="360" w:lineRule="auto"/>
      </w:pPr>
      <w:r>
        <w:rPr>
          <w:rFonts w:hint="eastAsia"/>
        </w:rPr>
        <w:t>文书签收后施工单位应按要求及时回复。对整改通知和监理指令的回复应以书面形式提交，并附整改证据材料。对重大隐患的回复应包括控制措施落实情况和复工条件满足情况说明。</w:t>
      </w:r>
    </w:p>
    <w:p w14:paraId="3717F9DF">
      <w:pPr>
        <w:pStyle w:val="165"/>
        <w:spacing w:line="360" w:lineRule="auto"/>
      </w:pPr>
      <w:r>
        <w:rPr>
          <w:rFonts w:hint="eastAsia"/>
        </w:rPr>
        <w:t>文书流转过程发生退回、补充、改签等情形时，应记录原因、修改内容和生效时间，确保版本可追溯。</w:t>
      </w:r>
    </w:p>
    <w:p w14:paraId="11D3335E">
      <w:pPr>
        <w:pStyle w:val="105"/>
        <w:spacing w:before="120" w:after="120" w:line="360" w:lineRule="auto"/>
      </w:pPr>
      <w:r>
        <w:rPr>
          <w:rFonts w:hint="eastAsia"/>
        </w:rPr>
        <w:t>文书编号与一致性要求</w:t>
      </w:r>
    </w:p>
    <w:p w14:paraId="65190857">
      <w:pPr>
        <w:pStyle w:val="165"/>
        <w:spacing w:line="360" w:lineRule="auto"/>
      </w:pPr>
      <w:r>
        <w:rPr>
          <w:rFonts w:hint="eastAsia"/>
        </w:rPr>
        <w:t>文书编号宜采用项目标识、年度、类别代码、顺序号的规则，类别代码宜区分隐患记录、整改通知、监理指令、停工文件、复查记录、销项记录等。</w:t>
      </w:r>
    </w:p>
    <w:p w14:paraId="21224AEE">
      <w:pPr>
        <w:pStyle w:val="165"/>
        <w:spacing w:line="360" w:lineRule="auto"/>
      </w:pPr>
      <w:r>
        <w:rPr>
          <w:rFonts w:hint="eastAsia"/>
        </w:rPr>
        <w:t>文书编号应与隐患台账编号一致并建立一对一关联。文书内容中的工程部位、分包单位、作业班组、设备编号等信息应与现场标识和合同管理信息一致，避免因信息不一致导致后续复查和争议处理困难。</w:t>
      </w:r>
    </w:p>
    <w:p w14:paraId="4227A2DE">
      <w:pPr>
        <w:pStyle w:val="104"/>
        <w:spacing w:before="240" w:after="240" w:line="360" w:lineRule="auto"/>
      </w:pPr>
      <w:bookmarkStart w:id="56" w:name="_Toc218970752"/>
      <w:r>
        <w:rPr>
          <w:rFonts w:hint="eastAsia"/>
        </w:rPr>
        <w:t>资料归档要求</w:t>
      </w:r>
      <w:bookmarkEnd w:id="56"/>
    </w:p>
    <w:p w14:paraId="36970F69">
      <w:pPr>
        <w:pStyle w:val="105"/>
        <w:spacing w:before="120" w:after="120" w:line="360" w:lineRule="auto"/>
      </w:pPr>
      <w:r>
        <w:rPr>
          <w:rFonts w:hint="eastAsia"/>
        </w:rPr>
        <w:t>一般要求</w:t>
      </w:r>
    </w:p>
    <w:p w14:paraId="42ABE7E5">
      <w:pPr>
        <w:pStyle w:val="165"/>
        <w:spacing w:line="360" w:lineRule="auto"/>
      </w:pPr>
      <w:r>
        <w:rPr>
          <w:rFonts w:hint="eastAsia"/>
        </w:rPr>
        <w:t>隐患排查与处理资料应按隐患编号归集，形成完整资料链并满足可检索可追溯要求。资料归档应与隐患销项同步完成，未归档不得销项。</w:t>
      </w:r>
    </w:p>
    <w:p w14:paraId="1999E59D">
      <w:pPr>
        <w:pStyle w:val="165"/>
        <w:spacing w:line="360" w:lineRule="auto"/>
      </w:pPr>
      <w:r>
        <w:rPr>
          <w:rFonts w:hint="eastAsia"/>
        </w:rPr>
        <w:t>资料归档应同时满足纸质资料管理要求与电子资料管理要求。电子资料应具备防篡改、可追踪访问、可备份恢复的条件。</w:t>
      </w:r>
    </w:p>
    <w:p w14:paraId="6A5E172C">
      <w:pPr>
        <w:pStyle w:val="165"/>
        <w:spacing w:line="360" w:lineRule="auto"/>
      </w:pPr>
      <w:r>
        <w:rPr>
          <w:rFonts w:hint="eastAsia"/>
        </w:rPr>
        <w:t>重大隐患资料应单独立卷或建立专项电子卷宗，确保停工复工条件、治理过程、验证记录和决策依据完整。</w:t>
      </w:r>
    </w:p>
    <w:p w14:paraId="7E04C573">
      <w:pPr>
        <w:pStyle w:val="105"/>
        <w:spacing w:before="120" w:after="120" w:line="360" w:lineRule="auto"/>
      </w:pPr>
      <w:r>
        <w:rPr>
          <w:rFonts w:hint="eastAsia"/>
        </w:rPr>
        <w:t>归档内容要求</w:t>
      </w:r>
    </w:p>
    <w:p w14:paraId="64D1C2E9">
      <w:pPr>
        <w:pStyle w:val="56"/>
        <w:spacing w:line="360" w:lineRule="auto"/>
        <w:ind w:firstLine="420"/>
      </w:pPr>
      <w:r>
        <w:rPr>
          <w:rFonts w:hint="eastAsia"/>
        </w:rPr>
        <w:t>隐患处置资料归档应至少包含隐患记录、影像取证材料、整改通知或监理指令、签收记录、整改回复资料、复查记录、销项记录。涉及停工复工时还应包含停工文件、复工申请、复工核验结论、联合验收记录。涉及专项施工方案调整时还应包含方案审批、交底记录、验收记录和相关检测报告。</w:t>
      </w:r>
    </w:p>
    <w:p w14:paraId="586B2AF7">
      <w:pPr>
        <w:pStyle w:val="105"/>
        <w:spacing w:before="120" w:after="120" w:line="360" w:lineRule="auto"/>
      </w:pPr>
      <w:r>
        <w:rPr>
          <w:rFonts w:hint="eastAsia"/>
        </w:rPr>
        <w:t>归档质量要求</w:t>
      </w:r>
    </w:p>
    <w:p w14:paraId="42EC18F2">
      <w:pPr>
        <w:pStyle w:val="165"/>
        <w:spacing w:line="360" w:lineRule="auto"/>
      </w:pPr>
      <w:r>
        <w:rPr>
          <w:rFonts w:hint="eastAsia"/>
        </w:rPr>
        <w:t>资料应真实完整，关键结论应有签字确认或系统签章记录。影像资料应能清晰反映隐患事实和整改效果，并与时间地点对应。</w:t>
      </w:r>
    </w:p>
    <w:p w14:paraId="05861463">
      <w:pPr>
        <w:pStyle w:val="165"/>
        <w:spacing w:line="360" w:lineRule="auto"/>
      </w:pPr>
      <w:r>
        <w:rPr>
          <w:rFonts w:hint="eastAsia"/>
        </w:rPr>
        <w:t>资料应一致，隐患事实、整改要求、整改完成情况和复查结论之间不得相互矛盾。</w:t>
      </w:r>
    </w:p>
    <w:p w14:paraId="4916BE61">
      <w:pPr>
        <w:pStyle w:val="165"/>
        <w:spacing w:line="360" w:lineRule="auto"/>
      </w:pPr>
      <w:r>
        <w:rPr>
          <w:rFonts w:hint="eastAsia"/>
        </w:rPr>
        <w:t>资料应可核查，引用标准条款、专项方案要求、设备检测结论等应能追溯到原始文件或有效版本。</w:t>
      </w:r>
    </w:p>
    <w:p w14:paraId="279594C4">
      <w:pPr>
        <w:pStyle w:val="104"/>
        <w:spacing w:before="240" w:after="240" w:line="360" w:lineRule="auto"/>
      </w:pPr>
      <w:bookmarkStart w:id="57" w:name="_Toc218970753"/>
      <w:r>
        <w:rPr>
          <w:rFonts w:hint="eastAsia"/>
        </w:rPr>
        <w:t>统计分析要求</w:t>
      </w:r>
      <w:bookmarkEnd w:id="57"/>
    </w:p>
    <w:p w14:paraId="73013F81">
      <w:pPr>
        <w:pStyle w:val="105"/>
        <w:spacing w:before="120" w:after="120" w:line="360" w:lineRule="auto"/>
      </w:pPr>
      <w:r>
        <w:rPr>
          <w:rFonts w:hint="eastAsia"/>
        </w:rPr>
        <w:t>一般要求</w:t>
      </w:r>
    </w:p>
    <w:p w14:paraId="7A8DBA0F">
      <w:pPr>
        <w:pStyle w:val="165"/>
        <w:spacing w:line="360" w:lineRule="auto"/>
      </w:pPr>
      <w:r>
        <w:rPr>
          <w:rFonts w:hint="eastAsia"/>
        </w:rPr>
        <w:t>监理单位应对隐患排查与处理数据开展统计分析，形成周期性分析报告，为风险预控、专项整治、人员培训和管理改进提供依据。</w:t>
      </w:r>
    </w:p>
    <w:p w14:paraId="5260FF7C">
      <w:pPr>
        <w:pStyle w:val="165"/>
        <w:spacing w:line="360" w:lineRule="auto"/>
      </w:pPr>
      <w:r>
        <w:rPr>
          <w:rFonts w:hint="eastAsia"/>
        </w:rPr>
        <w:t>统计分析应以隐患台账为数据源，确保数据口径统一，统计周期固定，指标可对比。项目采用信息化平台时应优先使用系统数据并保留取数说明。</w:t>
      </w:r>
    </w:p>
    <w:p w14:paraId="2B05A6E4">
      <w:pPr>
        <w:pStyle w:val="105"/>
        <w:spacing w:before="120" w:after="120" w:line="360" w:lineRule="auto"/>
      </w:pPr>
      <w:r>
        <w:rPr>
          <w:rFonts w:hint="eastAsia"/>
        </w:rPr>
        <w:t>统计指标要求</w:t>
      </w:r>
    </w:p>
    <w:p w14:paraId="3DABB706">
      <w:pPr>
        <w:pStyle w:val="165"/>
        <w:spacing w:line="360" w:lineRule="auto"/>
      </w:pPr>
      <w:r>
        <w:rPr>
          <w:rFonts w:hint="eastAsia"/>
        </w:rPr>
        <w:t>统计指标应覆盖数量、时效、质量与趋势等要素，并保持口径一致、可对比、可复核。</w:t>
      </w:r>
    </w:p>
    <w:p w14:paraId="358DF413">
      <w:pPr>
        <w:pStyle w:val="165"/>
        <w:spacing w:line="360" w:lineRule="auto"/>
      </w:pPr>
      <w:r>
        <w:rPr>
          <w:rFonts w:hint="eastAsia"/>
        </w:rPr>
        <w:t>统计指标应至少包括隐患发现数量、隐患等级分布、整改按期完成率、逾期整改率、复查一次合格率、重复隐患发生率、停工次数、停工时长以及重大隐患关闭周期。</w:t>
      </w:r>
    </w:p>
    <w:p w14:paraId="280A1DE8">
      <w:pPr>
        <w:pStyle w:val="165"/>
        <w:spacing w:line="360" w:lineRule="auto"/>
      </w:pPr>
      <w:r>
        <w:rPr>
          <w:rFonts w:hint="eastAsia"/>
        </w:rPr>
        <w:t>对高风险作业点应增加专项检查覆盖率、旁站监督落实率以及关键控制措施符合率等指标，并结合阶段性风险特点动态调整统计重点。</w:t>
      </w:r>
    </w:p>
    <w:p w14:paraId="14E6FC0F">
      <w:pPr>
        <w:pStyle w:val="165"/>
        <w:spacing w:line="360" w:lineRule="auto"/>
      </w:pPr>
      <w:r>
        <w:rPr>
          <w:rFonts w:hint="eastAsia"/>
        </w:rPr>
        <w:t>项目采用信息化平台时，统计指标宜以系统台账为数据源；取数口径、统计周期与异常剔除规则应形成书面说明并留存。</w:t>
      </w:r>
    </w:p>
    <w:p w14:paraId="20E5EE40">
      <w:pPr>
        <w:pStyle w:val="105"/>
        <w:spacing w:before="120" w:after="120" w:line="360" w:lineRule="auto"/>
      </w:pPr>
      <w:r>
        <w:rPr>
          <w:rFonts w:hint="eastAsia"/>
        </w:rPr>
        <w:t>分析方法要求 修订稿</w:t>
      </w:r>
    </w:p>
    <w:p w14:paraId="6983E558">
      <w:pPr>
        <w:pStyle w:val="165"/>
        <w:spacing w:line="360" w:lineRule="auto"/>
      </w:pPr>
      <w:r>
        <w:rPr>
          <w:rFonts w:hint="eastAsia"/>
        </w:rPr>
        <w:t>趋势分析应按周或月对隐患数量、等级分布、整改时效等进行对比分析，识别隐患高发阶段、波动原因及预警信号。</w:t>
      </w:r>
    </w:p>
    <w:p w14:paraId="653221E3">
      <w:pPr>
        <w:pStyle w:val="165"/>
        <w:spacing w:line="360" w:lineRule="auto"/>
      </w:pPr>
      <w:r>
        <w:rPr>
          <w:rFonts w:hint="eastAsia"/>
        </w:rPr>
        <w:t>分类分析应按专业类别、作业类型、分包单位、作业区域与班组等维度开展，识别主要问题来源、集中区域与管理薄弱环节。</w:t>
      </w:r>
    </w:p>
    <w:p w14:paraId="06E00499">
      <w:pPr>
        <w:pStyle w:val="165"/>
        <w:spacing w:line="360" w:lineRule="auto"/>
      </w:pPr>
      <w:r>
        <w:rPr>
          <w:rFonts w:hint="eastAsia"/>
        </w:rPr>
        <w:t>根因分析应针对重大隐患、重复隐患与整改无效隐患开展，明确管理缺陷、技术措施缺陷、人员行为缺陷与资源保障缺陷，并提出可验证的纠正措施与防再发措施。</w:t>
      </w:r>
    </w:p>
    <w:p w14:paraId="03E08798">
      <w:pPr>
        <w:pStyle w:val="165"/>
        <w:spacing w:line="360" w:lineRule="auto"/>
      </w:pPr>
      <w:r>
        <w:rPr>
          <w:rFonts w:hint="eastAsia"/>
        </w:rPr>
        <w:t>效果评估应对专项整治、重点风险治理、停工复工管理等措施的实施效果进行验证，重点评价隐患指标是否改善、复查合格率是否提升、重复隐患是否下降，以及风险控制是否形成稳定机制。</w:t>
      </w:r>
    </w:p>
    <w:p w14:paraId="7B9534CD">
      <w:pPr>
        <w:pStyle w:val="104"/>
        <w:spacing w:before="240" w:after="240" w:line="360" w:lineRule="auto"/>
      </w:pPr>
      <w:bookmarkStart w:id="58" w:name="_Toc218970754"/>
      <w:r>
        <w:rPr>
          <w:rFonts w:hint="eastAsia"/>
        </w:rPr>
        <w:t>持续改进要求</w:t>
      </w:r>
      <w:bookmarkEnd w:id="58"/>
    </w:p>
    <w:p w14:paraId="42135B3C">
      <w:pPr>
        <w:pStyle w:val="105"/>
        <w:spacing w:before="120" w:after="120" w:line="360" w:lineRule="auto"/>
      </w:pPr>
      <w:r>
        <w:rPr>
          <w:rFonts w:hint="eastAsia"/>
        </w:rPr>
        <w:t>改进机制</w:t>
      </w:r>
    </w:p>
    <w:p w14:paraId="3FA2156C">
      <w:pPr>
        <w:pStyle w:val="165"/>
        <w:spacing w:line="360" w:lineRule="auto"/>
      </w:pPr>
      <w:r>
        <w:rPr>
          <w:rFonts w:hint="eastAsia"/>
        </w:rPr>
        <w:t>监理单位应建立隐患治理持续改进机制，将统计分析结论转化为改进行动，明确责任人、完成时限和验证方式，并在后续检查中复核改进效果。</w:t>
      </w:r>
    </w:p>
    <w:p w14:paraId="0F286768">
      <w:pPr>
        <w:pStyle w:val="165"/>
        <w:spacing w:line="360" w:lineRule="auto"/>
      </w:pPr>
      <w:r>
        <w:rPr>
          <w:rFonts w:hint="eastAsia"/>
        </w:rPr>
        <w:t>对重大隐患治理和停工复工事件，应组织专项复盘，形成问题清单和防再发措施，纳入监理实施细则优化、检查表更新和交底培训内容。</w:t>
      </w:r>
    </w:p>
    <w:p w14:paraId="3930EE15">
      <w:pPr>
        <w:pStyle w:val="105"/>
        <w:spacing w:before="120" w:after="120" w:line="360" w:lineRule="auto"/>
      </w:pPr>
      <w:r>
        <w:rPr>
          <w:rFonts w:hint="eastAsia"/>
        </w:rPr>
        <w:t>改进措施要求</w:t>
      </w:r>
    </w:p>
    <w:p w14:paraId="68AFD0DA">
      <w:pPr>
        <w:pStyle w:val="165"/>
        <w:spacing w:line="360" w:lineRule="auto"/>
      </w:pPr>
      <w:r>
        <w:rPr>
          <w:rFonts w:hint="eastAsia"/>
        </w:rPr>
        <w:t>持续改进措施应覆盖专项施工方案审查与现场执行一致性核查；对不一致情形应明确纠偏措施、责任人和完成时限。</w:t>
      </w:r>
    </w:p>
    <w:p w14:paraId="6BB902E3">
      <w:pPr>
        <w:pStyle w:val="165"/>
        <w:spacing w:line="360" w:lineRule="auto"/>
      </w:pPr>
      <w:r>
        <w:rPr>
          <w:rFonts w:hint="eastAsia"/>
        </w:rPr>
        <w:t>持续改进措施应优化高风险作业点旁站监督安排与专项检查频次；对隐患高发时段和区域应实施加密检查。</w:t>
      </w:r>
    </w:p>
    <w:p w14:paraId="1B819B0C">
      <w:pPr>
        <w:pStyle w:val="165"/>
        <w:spacing w:line="360" w:lineRule="auto"/>
      </w:pPr>
      <w:r>
        <w:rPr>
          <w:rFonts w:hint="eastAsia"/>
        </w:rPr>
        <w:t>持续改进措施应完善隐患分级判定口径与停工复工条件；对重大隐患应明确复工验证要点和联合验收要求。</w:t>
      </w:r>
    </w:p>
    <w:p w14:paraId="05B8BFAF">
      <w:pPr>
        <w:pStyle w:val="165"/>
        <w:spacing w:line="360" w:lineRule="auto"/>
      </w:pPr>
      <w:r>
        <w:rPr>
          <w:rFonts w:hint="eastAsia"/>
        </w:rPr>
        <w:t>持续改进措施应提升监理文书质量与证据链完整性；隐患事实描述、依据条款引用、整改要求和复查结论应相互一致并可核查。</w:t>
      </w:r>
    </w:p>
    <w:p w14:paraId="2135CE22">
      <w:pPr>
        <w:pStyle w:val="165"/>
        <w:spacing w:line="360" w:lineRule="auto"/>
      </w:pPr>
      <w:r>
        <w:rPr>
          <w:rFonts w:hint="eastAsia"/>
        </w:rPr>
        <w:t>持续改进措施应加强对分包单位与班组的安全交底及针对性培训；对重复隐患应实施专项再交底并开展现场示范纠正。</w:t>
      </w:r>
    </w:p>
    <w:p w14:paraId="15339B82">
      <w:pPr>
        <w:pStyle w:val="165"/>
        <w:spacing w:line="360" w:lineRule="auto"/>
      </w:pPr>
      <w:r>
        <w:rPr>
          <w:rFonts w:hint="eastAsia"/>
        </w:rPr>
        <w:t>持续改进措施应完善信息化预警规则与整改跟踪机制；预警触发、处置动作、复查结论和销项归档应形成闭环记录。</w:t>
      </w:r>
    </w:p>
    <w:p w14:paraId="200D9AA9">
      <w:pPr>
        <w:pStyle w:val="105"/>
        <w:spacing w:before="120" w:after="120" w:line="360" w:lineRule="auto"/>
      </w:pPr>
      <w:r>
        <w:rPr>
          <w:rFonts w:hint="eastAsia"/>
        </w:rPr>
        <w:t>经验沉淀</w:t>
      </w:r>
    </w:p>
    <w:p w14:paraId="3AF435A5">
      <w:pPr>
        <w:pStyle w:val="56"/>
        <w:spacing w:line="360" w:lineRule="auto"/>
        <w:ind w:firstLine="420"/>
      </w:pPr>
      <w:r>
        <w:rPr>
          <w:rFonts w:hint="eastAsia"/>
        </w:rPr>
        <w:t>项目应将典型隐患案例、重大隐患处置路径、有效控制措施和常见管理漏洞形成经验库，作为后续项目监理策划、检查表单、专项整治方案和培训教材的输入。</w:t>
      </w:r>
    </w:p>
    <w:p w14:paraId="7D251CFC">
      <w:pPr>
        <w:pStyle w:val="104"/>
        <w:spacing w:before="240" w:after="240" w:line="360" w:lineRule="auto"/>
      </w:pPr>
      <w:bookmarkStart w:id="59" w:name="_Toc218970755"/>
      <w:r>
        <w:rPr>
          <w:rFonts w:hint="eastAsia"/>
        </w:rPr>
        <w:t>附则</w:t>
      </w:r>
      <w:bookmarkEnd w:id="59"/>
    </w:p>
    <w:p w14:paraId="2CB2809F">
      <w:pPr>
        <w:pStyle w:val="105"/>
        <w:spacing w:before="120" w:after="120" w:line="360" w:lineRule="auto"/>
      </w:pPr>
      <w:r>
        <w:rPr>
          <w:rFonts w:hint="eastAsia"/>
        </w:rPr>
        <w:t>实施要求</w:t>
      </w:r>
    </w:p>
    <w:p w14:paraId="4780D900">
      <w:pPr>
        <w:pStyle w:val="56"/>
        <w:spacing w:line="360" w:lineRule="auto"/>
        <w:ind w:firstLine="420"/>
      </w:pPr>
      <w:r>
        <w:rPr>
          <w:rFonts w:hint="eastAsia"/>
        </w:rPr>
        <w:t>本文件发布后，监理单位应结合工程特点、风险分布和项目管理制度编制项目级实施细则，并在开工前完成宣贯。实施细则不得削弱本文件关于重大隐患升级报告、停工复工管理、闭环销项和资料可追溯的要求。</w:t>
      </w:r>
    </w:p>
    <w:p w14:paraId="01DD863F">
      <w:pPr>
        <w:pStyle w:val="105"/>
        <w:spacing w:before="120" w:after="120" w:line="360" w:lineRule="auto"/>
      </w:pPr>
      <w:r>
        <w:rPr>
          <w:rFonts w:hint="eastAsia"/>
        </w:rPr>
        <w:t>生效</w:t>
      </w:r>
    </w:p>
    <w:p w14:paraId="5B45E3BC">
      <w:pPr>
        <w:pStyle w:val="56"/>
        <w:spacing w:line="360" w:lineRule="auto"/>
        <w:ind w:firstLine="420"/>
      </w:pPr>
      <w:r>
        <w:rPr>
          <w:rFonts w:hint="eastAsia"/>
        </w:rPr>
        <w:t>本文件自发布之日起实施。</w:t>
      </w:r>
    </w:p>
    <w:bookmarkEnd w:id="26"/>
    <w:p w14:paraId="7369D228">
      <w:pPr>
        <w:pStyle w:val="56"/>
        <w:ind w:firstLine="0" w:firstLineChars="0"/>
        <w:jc w:val="center"/>
      </w:pPr>
      <w:bookmarkStart w:id="60" w:name="BookMark8"/>
      <w:r>
        <w:drawing>
          <wp:inline distT="0" distB="0" distL="0" distR="0">
            <wp:extent cx="1485900" cy="317500"/>
            <wp:effectExtent l="0" t="0" r="0" b="6350"/>
            <wp:docPr id="1785083348" name="图片 1"/>
            <wp:cNvGraphicFramePr/>
            <a:graphic xmlns:a="http://schemas.openxmlformats.org/drawingml/2006/main">
              <a:graphicData uri="http://schemas.openxmlformats.org/drawingml/2006/picture">
                <pic:pic xmlns:pic="http://schemas.openxmlformats.org/drawingml/2006/picture">
                  <pic:nvPicPr>
                    <pic:cNvPr id="1785083348"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1D1A">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399A">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121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022D">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007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27B4">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60B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F6A9">
    <w:pPr>
      <w:pStyle w:val="61"/>
    </w:pPr>
    <w:r>
      <w:fldChar w:fldCharType="begin"/>
    </w:r>
    <w:r>
      <w:instrText xml:space="preserve"> STYLEREF  标准文件_文件编号  \* MERGEFORMAT </w:instrText>
    </w:r>
    <w:r>
      <w:fldChar w:fldCharType="separate"/>
    </w:r>
    <w:r>
      <w:t>T/XJBX 0172—2026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F2B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0172—2026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48EFD">
    <w:pPr>
      <w:pStyle w:val="61"/>
    </w:pPr>
    <w:r>
      <w:fldChar w:fldCharType="begin"/>
    </w:r>
    <w:r>
      <w:instrText xml:space="preserve"> STYLEREF  标准文件_文件编号  \* MERGEFORMAT </w:instrText>
    </w:r>
    <w:r>
      <w:fldChar w:fldCharType="separate"/>
    </w:r>
    <w:r>
      <w:t>T/XJBX 0172—2026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1FD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0172—2026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7504">
    <w:pPr>
      <w:pStyle w:val="61"/>
    </w:pPr>
    <w:r>
      <w:fldChar w:fldCharType="begin"/>
    </w:r>
    <w:r>
      <w:instrText xml:space="preserve"> STYLEREF  标准文件_文件编号  \* MERGEFORMAT </w:instrText>
    </w:r>
    <w:r>
      <w:fldChar w:fldCharType="separate"/>
    </w:r>
    <w:r>
      <w:t>T/XJBX 0172—2026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A98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0172—2026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426"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7D62"/>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2DB"/>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EAC"/>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16D9"/>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D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12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194F"/>
    <w:rsid w:val="006D3E96"/>
    <w:rsid w:val="006D4515"/>
    <w:rsid w:val="006D4BB1"/>
    <w:rsid w:val="006D6593"/>
    <w:rsid w:val="006E29F8"/>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2C42"/>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B95"/>
    <w:rsid w:val="007F0ED8"/>
    <w:rsid w:val="007F0F63"/>
    <w:rsid w:val="007F75CE"/>
    <w:rsid w:val="008013A4"/>
    <w:rsid w:val="008027CE"/>
    <w:rsid w:val="00802F42"/>
    <w:rsid w:val="00804383"/>
    <w:rsid w:val="00804BB7"/>
    <w:rsid w:val="00804D41"/>
    <w:rsid w:val="008062C5"/>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F8"/>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B2E"/>
    <w:rsid w:val="00883F93"/>
    <w:rsid w:val="00884DB3"/>
    <w:rsid w:val="00885A9D"/>
    <w:rsid w:val="008864F6"/>
    <w:rsid w:val="0089049D"/>
    <w:rsid w:val="008928C9"/>
    <w:rsid w:val="008930CB"/>
    <w:rsid w:val="008938DC"/>
    <w:rsid w:val="00893FD1"/>
    <w:rsid w:val="00894836"/>
    <w:rsid w:val="00895172"/>
    <w:rsid w:val="00895680"/>
    <w:rsid w:val="00896083"/>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2FC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388"/>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85D"/>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32C"/>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7FB"/>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916"/>
    <w:rsid w:val="00E02DFB"/>
    <w:rsid w:val="00E030F9"/>
    <w:rsid w:val="00E0311A"/>
    <w:rsid w:val="00E03138"/>
    <w:rsid w:val="00E06404"/>
    <w:rsid w:val="00E10831"/>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1D1"/>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F046D4"/>
    <w:rsid w:val="484E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4DDE09A">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EDC606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D4C644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90B77"/>
    <w:rsid w:val="00232C79"/>
    <w:rsid w:val="002E6F16"/>
    <w:rsid w:val="00336908"/>
    <w:rsid w:val="003F6D08"/>
    <w:rsid w:val="00414EE8"/>
    <w:rsid w:val="004C412D"/>
    <w:rsid w:val="004F3573"/>
    <w:rsid w:val="005E6634"/>
    <w:rsid w:val="007146E1"/>
    <w:rsid w:val="007E1B95"/>
    <w:rsid w:val="008062C5"/>
    <w:rsid w:val="00AE1DC6"/>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22</Pages>
  <Words>5315</Words>
  <Characters>5568</Characters>
  <Lines>90</Lines>
  <Paragraphs>25</Paragraphs>
  <TotalTime>82</TotalTime>
  <ScaleCrop>false</ScaleCrop>
  <LinksUpToDate>false</LinksUpToDate>
  <CharactersWithSpaces>5667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2026-01-15T02:17:05Z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F3839652215245FD8F1BFD3539D7A2F2_12</vt:lpwstr>
  </property>
</Properties>
</file>