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01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91.010.01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09"/>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09</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71"/>
            </w:textInput>
          </w:ffData>
        </w:fldChar>
      </w:r>
      <w:bookmarkStart w:id="6" w:name="NSTD_CODE_F"/>
      <w:r>
        <w:instrText xml:space="preserve"> FORMTEXT </w:instrText>
      </w:r>
      <w:r>
        <w:fldChar w:fldCharType="separate"/>
      </w:r>
      <w:r>
        <w:t>0171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4222AFE3">
      <w:pPr>
        <w:pStyle w:val="197"/>
        <w:framePr w:h="6974" w:hRule="exact" w:wrap="around" w:x="1419" w:anchorLock="1"/>
      </w:pPr>
      <w:r>
        <w:fldChar w:fldCharType="begin">
          <w:ffData>
            <w:name w:val="CSTD_NAME"/>
            <w:enabled/>
            <w:calcOnExit w:val="0"/>
            <w:textInput>
              <w:default w:val="工程总承包项目造价风险分级管控实施导则"/>
            </w:textInput>
          </w:ffData>
        </w:fldChar>
      </w:r>
      <w:bookmarkStart w:id="9" w:name="CSTD_NAME"/>
      <w:r>
        <w:instrText xml:space="preserve"> FORMTEXT </w:instrText>
      </w:r>
      <w:r>
        <w:fldChar w:fldCharType="separate"/>
      </w:r>
      <w:r>
        <w:t>工程总承包项目造价风险分级管控</w:t>
      </w:r>
    </w:p>
    <w:p w14:paraId="73594FE6">
      <w:pPr>
        <w:pStyle w:val="197"/>
        <w:framePr w:h="6974" w:hRule="exact" w:wrap="around" w:x="1419" w:anchorLock="1"/>
      </w:pPr>
      <w:r>
        <w:t>实施导则</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graded risk control of project cost in engineering procurement and construction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graded risk control of project cost in engineering procurement and construction projects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2F677A7">
      <w:pPr>
        <w:pStyle w:val="91"/>
        <w:spacing w:after="360"/>
      </w:pPr>
      <w:bookmarkStart w:id="21" w:name="BookMark1"/>
      <w:r>
        <w:rPr>
          <w:rFonts w:hint="eastAsia"/>
          <w:spacing w:val="320"/>
        </w:rPr>
        <w:t>目</w:t>
      </w:r>
      <w:r>
        <w:rPr>
          <w:rFonts w:hint="eastAsia"/>
        </w:rPr>
        <w:t>次</w:t>
      </w:r>
    </w:p>
    <w:p w14:paraId="37404AC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"_Toc218882934"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_Toc218882934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8824F1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"_Toc218882935"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_Toc218882935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A20530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"_Toc218882936"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_Toc218882936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1D5C0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"_Toc218882937"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_Toc218882937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2604C6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"_Toc218882938"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_Toc218882938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35F559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"_Toc218882939"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_Toc218882939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B647E9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"_Toc218882940" </w:instrText>
      </w:r>
      <w:r>
        <w:fldChar w:fldCharType="separate"/>
      </w:r>
      <w:r>
        <w:rPr>
          <w:rStyle w:val="32"/>
          <w:rFonts w:hint="eastAsia"/>
        </w:rPr>
        <w:t>5</w:t>
      </w:r>
      <w:r>
        <w:rPr>
          <w:rStyle w:val="32"/>
        </w:rPr>
        <w:t xml:space="preserve"> </w:t>
      </w:r>
      <w:r>
        <w:rPr>
          <w:rStyle w:val="32"/>
          <w:rFonts w:hint="eastAsia"/>
        </w:rPr>
        <w:t xml:space="preserve"> 造价风险识别与分类</w:t>
      </w:r>
      <w:r>
        <w:rPr>
          <w:rFonts w:hint="eastAsia"/>
        </w:rPr>
        <w:tab/>
      </w:r>
      <w:r>
        <w:rPr>
          <w:rFonts w:hint="eastAsia"/>
        </w:rPr>
        <w:fldChar w:fldCharType="begin"/>
      </w:r>
      <w:r>
        <w:rPr>
          <w:rFonts w:hint="eastAsia"/>
        </w:rPr>
        <w:instrText xml:space="preserve"> </w:instrText>
      </w:r>
      <w:r>
        <w:instrText xml:space="preserve">PAGEREF _Toc218882940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95857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"_Toc218882941" </w:instrText>
      </w:r>
      <w:r>
        <w:fldChar w:fldCharType="separate"/>
      </w:r>
      <w:r>
        <w:rPr>
          <w:rStyle w:val="32"/>
          <w:rFonts w:hint="eastAsia"/>
        </w:rPr>
        <w:t>6</w:t>
      </w:r>
      <w:r>
        <w:rPr>
          <w:rStyle w:val="32"/>
        </w:rPr>
        <w:t xml:space="preserve"> </w:t>
      </w:r>
      <w:r>
        <w:rPr>
          <w:rStyle w:val="32"/>
          <w:rFonts w:hint="eastAsia"/>
        </w:rPr>
        <w:t xml:space="preserve"> 风险评估与分级</w:t>
      </w:r>
      <w:r>
        <w:rPr>
          <w:rFonts w:hint="eastAsia"/>
        </w:rPr>
        <w:tab/>
      </w:r>
      <w:r>
        <w:rPr>
          <w:rFonts w:hint="eastAsia"/>
        </w:rPr>
        <w:fldChar w:fldCharType="begin"/>
      </w:r>
      <w:r>
        <w:rPr>
          <w:rFonts w:hint="eastAsia"/>
        </w:rPr>
        <w:instrText xml:space="preserve"> </w:instrText>
      </w:r>
      <w:r>
        <w:instrText xml:space="preserve">PAGEREF _Toc218882941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D19B12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"_Toc218882942" </w:instrText>
      </w:r>
      <w:r>
        <w:fldChar w:fldCharType="separate"/>
      </w:r>
      <w:r>
        <w:rPr>
          <w:rStyle w:val="32"/>
          <w:rFonts w:hint="eastAsia"/>
        </w:rPr>
        <w:t>7</w:t>
      </w:r>
      <w:r>
        <w:rPr>
          <w:rStyle w:val="32"/>
        </w:rPr>
        <w:t xml:space="preserve"> </w:t>
      </w:r>
      <w:r>
        <w:rPr>
          <w:rStyle w:val="32"/>
          <w:rFonts w:hint="eastAsia"/>
        </w:rPr>
        <w:t xml:space="preserve"> 分级管控措施与要求</w:t>
      </w:r>
      <w:r>
        <w:rPr>
          <w:rFonts w:hint="eastAsia"/>
        </w:rPr>
        <w:tab/>
      </w:r>
      <w:r>
        <w:rPr>
          <w:rFonts w:hint="eastAsia"/>
        </w:rPr>
        <w:fldChar w:fldCharType="begin"/>
      </w:r>
      <w:r>
        <w:rPr>
          <w:rFonts w:hint="eastAsia"/>
        </w:rPr>
        <w:instrText xml:space="preserve"> </w:instrText>
      </w:r>
      <w:r>
        <w:instrText xml:space="preserve">PAGEREF _Toc218882942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DAF493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"_Toc218882943" </w:instrText>
      </w:r>
      <w:r>
        <w:fldChar w:fldCharType="separate"/>
      </w:r>
      <w:r>
        <w:rPr>
          <w:rStyle w:val="32"/>
          <w:rFonts w:hint="eastAsia"/>
        </w:rPr>
        <w:t>8</w:t>
      </w:r>
      <w:r>
        <w:rPr>
          <w:rStyle w:val="32"/>
        </w:rPr>
        <w:t xml:space="preserve"> </w:t>
      </w:r>
      <w:r>
        <w:rPr>
          <w:rStyle w:val="32"/>
          <w:rFonts w:hint="eastAsia"/>
        </w:rPr>
        <w:t xml:space="preserve"> 风险台账管理要求</w:t>
      </w:r>
      <w:r>
        <w:rPr>
          <w:rFonts w:hint="eastAsia"/>
        </w:rPr>
        <w:tab/>
      </w:r>
      <w:r>
        <w:rPr>
          <w:rFonts w:hint="eastAsia"/>
        </w:rPr>
        <w:fldChar w:fldCharType="begin"/>
      </w:r>
      <w:r>
        <w:rPr>
          <w:rFonts w:hint="eastAsia"/>
        </w:rPr>
        <w:instrText xml:space="preserve"> </w:instrText>
      </w:r>
      <w:r>
        <w:instrText xml:space="preserve">PAGEREF _Toc218882943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898A79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"_Toc218882944" </w:instrText>
      </w:r>
      <w:r>
        <w:fldChar w:fldCharType="separate"/>
      </w:r>
      <w:r>
        <w:rPr>
          <w:rStyle w:val="32"/>
          <w:rFonts w:hint="eastAsia"/>
        </w:rPr>
        <w:t>9</w:t>
      </w:r>
      <w:r>
        <w:rPr>
          <w:rStyle w:val="32"/>
        </w:rPr>
        <w:t xml:space="preserve"> </w:t>
      </w:r>
      <w:r>
        <w:rPr>
          <w:rStyle w:val="32"/>
          <w:rFonts w:hint="eastAsia"/>
        </w:rPr>
        <w:t xml:space="preserve"> 信息化与数据治理要求</w:t>
      </w:r>
      <w:r>
        <w:rPr>
          <w:rFonts w:hint="eastAsia"/>
        </w:rPr>
        <w:tab/>
      </w:r>
      <w:r>
        <w:rPr>
          <w:rFonts w:hint="eastAsia"/>
        </w:rPr>
        <w:fldChar w:fldCharType="begin"/>
      </w:r>
      <w:r>
        <w:rPr>
          <w:rFonts w:hint="eastAsia"/>
        </w:rPr>
        <w:instrText xml:space="preserve"> </w:instrText>
      </w:r>
      <w:r>
        <w:instrText xml:space="preserve">PAGEREF _Toc218882944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0362E35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"_Toc218882945" </w:instrText>
      </w:r>
      <w:r>
        <w:fldChar w:fldCharType="separate"/>
      </w:r>
      <w:r>
        <w:rPr>
          <w:rStyle w:val="32"/>
          <w:rFonts w:hint="eastAsia"/>
        </w:rPr>
        <w:t>10</w:t>
      </w:r>
      <w:r>
        <w:rPr>
          <w:rStyle w:val="32"/>
        </w:rPr>
        <w:t xml:space="preserve"> </w:t>
      </w:r>
      <w:r>
        <w:rPr>
          <w:rStyle w:val="32"/>
          <w:rFonts w:hint="eastAsia"/>
        </w:rPr>
        <w:t xml:space="preserve"> 监督检查要求</w:t>
      </w:r>
      <w:r>
        <w:rPr>
          <w:rFonts w:hint="eastAsia"/>
        </w:rPr>
        <w:tab/>
      </w:r>
      <w:r>
        <w:rPr>
          <w:rFonts w:hint="eastAsia"/>
        </w:rPr>
        <w:fldChar w:fldCharType="begin"/>
      </w:r>
      <w:r>
        <w:rPr>
          <w:rFonts w:hint="eastAsia"/>
        </w:rPr>
        <w:instrText xml:space="preserve"> </w:instrText>
      </w:r>
      <w:r>
        <w:instrText xml:space="preserve">PAGEREF _Toc218882945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3B8480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"_Toc218882946" </w:instrText>
      </w:r>
      <w:r>
        <w:fldChar w:fldCharType="separate"/>
      </w:r>
      <w:r>
        <w:rPr>
          <w:rStyle w:val="32"/>
          <w:rFonts w:hint="eastAsia"/>
        </w:rPr>
        <w:t>11</w:t>
      </w:r>
      <w:r>
        <w:rPr>
          <w:rStyle w:val="32"/>
        </w:rPr>
        <w:t xml:space="preserve"> </w:t>
      </w:r>
      <w:r>
        <w:rPr>
          <w:rStyle w:val="32"/>
          <w:rFonts w:hint="eastAsia"/>
        </w:rPr>
        <w:t xml:space="preserve"> 绩效评价要求</w:t>
      </w:r>
      <w:r>
        <w:rPr>
          <w:rFonts w:hint="eastAsia"/>
        </w:rPr>
        <w:tab/>
      </w:r>
      <w:r>
        <w:rPr>
          <w:rFonts w:hint="eastAsia"/>
        </w:rPr>
        <w:fldChar w:fldCharType="begin"/>
      </w:r>
      <w:r>
        <w:rPr>
          <w:rFonts w:hint="eastAsia"/>
        </w:rPr>
        <w:instrText xml:space="preserve"> </w:instrText>
      </w:r>
      <w:r>
        <w:instrText xml:space="preserve">PAGEREF _Toc218882946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FAF78E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"_Toc218882947" </w:instrText>
      </w:r>
      <w:r>
        <w:fldChar w:fldCharType="separate"/>
      </w:r>
      <w:r>
        <w:rPr>
          <w:rStyle w:val="32"/>
          <w:rFonts w:hint="eastAsia"/>
        </w:rPr>
        <w:t>12</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_Toc218882947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2AA5818C">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8882934"/>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本文件起草单位：万邦工程管理咨询有限公司。</w:t>
      </w:r>
    </w:p>
    <w:p w14:paraId="55F4A5D1">
      <w:pPr>
        <w:pStyle w:val="56"/>
        <w:spacing w:line="360" w:lineRule="auto"/>
        <w:ind w:firstLine="420"/>
      </w:pPr>
      <w:r>
        <w:rPr>
          <w:rFonts w:hint="eastAsia"/>
        </w:rPr>
        <w:t>本文件主要起草人：张洪钢。</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8882935"/>
      <w:bookmarkStart w:id="25" w:name="BookMark3"/>
      <w:r>
        <w:rPr>
          <w:spacing w:val="320"/>
        </w:rPr>
        <w:t>引</w:t>
      </w:r>
      <w:r>
        <w:t>言</w:t>
      </w:r>
      <w:bookmarkEnd w:id="24"/>
    </w:p>
    <w:p w14:paraId="21D4A26D">
      <w:pPr>
        <w:pStyle w:val="56"/>
        <w:spacing w:line="360" w:lineRule="auto"/>
        <w:ind w:firstLine="420"/>
      </w:pPr>
      <w:r>
        <w:rPr>
          <w:rFonts w:hint="eastAsia"/>
        </w:rPr>
        <w:t>工程总承包（EPC）模式以设计、采购、施工等环节一体化组织实施为主要特征，能够通过集成化管理提升项目交付效率与协同水平。但在实践中，工程总承包项目常同时面临市场价格波动、设计变更与深化不确定性、采购周期与供应链扰动、施工组织与工期约束、合同边界与风险分担机制不清、分包管理复杂、计量计价规则差异、现场条件偏差、政策及税费调整等多源造价风险。若缺乏系统化的风险识别、分级与闭环管控机制，易造成投资失控、合同争议增多、结算周期拉长，甚至引发履约风险与项目经营亏损，影响工程质量、安全与综合效益。</w:t>
      </w:r>
    </w:p>
    <w:p w14:paraId="2F706B34">
      <w:pPr>
        <w:pStyle w:val="56"/>
        <w:spacing w:line="360" w:lineRule="auto"/>
        <w:ind w:firstLine="420"/>
      </w:pPr>
      <w:r>
        <w:rPr>
          <w:rFonts w:hint="eastAsia"/>
        </w:rPr>
        <w:t>为提升工程总承包项目造价管理的前瞻性、系统性与可操作性，本文件提出工程总承包项目造价风险分级管控的总体框架与实施要求，强调以“风险识别—评估分级—策略匹配—过程控制—监测预警—处置改进—资料归档”的全流程闭环为主线，形成可执行、可追溯、可评价的管理体系。通过建立统一的风险分级标准、明确不同风险等级的管控目标与措施清单、规范责任分工与协同机制、强化关键节点控制与变更/索赔管理、完善数据化监测与预警手段，推动造价风险从被动应对向主动预防转变，从经验管理向标准化、数据化管理升级。</w:t>
      </w:r>
    </w:p>
    <w:p w14:paraId="7F4A69FE">
      <w:pPr>
        <w:pStyle w:val="56"/>
        <w:spacing w:line="360" w:lineRule="auto"/>
        <w:ind w:firstLine="420"/>
      </w:pPr>
      <w:r>
        <w:rPr>
          <w:rFonts w:hint="eastAsia"/>
        </w:rPr>
        <w:t>本文件适用于新建、改扩建工程总承包项目的业主单位、工程总承包单位及其设计、采购、施工、分包、咨询、监理等相关参与方在项目全生命周期内开展造价风险分级管控活动，也可为类似集成化交付模式项目的造价风险管理提供参考。实施过程中，应结合项目规模、复杂程度、合同类型与计价方式、风险分担约定、区域市场环境等因素进行适配，并与项目管理、合同管理、进度管理、质量安全管理、信息化管理等体系协同运行，以实现投资目标、合同目标与经营目标的综合平衡。</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414AC294">
          <w:pPr>
            <w:pStyle w:val="177"/>
            <w:spacing w:after="0"/>
          </w:pPr>
          <w:bookmarkStart w:id="27" w:name="NEW_STAND_NAME"/>
          <w:r>
            <w:rPr>
              <w:rFonts w:hint="eastAsia"/>
            </w:rPr>
            <w:t>工程总承包项目造价风险分级管控</w:t>
          </w:r>
        </w:p>
        <w:p w14:paraId="7D4E3E1F">
          <w:pPr>
            <w:pStyle w:val="177"/>
            <w:spacing w:before="0"/>
          </w:pPr>
          <w:r>
            <w:rPr>
              <w:rFonts w:hint="eastAsia"/>
            </w:rPr>
            <w:t>实施导则</w:t>
          </w:r>
        </w:p>
      </w:sdtContent>
    </w:sdt>
    <w:bookmarkEnd w:id="27"/>
    <w:p w14:paraId="3DB22445">
      <w:pPr>
        <w:pStyle w:val="104"/>
        <w:spacing w:before="240" w:after="240" w:line="360" w:lineRule="auto"/>
      </w:pPr>
      <w:bookmarkStart w:id="28" w:name="_Toc26718930"/>
      <w:bookmarkStart w:id="29" w:name="_Toc24884211"/>
      <w:bookmarkStart w:id="30" w:name="_Toc24884218"/>
      <w:bookmarkStart w:id="31" w:name="_Toc17233325"/>
      <w:bookmarkStart w:id="32" w:name="_Toc26986771"/>
      <w:bookmarkStart w:id="33" w:name="_Toc26986530"/>
      <w:bookmarkStart w:id="34" w:name="_Toc26648465"/>
      <w:bookmarkStart w:id="35" w:name="_Toc17233333"/>
      <w:bookmarkStart w:id="36" w:name="_Toc97192964"/>
      <w:bookmarkStart w:id="37" w:name="_Toc218882936"/>
      <w:r>
        <w:rPr>
          <w:rFonts w:hint="eastAsia"/>
        </w:rPr>
        <w:t>范围</w:t>
      </w:r>
      <w:bookmarkEnd w:id="28"/>
      <w:bookmarkEnd w:id="29"/>
      <w:bookmarkEnd w:id="30"/>
      <w:bookmarkEnd w:id="31"/>
      <w:bookmarkEnd w:id="32"/>
      <w:bookmarkEnd w:id="33"/>
      <w:bookmarkEnd w:id="34"/>
      <w:bookmarkEnd w:id="35"/>
      <w:bookmarkEnd w:id="36"/>
      <w:bookmarkEnd w:id="37"/>
    </w:p>
    <w:p w14:paraId="6CF7D250">
      <w:pPr>
        <w:pStyle w:val="56"/>
        <w:spacing w:line="360" w:lineRule="auto"/>
        <w:ind w:firstLine="420"/>
      </w:pPr>
      <w:bookmarkStart w:id="38" w:name="_Toc24884219"/>
      <w:bookmarkStart w:id="39" w:name="_Toc17233326"/>
      <w:bookmarkStart w:id="40" w:name="_Toc26648466"/>
      <w:bookmarkStart w:id="41" w:name="_Toc17233334"/>
      <w:bookmarkStart w:id="42" w:name="_Toc24884212"/>
      <w:r>
        <w:rPr>
          <w:rFonts w:hint="eastAsia"/>
        </w:rPr>
        <w:t>本文件规定了工程总承包（EPC）项目造价风险分级管控的基本要求，包括总体要求、造价风险识别与分类、风险评估与分级、分级管控措施与要求、风险台账管理要求、息化与数据治理要求、监督检查要求、绩效评价要求等内容。</w:t>
      </w:r>
    </w:p>
    <w:p w14:paraId="76265264">
      <w:pPr>
        <w:pStyle w:val="56"/>
        <w:spacing w:line="360" w:lineRule="auto"/>
        <w:ind w:firstLine="420"/>
      </w:pPr>
      <w:r>
        <w:rPr>
          <w:rFonts w:hint="eastAsia"/>
        </w:rPr>
        <w:t>本文件适用于采用工程总承包模式实施的新建、改扩建工程项目的造价风险管理工作，涵盖房屋建筑、市政基础设施、交通、水利水电、能源化工、工业厂房等类型项目。对于已进入运营期的资产运营造价管理，可参照本文件相关原则执行。</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18882937"/>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DB8AA7">
      <w:pPr>
        <w:pStyle w:val="56"/>
        <w:spacing w:line="360" w:lineRule="auto"/>
        <w:ind w:firstLine="420"/>
      </w:pPr>
      <w:r>
        <w:rPr>
          <w:rFonts w:hint="eastAsia"/>
        </w:rPr>
        <w:t>GB 50501—2007 水利工程工程量清单计价规范</w:t>
      </w:r>
    </w:p>
    <w:p w14:paraId="10625F79">
      <w:pPr>
        <w:pStyle w:val="56"/>
        <w:spacing w:line="360" w:lineRule="auto"/>
        <w:ind w:firstLine="420"/>
      </w:pPr>
      <w:r>
        <w:rPr>
          <w:rFonts w:hint="eastAsia"/>
        </w:rPr>
        <w:t>GB/T 1.1—2</w:t>
      </w:r>
      <w:r>
        <w:t>020</w:t>
      </w:r>
      <w:r>
        <w:rPr>
          <w:rFonts w:hint="eastAsia"/>
        </w:rPr>
        <w:t xml:space="preserve"> 标准化工作导则 </w:t>
      </w:r>
      <w:r>
        <w:t xml:space="preserve"> </w:t>
      </w:r>
      <w:r>
        <w:rPr>
          <w:rFonts w:hint="eastAsia"/>
        </w:rPr>
        <w:t>第1部分：标准化文件的结构和起草规则</w:t>
      </w:r>
    </w:p>
    <w:p w14:paraId="07A7F860">
      <w:pPr>
        <w:pStyle w:val="56"/>
        <w:spacing w:line="360" w:lineRule="auto"/>
        <w:ind w:firstLine="420"/>
      </w:pPr>
      <w:r>
        <w:rPr>
          <w:rFonts w:hint="eastAsia"/>
        </w:rPr>
        <w:t>GB/T 19000 质量管理体系  基础和术语</w:t>
      </w:r>
    </w:p>
    <w:p w14:paraId="21CC26B4">
      <w:pPr>
        <w:pStyle w:val="56"/>
        <w:spacing w:line="360" w:lineRule="auto"/>
        <w:ind w:firstLine="420"/>
      </w:pPr>
      <w:r>
        <w:rPr>
          <w:rFonts w:hint="eastAsia"/>
        </w:rPr>
        <w:t>GB/T 50326 建设工程项目管理规范</w:t>
      </w:r>
    </w:p>
    <w:p w14:paraId="2FF57FBD">
      <w:pPr>
        <w:pStyle w:val="56"/>
        <w:spacing w:line="360" w:lineRule="auto"/>
        <w:ind w:firstLine="420"/>
      </w:pPr>
      <w:r>
        <w:rPr>
          <w:rFonts w:hint="eastAsia"/>
        </w:rPr>
        <w:t>GB/T 50358—2017 建设项目工程总承包管理规范</w:t>
      </w:r>
    </w:p>
    <w:p w14:paraId="51F02A4E">
      <w:pPr>
        <w:pStyle w:val="104"/>
        <w:spacing w:before="240" w:after="240" w:line="360" w:lineRule="auto"/>
      </w:pPr>
      <w:bookmarkStart w:id="48" w:name="_Toc97192966"/>
      <w:bookmarkStart w:id="49" w:name="_Toc218882938"/>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CFF3D4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工程总承包 engineering procurement and construction</w:t>
      </w:r>
    </w:p>
    <w:p w14:paraId="26DE0384">
      <w:pPr>
        <w:pStyle w:val="56"/>
        <w:spacing w:line="360" w:lineRule="auto"/>
        <w:ind w:firstLine="420"/>
      </w:pPr>
      <w:r>
        <w:rPr>
          <w:rFonts w:hint="eastAsia"/>
        </w:rPr>
        <w:t>承包人受发包人委托，对工程建设项目的设计、采购、施工等实行全过程或若干阶段的承包，并按合同约定对质量、安全、工期和造价等目标负责的项目组织与合同模式。</w:t>
      </w:r>
    </w:p>
    <w:p w14:paraId="73BE801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项目造价 project cost</w:t>
      </w:r>
    </w:p>
    <w:p w14:paraId="6E450357">
      <w:pPr>
        <w:pStyle w:val="56"/>
        <w:spacing w:line="360" w:lineRule="auto"/>
        <w:ind w:firstLine="420"/>
      </w:pPr>
      <w:r>
        <w:rPr>
          <w:rFonts w:hint="eastAsia"/>
        </w:rPr>
        <w:t>为完成工程总承包项目建设目标而发生的各项费用的总和，通常包括但不限于勘察设计费、设备材料采购费、施工费用、措施费、规费税金、风险费用及合同约定的其他费用。</w:t>
      </w:r>
    </w:p>
    <w:p w14:paraId="125B199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造价风险 cost risk</w:t>
      </w:r>
    </w:p>
    <w:p w14:paraId="4BF22793">
      <w:pPr>
        <w:pStyle w:val="56"/>
        <w:spacing w:line="360" w:lineRule="auto"/>
        <w:ind w:firstLine="420"/>
      </w:pPr>
      <w:r>
        <w:rPr>
          <w:rFonts w:hint="eastAsia"/>
        </w:rPr>
        <w:t>由于不确定因素导致项目造价目标发生偏差的可能性及其后果，包括造价超支、成本收益偏离、现金流失衡、索赔争议增加等结果的风险。</w:t>
      </w:r>
    </w:p>
    <w:p w14:paraId="24EB3A0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造价风险识别 cost risk identification</w:t>
      </w:r>
    </w:p>
    <w:p w14:paraId="6F1D2515">
      <w:pPr>
        <w:pStyle w:val="56"/>
        <w:spacing w:line="360" w:lineRule="auto"/>
        <w:ind w:firstLine="420"/>
      </w:pPr>
      <w:r>
        <w:rPr>
          <w:rFonts w:hint="eastAsia"/>
        </w:rPr>
        <w:t>围绕项目全生命周期活动，对可能影响造价目标的不确定因素进行收集、归类、描述并形成可追溯清单的过程。</w:t>
      </w:r>
    </w:p>
    <w:p w14:paraId="303478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风险评估 risk assessment</w:t>
      </w:r>
    </w:p>
    <w:p w14:paraId="67F7E974">
      <w:pPr>
        <w:pStyle w:val="56"/>
        <w:spacing w:line="360" w:lineRule="auto"/>
        <w:ind w:firstLine="420"/>
      </w:pPr>
      <w:r>
        <w:rPr>
          <w:rFonts w:hint="eastAsia"/>
        </w:rPr>
        <w:t>对已识别风险的发生概率、影响程度及可控性等进行分析评价，并据此确定风险优先级与处置策略的过程。</w:t>
      </w:r>
    </w:p>
    <w:p w14:paraId="733E7BF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风险分级 risk grading</w:t>
      </w:r>
    </w:p>
    <w:p w14:paraId="3F26E4FC">
      <w:pPr>
        <w:pStyle w:val="56"/>
        <w:spacing w:line="360" w:lineRule="auto"/>
        <w:ind w:firstLine="420"/>
      </w:pPr>
      <w:r>
        <w:rPr>
          <w:rFonts w:hint="eastAsia"/>
        </w:rPr>
        <w:t>依据统一的评价维度与判定规则，将风险按严重程度划分为若干等级（如Ⅰ级至Ⅳ级或高、中、低），以指导管理资源投入、审批权限配置与控制措施匹配的管理方法。</w:t>
      </w:r>
    </w:p>
    <w:p w14:paraId="6861AC5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分级管控 graded control</w:t>
      </w:r>
    </w:p>
    <w:p w14:paraId="061E239C">
      <w:pPr>
        <w:pStyle w:val="56"/>
        <w:spacing w:line="360" w:lineRule="auto"/>
        <w:ind w:firstLine="420"/>
      </w:pPr>
      <w:r>
        <w:rPr>
          <w:rFonts w:hint="eastAsia"/>
        </w:rPr>
        <w:t>针对不同风险等级，分别规定责任主体、控制措施、监测频次、预警阈值、处置流程与复盘要求的差异化管理机制。</w:t>
      </w:r>
    </w:p>
    <w:p w14:paraId="7E808D2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风险阈值 risk threshold</w:t>
      </w:r>
    </w:p>
    <w:p w14:paraId="11ED0D72">
      <w:pPr>
        <w:pStyle w:val="56"/>
        <w:spacing w:line="360" w:lineRule="auto"/>
        <w:ind w:firstLine="420"/>
      </w:pPr>
      <w:r>
        <w:rPr>
          <w:rFonts w:hint="eastAsia"/>
        </w:rPr>
        <w:t>用于触发预警、升级管控或启动应急处置的量化界限值，可基于成本偏差、价格指数波动幅度、工期关键路径偏差、变更金额占比等指标设定。</w:t>
      </w:r>
    </w:p>
    <w:p w14:paraId="18A2A244">
      <w:pPr>
        <w:pStyle w:val="104"/>
        <w:spacing w:before="240" w:after="240" w:line="360" w:lineRule="auto"/>
      </w:pPr>
      <w:bookmarkStart w:id="51" w:name="_Toc218882939"/>
      <w:r>
        <w:rPr>
          <w:rFonts w:hint="eastAsia"/>
        </w:rPr>
        <w:t>总体要求</w:t>
      </w:r>
      <w:bookmarkEnd w:id="51"/>
    </w:p>
    <w:p w14:paraId="2D401BD9">
      <w:pPr>
        <w:pStyle w:val="105"/>
        <w:spacing w:before="120" w:after="120" w:line="360" w:lineRule="auto"/>
      </w:pPr>
      <w:r>
        <w:rPr>
          <w:rFonts w:hint="eastAsia"/>
        </w:rPr>
        <w:t>总体目标</w:t>
      </w:r>
    </w:p>
    <w:p w14:paraId="2CDD78FD">
      <w:pPr>
        <w:pStyle w:val="56"/>
        <w:spacing w:line="360" w:lineRule="auto"/>
        <w:ind w:firstLine="420"/>
      </w:pPr>
      <w:r>
        <w:rPr>
          <w:rFonts w:hint="eastAsia"/>
        </w:rPr>
        <w:t>工程总承包（EPC）项目造价风险分级管控应以合同约定的造价目标（合同价、控制价、目标成本、最高限价或经批准的投资控制目标等）为基准，建立覆盖项目全生命周期的风险识别、评估分级、差异化控制、动态监测预警与闭环改进机制，实现以下目标：</w:t>
      </w:r>
    </w:p>
    <w:p w14:paraId="4777518F">
      <w:pPr>
        <w:pStyle w:val="56"/>
        <w:spacing w:line="360" w:lineRule="auto"/>
        <w:ind w:firstLine="420"/>
      </w:pPr>
      <w:r>
        <w:rPr>
          <w:rFonts w:hint="eastAsia"/>
        </w:rPr>
        <w:t>a) 将造价风险管理前移至投标与实施策划、方案论证与限额设计、采购策略与锁价安排等关键前端环节；</w:t>
      </w:r>
    </w:p>
    <w:p w14:paraId="4780B803">
      <w:pPr>
        <w:pStyle w:val="56"/>
        <w:spacing w:line="360" w:lineRule="auto"/>
        <w:ind w:firstLine="420"/>
      </w:pPr>
      <w:r>
        <w:rPr>
          <w:rFonts w:hint="eastAsia"/>
        </w:rPr>
        <w:t>b) 以风险等级为主线配置审批权限、资源投入与控制频次，提升重大风险的可预见性与可控性；</w:t>
      </w:r>
    </w:p>
    <w:p w14:paraId="3020157F">
      <w:pPr>
        <w:pStyle w:val="56"/>
        <w:spacing w:line="360" w:lineRule="auto"/>
        <w:ind w:firstLine="420"/>
      </w:pPr>
      <w:r>
        <w:rPr>
          <w:rFonts w:hint="eastAsia"/>
        </w:rPr>
        <w:t>c) 与合同管理、设计管理、采购管理、施工管理、资金管理、变更与索赔管理协同运行，避免风险在不同职能间转移或叠加放大；</w:t>
      </w:r>
    </w:p>
    <w:p w14:paraId="35BA7E17">
      <w:pPr>
        <w:pStyle w:val="56"/>
        <w:spacing w:line="360" w:lineRule="auto"/>
        <w:ind w:firstLine="420"/>
      </w:pPr>
      <w:r>
        <w:rPr>
          <w:rFonts w:hint="eastAsia"/>
        </w:rPr>
        <w:t>d) 形成可量化、可追溯、可审计的风险管理证据链，为结算、审计与争议解决提供支撑。</w:t>
      </w:r>
    </w:p>
    <w:p w14:paraId="3A2E2BAF">
      <w:pPr>
        <w:pStyle w:val="105"/>
        <w:spacing w:before="120" w:after="120" w:line="360" w:lineRule="auto"/>
      </w:pPr>
      <w:r>
        <w:rPr>
          <w:rFonts w:hint="eastAsia"/>
        </w:rPr>
        <w:t>基本原则</w:t>
      </w:r>
    </w:p>
    <w:p w14:paraId="4BB7169D">
      <w:pPr>
        <w:pStyle w:val="65"/>
        <w:spacing w:before="120" w:after="120" w:line="360" w:lineRule="auto"/>
      </w:pPr>
      <w:r>
        <w:rPr>
          <w:rFonts w:hint="eastAsia"/>
        </w:rPr>
        <w:t>目标导向原则</w:t>
      </w:r>
    </w:p>
    <w:p w14:paraId="1D0B6A99">
      <w:pPr>
        <w:pStyle w:val="56"/>
        <w:spacing w:line="360" w:lineRule="auto"/>
        <w:ind w:firstLine="420"/>
      </w:pPr>
      <w:r>
        <w:rPr>
          <w:rFonts w:hint="eastAsia"/>
        </w:rPr>
        <w:t>应以经批准的造价目标与成本基线为控制标尺，明确偏差口径、统计周期与责任归属，并将风险分级管控要求嵌入项目决策、审批与执行流程。</w:t>
      </w:r>
    </w:p>
    <w:p w14:paraId="5F67E3C0">
      <w:pPr>
        <w:pStyle w:val="65"/>
        <w:spacing w:before="120" w:after="120" w:line="360" w:lineRule="auto"/>
      </w:pPr>
      <w:r>
        <w:rPr>
          <w:rFonts w:hint="eastAsia"/>
        </w:rPr>
        <w:t>分级管控原则</w:t>
      </w:r>
    </w:p>
    <w:p w14:paraId="13D97435">
      <w:pPr>
        <w:pStyle w:val="56"/>
        <w:spacing w:line="360" w:lineRule="auto"/>
        <w:ind w:firstLine="420"/>
      </w:pPr>
      <w:r>
        <w:rPr>
          <w:rFonts w:hint="eastAsia"/>
        </w:rPr>
        <w:t>应建立统一的风险评估维度与分级规则，对不同等级风险实施差异化管理，确保“高风险严控、中风险常控、低风险自控”。</w:t>
      </w:r>
    </w:p>
    <w:p w14:paraId="1BC00465">
      <w:pPr>
        <w:pStyle w:val="65"/>
        <w:spacing w:before="120" w:after="120" w:line="360" w:lineRule="auto"/>
      </w:pPr>
      <w:r>
        <w:rPr>
          <w:rFonts w:hint="eastAsia"/>
        </w:rPr>
        <w:t>权责一致原则</w:t>
      </w:r>
    </w:p>
    <w:p w14:paraId="30EFE21F">
      <w:pPr>
        <w:pStyle w:val="56"/>
        <w:spacing w:line="360" w:lineRule="auto"/>
        <w:ind w:firstLine="420"/>
      </w:pPr>
      <w:r>
        <w:rPr>
          <w:rFonts w:hint="eastAsia"/>
        </w:rPr>
        <w:t>应在合同结构与组织架构中明确风险承担主体、控制权限与处置责任，做到责任可追溯、权限可验证、决策可留痕。</w:t>
      </w:r>
    </w:p>
    <w:p w14:paraId="3637E25C">
      <w:pPr>
        <w:pStyle w:val="65"/>
        <w:spacing w:before="120" w:after="120" w:line="360" w:lineRule="auto"/>
      </w:pPr>
      <w:r>
        <w:rPr>
          <w:rFonts w:hint="eastAsia"/>
        </w:rPr>
        <w:t>前置预防与过程控制并重原则</w:t>
      </w:r>
    </w:p>
    <w:p w14:paraId="2A92AD7C">
      <w:pPr>
        <w:pStyle w:val="56"/>
        <w:spacing w:line="360" w:lineRule="auto"/>
        <w:ind w:firstLine="420"/>
      </w:pPr>
      <w:r>
        <w:rPr>
          <w:rFonts w:hint="eastAsia"/>
        </w:rPr>
        <w:t>应强化设计限额与方案比选、采购策略与关键资源锁定、施工组织与关键工序管控等源头控制，同时建立过程偏差快速纠偏机制。</w:t>
      </w:r>
    </w:p>
    <w:p w14:paraId="5FC07E07">
      <w:pPr>
        <w:pStyle w:val="65"/>
        <w:spacing w:before="120" w:after="120" w:line="360" w:lineRule="auto"/>
      </w:pPr>
      <w:r>
        <w:rPr>
          <w:rFonts w:hint="eastAsia"/>
        </w:rPr>
        <w:t>动态更新原则</w:t>
      </w:r>
    </w:p>
    <w:p w14:paraId="681BB4CB">
      <w:pPr>
        <w:pStyle w:val="56"/>
        <w:spacing w:line="360" w:lineRule="auto"/>
        <w:ind w:firstLine="420"/>
      </w:pPr>
      <w:r>
        <w:rPr>
          <w:rFonts w:hint="eastAsia"/>
        </w:rPr>
        <w:t>应依据市场价格、设计变更、现场条件、供应链履约与合同执行情况，定期更新风险状态与等级，并同步调整控制措施与监测频次。</w:t>
      </w:r>
    </w:p>
    <w:p w14:paraId="65AB85AC">
      <w:pPr>
        <w:pStyle w:val="65"/>
        <w:spacing w:before="120" w:after="120" w:line="360" w:lineRule="auto"/>
      </w:pPr>
      <w:r>
        <w:rPr>
          <w:rFonts w:hint="eastAsia"/>
        </w:rPr>
        <w:t>数据一致与可追溯原则</w:t>
      </w:r>
    </w:p>
    <w:p w14:paraId="658F5C36">
      <w:pPr>
        <w:pStyle w:val="56"/>
        <w:spacing w:line="360" w:lineRule="auto"/>
        <w:ind w:firstLine="420"/>
      </w:pPr>
      <w:r>
        <w:rPr>
          <w:rFonts w:hint="eastAsia"/>
        </w:rPr>
        <w:t>应统一成本数据口径、计量计价规则与台账编码体系，确保风险台账、变更签证、采购合同、支付计量、结算审计等资料之间可相互校核。</w:t>
      </w:r>
    </w:p>
    <w:p w14:paraId="49597C61">
      <w:pPr>
        <w:pStyle w:val="105"/>
        <w:spacing w:before="120" w:after="120" w:line="360" w:lineRule="auto"/>
      </w:pPr>
      <w:r>
        <w:rPr>
          <w:rFonts w:hint="eastAsia"/>
        </w:rPr>
        <w:t>组织架构与职责配置</w:t>
      </w:r>
    </w:p>
    <w:p w14:paraId="22AAB522">
      <w:pPr>
        <w:pStyle w:val="65"/>
        <w:spacing w:before="120" w:after="120" w:line="360" w:lineRule="auto"/>
      </w:pPr>
      <w:r>
        <w:rPr>
          <w:rFonts w:hint="eastAsia"/>
        </w:rPr>
        <w:t>管理架构</w:t>
      </w:r>
    </w:p>
    <w:p w14:paraId="09F39440">
      <w:pPr>
        <w:pStyle w:val="56"/>
        <w:spacing w:line="360" w:lineRule="auto"/>
        <w:ind w:firstLine="420"/>
      </w:pPr>
      <w:r>
        <w:rPr>
          <w:rFonts w:hint="eastAsia"/>
        </w:rPr>
        <w:t>造价风险分级管控宜建立“决策层—管理层—执行层”三级体系：</w:t>
      </w:r>
    </w:p>
    <w:p w14:paraId="608B05E2">
      <w:pPr>
        <w:pStyle w:val="56"/>
        <w:spacing w:line="360" w:lineRule="auto"/>
        <w:ind w:firstLine="420"/>
      </w:pPr>
      <w:r>
        <w:rPr>
          <w:rFonts w:hint="eastAsia"/>
        </w:rPr>
        <w:t>a) 决策层：负责风险管理制度与策略批准、重大风险等级确认、重大处置方案决策、重大资源调配与争议升级处置；</w:t>
      </w:r>
    </w:p>
    <w:p w14:paraId="506D9680">
      <w:pPr>
        <w:pStyle w:val="56"/>
        <w:spacing w:line="360" w:lineRule="auto"/>
        <w:ind w:firstLine="420"/>
      </w:pPr>
      <w:r>
        <w:rPr>
          <w:rFonts w:hint="eastAsia"/>
        </w:rPr>
        <w:t>b) 管理层：负责风险管理计划编制、分级规则落地、跨部门协同、监测预警组织与纠偏推动；</w:t>
      </w:r>
    </w:p>
    <w:p w14:paraId="2F2473B7">
      <w:pPr>
        <w:pStyle w:val="56"/>
        <w:spacing w:line="360" w:lineRule="auto"/>
        <w:ind w:firstLine="420"/>
      </w:pPr>
      <w:r>
        <w:rPr>
          <w:rFonts w:hint="eastAsia"/>
        </w:rPr>
        <w:t>c) 执行层：负责风险识别、数据采集、台账维护、措施执行、证据留存与复盘资料整理。</w:t>
      </w:r>
    </w:p>
    <w:p w14:paraId="7AE4E501">
      <w:pPr>
        <w:pStyle w:val="65"/>
        <w:spacing w:before="120" w:after="120" w:line="360" w:lineRule="auto"/>
      </w:pPr>
      <w:r>
        <w:rPr>
          <w:rFonts w:hint="eastAsia"/>
        </w:rPr>
        <w:t>主要参与方职责</w:t>
      </w:r>
    </w:p>
    <w:p w14:paraId="2D2DCE41">
      <w:pPr>
        <w:pStyle w:val="56"/>
        <w:spacing w:line="360" w:lineRule="auto"/>
        <w:ind w:firstLine="420"/>
      </w:pPr>
      <w:r>
        <w:rPr>
          <w:rFonts w:hint="eastAsia"/>
        </w:rPr>
        <w:t>业主应明确投资控制目标、风险分担边界与审批机制；工程总承包单位应作为造价风险分级管控的牵头实施主体，统筹设计、采购、施工等环节的风险控制；造价咨询、监理、项目管理咨询等第三方应按合同约定提供独立核算、过程审核、偏差分析与专业支持。联合体项目应在联合体协议中明确牵头方、分工边界、信息共享与联合决策流程。造价风险分级管控职责分工见表1。</w:t>
      </w:r>
    </w:p>
    <w:p w14:paraId="4E298868">
      <w:pPr>
        <w:pStyle w:val="112"/>
        <w:spacing w:before="120" w:after="120" w:line="360" w:lineRule="auto"/>
      </w:pPr>
      <w:r>
        <w:rPr>
          <w:rFonts w:hint="eastAsia"/>
        </w:rPr>
        <w:t>造价风险分级管控职责分工</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84"/>
        <w:gridCol w:w="850"/>
        <w:gridCol w:w="1701"/>
        <w:gridCol w:w="1418"/>
        <w:gridCol w:w="1125"/>
        <w:gridCol w:w="1556"/>
      </w:tblGrid>
      <w:tr w14:paraId="73A96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84" w:type="dxa"/>
            <w:tcBorders>
              <w:top w:val="single" w:color="auto" w:sz="8" w:space="0"/>
              <w:bottom w:val="single" w:color="auto" w:sz="8" w:space="0"/>
            </w:tcBorders>
            <w:vAlign w:val="center"/>
          </w:tcPr>
          <w:p w14:paraId="38BF363F">
            <w:pPr>
              <w:pStyle w:val="178"/>
            </w:pPr>
            <w:r>
              <w:rPr>
                <w:rFonts w:hint="eastAsia"/>
              </w:rPr>
              <w:t>工作事项</w:t>
            </w:r>
          </w:p>
        </w:tc>
        <w:tc>
          <w:tcPr>
            <w:tcW w:w="850" w:type="dxa"/>
            <w:tcBorders>
              <w:top w:val="single" w:color="auto" w:sz="8" w:space="0"/>
              <w:bottom w:val="single" w:color="auto" w:sz="8" w:space="0"/>
            </w:tcBorders>
            <w:vAlign w:val="center"/>
          </w:tcPr>
          <w:p w14:paraId="1A90E641">
            <w:pPr>
              <w:pStyle w:val="178"/>
            </w:pPr>
            <w:r>
              <w:rPr>
                <w:rFonts w:hint="eastAsia"/>
              </w:rPr>
              <w:t>业主</w:t>
            </w:r>
          </w:p>
        </w:tc>
        <w:tc>
          <w:tcPr>
            <w:tcW w:w="1701" w:type="dxa"/>
            <w:tcBorders>
              <w:top w:val="single" w:color="auto" w:sz="8" w:space="0"/>
              <w:bottom w:val="single" w:color="auto" w:sz="8" w:space="0"/>
            </w:tcBorders>
            <w:vAlign w:val="center"/>
          </w:tcPr>
          <w:p w14:paraId="43DE1D83">
            <w:pPr>
              <w:pStyle w:val="178"/>
            </w:pPr>
            <w:r>
              <w:rPr>
                <w:rFonts w:hint="eastAsia"/>
              </w:rPr>
              <w:t>工程总承包单位</w:t>
            </w:r>
          </w:p>
        </w:tc>
        <w:tc>
          <w:tcPr>
            <w:tcW w:w="1418" w:type="dxa"/>
            <w:tcBorders>
              <w:top w:val="single" w:color="auto" w:sz="8" w:space="0"/>
              <w:bottom w:val="single" w:color="auto" w:sz="8" w:space="0"/>
            </w:tcBorders>
            <w:vAlign w:val="center"/>
          </w:tcPr>
          <w:p w14:paraId="3B1EF286">
            <w:pPr>
              <w:pStyle w:val="178"/>
            </w:pPr>
            <w:r>
              <w:rPr>
                <w:rFonts w:hint="eastAsia"/>
              </w:rPr>
              <w:t>造价咨询/PMC</w:t>
            </w:r>
          </w:p>
        </w:tc>
        <w:tc>
          <w:tcPr>
            <w:tcW w:w="1125" w:type="dxa"/>
            <w:tcBorders>
              <w:top w:val="single" w:color="auto" w:sz="8" w:space="0"/>
              <w:bottom w:val="single" w:color="auto" w:sz="8" w:space="0"/>
            </w:tcBorders>
            <w:vAlign w:val="center"/>
          </w:tcPr>
          <w:p w14:paraId="2D4AC08B">
            <w:pPr>
              <w:pStyle w:val="178"/>
            </w:pPr>
            <w:r>
              <w:rPr>
                <w:rFonts w:hint="eastAsia"/>
              </w:rPr>
              <w:t>监理</w:t>
            </w:r>
          </w:p>
        </w:tc>
        <w:tc>
          <w:tcPr>
            <w:tcW w:w="1556" w:type="dxa"/>
            <w:tcBorders>
              <w:top w:val="single" w:color="auto" w:sz="8" w:space="0"/>
              <w:bottom w:val="single" w:color="auto" w:sz="8" w:space="0"/>
            </w:tcBorders>
            <w:vAlign w:val="center"/>
          </w:tcPr>
          <w:p w14:paraId="27C96160">
            <w:pPr>
              <w:pStyle w:val="178"/>
            </w:pPr>
            <w:r>
              <w:rPr>
                <w:rFonts w:hint="eastAsia"/>
              </w:rPr>
              <w:t>分包/供应商</w:t>
            </w:r>
          </w:p>
        </w:tc>
      </w:tr>
      <w:tr w14:paraId="37F06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Borders>
              <w:top w:val="single" w:color="auto" w:sz="8" w:space="0"/>
            </w:tcBorders>
            <w:vAlign w:val="center"/>
          </w:tcPr>
          <w:p w14:paraId="44061D50">
            <w:pPr>
              <w:pStyle w:val="178"/>
            </w:pPr>
            <w:r>
              <w:rPr>
                <w:rFonts w:hint="eastAsia"/>
              </w:rPr>
              <w:t>风险分级规则与阈值批准</w:t>
            </w:r>
          </w:p>
        </w:tc>
        <w:tc>
          <w:tcPr>
            <w:tcW w:w="850" w:type="dxa"/>
            <w:tcBorders>
              <w:top w:val="single" w:color="auto" w:sz="8" w:space="0"/>
            </w:tcBorders>
            <w:vAlign w:val="center"/>
          </w:tcPr>
          <w:p w14:paraId="399F6034">
            <w:pPr>
              <w:pStyle w:val="178"/>
            </w:pPr>
            <w:r>
              <w:rPr>
                <w:rFonts w:hint="eastAsia"/>
              </w:rPr>
              <w:t>A</w:t>
            </w:r>
          </w:p>
        </w:tc>
        <w:tc>
          <w:tcPr>
            <w:tcW w:w="1701" w:type="dxa"/>
            <w:tcBorders>
              <w:top w:val="single" w:color="auto" w:sz="8" w:space="0"/>
            </w:tcBorders>
            <w:vAlign w:val="center"/>
          </w:tcPr>
          <w:p w14:paraId="323A7213">
            <w:pPr>
              <w:pStyle w:val="178"/>
            </w:pPr>
            <w:r>
              <w:rPr>
                <w:rFonts w:hint="eastAsia"/>
              </w:rPr>
              <w:t>R</w:t>
            </w:r>
          </w:p>
        </w:tc>
        <w:tc>
          <w:tcPr>
            <w:tcW w:w="1418" w:type="dxa"/>
            <w:tcBorders>
              <w:top w:val="single" w:color="auto" w:sz="8" w:space="0"/>
            </w:tcBorders>
            <w:vAlign w:val="center"/>
          </w:tcPr>
          <w:p w14:paraId="07370BD0">
            <w:pPr>
              <w:pStyle w:val="178"/>
            </w:pPr>
            <w:r>
              <w:rPr>
                <w:rFonts w:hint="eastAsia"/>
              </w:rPr>
              <w:t>C</w:t>
            </w:r>
          </w:p>
        </w:tc>
        <w:tc>
          <w:tcPr>
            <w:tcW w:w="1125" w:type="dxa"/>
            <w:tcBorders>
              <w:top w:val="single" w:color="auto" w:sz="8" w:space="0"/>
            </w:tcBorders>
            <w:vAlign w:val="center"/>
          </w:tcPr>
          <w:p w14:paraId="65CCD3EC">
            <w:pPr>
              <w:pStyle w:val="178"/>
            </w:pPr>
            <w:r>
              <w:rPr>
                <w:rFonts w:hint="eastAsia"/>
              </w:rPr>
              <w:t>C</w:t>
            </w:r>
          </w:p>
        </w:tc>
        <w:tc>
          <w:tcPr>
            <w:tcW w:w="1556" w:type="dxa"/>
            <w:tcBorders>
              <w:top w:val="single" w:color="auto" w:sz="8" w:space="0"/>
            </w:tcBorders>
            <w:vAlign w:val="center"/>
          </w:tcPr>
          <w:p w14:paraId="7DEAE8C3">
            <w:pPr>
              <w:pStyle w:val="178"/>
            </w:pPr>
            <w:r>
              <w:rPr>
                <w:rFonts w:hint="eastAsia"/>
              </w:rPr>
              <w:t>I</w:t>
            </w:r>
          </w:p>
        </w:tc>
      </w:tr>
      <w:tr w14:paraId="602B7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14:paraId="1DA51693">
            <w:pPr>
              <w:pStyle w:val="178"/>
            </w:pPr>
            <w:r>
              <w:rPr>
                <w:rFonts w:hint="eastAsia"/>
              </w:rPr>
              <w:t>风险识别与台账建立</w:t>
            </w:r>
          </w:p>
        </w:tc>
        <w:tc>
          <w:tcPr>
            <w:tcW w:w="850" w:type="dxa"/>
            <w:vAlign w:val="center"/>
          </w:tcPr>
          <w:p w14:paraId="615FC7C9">
            <w:pPr>
              <w:pStyle w:val="178"/>
            </w:pPr>
            <w:r>
              <w:rPr>
                <w:rFonts w:hint="eastAsia"/>
              </w:rPr>
              <w:t>C</w:t>
            </w:r>
          </w:p>
        </w:tc>
        <w:tc>
          <w:tcPr>
            <w:tcW w:w="1701" w:type="dxa"/>
            <w:vAlign w:val="center"/>
          </w:tcPr>
          <w:p w14:paraId="328067AD">
            <w:pPr>
              <w:pStyle w:val="178"/>
            </w:pPr>
            <w:r>
              <w:rPr>
                <w:rFonts w:hint="eastAsia"/>
              </w:rPr>
              <w:t>R/A</w:t>
            </w:r>
          </w:p>
        </w:tc>
        <w:tc>
          <w:tcPr>
            <w:tcW w:w="1418" w:type="dxa"/>
            <w:vAlign w:val="center"/>
          </w:tcPr>
          <w:p w14:paraId="031622C8">
            <w:pPr>
              <w:pStyle w:val="178"/>
            </w:pPr>
            <w:r>
              <w:rPr>
                <w:rFonts w:hint="eastAsia"/>
              </w:rPr>
              <w:t>C</w:t>
            </w:r>
          </w:p>
        </w:tc>
        <w:tc>
          <w:tcPr>
            <w:tcW w:w="1125" w:type="dxa"/>
            <w:vAlign w:val="center"/>
          </w:tcPr>
          <w:p w14:paraId="0340F859">
            <w:pPr>
              <w:pStyle w:val="178"/>
            </w:pPr>
            <w:r>
              <w:rPr>
                <w:rFonts w:hint="eastAsia"/>
              </w:rPr>
              <w:t>I</w:t>
            </w:r>
          </w:p>
        </w:tc>
        <w:tc>
          <w:tcPr>
            <w:tcW w:w="1556" w:type="dxa"/>
            <w:vAlign w:val="center"/>
          </w:tcPr>
          <w:p w14:paraId="6E842FD2">
            <w:pPr>
              <w:pStyle w:val="178"/>
            </w:pPr>
            <w:r>
              <w:rPr>
                <w:rFonts w:hint="eastAsia"/>
              </w:rPr>
              <w:t>C</w:t>
            </w:r>
          </w:p>
        </w:tc>
      </w:tr>
      <w:tr w14:paraId="603C8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14:paraId="7DDB8F65">
            <w:pPr>
              <w:pStyle w:val="178"/>
            </w:pPr>
            <w:r>
              <w:rPr>
                <w:rFonts w:hint="eastAsia"/>
              </w:rPr>
              <w:t>风险评估与等级建议</w:t>
            </w:r>
          </w:p>
        </w:tc>
        <w:tc>
          <w:tcPr>
            <w:tcW w:w="850" w:type="dxa"/>
            <w:vAlign w:val="center"/>
          </w:tcPr>
          <w:p w14:paraId="6B18FE24">
            <w:pPr>
              <w:pStyle w:val="178"/>
            </w:pPr>
            <w:r>
              <w:rPr>
                <w:rFonts w:hint="eastAsia"/>
              </w:rPr>
              <w:t>I</w:t>
            </w:r>
          </w:p>
        </w:tc>
        <w:tc>
          <w:tcPr>
            <w:tcW w:w="1701" w:type="dxa"/>
            <w:vAlign w:val="center"/>
          </w:tcPr>
          <w:p w14:paraId="38DA8D03">
            <w:pPr>
              <w:pStyle w:val="178"/>
            </w:pPr>
            <w:r>
              <w:rPr>
                <w:rFonts w:hint="eastAsia"/>
              </w:rPr>
              <w:t>R</w:t>
            </w:r>
          </w:p>
        </w:tc>
        <w:tc>
          <w:tcPr>
            <w:tcW w:w="1418" w:type="dxa"/>
            <w:vAlign w:val="center"/>
          </w:tcPr>
          <w:p w14:paraId="33606F27">
            <w:pPr>
              <w:pStyle w:val="178"/>
            </w:pPr>
            <w:r>
              <w:rPr>
                <w:rFonts w:hint="eastAsia"/>
              </w:rPr>
              <w:t>R/C</w:t>
            </w:r>
          </w:p>
        </w:tc>
        <w:tc>
          <w:tcPr>
            <w:tcW w:w="1125" w:type="dxa"/>
            <w:vAlign w:val="center"/>
          </w:tcPr>
          <w:p w14:paraId="1594F473">
            <w:pPr>
              <w:pStyle w:val="178"/>
            </w:pPr>
            <w:r>
              <w:rPr>
                <w:rFonts w:hint="eastAsia"/>
              </w:rPr>
              <w:t>C</w:t>
            </w:r>
          </w:p>
        </w:tc>
        <w:tc>
          <w:tcPr>
            <w:tcW w:w="1556" w:type="dxa"/>
            <w:vAlign w:val="center"/>
          </w:tcPr>
          <w:p w14:paraId="0E72ABFC">
            <w:pPr>
              <w:pStyle w:val="178"/>
            </w:pPr>
            <w:r>
              <w:rPr>
                <w:rFonts w:hint="eastAsia"/>
              </w:rPr>
              <w:t>C</w:t>
            </w:r>
          </w:p>
        </w:tc>
      </w:tr>
      <w:tr w14:paraId="28B17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14:paraId="0DC4A7D5">
            <w:pPr>
              <w:pStyle w:val="178"/>
            </w:pPr>
            <w:r>
              <w:rPr>
                <w:rFonts w:hint="eastAsia"/>
              </w:rPr>
              <w:t>Ⅰ、Ⅱ级风险处置方案审批</w:t>
            </w:r>
          </w:p>
        </w:tc>
        <w:tc>
          <w:tcPr>
            <w:tcW w:w="850" w:type="dxa"/>
            <w:vAlign w:val="center"/>
          </w:tcPr>
          <w:p w14:paraId="4C6746C8">
            <w:pPr>
              <w:pStyle w:val="178"/>
            </w:pPr>
            <w:r>
              <w:rPr>
                <w:rFonts w:hint="eastAsia"/>
              </w:rPr>
              <w:t>A</w:t>
            </w:r>
          </w:p>
        </w:tc>
        <w:tc>
          <w:tcPr>
            <w:tcW w:w="1701" w:type="dxa"/>
            <w:vAlign w:val="center"/>
          </w:tcPr>
          <w:p w14:paraId="31134D89">
            <w:pPr>
              <w:pStyle w:val="178"/>
            </w:pPr>
            <w:r>
              <w:rPr>
                <w:rFonts w:hint="eastAsia"/>
              </w:rPr>
              <w:t>R</w:t>
            </w:r>
          </w:p>
        </w:tc>
        <w:tc>
          <w:tcPr>
            <w:tcW w:w="1418" w:type="dxa"/>
            <w:vAlign w:val="center"/>
          </w:tcPr>
          <w:p w14:paraId="4C92434E">
            <w:pPr>
              <w:pStyle w:val="178"/>
            </w:pPr>
            <w:r>
              <w:rPr>
                <w:rFonts w:hint="eastAsia"/>
              </w:rPr>
              <w:t>C</w:t>
            </w:r>
          </w:p>
        </w:tc>
        <w:tc>
          <w:tcPr>
            <w:tcW w:w="1125" w:type="dxa"/>
            <w:vAlign w:val="center"/>
          </w:tcPr>
          <w:p w14:paraId="222CEC91">
            <w:pPr>
              <w:pStyle w:val="178"/>
            </w:pPr>
            <w:r>
              <w:rPr>
                <w:rFonts w:hint="eastAsia"/>
              </w:rPr>
              <w:t>C</w:t>
            </w:r>
          </w:p>
        </w:tc>
        <w:tc>
          <w:tcPr>
            <w:tcW w:w="1556" w:type="dxa"/>
            <w:vAlign w:val="center"/>
          </w:tcPr>
          <w:p w14:paraId="307C395D">
            <w:pPr>
              <w:pStyle w:val="178"/>
            </w:pPr>
            <w:r>
              <w:rPr>
                <w:rFonts w:hint="eastAsia"/>
              </w:rPr>
              <w:t>I</w:t>
            </w:r>
          </w:p>
        </w:tc>
      </w:tr>
      <w:tr w14:paraId="56CA7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14:paraId="3A5F684D">
            <w:pPr>
              <w:pStyle w:val="178"/>
            </w:pPr>
            <w:r>
              <w:rPr>
                <w:rFonts w:hint="eastAsia"/>
              </w:rPr>
              <w:t>变更估价与签证合规审核</w:t>
            </w:r>
          </w:p>
        </w:tc>
        <w:tc>
          <w:tcPr>
            <w:tcW w:w="850" w:type="dxa"/>
            <w:vAlign w:val="center"/>
          </w:tcPr>
          <w:p w14:paraId="79311F85">
            <w:pPr>
              <w:pStyle w:val="178"/>
            </w:pPr>
            <w:r>
              <w:rPr>
                <w:rFonts w:hint="eastAsia"/>
              </w:rPr>
              <w:t>A/C</w:t>
            </w:r>
          </w:p>
        </w:tc>
        <w:tc>
          <w:tcPr>
            <w:tcW w:w="1701" w:type="dxa"/>
            <w:vAlign w:val="center"/>
          </w:tcPr>
          <w:p w14:paraId="6C933171">
            <w:pPr>
              <w:pStyle w:val="178"/>
            </w:pPr>
            <w:r>
              <w:rPr>
                <w:rFonts w:hint="eastAsia"/>
              </w:rPr>
              <w:t>R</w:t>
            </w:r>
          </w:p>
        </w:tc>
        <w:tc>
          <w:tcPr>
            <w:tcW w:w="1418" w:type="dxa"/>
            <w:vAlign w:val="center"/>
          </w:tcPr>
          <w:p w14:paraId="65DCAD44">
            <w:pPr>
              <w:pStyle w:val="178"/>
            </w:pPr>
            <w:r>
              <w:rPr>
                <w:rFonts w:hint="eastAsia"/>
              </w:rPr>
              <w:t>R/C</w:t>
            </w:r>
          </w:p>
        </w:tc>
        <w:tc>
          <w:tcPr>
            <w:tcW w:w="1125" w:type="dxa"/>
            <w:vAlign w:val="center"/>
          </w:tcPr>
          <w:p w14:paraId="5DEFF539">
            <w:pPr>
              <w:pStyle w:val="178"/>
            </w:pPr>
            <w:r>
              <w:rPr>
                <w:rFonts w:hint="eastAsia"/>
              </w:rPr>
              <w:t>C</w:t>
            </w:r>
          </w:p>
        </w:tc>
        <w:tc>
          <w:tcPr>
            <w:tcW w:w="1556" w:type="dxa"/>
            <w:vAlign w:val="center"/>
          </w:tcPr>
          <w:p w14:paraId="599F7EA5">
            <w:pPr>
              <w:pStyle w:val="178"/>
            </w:pPr>
            <w:r>
              <w:rPr>
                <w:rFonts w:hint="eastAsia"/>
              </w:rPr>
              <w:t>C</w:t>
            </w:r>
          </w:p>
        </w:tc>
      </w:tr>
      <w:tr w14:paraId="6C347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14:paraId="2F8C352B">
            <w:pPr>
              <w:pStyle w:val="178"/>
            </w:pPr>
            <w:r>
              <w:rPr>
                <w:rFonts w:hint="eastAsia"/>
              </w:rPr>
              <w:t>采购锁价与关键资源策略</w:t>
            </w:r>
          </w:p>
        </w:tc>
        <w:tc>
          <w:tcPr>
            <w:tcW w:w="850" w:type="dxa"/>
            <w:vAlign w:val="center"/>
          </w:tcPr>
          <w:p w14:paraId="30E08B43">
            <w:pPr>
              <w:pStyle w:val="178"/>
            </w:pPr>
            <w:r>
              <w:rPr>
                <w:rFonts w:hint="eastAsia"/>
              </w:rPr>
              <w:t>I</w:t>
            </w:r>
          </w:p>
        </w:tc>
        <w:tc>
          <w:tcPr>
            <w:tcW w:w="1701" w:type="dxa"/>
            <w:vAlign w:val="center"/>
          </w:tcPr>
          <w:p w14:paraId="314B5E9C">
            <w:pPr>
              <w:pStyle w:val="178"/>
            </w:pPr>
            <w:r>
              <w:rPr>
                <w:rFonts w:hint="eastAsia"/>
              </w:rPr>
              <w:t>R/A</w:t>
            </w:r>
          </w:p>
        </w:tc>
        <w:tc>
          <w:tcPr>
            <w:tcW w:w="1418" w:type="dxa"/>
            <w:vAlign w:val="center"/>
          </w:tcPr>
          <w:p w14:paraId="33795546">
            <w:pPr>
              <w:pStyle w:val="178"/>
            </w:pPr>
            <w:r>
              <w:rPr>
                <w:rFonts w:hint="eastAsia"/>
              </w:rPr>
              <w:t>C</w:t>
            </w:r>
          </w:p>
        </w:tc>
        <w:tc>
          <w:tcPr>
            <w:tcW w:w="1125" w:type="dxa"/>
            <w:vAlign w:val="center"/>
          </w:tcPr>
          <w:p w14:paraId="50C926A9">
            <w:pPr>
              <w:pStyle w:val="178"/>
            </w:pPr>
            <w:r>
              <w:rPr>
                <w:rFonts w:hint="eastAsia"/>
              </w:rPr>
              <w:t>I</w:t>
            </w:r>
          </w:p>
        </w:tc>
        <w:tc>
          <w:tcPr>
            <w:tcW w:w="1556" w:type="dxa"/>
            <w:vAlign w:val="center"/>
          </w:tcPr>
          <w:p w14:paraId="4FDCFF21">
            <w:pPr>
              <w:pStyle w:val="178"/>
            </w:pPr>
            <w:r>
              <w:rPr>
                <w:rFonts w:hint="eastAsia"/>
              </w:rPr>
              <w:t>C</w:t>
            </w:r>
          </w:p>
        </w:tc>
      </w:tr>
      <w:tr w14:paraId="73205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vAlign w:val="center"/>
          </w:tcPr>
          <w:p w14:paraId="33E29D4C">
            <w:pPr>
              <w:pStyle w:val="178"/>
            </w:pPr>
            <w:r>
              <w:rPr>
                <w:rFonts w:hint="eastAsia"/>
              </w:rPr>
              <w:t>风险监测预警与月度报告</w:t>
            </w:r>
          </w:p>
        </w:tc>
        <w:tc>
          <w:tcPr>
            <w:tcW w:w="850" w:type="dxa"/>
            <w:vAlign w:val="center"/>
          </w:tcPr>
          <w:p w14:paraId="17B94E65">
            <w:pPr>
              <w:pStyle w:val="178"/>
            </w:pPr>
            <w:r>
              <w:rPr>
                <w:rFonts w:hint="eastAsia"/>
              </w:rPr>
              <w:t>I</w:t>
            </w:r>
          </w:p>
        </w:tc>
        <w:tc>
          <w:tcPr>
            <w:tcW w:w="1701" w:type="dxa"/>
            <w:vAlign w:val="center"/>
          </w:tcPr>
          <w:p w14:paraId="3B012DBE">
            <w:pPr>
              <w:pStyle w:val="178"/>
            </w:pPr>
            <w:r>
              <w:rPr>
                <w:rFonts w:hint="eastAsia"/>
              </w:rPr>
              <w:t>R/A</w:t>
            </w:r>
          </w:p>
        </w:tc>
        <w:tc>
          <w:tcPr>
            <w:tcW w:w="1418" w:type="dxa"/>
            <w:vAlign w:val="center"/>
          </w:tcPr>
          <w:p w14:paraId="37449C94">
            <w:pPr>
              <w:pStyle w:val="178"/>
            </w:pPr>
            <w:r>
              <w:rPr>
                <w:rFonts w:hint="eastAsia"/>
              </w:rPr>
              <w:t>C</w:t>
            </w:r>
          </w:p>
        </w:tc>
        <w:tc>
          <w:tcPr>
            <w:tcW w:w="1125" w:type="dxa"/>
            <w:vAlign w:val="center"/>
          </w:tcPr>
          <w:p w14:paraId="5E37A957">
            <w:pPr>
              <w:pStyle w:val="178"/>
            </w:pPr>
            <w:r>
              <w:rPr>
                <w:rFonts w:hint="eastAsia"/>
              </w:rPr>
              <w:t>I</w:t>
            </w:r>
          </w:p>
        </w:tc>
        <w:tc>
          <w:tcPr>
            <w:tcW w:w="1556" w:type="dxa"/>
            <w:vAlign w:val="center"/>
          </w:tcPr>
          <w:p w14:paraId="186844B3">
            <w:pPr>
              <w:pStyle w:val="178"/>
            </w:pPr>
            <w:r>
              <w:rPr>
                <w:rFonts w:hint="eastAsia"/>
              </w:rPr>
              <w:t>I</w:t>
            </w:r>
          </w:p>
        </w:tc>
      </w:tr>
      <w:tr w14:paraId="48A3E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Borders>
              <w:bottom w:val="single" w:color="auto" w:sz="8" w:space="0"/>
            </w:tcBorders>
            <w:vAlign w:val="center"/>
          </w:tcPr>
          <w:p w14:paraId="3A7EE9D9">
            <w:pPr>
              <w:pStyle w:val="178"/>
            </w:pPr>
            <w:r>
              <w:rPr>
                <w:rFonts w:hint="eastAsia"/>
              </w:rPr>
              <w:t>风险事件复盘与改进闭环</w:t>
            </w:r>
          </w:p>
        </w:tc>
        <w:tc>
          <w:tcPr>
            <w:tcW w:w="850" w:type="dxa"/>
            <w:tcBorders>
              <w:bottom w:val="single" w:color="auto" w:sz="8" w:space="0"/>
            </w:tcBorders>
            <w:vAlign w:val="center"/>
          </w:tcPr>
          <w:p w14:paraId="31DE0BC4">
            <w:pPr>
              <w:pStyle w:val="178"/>
            </w:pPr>
            <w:r>
              <w:rPr>
                <w:rFonts w:hint="eastAsia"/>
              </w:rPr>
              <w:t>C</w:t>
            </w:r>
          </w:p>
        </w:tc>
        <w:tc>
          <w:tcPr>
            <w:tcW w:w="1701" w:type="dxa"/>
            <w:tcBorders>
              <w:bottom w:val="single" w:color="auto" w:sz="8" w:space="0"/>
            </w:tcBorders>
            <w:vAlign w:val="center"/>
          </w:tcPr>
          <w:p w14:paraId="2E762131">
            <w:pPr>
              <w:pStyle w:val="178"/>
            </w:pPr>
            <w:r>
              <w:rPr>
                <w:rFonts w:hint="eastAsia"/>
              </w:rPr>
              <w:t>R/A</w:t>
            </w:r>
          </w:p>
        </w:tc>
        <w:tc>
          <w:tcPr>
            <w:tcW w:w="1418" w:type="dxa"/>
            <w:tcBorders>
              <w:bottom w:val="single" w:color="auto" w:sz="8" w:space="0"/>
            </w:tcBorders>
            <w:vAlign w:val="center"/>
          </w:tcPr>
          <w:p w14:paraId="04E4171E">
            <w:pPr>
              <w:pStyle w:val="178"/>
            </w:pPr>
            <w:r>
              <w:rPr>
                <w:rFonts w:hint="eastAsia"/>
              </w:rPr>
              <w:t>C</w:t>
            </w:r>
          </w:p>
        </w:tc>
        <w:tc>
          <w:tcPr>
            <w:tcW w:w="1125" w:type="dxa"/>
            <w:tcBorders>
              <w:bottom w:val="single" w:color="auto" w:sz="8" w:space="0"/>
            </w:tcBorders>
            <w:vAlign w:val="center"/>
          </w:tcPr>
          <w:p w14:paraId="3D5783DC">
            <w:pPr>
              <w:pStyle w:val="178"/>
            </w:pPr>
            <w:r>
              <w:rPr>
                <w:rFonts w:hint="eastAsia"/>
              </w:rPr>
              <w:t>C</w:t>
            </w:r>
          </w:p>
        </w:tc>
        <w:tc>
          <w:tcPr>
            <w:tcW w:w="1556" w:type="dxa"/>
            <w:tcBorders>
              <w:bottom w:val="single" w:color="auto" w:sz="8" w:space="0"/>
            </w:tcBorders>
            <w:vAlign w:val="center"/>
          </w:tcPr>
          <w:p w14:paraId="616A5DF8">
            <w:pPr>
              <w:pStyle w:val="178"/>
            </w:pPr>
            <w:r>
              <w:rPr>
                <w:rFonts w:hint="eastAsia"/>
              </w:rPr>
              <w:t>I</w:t>
            </w:r>
          </w:p>
        </w:tc>
      </w:tr>
      <w:tr w14:paraId="25409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tcPr>
          <w:p w14:paraId="13685990">
            <w:pPr>
              <w:pStyle w:val="179"/>
            </w:pPr>
            <w:r>
              <w:rPr>
                <w:rFonts w:hint="eastAsia"/>
              </w:rPr>
              <w:t>R—负责（Responsible）；A—批准/最终负责（Accountable）；C—协商/参与（Consulted）；I—知会（Informed）。</w:t>
            </w:r>
          </w:p>
        </w:tc>
      </w:tr>
    </w:tbl>
    <w:p w14:paraId="47D297EF">
      <w:pPr>
        <w:pStyle w:val="105"/>
        <w:spacing w:before="120" w:after="120" w:line="360" w:lineRule="auto"/>
      </w:pPr>
      <w:r>
        <w:rPr>
          <w:rFonts w:hint="eastAsia"/>
        </w:rPr>
        <w:t>造价风险分级管控流程总体要求</w:t>
      </w:r>
    </w:p>
    <w:p w14:paraId="4B6A0752">
      <w:pPr>
        <w:pStyle w:val="56"/>
        <w:spacing w:line="360" w:lineRule="auto"/>
        <w:ind w:firstLine="420"/>
      </w:pPr>
      <w:r>
        <w:rPr>
          <w:rFonts w:hint="eastAsia"/>
        </w:rPr>
        <w:t>应形成“识别—评估—分级—措施匹配—监测预警—处置—复盘改进”的闭环流程，并满足以下要求：</w:t>
      </w:r>
    </w:p>
    <w:p w14:paraId="3DA7B513">
      <w:pPr>
        <w:pStyle w:val="56"/>
        <w:spacing w:line="360" w:lineRule="auto"/>
        <w:ind w:firstLine="420"/>
      </w:pPr>
      <w:r>
        <w:rPr>
          <w:rFonts w:hint="eastAsia"/>
        </w:rPr>
        <w:t>a) 识别阶段应输出结构化风险清单，明确风险来源、触发条件、影响路径与责任主体；</w:t>
      </w:r>
    </w:p>
    <w:p w14:paraId="65DA5D09">
      <w:pPr>
        <w:pStyle w:val="56"/>
        <w:spacing w:line="360" w:lineRule="auto"/>
        <w:ind w:firstLine="420"/>
      </w:pPr>
      <w:r>
        <w:rPr>
          <w:rFonts w:hint="eastAsia"/>
        </w:rPr>
        <w:t>b) 评估分级阶段应采用统一的概率与影响口径，必要时结合可控性进行校准，并完成等级确认与留痕；</w:t>
      </w:r>
    </w:p>
    <w:p w14:paraId="053018E3">
      <w:pPr>
        <w:pStyle w:val="56"/>
        <w:spacing w:line="360" w:lineRule="auto"/>
        <w:ind w:firstLine="420"/>
      </w:pPr>
      <w:r>
        <w:rPr>
          <w:rFonts w:hint="eastAsia"/>
        </w:rPr>
        <w:t>c) 措施匹配阶段应按等级明确控制动作（如限额、锁价、审批、频次、预警阈值、应急资源等），避免“措施与等级不匹配”；</w:t>
      </w:r>
    </w:p>
    <w:p w14:paraId="21375E2F">
      <w:pPr>
        <w:pStyle w:val="56"/>
        <w:spacing w:line="360" w:lineRule="auto"/>
        <w:ind w:firstLine="420"/>
      </w:pPr>
      <w:r>
        <w:rPr>
          <w:rFonts w:hint="eastAsia"/>
        </w:rPr>
        <w:t>d) 监测预警阶段应建立指标体系与阈值触发机制，确保重大风险可提前暴露、可及时升级；</w:t>
      </w:r>
    </w:p>
    <w:p w14:paraId="642500DF">
      <w:pPr>
        <w:pStyle w:val="56"/>
        <w:spacing w:line="360" w:lineRule="auto"/>
        <w:ind w:firstLine="420"/>
      </w:pPr>
      <w:r>
        <w:rPr>
          <w:rFonts w:hint="eastAsia"/>
        </w:rPr>
        <w:t>e) 处置阶段应确保方案可执行、责任可追溯、证据链完整，形成成本影响评估与索赔/反索赔策略；</w:t>
      </w:r>
    </w:p>
    <w:p w14:paraId="3D310D6E">
      <w:pPr>
        <w:pStyle w:val="56"/>
        <w:spacing w:line="360" w:lineRule="auto"/>
        <w:ind w:firstLine="420"/>
      </w:pPr>
      <w:r>
        <w:rPr>
          <w:rFonts w:hint="eastAsia"/>
        </w:rPr>
        <w:t>f) 复盘阶段应形成经验库与制度改进清单，纳入后续项目策划与标准化成果。</w:t>
      </w:r>
    </w:p>
    <w:p w14:paraId="41DBBF2F">
      <w:pPr>
        <w:pStyle w:val="105"/>
        <w:spacing w:before="120" w:after="120" w:line="360" w:lineRule="auto"/>
      </w:pPr>
      <w:r>
        <w:rPr>
          <w:rFonts w:hint="eastAsia"/>
        </w:rPr>
        <w:t>与关键管理活动的衔接要求</w:t>
      </w:r>
    </w:p>
    <w:p w14:paraId="25764C38">
      <w:pPr>
        <w:pStyle w:val="65"/>
        <w:spacing w:before="120" w:after="120" w:line="360" w:lineRule="auto"/>
      </w:pPr>
      <w:r>
        <w:rPr>
          <w:rFonts w:hint="eastAsia"/>
        </w:rPr>
        <w:t>与合同管理的衔接</w:t>
      </w:r>
    </w:p>
    <w:p w14:paraId="567A7CF0">
      <w:pPr>
        <w:pStyle w:val="56"/>
        <w:spacing w:line="360" w:lineRule="auto"/>
        <w:ind w:firstLine="420"/>
      </w:pPr>
      <w:r>
        <w:rPr>
          <w:rFonts w:hint="eastAsia"/>
        </w:rPr>
        <w:t>应以合同条款为风险边界，重点管控计价方式、调价机制、暂列金额与暂估价、变更程序与时效、索赔条件与证据要求、付款与结算节点、违约责任与争议解决路径等对造价风险的传导影响。</w:t>
      </w:r>
    </w:p>
    <w:p w14:paraId="5A44ABFD">
      <w:pPr>
        <w:pStyle w:val="65"/>
        <w:spacing w:before="120" w:after="120" w:line="360" w:lineRule="auto"/>
      </w:pPr>
      <w:r>
        <w:rPr>
          <w:rFonts w:hint="eastAsia"/>
        </w:rPr>
        <w:t>与设计管理的衔接</w:t>
      </w:r>
    </w:p>
    <w:p w14:paraId="16587B3F">
      <w:pPr>
        <w:pStyle w:val="56"/>
        <w:spacing w:line="360" w:lineRule="auto"/>
        <w:ind w:firstLine="420"/>
      </w:pPr>
      <w:r>
        <w:rPr>
          <w:rFonts w:hint="eastAsia"/>
        </w:rPr>
        <w:t>应建立限额设计与方案比选机制，确保设计深度、材料设备选型、专业界面条件与BIM算量口径可控；对超限风险应触发专项审查与升级审批。</w:t>
      </w:r>
    </w:p>
    <w:p w14:paraId="2D367AC4">
      <w:pPr>
        <w:pStyle w:val="65"/>
        <w:spacing w:before="120" w:after="120" w:line="360" w:lineRule="auto"/>
      </w:pPr>
      <w:r>
        <w:rPr>
          <w:rFonts w:hint="eastAsia"/>
        </w:rPr>
        <w:t>与采购管理的衔接</w:t>
      </w:r>
    </w:p>
    <w:p w14:paraId="617189AD">
      <w:pPr>
        <w:pStyle w:val="56"/>
        <w:spacing w:line="360" w:lineRule="auto"/>
        <w:ind w:firstLine="420"/>
      </w:pPr>
      <w:r>
        <w:rPr>
          <w:rFonts w:hint="eastAsia"/>
        </w:rPr>
        <w:t>应将市场价格波动、长周期设备交付、供应商履约、锁价与调价条款、替代材料合规性等纳入风险分级管控；关键资源应建立锁价/框架协议/指数联动等组合策略，并明确触发条件与审批路径。</w:t>
      </w:r>
    </w:p>
    <w:p w14:paraId="6ED75414">
      <w:pPr>
        <w:pStyle w:val="65"/>
        <w:spacing w:before="120" w:after="120" w:line="360" w:lineRule="auto"/>
      </w:pPr>
      <w:r>
        <w:rPr>
          <w:rFonts w:hint="eastAsia"/>
        </w:rPr>
        <w:t>与施工管理的衔接</w:t>
      </w:r>
    </w:p>
    <w:p w14:paraId="475794AD">
      <w:pPr>
        <w:pStyle w:val="56"/>
        <w:spacing w:line="360" w:lineRule="auto"/>
        <w:ind w:firstLine="420"/>
      </w:pPr>
      <w:r>
        <w:rPr>
          <w:rFonts w:hint="eastAsia"/>
        </w:rPr>
        <w:t>应将现场条件偏差、施工组织调整、关键工序工期压缩、质量返工、安全停工等纳入风险监测预警；对可能引发重大造价偏差的事件应同步启动变更与索赔证据链管理。</w:t>
      </w:r>
    </w:p>
    <w:p w14:paraId="48C0F393">
      <w:pPr>
        <w:pStyle w:val="65"/>
        <w:spacing w:before="120" w:after="120" w:line="360" w:lineRule="auto"/>
      </w:pPr>
      <w:r>
        <w:rPr>
          <w:rFonts w:hint="eastAsia"/>
        </w:rPr>
        <w:t>与资金与财务管理的衔接</w:t>
      </w:r>
    </w:p>
    <w:p w14:paraId="506C21D6">
      <w:pPr>
        <w:pStyle w:val="56"/>
        <w:spacing w:line="360" w:lineRule="auto"/>
        <w:ind w:firstLine="420"/>
      </w:pPr>
      <w:r>
        <w:rPr>
          <w:rFonts w:hint="eastAsia"/>
        </w:rPr>
        <w:t>应将现金流风险、支付节奏、保证金与担保、税务合规、结算回款与尾款回收等纳入风险分级管理，避免“成本可控但资金失衡”导致的综合风险。</w:t>
      </w:r>
    </w:p>
    <w:p w14:paraId="3C79FABC">
      <w:pPr>
        <w:pStyle w:val="105"/>
        <w:spacing w:before="120" w:after="120" w:line="360" w:lineRule="auto"/>
      </w:pPr>
      <w:r>
        <w:rPr>
          <w:rFonts w:hint="eastAsia"/>
        </w:rPr>
        <w:t>文件化与信息化要求</w:t>
      </w:r>
    </w:p>
    <w:p w14:paraId="39A80F98">
      <w:pPr>
        <w:pStyle w:val="65"/>
        <w:spacing w:before="120" w:after="120" w:line="360" w:lineRule="auto"/>
      </w:pPr>
      <w:r>
        <w:rPr>
          <w:rFonts w:hint="eastAsia"/>
        </w:rPr>
        <w:t>文件化要求</w:t>
      </w:r>
    </w:p>
    <w:p w14:paraId="1DA7DA3C">
      <w:pPr>
        <w:pStyle w:val="56"/>
        <w:spacing w:line="360" w:lineRule="auto"/>
        <w:ind w:firstLine="420"/>
      </w:pPr>
      <w:r>
        <w:rPr>
          <w:rFonts w:hint="eastAsia"/>
        </w:rPr>
        <w:t>应至少形成并维护：风险管理计划、风险台账、评估分级记录、风险应对方案与审批记录、监测预警记录、风险事件处置记录、成本影响分析与结论文件、复盘报告与改进措施跟踪记录。上述资料应与变更签证、计量支付、采购合同、会议纪要、往来函件等形成一致的证据链。</w:t>
      </w:r>
    </w:p>
    <w:p w14:paraId="1D08AB57">
      <w:pPr>
        <w:pStyle w:val="65"/>
        <w:spacing w:before="120" w:after="120" w:line="360" w:lineRule="auto"/>
      </w:pPr>
      <w:r>
        <w:rPr>
          <w:rFonts w:hint="eastAsia"/>
        </w:rPr>
        <w:t>信息化要求</w:t>
      </w:r>
    </w:p>
    <w:p w14:paraId="2A62EE40">
      <w:pPr>
        <w:pStyle w:val="56"/>
        <w:spacing w:line="360" w:lineRule="auto"/>
        <w:ind w:firstLine="420"/>
      </w:pPr>
      <w:r>
        <w:rPr>
          <w:rFonts w:hint="eastAsia"/>
        </w:rPr>
        <w:t>宜采用数字化成本管理与风险管理工具实现数据集成与自动预警，包括但不限于：成本WBS/CBS编码体系、价格指数与采购订单联动、变更签证在线流转、风险台账版本管理、权限控制与日志留痕、可视化仪表板与风险热力图等。对关键数据应设置口径说明与校核规则，确保多方协同场景下的数据一致性。</w:t>
      </w:r>
    </w:p>
    <w:p w14:paraId="30757218">
      <w:pPr>
        <w:pStyle w:val="104"/>
        <w:spacing w:before="240" w:after="240" w:line="360" w:lineRule="auto"/>
      </w:pPr>
      <w:bookmarkStart w:id="52" w:name="_Toc218882940"/>
      <w:r>
        <w:rPr>
          <w:rFonts w:hint="eastAsia"/>
        </w:rPr>
        <w:t>造价风险识别与分类</w:t>
      </w:r>
      <w:bookmarkEnd w:id="52"/>
    </w:p>
    <w:p w14:paraId="09A6904E">
      <w:pPr>
        <w:pStyle w:val="105"/>
        <w:spacing w:before="120" w:after="120" w:line="360" w:lineRule="auto"/>
      </w:pPr>
      <w:r>
        <w:rPr>
          <w:rFonts w:hint="eastAsia"/>
        </w:rPr>
        <w:t>一般要求</w:t>
      </w:r>
    </w:p>
    <w:p w14:paraId="0F8BB052">
      <w:pPr>
        <w:pStyle w:val="165"/>
        <w:spacing w:line="360" w:lineRule="auto"/>
      </w:pPr>
      <w:r>
        <w:rPr>
          <w:rFonts w:hint="eastAsia"/>
        </w:rPr>
        <w:t>工程总承包项目造价风险识别应覆盖项目全生命周期，贯穿投标报价、合同谈判、实施策划、设计、采购、施工、竣工结算与审计等关键阶段，并与项目成本策划、合同管理、变更管理、采购管理、进度管理同步开展。</w:t>
      </w:r>
    </w:p>
    <w:p w14:paraId="50E57DE3">
      <w:pPr>
        <w:pStyle w:val="165"/>
        <w:spacing w:line="360" w:lineRule="auto"/>
      </w:pPr>
      <w:r>
        <w:rPr>
          <w:rFonts w:hint="eastAsia"/>
        </w:rPr>
        <w:t>风险识别应以合同边界和目标成本分解为基础，采用“自上而下（目标—分解—流程）”与“自下而上（事件—原因—影响）”相结合的方法，形成结构化、可量化、可追溯、可更新的风险清单。</w:t>
      </w:r>
    </w:p>
    <w:p w14:paraId="276B2BE7">
      <w:pPr>
        <w:pStyle w:val="165"/>
        <w:spacing w:line="360" w:lineRule="auto"/>
      </w:pPr>
      <w:r>
        <w:rPr>
          <w:rFonts w:hint="eastAsia"/>
        </w:rPr>
        <w:t>风险描述应明确风险来源、触发条件、影响对象、影响路径、责任主体、可控性、潜在后果及初步应对方向，避免仅使用笼统表述（如“材料涨价”“变更增加”）而缺少可执行的判定条件与影响口径。</w:t>
      </w:r>
    </w:p>
    <w:p w14:paraId="2B04C409">
      <w:pPr>
        <w:pStyle w:val="165"/>
        <w:spacing w:line="360" w:lineRule="auto"/>
      </w:pPr>
      <w:r>
        <w:rPr>
          <w:rFonts w:hint="eastAsia"/>
        </w:rPr>
        <w:t>风险识别结果应形成风险台账并纳入项目受控文件管理，风险台账应与成本WBS/CBS、合同清单、采购包划分、分包策划、施工组织设计、变更签证台账等保持一致，确保数据口径统一、责任归属清晰、证据链可追溯。</w:t>
      </w:r>
    </w:p>
    <w:p w14:paraId="0D412845">
      <w:pPr>
        <w:pStyle w:val="105"/>
        <w:spacing w:before="120" w:after="120" w:line="360" w:lineRule="auto"/>
      </w:pPr>
      <w:r>
        <w:rPr>
          <w:rFonts w:hint="eastAsia"/>
        </w:rPr>
        <w:t>风险识别输入与信息来源</w:t>
      </w:r>
    </w:p>
    <w:p w14:paraId="4E3CA8AA">
      <w:pPr>
        <w:pStyle w:val="65"/>
        <w:spacing w:before="120" w:after="120" w:line="360" w:lineRule="auto"/>
      </w:pPr>
      <w:r>
        <w:rPr>
          <w:rFonts w:hint="eastAsia"/>
        </w:rPr>
        <w:t>风险识别应至少利用以下信息来源：</w:t>
      </w:r>
    </w:p>
    <w:p w14:paraId="081F6292">
      <w:pPr>
        <w:pStyle w:val="56"/>
        <w:spacing w:line="360" w:lineRule="auto"/>
        <w:ind w:firstLine="420"/>
      </w:pPr>
      <w:r>
        <w:rPr>
          <w:rFonts w:hint="eastAsia"/>
        </w:rPr>
        <w:t>a) 招标文件、合同条件、合同价构成及风险分担条款（含调价机制、暂列金额、暂估价、计价方式、付款条件、工期与违约责任等）；</w:t>
      </w:r>
    </w:p>
    <w:p w14:paraId="3715223A">
      <w:pPr>
        <w:pStyle w:val="56"/>
        <w:spacing w:line="360" w:lineRule="auto"/>
        <w:ind w:firstLine="420"/>
      </w:pPr>
      <w:r>
        <w:rPr>
          <w:rFonts w:hint="eastAsia"/>
        </w:rPr>
        <w:t>b) 项目实施策划文件、目标成本分解、资源计划、采购策略与分包策划；</w:t>
      </w:r>
    </w:p>
    <w:p w14:paraId="40CEE4D6">
      <w:pPr>
        <w:pStyle w:val="56"/>
        <w:spacing w:line="360" w:lineRule="auto"/>
        <w:ind w:firstLine="420"/>
      </w:pPr>
      <w:r>
        <w:rPr>
          <w:rFonts w:hint="eastAsia"/>
        </w:rPr>
        <w:t>c) 设计文件（含方案比选、限额设计指标、BIM模型、工程量清单/算量成果、材料设备清单与技术规格书）；</w:t>
      </w:r>
    </w:p>
    <w:p w14:paraId="5C2DB072">
      <w:pPr>
        <w:pStyle w:val="56"/>
        <w:spacing w:line="360" w:lineRule="auto"/>
        <w:ind w:firstLine="420"/>
      </w:pPr>
      <w:r>
        <w:rPr>
          <w:rFonts w:hint="eastAsia"/>
        </w:rPr>
        <w:t>d) 市场与外部环境信息（主要材料设备价格指数、供应链交付周期、汇率税费政策、区域劳务与机械租赁行情、地方计价依据变化等）；</w:t>
      </w:r>
    </w:p>
    <w:p w14:paraId="5FD6E2EC">
      <w:pPr>
        <w:pStyle w:val="56"/>
        <w:spacing w:line="360" w:lineRule="auto"/>
        <w:ind w:firstLine="420"/>
      </w:pPr>
      <w:r>
        <w:rPr>
          <w:rFonts w:hint="eastAsia"/>
        </w:rPr>
        <w:t>e) 现场条件与施工信息（地勘资料、场地条件、施工组织设计、关键工序与关键线路、临建与措施方案、质量安全风险点）；</w:t>
      </w:r>
    </w:p>
    <w:p w14:paraId="51CC6BF3">
      <w:pPr>
        <w:pStyle w:val="56"/>
        <w:spacing w:line="360" w:lineRule="auto"/>
        <w:ind w:firstLine="420"/>
      </w:pPr>
      <w:r>
        <w:rPr>
          <w:rFonts w:hint="eastAsia"/>
        </w:rPr>
        <w:t>f) 历史项目数据库与经验教训（类似项目结算偏差点、索赔争议点、供应商履约表现、设计变更高发专业等）；</w:t>
      </w:r>
    </w:p>
    <w:p w14:paraId="36E0C4DC">
      <w:pPr>
        <w:pStyle w:val="56"/>
        <w:spacing w:line="360" w:lineRule="auto"/>
        <w:ind w:firstLine="420"/>
      </w:pPr>
      <w:r>
        <w:rPr>
          <w:rFonts w:hint="eastAsia"/>
        </w:rPr>
        <w:t>g) 管理过程数据（合同交底记录、变更签证资料、计量支付记录、采购订单与到货验收记录、成本月报与偏差分析报告）。</w:t>
      </w:r>
    </w:p>
    <w:p w14:paraId="0C058FE0">
      <w:pPr>
        <w:pStyle w:val="165"/>
        <w:spacing w:line="360" w:lineRule="auto"/>
      </w:pPr>
      <w:r>
        <w:rPr>
          <w:rFonts w:hint="eastAsia"/>
        </w:rPr>
        <w:t>采用信息化平台时，宜实现风险台账与成本管理、变更签证、采购合同、BIM算量、进度计划等系统的数据联动，减少手工重复录入并提升预警及时性。</w:t>
      </w:r>
    </w:p>
    <w:p w14:paraId="16DBE2A9">
      <w:pPr>
        <w:pStyle w:val="105"/>
        <w:spacing w:before="120" w:after="120" w:line="360" w:lineRule="auto"/>
      </w:pPr>
      <w:r>
        <w:rPr>
          <w:rFonts w:hint="eastAsia"/>
        </w:rPr>
        <w:t>风险识别方法与程序</w:t>
      </w:r>
    </w:p>
    <w:p w14:paraId="26F2C037">
      <w:pPr>
        <w:pStyle w:val="65"/>
        <w:spacing w:before="120" w:after="120" w:line="360" w:lineRule="auto"/>
      </w:pPr>
      <w:r>
        <w:rPr>
          <w:rFonts w:hint="eastAsia"/>
        </w:rPr>
        <w:t>风险识别宜综合采用以下方法：</w:t>
      </w:r>
    </w:p>
    <w:p w14:paraId="49C4C670">
      <w:pPr>
        <w:pStyle w:val="56"/>
        <w:spacing w:line="360" w:lineRule="auto"/>
        <w:ind w:firstLine="420"/>
      </w:pPr>
      <w:r>
        <w:rPr>
          <w:rFonts w:hint="eastAsia"/>
        </w:rPr>
        <w:t>a) 分解法：基于WBS/CBS、工程量清单、采购包、分包包件分解识别风险点；</w:t>
      </w:r>
    </w:p>
    <w:p w14:paraId="1CFD82F8">
      <w:pPr>
        <w:pStyle w:val="56"/>
        <w:spacing w:line="360" w:lineRule="auto"/>
        <w:ind w:firstLine="420"/>
      </w:pPr>
      <w:r>
        <w:rPr>
          <w:rFonts w:hint="eastAsia"/>
        </w:rPr>
        <w:t>b) 专题研讨法：组织业主、总承包、设计、采购、施工、商务、财务、法务等开展风险研讨会（含界面梳理与条款解读）；</w:t>
      </w:r>
    </w:p>
    <w:p w14:paraId="4496141F">
      <w:pPr>
        <w:pStyle w:val="56"/>
        <w:spacing w:line="360" w:lineRule="auto"/>
        <w:ind w:firstLine="420"/>
      </w:pPr>
      <w:r>
        <w:rPr>
          <w:rFonts w:hint="eastAsia"/>
        </w:rPr>
        <w:t>c) 清单对照法：采用标准风险清单与检查表对照识别；</w:t>
      </w:r>
    </w:p>
    <w:p w14:paraId="4C8ED3A9">
      <w:pPr>
        <w:pStyle w:val="56"/>
        <w:spacing w:line="360" w:lineRule="auto"/>
        <w:ind w:firstLine="420"/>
      </w:pPr>
      <w:r>
        <w:rPr>
          <w:rFonts w:hint="eastAsia"/>
        </w:rPr>
        <w:t>d) 对标与类比法：与同类型已完项目的结算偏差、争议点、价格波动敏感项进行类比识别；</w:t>
      </w:r>
    </w:p>
    <w:p w14:paraId="1E5AD18A">
      <w:pPr>
        <w:pStyle w:val="56"/>
        <w:spacing w:line="360" w:lineRule="auto"/>
        <w:ind w:firstLine="420"/>
      </w:pPr>
      <w:r>
        <w:rPr>
          <w:rFonts w:hint="eastAsia"/>
        </w:rPr>
        <w:t>e) 情景推演法：对关键设备长周期、价格大幅波动、工期压缩、现场条件偏差等情景进行推演识别；</w:t>
      </w:r>
    </w:p>
    <w:p w14:paraId="0583041E">
      <w:pPr>
        <w:pStyle w:val="56"/>
        <w:spacing w:line="360" w:lineRule="auto"/>
        <w:ind w:firstLine="420"/>
      </w:pPr>
      <w:r>
        <w:rPr>
          <w:rFonts w:hint="eastAsia"/>
        </w:rPr>
        <w:t>f) 数据驱动法：基于价格指数、采购询价、进度偏差、变更频次、签证金额等数据识别风险触发趋势。</w:t>
      </w:r>
    </w:p>
    <w:p w14:paraId="2A7AF979">
      <w:pPr>
        <w:pStyle w:val="65"/>
        <w:spacing w:before="120" w:after="120" w:line="360" w:lineRule="auto"/>
      </w:pPr>
      <w:r>
        <w:rPr>
          <w:rFonts w:hint="eastAsia"/>
        </w:rPr>
        <w:t>风险识别程序宜包括：</w:t>
      </w:r>
    </w:p>
    <w:p w14:paraId="4AC16E66">
      <w:pPr>
        <w:pStyle w:val="56"/>
        <w:spacing w:line="360" w:lineRule="auto"/>
        <w:ind w:firstLine="420"/>
      </w:pPr>
      <w:r>
        <w:rPr>
          <w:rFonts w:hint="eastAsia"/>
        </w:rPr>
        <w:t>a) 识别准备：明确识别范围、口径、责任分工与输出要求；</w:t>
      </w:r>
    </w:p>
    <w:p w14:paraId="79B517EB">
      <w:pPr>
        <w:pStyle w:val="56"/>
        <w:spacing w:line="360" w:lineRule="auto"/>
        <w:ind w:firstLine="420"/>
      </w:pPr>
      <w:r>
        <w:rPr>
          <w:rFonts w:hint="eastAsia"/>
        </w:rPr>
        <w:t>b) 初始识别：按专业与阶段形成风险条目；</w:t>
      </w:r>
    </w:p>
    <w:p w14:paraId="33637C8C">
      <w:pPr>
        <w:pStyle w:val="56"/>
        <w:spacing w:line="360" w:lineRule="auto"/>
        <w:ind w:firstLine="420"/>
      </w:pPr>
      <w:r>
        <w:rPr>
          <w:rFonts w:hint="eastAsia"/>
        </w:rPr>
        <w:t>c) 汇总去重与结构化：统一编码、合并同类项、明确触发条件与影响口径；</w:t>
      </w:r>
    </w:p>
    <w:p w14:paraId="0AADC92D">
      <w:pPr>
        <w:pStyle w:val="56"/>
        <w:spacing w:line="360" w:lineRule="auto"/>
        <w:ind w:firstLine="420"/>
      </w:pPr>
      <w:r>
        <w:rPr>
          <w:rFonts w:hint="eastAsia"/>
        </w:rPr>
        <w:t>d) 初步定性：给出风险类型、可能原因、初步责任主体与建议应对方向；</w:t>
      </w:r>
    </w:p>
    <w:p w14:paraId="052B9E7C">
      <w:pPr>
        <w:pStyle w:val="56"/>
        <w:spacing w:line="360" w:lineRule="auto"/>
        <w:ind w:firstLine="420"/>
      </w:pPr>
      <w:r>
        <w:rPr>
          <w:rFonts w:hint="eastAsia"/>
        </w:rPr>
        <w:t>e) 审核确认：由造价风险牵头部门组织跨专业复核，形成受控版本并发布执行。</w:t>
      </w:r>
    </w:p>
    <w:p w14:paraId="402CCFAE">
      <w:pPr>
        <w:pStyle w:val="105"/>
        <w:spacing w:before="120" w:after="120" w:line="360" w:lineRule="auto"/>
      </w:pPr>
      <w:r>
        <w:rPr>
          <w:rFonts w:hint="eastAsia"/>
        </w:rPr>
        <w:t>风险台账要素与编码要求</w:t>
      </w:r>
    </w:p>
    <w:p w14:paraId="25490817">
      <w:pPr>
        <w:pStyle w:val="165"/>
        <w:spacing w:line="360" w:lineRule="auto"/>
      </w:pPr>
      <w:r>
        <w:rPr>
          <w:rFonts w:hint="eastAsia"/>
        </w:rPr>
        <w:t>风险台账应至少包含以下要素：风险编号、风险名称、分类与阶段归属、触发条件、影响对象、影响路径、责任主体与协同单位、可控性说明、数据来源与证据附件、当前状态、拟定处置措施及完成时限、复盘结论与经验条目等。</w:t>
      </w:r>
    </w:p>
    <w:p w14:paraId="02708BE5">
      <w:pPr>
        <w:pStyle w:val="165"/>
        <w:spacing w:line="360" w:lineRule="auto"/>
      </w:pPr>
      <w:r>
        <w:rPr>
          <w:rFonts w:hint="eastAsia"/>
        </w:rPr>
        <w:t>风险编码宜采用“项目—阶段—类别—序号”的结构化规则，并与成本WBS/CBS及采购包/分包包件编码建立映射关系，确保风险可定位到具体成本单元与合同单元。</w:t>
      </w:r>
    </w:p>
    <w:p w14:paraId="2BA10ADE">
      <w:pPr>
        <w:pStyle w:val="165"/>
        <w:spacing w:line="360" w:lineRule="auto"/>
      </w:pPr>
      <w:r>
        <w:rPr>
          <w:rFonts w:hint="eastAsia"/>
        </w:rPr>
        <w:t>风险台账应执行版本控制与变更留痕管理；对新增、合并、关闭、升级/降级的风险条目应记录原因、依据、审批与生效时间。</w:t>
      </w:r>
    </w:p>
    <w:p w14:paraId="6B2ADAFE">
      <w:pPr>
        <w:pStyle w:val="105"/>
        <w:spacing w:before="120" w:after="120" w:line="360" w:lineRule="auto"/>
      </w:pPr>
      <w:r>
        <w:rPr>
          <w:rFonts w:hint="eastAsia"/>
        </w:rPr>
        <w:t>风险分类</w:t>
      </w:r>
    </w:p>
    <w:p w14:paraId="1589D35C">
      <w:pPr>
        <w:pStyle w:val="65"/>
        <w:spacing w:before="120" w:after="120" w:line="360" w:lineRule="auto"/>
      </w:pPr>
      <w:r>
        <w:rPr>
          <w:rFonts w:hint="eastAsia"/>
        </w:rPr>
        <w:t>按来源分类</w:t>
      </w:r>
    </w:p>
    <w:p w14:paraId="637E3CB2">
      <w:pPr>
        <w:pStyle w:val="56"/>
        <w:spacing w:line="360" w:lineRule="auto"/>
        <w:ind w:firstLine="420"/>
      </w:pPr>
      <w:r>
        <w:rPr>
          <w:rFonts w:hint="eastAsia"/>
        </w:rPr>
        <w:t>造价风险可按来源分为：</w:t>
      </w:r>
    </w:p>
    <w:p w14:paraId="7CEB756B">
      <w:pPr>
        <w:pStyle w:val="56"/>
        <w:spacing w:line="360" w:lineRule="auto"/>
        <w:ind w:firstLine="420"/>
      </w:pPr>
      <w:r>
        <w:rPr>
          <w:rFonts w:hint="eastAsia"/>
        </w:rPr>
        <w:t>a) 合同与商业条款风险：计价方式不匹配、风险分担不清、调价机制不可执行、暂列金额/暂估价设置不合理、付款结算条件导致资金成本上升、违约责任不对称等；</w:t>
      </w:r>
    </w:p>
    <w:p w14:paraId="70047444">
      <w:pPr>
        <w:pStyle w:val="56"/>
        <w:spacing w:line="360" w:lineRule="auto"/>
        <w:ind w:firstLine="420"/>
      </w:pPr>
      <w:r>
        <w:rPr>
          <w:rFonts w:hint="eastAsia"/>
        </w:rPr>
        <w:t>b) 设计与技术风险：设计深度不足、限额设计失效、专业界面遗漏、材料设备选型偏差、规范适用错误、设计变更频繁导致返工与成本增加等；</w:t>
      </w:r>
    </w:p>
    <w:p w14:paraId="75ED5234">
      <w:pPr>
        <w:pStyle w:val="56"/>
        <w:spacing w:line="360" w:lineRule="auto"/>
        <w:ind w:firstLine="420"/>
      </w:pPr>
      <w:r>
        <w:rPr>
          <w:rFonts w:hint="eastAsia"/>
        </w:rPr>
        <w:t>c) 市场与价格风险：主要材料设备价格波动、劳务/机械价格波动、汇率与税费政策变化、区域供需失衡与供应链中断等；</w:t>
      </w:r>
    </w:p>
    <w:p w14:paraId="2C779EAF">
      <w:pPr>
        <w:pStyle w:val="56"/>
        <w:spacing w:line="360" w:lineRule="auto"/>
        <w:ind w:firstLine="420"/>
      </w:pPr>
      <w:r>
        <w:rPr>
          <w:rFonts w:hint="eastAsia"/>
        </w:rPr>
        <w:t>d) 采购与供应链风险：招采策略失当、供应商履约能力不足、长周期设备交付延误、质量不合格引发返修与索赔、替代材料合规风险等；</w:t>
      </w:r>
    </w:p>
    <w:p w14:paraId="040F7AEA">
      <w:pPr>
        <w:pStyle w:val="56"/>
        <w:spacing w:line="360" w:lineRule="auto"/>
        <w:ind w:firstLine="420"/>
      </w:pPr>
      <w:r>
        <w:rPr>
          <w:rFonts w:hint="eastAsia"/>
        </w:rPr>
        <w:t>e) 施工与现场条件风险：地质水文与场地条件偏差、施工组织调整、关键工序工期压缩、停工窝工、质量返工、安全事件导致的间接费用上升等；</w:t>
      </w:r>
    </w:p>
    <w:p w14:paraId="60EB2697">
      <w:pPr>
        <w:pStyle w:val="56"/>
        <w:spacing w:line="360" w:lineRule="auto"/>
        <w:ind w:firstLine="420"/>
      </w:pPr>
      <w:r>
        <w:rPr>
          <w:rFonts w:hint="eastAsia"/>
        </w:rPr>
        <w:t>f) 变更与索赔风险：变更识别不及时、签证资料不完整、时效管理缺失、证据链不足、争议解决路径不清导致结算偏差扩大等；</w:t>
      </w:r>
    </w:p>
    <w:p w14:paraId="79986E35">
      <w:pPr>
        <w:pStyle w:val="56"/>
        <w:spacing w:line="360" w:lineRule="auto"/>
        <w:ind w:firstLine="420"/>
      </w:pPr>
      <w:r>
        <w:rPr>
          <w:rFonts w:hint="eastAsia"/>
        </w:rPr>
        <w:t>g) 管理与协同风险：组织界面不清、数据口径不统一、审批链条失衡、内控薄弱、信息传递滞后导致成本偏差扩大等。</w:t>
      </w:r>
    </w:p>
    <w:p w14:paraId="01A0E79F">
      <w:pPr>
        <w:pStyle w:val="65"/>
        <w:spacing w:before="120" w:after="120" w:line="360" w:lineRule="auto"/>
      </w:pPr>
      <w:r>
        <w:rPr>
          <w:rFonts w:hint="eastAsia"/>
        </w:rPr>
        <w:t>按成本构成分类</w:t>
      </w:r>
    </w:p>
    <w:p w14:paraId="1F0000E0">
      <w:pPr>
        <w:pStyle w:val="56"/>
        <w:spacing w:line="360" w:lineRule="auto"/>
        <w:ind w:firstLine="420"/>
      </w:pPr>
      <w:r>
        <w:rPr>
          <w:rFonts w:hint="eastAsia"/>
        </w:rPr>
        <w:t>为便于与目标成本基线对齐，风险宜按成本构成进一步归类，包括但不限于：直接工程费（人工、材料、机械）、设备购置费、措施费、分包费、临建费、规费税金、管理费、融资与资金占用成本、索赔与争议成本等。</w:t>
      </w:r>
    </w:p>
    <w:p w14:paraId="01E66712">
      <w:pPr>
        <w:pStyle w:val="65"/>
        <w:spacing w:before="120" w:after="120" w:line="360" w:lineRule="auto"/>
      </w:pPr>
      <w:r>
        <w:rPr>
          <w:rFonts w:hint="eastAsia"/>
        </w:rPr>
        <w:t>按阶段分类</w:t>
      </w:r>
    </w:p>
    <w:p w14:paraId="316A417B">
      <w:pPr>
        <w:pStyle w:val="56"/>
        <w:spacing w:line="360" w:lineRule="auto"/>
        <w:ind w:firstLine="420"/>
      </w:pPr>
      <w:r>
        <w:rPr>
          <w:rFonts w:hint="eastAsia"/>
        </w:rPr>
        <w:t>风险宜按阶段进行归属与管理：投标与合同阶段、实施策划阶段、设计阶段、采购阶段、施工阶段、结算与审计阶段。对跨阶段风险，应明确主责阶段与协同阶段，并设置阶段性控制节点。</w:t>
      </w:r>
    </w:p>
    <w:p w14:paraId="53062BFC">
      <w:pPr>
        <w:pStyle w:val="105"/>
        <w:spacing w:before="120" w:after="120" w:line="360" w:lineRule="auto"/>
      </w:pPr>
      <w:r>
        <w:rPr>
          <w:rFonts w:hint="eastAsia"/>
        </w:rPr>
        <w:t>风险识别频次与输出要求</w:t>
      </w:r>
    </w:p>
    <w:p w14:paraId="6F77415F">
      <w:pPr>
        <w:pStyle w:val="165"/>
        <w:spacing w:line="360" w:lineRule="auto"/>
      </w:pPr>
      <w:r>
        <w:rPr>
          <w:rFonts w:hint="eastAsia"/>
        </w:rPr>
        <w:t>至少应在以下时点开展集中识别与台账更新：</w:t>
      </w:r>
    </w:p>
    <w:p w14:paraId="4D13C602">
      <w:pPr>
        <w:pStyle w:val="56"/>
        <w:spacing w:line="360" w:lineRule="auto"/>
        <w:ind w:firstLine="420"/>
      </w:pPr>
      <w:r>
        <w:rPr>
          <w:rFonts w:hint="eastAsia"/>
        </w:rPr>
        <w:t>a) 合同签订/合同交底完成后；</w:t>
      </w:r>
    </w:p>
    <w:p w14:paraId="0AA0152B">
      <w:pPr>
        <w:pStyle w:val="56"/>
        <w:spacing w:line="360" w:lineRule="auto"/>
        <w:ind w:firstLine="420"/>
      </w:pPr>
      <w:r>
        <w:rPr>
          <w:rFonts w:hint="eastAsia"/>
        </w:rPr>
        <w:t>b) 目标成本建立与实施策划批准后；</w:t>
      </w:r>
    </w:p>
    <w:p w14:paraId="3A58CF50">
      <w:pPr>
        <w:pStyle w:val="56"/>
        <w:spacing w:line="360" w:lineRule="auto"/>
        <w:ind w:firstLine="420"/>
      </w:pPr>
      <w:r>
        <w:rPr>
          <w:rFonts w:hint="eastAsia"/>
        </w:rPr>
        <w:t>c) 重大方案确定、施工图阶段性成果形成或设计冻结节点；</w:t>
      </w:r>
    </w:p>
    <w:p w14:paraId="7C160ED8">
      <w:pPr>
        <w:pStyle w:val="56"/>
        <w:spacing w:line="360" w:lineRule="auto"/>
        <w:ind w:firstLine="420"/>
      </w:pPr>
      <w:r>
        <w:rPr>
          <w:rFonts w:hint="eastAsia"/>
        </w:rPr>
        <w:t>d) 关键设备材料招标定标前后、锁价或调价条款确认时；</w:t>
      </w:r>
    </w:p>
    <w:p w14:paraId="75446C0D">
      <w:pPr>
        <w:pStyle w:val="56"/>
        <w:spacing w:line="360" w:lineRule="auto"/>
        <w:ind w:firstLine="420"/>
      </w:pPr>
      <w:r>
        <w:rPr>
          <w:rFonts w:hint="eastAsia"/>
        </w:rPr>
        <w:t>e) 重大变更发生、关键线路调整、现场条件重大偏差确认时；</w:t>
      </w:r>
    </w:p>
    <w:p w14:paraId="5676E4B1">
      <w:pPr>
        <w:pStyle w:val="56"/>
        <w:spacing w:line="360" w:lineRule="auto"/>
        <w:ind w:firstLine="420"/>
      </w:pPr>
      <w:r>
        <w:rPr>
          <w:rFonts w:hint="eastAsia"/>
        </w:rPr>
        <w:t>f) 竣工结算启动、审计沟通与争议集中阶段。</w:t>
      </w:r>
    </w:p>
    <w:p w14:paraId="66CBF0BD">
      <w:pPr>
        <w:pStyle w:val="165"/>
        <w:spacing w:line="360" w:lineRule="auto"/>
      </w:pPr>
      <w:r>
        <w:rPr>
          <w:rFonts w:hint="eastAsia"/>
        </w:rPr>
        <w:t>风险识别输出应至少包括：风险清单（受控版本）、风险台账（含证据附件索引）、风险责任分配说明、需进入下一章评估分级的风险条目清单，以及需立即启动专项处置或升级报告的风险事项清单。</w:t>
      </w:r>
    </w:p>
    <w:p w14:paraId="42400ACD">
      <w:pPr>
        <w:pStyle w:val="104"/>
        <w:spacing w:before="240" w:after="240" w:line="360" w:lineRule="auto"/>
      </w:pPr>
      <w:bookmarkStart w:id="53" w:name="_Toc218882941"/>
      <w:r>
        <w:rPr>
          <w:rFonts w:hint="eastAsia"/>
        </w:rPr>
        <w:t>风险评估与分级</w:t>
      </w:r>
      <w:bookmarkEnd w:id="53"/>
    </w:p>
    <w:p w14:paraId="27ACCE96">
      <w:pPr>
        <w:pStyle w:val="105"/>
        <w:spacing w:before="120" w:after="120" w:line="360" w:lineRule="auto"/>
      </w:pPr>
      <w:r>
        <w:rPr>
          <w:rFonts w:hint="eastAsia"/>
        </w:rPr>
        <w:t>一般要求</w:t>
      </w:r>
    </w:p>
    <w:p w14:paraId="1EE9360F">
      <w:pPr>
        <w:pStyle w:val="165"/>
        <w:spacing w:line="360" w:lineRule="auto"/>
      </w:pPr>
      <w:r>
        <w:rPr>
          <w:rFonts w:hint="eastAsia"/>
        </w:rPr>
        <w:t>造价风险评估与分级应在风险识别的基础上开展，形成“可量化、可对比、可复核”的等级判定结果，并作为后续分级管控措施配置、审批权限设定、监测预警阈值设定与资源投入安排的依据。</w:t>
      </w:r>
    </w:p>
    <w:p w14:paraId="15580EB5">
      <w:pPr>
        <w:pStyle w:val="165"/>
        <w:spacing w:line="360" w:lineRule="auto"/>
      </w:pPr>
      <w:r>
        <w:rPr>
          <w:rFonts w:hint="eastAsia"/>
        </w:rPr>
        <w:t>风险评估应坚持统一口径。项目应在实施策划阶段明确：</w:t>
      </w:r>
    </w:p>
    <w:p w14:paraId="6E38E94D">
      <w:pPr>
        <w:pStyle w:val="56"/>
        <w:spacing w:line="360" w:lineRule="auto"/>
        <w:ind w:firstLine="420"/>
      </w:pPr>
      <w:r>
        <w:rPr>
          <w:rFonts w:hint="eastAsia"/>
        </w:rPr>
        <w:t>a) 评估基准（合同价、目标成本、投资控制目标等）；</w:t>
      </w:r>
    </w:p>
    <w:p w14:paraId="185B2DFB">
      <w:pPr>
        <w:pStyle w:val="56"/>
        <w:spacing w:line="360" w:lineRule="auto"/>
        <w:ind w:firstLine="420"/>
      </w:pPr>
      <w:r>
        <w:rPr>
          <w:rFonts w:hint="eastAsia"/>
        </w:rPr>
        <w:t>b) 影响口径（金额、比例、现金流影响、工期关键线路影响、争议概率等）；</w:t>
      </w:r>
    </w:p>
    <w:p w14:paraId="7CFFA529">
      <w:pPr>
        <w:pStyle w:val="56"/>
        <w:spacing w:line="360" w:lineRule="auto"/>
        <w:ind w:firstLine="420"/>
      </w:pPr>
      <w:r>
        <w:rPr>
          <w:rFonts w:hint="eastAsia"/>
        </w:rPr>
        <w:t>c) 数据来源与取数规则（价格指数、询价记录、设计算量、现场签证、进度计划、采购交付数据等）；</w:t>
      </w:r>
    </w:p>
    <w:p w14:paraId="64529C75">
      <w:pPr>
        <w:pStyle w:val="56"/>
        <w:spacing w:line="360" w:lineRule="auto"/>
        <w:ind w:firstLine="420"/>
      </w:pPr>
      <w:r>
        <w:rPr>
          <w:rFonts w:hint="eastAsia"/>
        </w:rPr>
        <w:t>d) 评估周期与更新频次（周度、月度或关键节点）。</w:t>
      </w:r>
    </w:p>
    <w:p w14:paraId="1F338692">
      <w:pPr>
        <w:pStyle w:val="165"/>
        <w:spacing w:line="360" w:lineRule="auto"/>
      </w:pPr>
      <w:r>
        <w:rPr>
          <w:rFonts w:hint="eastAsia"/>
        </w:rPr>
        <w:t>风险评估应与成本偏差分析、变更估价、采购定标评审、施工方案审查、计量支付审核等活动协同开展，避免评估结果与实际管理口径脱节。</w:t>
      </w:r>
    </w:p>
    <w:p w14:paraId="20B09E16">
      <w:pPr>
        <w:pStyle w:val="105"/>
        <w:spacing w:before="120" w:after="120" w:line="360" w:lineRule="auto"/>
      </w:pPr>
      <w:r>
        <w:rPr>
          <w:rFonts w:hint="eastAsia"/>
        </w:rPr>
        <w:t>评估维度与指标体系</w:t>
      </w:r>
    </w:p>
    <w:p w14:paraId="67ACFC3B">
      <w:pPr>
        <w:pStyle w:val="65"/>
        <w:spacing w:before="120" w:after="120" w:line="360" w:lineRule="auto"/>
      </w:pPr>
      <w:r>
        <w:rPr>
          <w:rFonts w:hint="eastAsia"/>
        </w:rPr>
        <w:t>发生概率（P）</w:t>
      </w:r>
    </w:p>
    <w:p w14:paraId="44115C20">
      <w:pPr>
        <w:pStyle w:val="56"/>
        <w:spacing w:line="360" w:lineRule="auto"/>
        <w:ind w:firstLine="420"/>
      </w:pPr>
      <w:r>
        <w:rPr>
          <w:rFonts w:hint="eastAsia"/>
        </w:rPr>
        <w:t>发生概率用于表征风险在既定时间窗口内触发的可能性。概率评价应结合历史数据、市场走势、合同条款、技术成熟度、供应链交付能力与现场条件不确定性等进行综合判断。对可量化事件（如价格波动、交付延误、变更频次等）宜优先采用统计或趋势外推方式估计。</w:t>
      </w:r>
    </w:p>
    <w:p w14:paraId="1F456F3A">
      <w:pPr>
        <w:pStyle w:val="65"/>
        <w:spacing w:before="120" w:after="120" w:line="360" w:lineRule="auto"/>
      </w:pPr>
      <w:r>
        <w:rPr>
          <w:rFonts w:hint="eastAsia"/>
        </w:rPr>
        <w:t>影响程度（I）</w:t>
      </w:r>
    </w:p>
    <w:p w14:paraId="45C8D165">
      <w:pPr>
        <w:pStyle w:val="56"/>
        <w:spacing w:line="360" w:lineRule="auto"/>
        <w:ind w:firstLine="420"/>
      </w:pPr>
      <w:r>
        <w:rPr>
          <w:rFonts w:hint="eastAsia"/>
        </w:rPr>
        <w:t>影响程度宜以对“造价目标偏差”的影响作为核心指标，并可按需要补充以下维度形成综合影响判断：</w:t>
      </w:r>
    </w:p>
    <w:p w14:paraId="4415FAEA">
      <w:pPr>
        <w:pStyle w:val="56"/>
        <w:spacing w:line="360" w:lineRule="auto"/>
        <w:ind w:firstLine="420"/>
      </w:pPr>
      <w:r>
        <w:rPr>
          <w:rFonts w:hint="eastAsia"/>
        </w:rPr>
        <w:t>a) 造价影响：对合同价/目标成本的增减金额及比例；</w:t>
      </w:r>
    </w:p>
    <w:p w14:paraId="1A47BA14">
      <w:pPr>
        <w:pStyle w:val="56"/>
        <w:spacing w:line="360" w:lineRule="auto"/>
        <w:ind w:firstLine="420"/>
      </w:pPr>
      <w:r>
        <w:rPr>
          <w:rFonts w:hint="eastAsia"/>
        </w:rPr>
        <w:t>b) 现金流影响：支付节奏变化、资金占用成本上升、回款滞后风险；</w:t>
      </w:r>
    </w:p>
    <w:p w14:paraId="4CBA474A">
      <w:pPr>
        <w:pStyle w:val="56"/>
        <w:spacing w:line="360" w:lineRule="auto"/>
        <w:ind w:firstLine="420"/>
      </w:pPr>
      <w:r>
        <w:rPr>
          <w:rFonts w:hint="eastAsia"/>
        </w:rPr>
        <w:t>c) 工期联动影响：对关键线路、赶工措施费及间接费的影响；</w:t>
      </w:r>
    </w:p>
    <w:p w14:paraId="214DBA4D">
      <w:pPr>
        <w:pStyle w:val="56"/>
        <w:spacing w:line="360" w:lineRule="auto"/>
        <w:ind w:firstLine="420"/>
      </w:pPr>
      <w:r>
        <w:rPr>
          <w:rFonts w:hint="eastAsia"/>
        </w:rPr>
        <w:t>d) 争议与索赔影响：争议发生概率、索赔可得性、证据链完整性及潜在诉讼成本；</w:t>
      </w:r>
    </w:p>
    <w:p w14:paraId="7370AC79">
      <w:pPr>
        <w:pStyle w:val="56"/>
        <w:spacing w:line="360" w:lineRule="auto"/>
        <w:ind w:firstLine="420"/>
      </w:pPr>
      <w:r>
        <w:rPr>
          <w:rFonts w:hint="eastAsia"/>
        </w:rPr>
        <w:t>e) 合规与声誉影响：税务合规、审计风险、重大负面事件对履约与结算的不利影响。</w:t>
      </w:r>
    </w:p>
    <w:p w14:paraId="5E2B7A5C">
      <w:pPr>
        <w:pStyle w:val="65"/>
        <w:spacing w:before="120" w:after="120" w:line="360" w:lineRule="auto"/>
      </w:pPr>
      <w:r>
        <w:rPr>
          <w:rFonts w:hint="eastAsia"/>
        </w:rPr>
        <w:t>可控性（C）</w:t>
      </w:r>
    </w:p>
    <w:p w14:paraId="376C0479">
      <w:pPr>
        <w:pStyle w:val="56"/>
        <w:spacing w:line="360" w:lineRule="auto"/>
        <w:ind w:firstLine="420"/>
      </w:pPr>
      <w:r>
        <w:rPr>
          <w:rFonts w:hint="eastAsia"/>
        </w:rPr>
        <w:t>可控性用于修正风险优先级，表征项目团队通过管理动作对风险发生或影响后果的控制能力。可控性评价宜综合考虑：控制措施可实施性、控制成本、控制时效、外部依赖程度、合同可调整性以及证据链可构建性。</w:t>
      </w:r>
    </w:p>
    <w:p w14:paraId="65836A60">
      <w:pPr>
        <w:pStyle w:val="65"/>
        <w:spacing w:before="120" w:after="120" w:line="360" w:lineRule="auto"/>
      </w:pPr>
      <w:r>
        <w:rPr>
          <w:rFonts w:hint="eastAsia"/>
        </w:rPr>
        <w:t>指标分解与映射</w:t>
      </w:r>
    </w:p>
    <w:p w14:paraId="4EEA45D7">
      <w:pPr>
        <w:pStyle w:val="56"/>
        <w:spacing w:line="360" w:lineRule="auto"/>
        <w:ind w:firstLine="420"/>
      </w:pPr>
      <w:r>
        <w:rPr>
          <w:rFonts w:hint="eastAsia"/>
        </w:rPr>
        <w:t>风险评估应尽可能映射到具体成本单元与合同单元（WBS/CBS、采购包、分包包件、清单子目），以便形成可执行的控制动作（限额、锁价、审批、变更策略、索赔策略等），避免评估结果停留在宏观描述层面。</w:t>
      </w:r>
    </w:p>
    <w:p w14:paraId="107BD526">
      <w:pPr>
        <w:pStyle w:val="105"/>
        <w:spacing w:before="120" w:after="120" w:line="360" w:lineRule="auto"/>
      </w:pPr>
      <w:r>
        <w:rPr>
          <w:rFonts w:hint="eastAsia"/>
        </w:rPr>
        <w:t>评分方法与分级规则</w:t>
      </w:r>
    </w:p>
    <w:p w14:paraId="7AE8D994">
      <w:pPr>
        <w:pStyle w:val="65"/>
        <w:spacing w:before="120" w:after="120" w:line="360" w:lineRule="auto"/>
      </w:pPr>
      <w:r>
        <w:rPr>
          <w:rFonts w:hint="eastAsia"/>
        </w:rPr>
        <w:t>评分方法</w:t>
      </w:r>
    </w:p>
    <w:p w14:paraId="51EFF0C2">
      <w:pPr>
        <w:pStyle w:val="56"/>
        <w:spacing w:line="360" w:lineRule="auto"/>
        <w:ind w:firstLine="420"/>
      </w:pPr>
      <w:r>
        <w:rPr>
          <w:rFonts w:hint="eastAsia"/>
        </w:rPr>
        <w:t>项目可采用“P×I”作为基础风险值，并以可控性修正形成综合风险值R。示例逻辑如下：</w:t>
      </w:r>
    </w:p>
    <w:p w14:paraId="7CF43530">
      <w:pPr>
        <w:pStyle w:val="56"/>
        <w:spacing w:line="360" w:lineRule="auto"/>
        <w:ind w:firstLine="420"/>
      </w:pPr>
      <w:r>
        <w:rPr>
          <w:rFonts w:hint="eastAsia"/>
        </w:rPr>
        <w:t>a) 将发生概率P划分为若干档（如1～4或1～5）；</w:t>
      </w:r>
    </w:p>
    <w:p w14:paraId="3FA97629">
      <w:pPr>
        <w:pStyle w:val="56"/>
        <w:spacing w:line="360" w:lineRule="auto"/>
        <w:ind w:firstLine="420"/>
      </w:pPr>
      <w:r>
        <w:rPr>
          <w:rFonts w:hint="eastAsia"/>
        </w:rPr>
        <w:t>b) 将影响程度I按对造价目标偏差的比例或金额划分为若干档（如1～4或1～5）；</w:t>
      </w:r>
    </w:p>
    <w:p w14:paraId="6326E952">
      <w:pPr>
        <w:pStyle w:val="56"/>
        <w:spacing w:line="360" w:lineRule="auto"/>
        <w:ind w:firstLine="420"/>
      </w:pPr>
      <w:r>
        <w:t xml:space="preserve">c) </w:t>
      </w:r>
      <w:r>
        <w:rPr>
          <w:rFonts w:hint="eastAsia"/>
        </w:rPr>
        <w:t>计算基础风险值：</w:t>
      </w:r>
      <w:r>
        <w:t>R₀ = P × I</w:t>
      </w:r>
      <w:r>
        <w:rPr>
          <w:rFonts w:hint="eastAsia"/>
        </w:rPr>
        <w:t>；</w:t>
      </w:r>
    </w:p>
    <w:p w14:paraId="77BD819B">
      <w:pPr>
        <w:pStyle w:val="56"/>
        <w:spacing w:line="360" w:lineRule="auto"/>
        <w:ind w:firstLine="420"/>
      </w:pPr>
      <w:r>
        <w:rPr>
          <w:rFonts w:hint="eastAsia"/>
        </w:rPr>
        <w:t>d) 可控性修正：当可控性低（外部依赖强、合同不可调整、证据链薄弱）时上调等级；当可控性高（锁价可实施、技术成熟、证据链易构建）时可维持或下调等级，但不得突破项目确定的最低管控要求。</w:t>
      </w:r>
    </w:p>
    <w:p w14:paraId="0B6B0D57">
      <w:pPr>
        <w:pStyle w:val="65"/>
        <w:spacing w:before="120" w:after="120" w:line="360" w:lineRule="auto"/>
      </w:pPr>
      <w:r>
        <w:rPr>
          <w:rFonts w:hint="eastAsia"/>
        </w:rPr>
        <w:t>分级规则与阈值设定</w:t>
      </w:r>
    </w:p>
    <w:p w14:paraId="24EB7E2D">
      <w:pPr>
        <w:pStyle w:val="56"/>
        <w:spacing w:line="360" w:lineRule="auto"/>
        <w:ind w:firstLine="420"/>
      </w:pPr>
      <w:r>
        <w:rPr>
          <w:rFonts w:hint="eastAsia"/>
        </w:rPr>
        <w:t>项目应结合工程规模、合同计价模式与风险承受能力，确定风险等级（如Ⅰ～Ⅳ级或高/中/低）及对应阈值。阈值设定宜满足：</w:t>
      </w:r>
    </w:p>
    <w:p w14:paraId="79544755">
      <w:pPr>
        <w:pStyle w:val="56"/>
        <w:spacing w:line="360" w:lineRule="auto"/>
        <w:ind w:firstLine="420"/>
      </w:pPr>
      <w:r>
        <w:rPr>
          <w:rFonts w:hint="eastAsia"/>
        </w:rPr>
        <w:t>a) 与审批权限联动：确保重大风险必经管理层或决策层确认；</w:t>
      </w:r>
    </w:p>
    <w:p w14:paraId="3141708E">
      <w:pPr>
        <w:pStyle w:val="56"/>
        <w:spacing w:line="360" w:lineRule="auto"/>
        <w:ind w:firstLine="420"/>
      </w:pPr>
      <w:r>
        <w:rPr>
          <w:rFonts w:hint="eastAsia"/>
        </w:rPr>
        <w:t>b) 与监测频次联动：等级越高，监测频次越高、预警阈值越敏感；</w:t>
      </w:r>
    </w:p>
    <w:p w14:paraId="3687C7FC">
      <w:pPr>
        <w:pStyle w:val="56"/>
        <w:spacing w:line="360" w:lineRule="auto"/>
        <w:ind w:firstLine="420"/>
      </w:pPr>
      <w:r>
        <w:rPr>
          <w:rFonts w:hint="eastAsia"/>
        </w:rPr>
        <w:t>c) 与资源投入联动：等级越高，越应配置专项人员、专项预算与专项方案；</w:t>
      </w:r>
    </w:p>
    <w:p w14:paraId="0085AA04">
      <w:pPr>
        <w:pStyle w:val="56"/>
        <w:spacing w:line="360" w:lineRule="auto"/>
        <w:ind w:firstLine="420"/>
      </w:pPr>
      <w:r>
        <w:rPr>
          <w:rFonts w:hint="eastAsia"/>
        </w:rPr>
        <w:t>d) 与合同策略联动：高等级风险应同步触发条款审查、变更路径或索赔策略评估。</w:t>
      </w:r>
    </w:p>
    <w:p w14:paraId="1BB9012F">
      <w:pPr>
        <w:pStyle w:val="65"/>
        <w:spacing w:before="120" w:after="120" w:line="360" w:lineRule="auto"/>
      </w:pPr>
      <w:r>
        <w:rPr>
          <w:rFonts w:hint="eastAsia"/>
        </w:rPr>
        <w:t>风险等级说明</w:t>
      </w:r>
    </w:p>
    <w:p w14:paraId="236F2332">
      <w:pPr>
        <w:pStyle w:val="56"/>
        <w:spacing w:line="360" w:lineRule="auto"/>
        <w:ind w:firstLine="420"/>
      </w:pPr>
      <w:r>
        <w:rPr>
          <w:rFonts w:hint="eastAsia"/>
        </w:rPr>
        <w:t>a) Ⅰ级（重大风险）：可能导致造价目标显著偏离或引发重大争议/停工/资金链冲击的风险，应纳入专项治理清单，实施“一事一策”，并由决策层或授权委员会批准处置方案。</w:t>
      </w:r>
    </w:p>
    <w:p w14:paraId="79A5F4B3">
      <w:pPr>
        <w:pStyle w:val="56"/>
        <w:spacing w:line="360" w:lineRule="auto"/>
        <w:ind w:firstLine="420"/>
      </w:pPr>
      <w:r>
        <w:rPr>
          <w:rFonts w:hint="eastAsia"/>
        </w:rPr>
        <w:t>b) Ⅱ级（较大风险）：可能导致造价目标明显偏离或对关键线路、关键采购造成实质影响的风险，应形成专项控制措施并由管理层审批，纳入重点监测。</w:t>
      </w:r>
    </w:p>
    <w:p w14:paraId="6EA9786D">
      <w:pPr>
        <w:pStyle w:val="56"/>
        <w:spacing w:line="360" w:lineRule="auto"/>
        <w:ind w:firstLine="420"/>
      </w:pPr>
      <w:r>
        <w:rPr>
          <w:rFonts w:hint="eastAsia"/>
        </w:rPr>
        <w:t>c) Ⅲ级（一般风险）：对局部成本单元或阶段目标造成可控偏差的风险，应纳入常态化控制与周期性复核，确保措施闭环。</w:t>
      </w:r>
    </w:p>
    <w:p w14:paraId="56AA67A8">
      <w:pPr>
        <w:pStyle w:val="56"/>
        <w:spacing w:line="360" w:lineRule="auto"/>
        <w:ind w:firstLine="420"/>
      </w:pPr>
      <w:r>
        <w:rPr>
          <w:rFonts w:hint="eastAsia"/>
        </w:rPr>
        <w:t>d) Ⅳ级（低风险）：影响较小且可快速处置的风险，可由执行层按标准化措施管理并定期汇总复核。</w:t>
      </w:r>
    </w:p>
    <w:p w14:paraId="531812C8">
      <w:pPr>
        <w:pStyle w:val="105"/>
        <w:spacing w:before="120" w:after="120" w:line="360" w:lineRule="auto"/>
      </w:pPr>
      <w:r>
        <w:rPr>
          <w:rFonts w:hint="eastAsia"/>
        </w:rPr>
        <w:t>评估组织、复核与等级确认</w:t>
      </w:r>
    </w:p>
    <w:p w14:paraId="47806A97">
      <w:pPr>
        <w:pStyle w:val="65"/>
        <w:spacing w:before="120" w:after="120" w:line="360" w:lineRule="auto"/>
      </w:pPr>
      <w:r>
        <w:rPr>
          <w:rFonts w:hint="eastAsia"/>
        </w:rPr>
        <w:t>评估组织</w:t>
      </w:r>
    </w:p>
    <w:p w14:paraId="49969CF1">
      <w:pPr>
        <w:pStyle w:val="56"/>
        <w:spacing w:line="360" w:lineRule="auto"/>
        <w:ind w:firstLine="420"/>
      </w:pPr>
      <w:r>
        <w:rPr>
          <w:rFonts w:hint="eastAsia"/>
        </w:rPr>
        <w:t>造价风险牵头部门应组织设计、采购、施工、财务、法务等开展联合评估；对技术复杂、市场敏感或争议性强的风险，应引入造价咨询或专业顾问参与评估。</w:t>
      </w:r>
    </w:p>
    <w:p w14:paraId="30149548">
      <w:pPr>
        <w:pStyle w:val="65"/>
        <w:spacing w:before="120" w:after="120" w:line="360" w:lineRule="auto"/>
      </w:pPr>
      <w:r>
        <w:rPr>
          <w:rFonts w:hint="eastAsia"/>
        </w:rPr>
        <w:t>复核要求</w:t>
      </w:r>
    </w:p>
    <w:p w14:paraId="20AFAEF8">
      <w:pPr>
        <w:pStyle w:val="56"/>
        <w:spacing w:line="360" w:lineRule="auto"/>
        <w:ind w:firstLine="420"/>
      </w:pPr>
      <w:r>
        <w:rPr>
          <w:rFonts w:hint="eastAsia"/>
        </w:rPr>
        <w:t>对以下风险应实施强制复核并形成书面记录：</w:t>
      </w:r>
    </w:p>
    <w:p w14:paraId="0ED82255">
      <w:pPr>
        <w:pStyle w:val="56"/>
        <w:spacing w:line="360" w:lineRule="auto"/>
        <w:ind w:firstLine="420"/>
      </w:pPr>
      <w:r>
        <w:rPr>
          <w:rFonts w:hint="eastAsia"/>
        </w:rPr>
        <w:t>a) 拟评为Ⅰ级或Ⅱ级的风险；</w:t>
      </w:r>
    </w:p>
    <w:p w14:paraId="14A9E03D">
      <w:pPr>
        <w:pStyle w:val="56"/>
        <w:spacing w:line="360" w:lineRule="auto"/>
        <w:ind w:firstLine="420"/>
      </w:pPr>
      <w:r>
        <w:rPr>
          <w:rFonts w:hint="eastAsia"/>
        </w:rPr>
        <w:t>b) 影响口径不一致、证据不足或数据波动较大的风险；</w:t>
      </w:r>
    </w:p>
    <w:p w14:paraId="540C30F7">
      <w:pPr>
        <w:pStyle w:val="56"/>
        <w:spacing w:line="360" w:lineRule="auto"/>
        <w:ind w:firstLine="420"/>
      </w:pPr>
      <w:r>
        <w:rPr>
          <w:rFonts w:hint="eastAsia"/>
        </w:rPr>
        <w:t>c) 与合同条款解释、计价口径、税费政策相关的风险；</w:t>
      </w:r>
    </w:p>
    <w:p w14:paraId="1D3B4228">
      <w:pPr>
        <w:pStyle w:val="56"/>
        <w:spacing w:line="360" w:lineRule="auto"/>
        <w:ind w:firstLine="420"/>
      </w:pPr>
      <w:r>
        <w:rPr>
          <w:rFonts w:hint="eastAsia"/>
        </w:rPr>
        <w:t>d) 涉及关键供应商、长周期设备、关键线路的风险。</w:t>
      </w:r>
    </w:p>
    <w:p w14:paraId="5FB2C7BC">
      <w:pPr>
        <w:pStyle w:val="65"/>
        <w:spacing w:before="120" w:after="120" w:line="360" w:lineRule="auto"/>
      </w:pPr>
      <w:r>
        <w:rPr>
          <w:rFonts w:hint="eastAsia"/>
        </w:rPr>
        <w:t>等级确认与授权</w:t>
      </w:r>
    </w:p>
    <w:p w14:paraId="2C1C7104">
      <w:pPr>
        <w:pStyle w:val="56"/>
        <w:spacing w:line="360" w:lineRule="auto"/>
        <w:ind w:firstLine="420"/>
      </w:pPr>
      <w:r>
        <w:rPr>
          <w:rFonts w:hint="eastAsia"/>
        </w:rPr>
        <w:t>风险等级确认应与项目授权体系一致：一般风险可由项目管理层确认；重大风险应由决策层确认或按授权委托机制确认。确认结果应同步更新风险台账并形成“等级确认记录”，记录应至少包含：依据数据、口径说明、参与人员、结论、控制动作与复核周期。</w:t>
      </w:r>
    </w:p>
    <w:p w14:paraId="5C956886">
      <w:pPr>
        <w:pStyle w:val="105"/>
        <w:spacing w:before="120" w:after="120" w:line="360" w:lineRule="auto"/>
      </w:pPr>
      <w:r>
        <w:rPr>
          <w:rFonts w:hint="eastAsia"/>
        </w:rPr>
        <w:t>动态更新与升级降级规则</w:t>
      </w:r>
    </w:p>
    <w:p w14:paraId="350A65EE">
      <w:pPr>
        <w:pStyle w:val="65"/>
        <w:spacing w:before="120" w:after="120" w:line="360" w:lineRule="auto"/>
      </w:pPr>
      <w:r>
        <w:rPr>
          <w:rFonts w:hint="eastAsia"/>
        </w:rPr>
        <w:t>更新频次</w:t>
      </w:r>
    </w:p>
    <w:p w14:paraId="71FD4CEA">
      <w:pPr>
        <w:pStyle w:val="56"/>
        <w:spacing w:line="360" w:lineRule="auto"/>
        <w:ind w:firstLine="420"/>
      </w:pPr>
      <w:r>
        <w:rPr>
          <w:rFonts w:hint="eastAsia"/>
        </w:rPr>
        <w:t>风险等级应至少按月更新一次；当发生重大变更、市场价格大幅波动、关键设备交付异常、现场条件重大偏差或出现争议苗头时，应即时更新。</w:t>
      </w:r>
    </w:p>
    <w:p w14:paraId="223441AD">
      <w:pPr>
        <w:pStyle w:val="65"/>
        <w:spacing w:before="120" w:after="120" w:line="360" w:lineRule="auto"/>
      </w:pPr>
      <w:r>
        <w:rPr>
          <w:rFonts w:hint="eastAsia"/>
        </w:rPr>
        <w:t>升级规则</w:t>
      </w:r>
    </w:p>
    <w:p w14:paraId="49C84258">
      <w:pPr>
        <w:pStyle w:val="56"/>
        <w:spacing w:line="360" w:lineRule="auto"/>
        <w:ind w:firstLine="420"/>
      </w:pPr>
      <w:r>
        <w:rPr>
          <w:rFonts w:hint="eastAsia"/>
        </w:rPr>
        <w:t>出现以下情形之一时，风险应升级或启动专项评估：</w:t>
      </w:r>
    </w:p>
    <w:p w14:paraId="22A60229">
      <w:pPr>
        <w:pStyle w:val="56"/>
        <w:spacing w:line="360" w:lineRule="auto"/>
        <w:ind w:firstLine="420"/>
      </w:pPr>
      <w:r>
        <w:rPr>
          <w:rFonts w:hint="eastAsia"/>
        </w:rPr>
        <w:t>a) 影响程度或发生概率显著上升，导致综合风险值跨越阈值；</w:t>
      </w:r>
    </w:p>
    <w:p w14:paraId="55ADB0B7">
      <w:pPr>
        <w:pStyle w:val="56"/>
        <w:spacing w:line="360" w:lineRule="auto"/>
        <w:ind w:firstLine="420"/>
      </w:pPr>
      <w:r>
        <w:rPr>
          <w:rFonts w:hint="eastAsia"/>
        </w:rPr>
        <w:t>b) 风险触发条件已出现或短期内高度可预见；</w:t>
      </w:r>
    </w:p>
    <w:p w14:paraId="036143D0">
      <w:pPr>
        <w:pStyle w:val="56"/>
        <w:spacing w:line="360" w:lineRule="auto"/>
        <w:ind w:firstLine="420"/>
      </w:pPr>
      <w:r>
        <w:rPr>
          <w:rFonts w:hint="eastAsia"/>
        </w:rPr>
        <w:t>c) 关键控制措施无法落地或控制失效；</w:t>
      </w:r>
    </w:p>
    <w:p w14:paraId="51F9CEC7">
      <w:pPr>
        <w:pStyle w:val="56"/>
        <w:spacing w:line="360" w:lineRule="auto"/>
        <w:ind w:firstLine="420"/>
      </w:pPr>
      <w:r>
        <w:rPr>
          <w:rFonts w:hint="eastAsia"/>
        </w:rPr>
        <w:t>d) 风险已引发连锁反应（工期延误、返工、停工、索赔对抗等）。</w:t>
      </w:r>
    </w:p>
    <w:p w14:paraId="48C1BFB3">
      <w:pPr>
        <w:pStyle w:val="65"/>
        <w:spacing w:before="120" w:after="120" w:line="360" w:lineRule="auto"/>
      </w:pPr>
      <w:r>
        <w:rPr>
          <w:rFonts w:hint="eastAsia"/>
        </w:rPr>
        <w:t>降级与关闭规则</w:t>
      </w:r>
    </w:p>
    <w:p w14:paraId="4E192414">
      <w:pPr>
        <w:pStyle w:val="56"/>
        <w:spacing w:line="360" w:lineRule="auto"/>
        <w:ind w:firstLine="420"/>
      </w:pPr>
      <w:r>
        <w:rPr>
          <w:rFonts w:hint="eastAsia"/>
        </w:rPr>
        <w:t>风险降级或关闭应满足：触发条件消除或概率显著降低；已实施控制措施并验证有效；成本影响已锁定且纳入变更/索赔闭环；证据链完整并完成复盘记录。降级或关闭应保留审批与依据记录，避免“人为消项”造成审计风险。</w:t>
      </w:r>
    </w:p>
    <w:p w14:paraId="09FA9839">
      <w:pPr>
        <w:pStyle w:val="105"/>
        <w:spacing w:before="120" w:after="120" w:line="360" w:lineRule="auto"/>
      </w:pPr>
      <w:r>
        <w:rPr>
          <w:rFonts w:hint="eastAsia"/>
        </w:rPr>
        <w:t>输出成果</w:t>
      </w:r>
    </w:p>
    <w:p w14:paraId="05D6B19C">
      <w:pPr>
        <w:pStyle w:val="56"/>
        <w:spacing w:line="360" w:lineRule="auto"/>
        <w:ind w:firstLine="420"/>
      </w:pPr>
      <w:r>
        <w:rPr>
          <w:rFonts w:hint="eastAsia"/>
        </w:rPr>
        <w:t>风险评估与分级应至少输出：</w:t>
      </w:r>
    </w:p>
    <w:p w14:paraId="1868504B">
      <w:pPr>
        <w:pStyle w:val="56"/>
        <w:spacing w:line="360" w:lineRule="auto"/>
        <w:ind w:firstLine="420"/>
      </w:pPr>
      <w:r>
        <w:rPr>
          <w:rFonts w:hint="eastAsia"/>
        </w:rPr>
        <w:t>a) 风险评估报告；</w:t>
      </w:r>
    </w:p>
    <w:p w14:paraId="74DCFD92">
      <w:pPr>
        <w:pStyle w:val="56"/>
        <w:spacing w:line="360" w:lineRule="auto"/>
        <w:ind w:firstLine="420"/>
      </w:pPr>
      <w:r>
        <w:rPr>
          <w:rFonts w:hint="eastAsia"/>
        </w:rPr>
        <w:t>b) 风险分级清单与台账更新版本；</w:t>
      </w:r>
    </w:p>
    <w:p w14:paraId="5CF8D04F">
      <w:pPr>
        <w:pStyle w:val="56"/>
        <w:spacing w:line="360" w:lineRule="auto"/>
        <w:ind w:firstLine="420"/>
      </w:pPr>
      <w:r>
        <w:rPr>
          <w:rFonts w:hint="eastAsia"/>
        </w:rPr>
        <w:t>c) Ⅰ级、Ⅱ级风险专项控制建议及需提请审批事项清单；</w:t>
      </w:r>
    </w:p>
    <w:p w14:paraId="505C53B8">
      <w:pPr>
        <w:pStyle w:val="56"/>
        <w:spacing w:line="360" w:lineRule="auto"/>
        <w:ind w:firstLine="420"/>
      </w:pPr>
      <w:r>
        <w:rPr>
          <w:rFonts w:hint="eastAsia"/>
        </w:rPr>
        <w:t>d) 需纳入监测预警指标体系的关键指标与阈值建议；</w:t>
      </w:r>
    </w:p>
    <w:p w14:paraId="305AD961">
      <w:pPr>
        <w:pStyle w:val="56"/>
        <w:spacing w:line="360" w:lineRule="auto"/>
        <w:ind w:firstLine="420"/>
      </w:pPr>
      <w:r>
        <w:rPr>
          <w:rFonts w:hint="eastAsia"/>
        </w:rPr>
        <w:t>e) 与合同条款、变更管理、采购策略、资金计划联动的调整建议。</w:t>
      </w:r>
    </w:p>
    <w:p w14:paraId="3136BF07">
      <w:pPr>
        <w:pStyle w:val="104"/>
        <w:spacing w:before="240" w:after="240" w:line="360" w:lineRule="auto"/>
      </w:pPr>
      <w:bookmarkStart w:id="54" w:name="_Toc218882942"/>
      <w:r>
        <w:rPr>
          <w:rFonts w:hint="eastAsia"/>
        </w:rPr>
        <w:t>分级管控措施与要求</w:t>
      </w:r>
      <w:bookmarkEnd w:id="54"/>
    </w:p>
    <w:p w14:paraId="581E4493">
      <w:pPr>
        <w:pStyle w:val="105"/>
        <w:spacing w:before="120" w:after="120" w:line="360" w:lineRule="auto"/>
      </w:pPr>
      <w:r>
        <w:rPr>
          <w:rFonts w:hint="eastAsia"/>
        </w:rPr>
        <w:t>一般要求</w:t>
      </w:r>
    </w:p>
    <w:p w14:paraId="690532D9">
      <w:pPr>
        <w:pStyle w:val="165"/>
        <w:spacing w:line="360" w:lineRule="auto"/>
      </w:pPr>
      <w:r>
        <w:rPr>
          <w:rFonts w:hint="eastAsia"/>
        </w:rPr>
        <w:t>分级管控措施应以风险评估与等级确认为依据，遵循“措施与等级匹配、动作可执行、责任可追溯、结果可验证”的原则，形成覆盖设计、采购、施工、合同、资金与结算审计等环节的组合控制方案。</w:t>
      </w:r>
    </w:p>
    <w:p w14:paraId="51D8A608">
      <w:pPr>
        <w:pStyle w:val="165"/>
        <w:spacing w:line="360" w:lineRule="auto"/>
      </w:pPr>
      <w:r>
        <w:rPr>
          <w:rFonts w:hint="eastAsia"/>
        </w:rPr>
        <w:t>风险应对策略宜包括规避、降低、转移与接受四类，项目应根据合同边界、成本基线、工期约束与资源条件选择适宜策略，并明确策略选择的依据与审批权限。</w:t>
      </w:r>
    </w:p>
    <w:p w14:paraId="165D8FEC">
      <w:pPr>
        <w:pStyle w:val="165"/>
        <w:spacing w:line="360" w:lineRule="auto"/>
      </w:pPr>
      <w:r>
        <w:rPr>
          <w:rFonts w:hint="eastAsia"/>
        </w:rPr>
        <w:t>各风险条目应落实到具体管控动作（如限额、锁价、替代方案、审批节点等），不得仅停留在原则性表述。对需跨专业协同的风险，应明确牵头部门与协同部门的接口责任与完成时限。</w:t>
      </w:r>
    </w:p>
    <w:p w14:paraId="71A35714">
      <w:pPr>
        <w:pStyle w:val="165"/>
        <w:spacing w:line="360" w:lineRule="auto"/>
      </w:pPr>
      <w:r>
        <w:rPr>
          <w:rFonts w:hint="eastAsia"/>
        </w:rPr>
        <w:t>风险控制措施应嵌入项目管理流程，至少与以下流程联动：合同交底与条款解释、限额设计与方案比选、采购策划与定标评审、施工组织与关键工序策划、变更与签证管理、计量支付与成本月报、索赔与争议管理、结算与审计配合。</w:t>
      </w:r>
    </w:p>
    <w:p w14:paraId="084B8A77">
      <w:pPr>
        <w:pStyle w:val="105"/>
        <w:spacing w:before="120" w:after="120" w:line="360" w:lineRule="auto"/>
      </w:pPr>
      <w:r>
        <w:rPr>
          <w:rFonts w:hint="eastAsia"/>
        </w:rPr>
        <w:t>Ⅰ级风险管控要求</w:t>
      </w:r>
    </w:p>
    <w:p w14:paraId="3DF97866">
      <w:pPr>
        <w:pStyle w:val="165"/>
        <w:spacing w:line="360" w:lineRule="auto"/>
      </w:pPr>
      <w:r>
        <w:rPr>
          <w:rFonts w:hint="eastAsia"/>
        </w:rPr>
        <w:t>对Ⅰ级风险应实行专项治理，原则上采取“一事一策”，并形成专项管控方案。专项管控方案应至少包括：风险背景与触发条件、影响口径与测算依据、控制目标、控制路径与关键动作、资源与预算安排、审批节点、监测指标与阈值、应急预案、证据链清单、责任分工与完成时限。</w:t>
      </w:r>
    </w:p>
    <w:p w14:paraId="50ACB194">
      <w:pPr>
        <w:pStyle w:val="165"/>
        <w:spacing w:line="360" w:lineRule="auto"/>
      </w:pPr>
      <w:r>
        <w:rPr>
          <w:rFonts w:hint="eastAsia"/>
        </w:rPr>
        <w:t>对Ⅰ级风险应设置刚性管控措施，满足以下要求：</w:t>
      </w:r>
    </w:p>
    <w:p w14:paraId="0C255C8D">
      <w:pPr>
        <w:pStyle w:val="56"/>
        <w:spacing w:line="360" w:lineRule="auto"/>
        <w:ind w:firstLine="420"/>
      </w:pPr>
      <w:r>
        <w:rPr>
          <w:rFonts w:hint="eastAsia"/>
        </w:rPr>
        <w:t>a) 审批刚性：风险处置方案与关键策略（如锁价/调价机制、重大替代方案、重大分包调整、工期与赶工措施、重大变更/索赔策略等）应按项目授权提交决策层或授权委员会批准后实施；</w:t>
      </w:r>
    </w:p>
    <w:p w14:paraId="105C4246">
      <w:pPr>
        <w:pStyle w:val="56"/>
        <w:spacing w:line="360" w:lineRule="auto"/>
        <w:ind w:firstLine="420"/>
      </w:pPr>
      <w:r>
        <w:rPr>
          <w:rFonts w:hint="eastAsia"/>
        </w:rPr>
        <w:t>b) 资源刚性：应配置专项人员与专项工作机制，必要时引入第三方造价咨询、法律顾问或专业技术顾问；</w:t>
      </w:r>
    </w:p>
    <w:p w14:paraId="3E6741FC">
      <w:pPr>
        <w:pStyle w:val="56"/>
        <w:spacing w:line="360" w:lineRule="auto"/>
        <w:ind w:firstLine="420"/>
      </w:pPr>
      <w:r>
        <w:rPr>
          <w:rFonts w:hint="eastAsia"/>
        </w:rPr>
        <w:t>c) 控制刚性：应设置明确的预警阈值与升级条件，一旦触发应立即启动升级报告与应急处置；</w:t>
      </w:r>
    </w:p>
    <w:p w14:paraId="7D417383">
      <w:pPr>
        <w:pStyle w:val="56"/>
        <w:spacing w:line="360" w:lineRule="auto"/>
        <w:ind w:firstLine="420"/>
      </w:pPr>
      <w:r>
        <w:rPr>
          <w:rFonts w:hint="eastAsia"/>
        </w:rPr>
        <w:t>d) 证据刚性：应同步建立证据链目录并动态补强，确保后续结算审计、索赔/反索赔与争议解决可追溯、可验证。</w:t>
      </w:r>
    </w:p>
    <w:p w14:paraId="42088A04">
      <w:pPr>
        <w:pStyle w:val="165"/>
        <w:spacing w:line="360" w:lineRule="auto"/>
      </w:pPr>
      <w:r>
        <w:rPr>
          <w:rFonts w:hint="eastAsia"/>
        </w:rPr>
        <w:t>对Ⅰ级风险应优先考虑源头性措施，包括但不限于：合同条款重审与补充协议、限额设计红线与设计冻结、关键材料设备锁价/框架协议/指数联动组合、供应链双源或多源策略、关键线路缓冲与施工组织优化、重大变更路径预设与索赔策略前置。</w:t>
      </w:r>
    </w:p>
    <w:p w14:paraId="0CDF362F">
      <w:pPr>
        <w:pStyle w:val="105"/>
        <w:spacing w:before="120" w:after="120" w:line="360" w:lineRule="auto"/>
      </w:pPr>
      <w:r>
        <w:rPr>
          <w:rFonts w:hint="eastAsia"/>
        </w:rPr>
        <w:t>Ⅱ级风险管控要求</w:t>
      </w:r>
    </w:p>
    <w:p w14:paraId="1325166B">
      <w:pPr>
        <w:pStyle w:val="165"/>
        <w:spacing w:line="360" w:lineRule="auto"/>
      </w:pPr>
      <w:r>
        <w:rPr>
          <w:rFonts w:hint="eastAsia"/>
        </w:rPr>
        <w:t>对Ⅱ级风险应形成专项控制措施清单并纳入重点监测，至少明确：控制动作、责任人、完成时限、监测指标、预警阈值、复核周期及升级条件。</w:t>
      </w:r>
    </w:p>
    <w:p w14:paraId="3A620A62">
      <w:pPr>
        <w:pStyle w:val="165"/>
        <w:spacing w:line="360" w:lineRule="auto"/>
      </w:pPr>
      <w:r>
        <w:rPr>
          <w:rFonts w:hint="eastAsia"/>
        </w:rPr>
        <w:t>Ⅱ级风险的控制要求应满足：</w:t>
      </w:r>
    </w:p>
    <w:p w14:paraId="5E3531E2">
      <w:pPr>
        <w:pStyle w:val="56"/>
        <w:spacing w:line="360" w:lineRule="auto"/>
        <w:ind w:firstLine="420"/>
      </w:pPr>
      <w:r>
        <w:rPr>
          <w:rFonts w:hint="eastAsia"/>
        </w:rPr>
        <w:t>a) 计划化：应纳入项目月度/双周计划与成本偏差分析闭环；</w:t>
      </w:r>
    </w:p>
    <w:p w14:paraId="39C7949A">
      <w:pPr>
        <w:pStyle w:val="56"/>
        <w:spacing w:line="360" w:lineRule="auto"/>
        <w:ind w:firstLine="420"/>
      </w:pPr>
      <w:r>
        <w:rPr>
          <w:rFonts w:hint="eastAsia"/>
        </w:rPr>
        <w:t>b) 可量化：应明确可核查的控制结果（如锁价比例、工程量偏差控制目标、变更控制目标、交付节点达成率等）；</w:t>
      </w:r>
    </w:p>
    <w:p w14:paraId="0DE841D3">
      <w:pPr>
        <w:pStyle w:val="56"/>
        <w:spacing w:line="360" w:lineRule="auto"/>
        <w:ind w:firstLine="420"/>
      </w:pPr>
      <w:r>
        <w:rPr>
          <w:rFonts w:hint="eastAsia"/>
        </w:rPr>
        <w:t>c) 可升级：当影响扩大或控制失效时应按规定程序升级评估，必要时升级为Ⅰ级风险管理。</w:t>
      </w:r>
    </w:p>
    <w:p w14:paraId="701CFD41">
      <w:pPr>
        <w:pStyle w:val="165"/>
        <w:spacing w:line="360" w:lineRule="auto"/>
      </w:pPr>
      <w:r>
        <w:rPr>
          <w:rFonts w:hint="eastAsia"/>
        </w:rPr>
        <w:t>对Ⅱ级风险宜采用“降低为主、转移为辅”的策略组合，常用措施包括：优化设计与价值工程、采购包拆分与竞争性再询价、价格联动或限价条款、关键分包履约担保与进度奖惩、措施方案优化降低间接费、签证前置与计量口径统一等。</w:t>
      </w:r>
    </w:p>
    <w:p w14:paraId="7FF7B50D">
      <w:pPr>
        <w:pStyle w:val="105"/>
        <w:spacing w:before="120" w:after="120" w:line="360" w:lineRule="auto"/>
      </w:pPr>
      <w:r>
        <w:rPr>
          <w:rFonts w:hint="eastAsia"/>
        </w:rPr>
        <w:t>Ⅲ级与Ⅳ级风险管控要求</w:t>
      </w:r>
    </w:p>
    <w:p w14:paraId="0ACE1243">
      <w:pPr>
        <w:pStyle w:val="165"/>
        <w:spacing w:line="360" w:lineRule="auto"/>
      </w:pPr>
      <w:r>
        <w:rPr>
          <w:rFonts w:hint="eastAsia"/>
        </w:rPr>
        <w:t>对Ⅲ级风险应实行常态化控制，纳入专业例会与周期性复核，重点确保措施落地与偏差及时纠正。Ⅲ级风险应至少做到：责任到人、措施到项、复核到期、记录留痕。</w:t>
      </w:r>
    </w:p>
    <w:p w14:paraId="6003098D">
      <w:pPr>
        <w:pStyle w:val="165"/>
        <w:spacing w:line="360" w:lineRule="auto"/>
      </w:pPr>
      <w:r>
        <w:rPr>
          <w:rFonts w:hint="eastAsia"/>
        </w:rPr>
        <w:t>对Ⅳ级风险可由执行层按标准化措施管理，实行清单化控制与定期汇总复核。对频发或具有趋势性上升特征的Ⅳ级风险，应触发再评估并视情升级为Ⅲ级或Ⅱ级风险。</w:t>
      </w:r>
    </w:p>
    <w:p w14:paraId="5D482297">
      <w:pPr>
        <w:pStyle w:val="165"/>
        <w:spacing w:line="360" w:lineRule="auto"/>
      </w:pPr>
      <w:r>
        <w:rPr>
          <w:rFonts w:hint="eastAsia"/>
        </w:rPr>
        <w:t>Ⅲ级、Ⅳ级风险处置完成后应在风险台账中记录处置结论与证据索引，满足可追溯要求。</w:t>
      </w:r>
    </w:p>
    <w:p w14:paraId="1833FEB8">
      <w:pPr>
        <w:pStyle w:val="105"/>
        <w:spacing w:before="120" w:after="120" w:line="360" w:lineRule="auto"/>
      </w:pPr>
      <w:r>
        <w:rPr>
          <w:rFonts w:hint="eastAsia"/>
        </w:rPr>
        <w:t>监测预警与报告要求</w:t>
      </w:r>
    </w:p>
    <w:p w14:paraId="585A38C1">
      <w:pPr>
        <w:pStyle w:val="165"/>
        <w:spacing w:line="360" w:lineRule="auto"/>
      </w:pPr>
      <w:r>
        <w:rPr>
          <w:rFonts w:hint="eastAsia"/>
        </w:rPr>
        <w:t>项目应建立与风险分级相匹配的监测预警机制。监测内容至少包括：成本偏差、工程量偏差、主要材料设备价格波动、关键设备交付状态、分包履约与产值完成、变更签证金额与频次、关键线路偏差、资金支付与回款偏差等。</w:t>
      </w:r>
    </w:p>
    <w:p w14:paraId="6F25E72C">
      <w:pPr>
        <w:pStyle w:val="165"/>
        <w:spacing w:line="360" w:lineRule="auto"/>
      </w:pPr>
      <w:r>
        <w:rPr>
          <w:rFonts w:hint="eastAsia"/>
        </w:rPr>
        <w:t>监测频次应满足以下要求：Ⅰ级风险应至少周度跟踪；Ⅱ级风险应至少双周或月度跟踪；Ⅲ级风险应至少月度复核；Ⅳ级风险可按月汇总或按节点复核。项目可结合实际波动强度提高频次，但应保持记录留痕。</w:t>
      </w:r>
    </w:p>
    <w:p w14:paraId="5ABD9527">
      <w:pPr>
        <w:pStyle w:val="165"/>
        <w:spacing w:line="360" w:lineRule="auto"/>
      </w:pPr>
      <w:r>
        <w:rPr>
          <w:rFonts w:hint="eastAsia"/>
        </w:rPr>
        <w:t>预警触发后应执行“预警—研判—处置—复核”流程：</w:t>
      </w:r>
    </w:p>
    <w:p w14:paraId="360FE0F2">
      <w:pPr>
        <w:pStyle w:val="56"/>
        <w:spacing w:line="360" w:lineRule="auto"/>
        <w:ind w:firstLine="420"/>
      </w:pPr>
      <w:r>
        <w:rPr>
          <w:rFonts w:hint="eastAsia"/>
        </w:rPr>
        <w:t>a) 预警：达到阈值即触发预警并记录；</w:t>
      </w:r>
    </w:p>
    <w:p w14:paraId="1A356D59">
      <w:pPr>
        <w:pStyle w:val="56"/>
        <w:spacing w:line="360" w:lineRule="auto"/>
        <w:ind w:firstLine="420"/>
      </w:pPr>
      <w:r>
        <w:rPr>
          <w:rFonts w:hint="eastAsia"/>
        </w:rPr>
        <w:t>b) 研判：明确偏差原因、影响测算与升级建议；</w:t>
      </w:r>
    </w:p>
    <w:p w14:paraId="0EB0A31C">
      <w:pPr>
        <w:pStyle w:val="56"/>
        <w:spacing w:line="360" w:lineRule="auto"/>
        <w:ind w:firstLine="420"/>
      </w:pPr>
      <w:r>
        <w:rPr>
          <w:rFonts w:hint="eastAsia"/>
        </w:rPr>
        <w:t>c) 处置：落实纠偏措施或启动专项方案；</w:t>
      </w:r>
    </w:p>
    <w:p w14:paraId="707A77ED">
      <w:pPr>
        <w:pStyle w:val="56"/>
        <w:spacing w:line="360" w:lineRule="auto"/>
        <w:ind w:firstLine="420"/>
      </w:pPr>
      <w:r>
        <w:rPr>
          <w:rFonts w:hint="eastAsia"/>
        </w:rPr>
        <w:t>d) 复核：验证措施效果并更新风险等级与台账状态。</w:t>
      </w:r>
    </w:p>
    <w:p w14:paraId="319DA6CB">
      <w:pPr>
        <w:pStyle w:val="165"/>
        <w:spacing w:line="360" w:lineRule="auto"/>
      </w:pPr>
      <w:r>
        <w:rPr>
          <w:rFonts w:hint="eastAsia"/>
        </w:rPr>
        <w:t>风险报告应分层级输出：重大风险应形成专项报告并上报决策层；重点风险应纳入月度风险与成本分析报告；一般风险与低风险可纳入专业条线汇总报告。</w:t>
      </w:r>
    </w:p>
    <w:p w14:paraId="17076355">
      <w:pPr>
        <w:pStyle w:val="105"/>
        <w:spacing w:before="120" w:after="120" w:line="360" w:lineRule="auto"/>
      </w:pPr>
      <w:r>
        <w:rPr>
          <w:rFonts w:hint="eastAsia"/>
        </w:rPr>
        <w:t>审批权限与变更控制要求</w:t>
      </w:r>
    </w:p>
    <w:p w14:paraId="22402430">
      <w:pPr>
        <w:pStyle w:val="165"/>
        <w:spacing w:line="360" w:lineRule="auto"/>
      </w:pPr>
      <w:r>
        <w:rPr>
          <w:rFonts w:hint="eastAsia"/>
        </w:rPr>
        <w:t>项目应将风险等级与审批权限挂钩，确保高等级风险对应更高审批层级、更严格的审查要点与更完整的测算依据。审批内容应至少包括：影响测算口径、资金与工期联动影响、合同条款影响、替代方案比选、证据链完整性与后续结算可实现性。</w:t>
      </w:r>
    </w:p>
    <w:p w14:paraId="71CB8422">
      <w:pPr>
        <w:pStyle w:val="165"/>
        <w:spacing w:line="360" w:lineRule="auto"/>
      </w:pPr>
      <w:r>
        <w:rPr>
          <w:rFonts w:hint="eastAsia"/>
        </w:rPr>
        <w:t>与变更管理的衔接要求如下：</w:t>
      </w:r>
    </w:p>
    <w:p w14:paraId="27990669">
      <w:pPr>
        <w:pStyle w:val="56"/>
        <w:spacing w:line="360" w:lineRule="auto"/>
        <w:ind w:firstLine="420"/>
      </w:pPr>
      <w:r>
        <w:rPr>
          <w:rFonts w:hint="eastAsia"/>
        </w:rPr>
        <w:t>a) 风险处置涉及设计变更、工程量调整、材料设备替代、施工措施调整、工期调整或价款调整时，应同步启动变更流程，做到“先定口径、再办手续、留足证据”；</w:t>
      </w:r>
    </w:p>
    <w:p w14:paraId="3497BFF0">
      <w:pPr>
        <w:pStyle w:val="56"/>
        <w:spacing w:line="360" w:lineRule="auto"/>
        <w:ind w:firstLine="420"/>
      </w:pPr>
      <w:r>
        <w:rPr>
          <w:rFonts w:hint="eastAsia"/>
        </w:rPr>
        <w:t>b) 对高等级风险触发的变更事项，应强化变更估价的独立复核与条款合规审查，避免因手续缺失导致结算不可认定；</w:t>
      </w:r>
    </w:p>
    <w:p w14:paraId="00D01392">
      <w:pPr>
        <w:pStyle w:val="56"/>
        <w:spacing w:line="360" w:lineRule="auto"/>
        <w:ind w:firstLine="420"/>
      </w:pPr>
      <w:r>
        <w:rPr>
          <w:rFonts w:hint="eastAsia"/>
        </w:rPr>
        <w:t>c) 对可能形成索赔的风险事件，应同步启动索赔时效管理与证据链管理，形成事件记录、来往函件、现场签证、会议纪要、影像资料、成本数据与进度数据的成套留存。</w:t>
      </w:r>
    </w:p>
    <w:p w14:paraId="07842354">
      <w:pPr>
        <w:pStyle w:val="105"/>
        <w:spacing w:before="120" w:after="120" w:line="360" w:lineRule="auto"/>
      </w:pPr>
      <w:r>
        <w:rPr>
          <w:rFonts w:hint="eastAsia"/>
        </w:rPr>
        <w:t>风险事件处置与闭环改进</w:t>
      </w:r>
    </w:p>
    <w:p w14:paraId="452269B4">
      <w:pPr>
        <w:pStyle w:val="165"/>
        <w:spacing w:line="360" w:lineRule="auto"/>
      </w:pPr>
      <w:r>
        <w:rPr>
          <w:rFonts w:hint="eastAsia"/>
        </w:rPr>
        <w:t>风险事件发生后应开展成本影响评估，明确：已发生费用、预计追加费用、可抵扣/可转移费用、对合同价与目标成本的偏差影响、现金流影响与结算可实现性。评估结论应纳入台账并作为后续谈判、索赔或反索赔依据。</w:t>
      </w:r>
    </w:p>
    <w:p w14:paraId="6AECA422">
      <w:pPr>
        <w:pStyle w:val="165"/>
        <w:spacing w:line="360" w:lineRule="auto"/>
      </w:pPr>
      <w:r>
        <w:rPr>
          <w:rFonts w:hint="eastAsia"/>
        </w:rPr>
        <w:t>风险关闭应满足：触发条件消除或概率显著降低；控制措施完成并验证有效；成本影响已锁定且纳入变更/索赔闭环；证据链完整；完成复盘记录并形成改进措施。</w:t>
      </w:r>
    </w:p>
    <w:p w14:paraId="5A5BC887">
      <w:pPr>
        <w:pStyle w:val="165"/>
        <w:spacing w:line="360" w:lineRule="auto"/>
      </w:pPr>
      <w:r>
        <w:rPr>
          <w:rFonts w:hint="eastAsia"/>
        </w:rPr>
        <w:t>项目应建立经验反馈机制，将高频风险、重大风险与争议点沉淀为标准化条目，反哺后续项目的投标策略、合同条款优化、限额设计指标、采购策略与分包管控要点。</w:t>
      </w:r>
    </w:p>
    <w:p w14:paraId="247192F6">
      <w:pPr>
        <w:pStyle w:val="104"/>
        <w:spacing w:before="240" w:after="240" w:line="360" w:lineRule="auto"/>
      </w:pPr>
      <w:bookmarkStart w:id="55" w:name="_Toc218882943"/>
      <w:r>
        <w:rPr>
          <w:rFonts w:hint="eastAsia"/>
        </w:rPr>
        <w:t>风险台账管理要求</w:t>
      </w:r>
      <w:bookmarkEnd w:id="55"/>
    </w:p>
    <w:p w14:paraId="24B85A40">
      <w:pPr>
        <w:pStyle w:val="105"/>
        <w:spacing w:before="120" w:after="120" w:line="360" w:lineRule="auto"/>
      </w:pPr>
      <w:r>
        <w:rPr>
          <w:rFonts w:hint="eastAsia"/>
        </w:rPr>
        <w:t>台账管理原则</w:t>
      </w:r>
    </w:p>
    <w:p w14:paraId="57E10C8F">
      <w:pPr>
        <w:pStyle w:val="56"/>
        <w:spacing w:line="360" w:lineRule="auto"/>
        <w:ind w:firstLine="420"/>
      </w:pPr>
      <w:r>
        <w:rPr>
          <w:rFonts w:hint="eastAsia"/>
        </w:rPr>
        <w:t>风险台账应作为工程总承包项目造价风险分级管控的核心载体，实行统一口径统一编码统一版本控制，贯穿识别评估分级管控监测处置复盘全过程。风险台账应与目标成本分解结构合同清单采购包分包包件变更签证计量支付结算审计资料保持一致，确保同一风险在不同业务系统和不同管理环节中的数据可校核可追溯。</w:t>
      </w:r>
    </w:p>
    <w:p w14:paraId="2777E564">
      <w:pPr>
        <w:pStyle w:val="105"/>
        <w:spacing w:before="120" w:after="120" w:line="360" w:lineRule="auto"/>
      </w:pPr>
      <w:r>
        <w:rPr>
          <w:rFonts w:hint="eastAsia"/>
        </w:rPr>
        <w:t>台账字段与最小信息集</w:t>
      </w:r>
    </w:p>
    <w:p w14:paraId="2B26C63B">
      <w:pPr>
        <w:pStyle w:val="56"/>
        <w:spacing w:line="360" w:lineRule="auto"/>
        <w:ind w:firstLine="420"/>
      </w:pPr>
      <w:r>
        <w:rPr>
          <w:rFonts w:hint="eastAsia"/>
        </w:rPr>
        <w:t>风险台账宜采用结构化字段管理，至少应包含以下最小信息集并保持持续更新：</w:t>
      </w:r>
    </w:p>
    <w:p w14:paraId="098FA1D3">
      <w:pPr>
        <w:pStyle w:val="56"/>
        <w:spacing w:line="360" w:lineRule="auto"/>
        <w:ind w:firstLine="420"/>
      </w:pPr>
      <w:r>
        <w:rPr>
          <w:rFonts w:hint="eastAsia"/>
        </w:rPr>
        <w:t>a) 基础信息：风险编号风险名称风险分类所属阶段风险归口部门责任人协同部门；</w:t>
      </w:r>
    </w:p>
    <w:p w14:paraId="663FCDB4">
      <w:pPr>
        <w:pStyle w:val="56"/>
        <w:spacing w:line="360" w:lineRule="auto"/>
        <w:ind w:firstLine="420"/>
      </w:pPr>
      <w:r>
        <w:rPr>
          <w:rFonts w:hint="eastAsia"/>
        </w:rPr>
        <w:t>b) 触发信息：触发条件触发信号数据来源证据附件索引；</w:t>
      </w:r>
    </w:p>
    <w:p w14:paraId="38C3591E">
      <w:pPr>
        <w:pStyle w:val="56"/>
        <w:spacing w:line="360" w:lineRule="auto"/>
        <w:ind w:firstLine="420"/>
      </w:pPr>
      <w:r>
        <w:rPr>
          <w:rFonts w:hint="eastAsia"/>
        </w:rPr>
        <w:t>c) 评估信息：评估基准影响测算口径发生概率影响程度可控性风险等级确认人确认日期复核结论；</w:t>
      </w:r>
    </w:p>
    <w:p w14:paraId="393EAEDD">
      <w:pPr>
        <w:pStyle w:val="56"/>
        <w:spacing w:line="360" w:lineRule="auto"/>
        <w:ind w:firstLine="420"/>
      </w:pPr>
      <w:r>
        <w:rPr>
          <w:rFonts w:hint="eastAsia"/>
        </w:rPr>
        <w:t>d) 管控信息：应对策略关键控制措施审批节点资源配置监测指标预警阈值监测频次；</w:t>
      </w:r>
    </w:p>
    <w:p w14:paraId="34C71B65">
      <w:pPr>
        <w:pStyle w:val="56"/>
        <w:spacing w:line="360" w:lineRule="auto"/>
        <w:ind w:firstLine="420"/>
      </w:pPr>
      <w:r>
        <w:rPr>
          <w:rFonts w:hint="eastAsia"/>
        </w:rPr>
        <w:t>e) 状态信息：当前状态状态变化记录升级降级依据关闭条件关闭审批；</w:t>
      </w:r>
    </w:p>
    <w:p w14:paraId="70F71C00">
      <w:pPr>
        <w:pStyle w:val="56"/>
        <w:spacing w:line="360" w:lineRule="auto"/>
        <w:ind w:firstLine="420"/>
      </w:pPr>
      <w:r>
        <w:rPr>
          <w:rFonts w:hint="eastAsia"/>
        </w:rPr>
        <w:t>f) 成果信息：处置结果成本影响锁定方式变更索赔关联结算可实现性复盘结论经验条目。</w:t>
      </w:r>
    </w:p>
    <w:p w14:paraId="5EE6C205">
      <w:pPr>
        <w:pStyle w:val="105"/>
        <w:spacing w:before="120" w:after="120" w:line="360" w:lineRule="auto"/>
      </w:pPr>
      <w:r>
        <w:rPr>
          <w:rFonts w:hint="eastAsia"/>
        </w:rPr>
        <w:t>编码规则与映射关系</w:t>
      </w:r>
    </w:p>
    <w:p w14:paraId="1556E1A0">
      <w:pPr>
        <w:pStyle w:val="56"/>
        <w:spacing w:line="360" w:lineRule="auto"/>
        <w:ind w:firstLine="420"/>
      </w:pPr>
      <w:r>
        <w:rPr>
          <w:rFonts w:hint="eastAsia"/>
        </w:rPr>
        <w:t>风险编码应具备唯一性稳定性和可扩展性。编码宜按项目标识阶段类别序号构成，并建立与成本WBS和CBS合同清单项采购包分包包件的映射关系，确保风险可定位到具体成本单元与合同单元。映射关系发生调整时应同步更新台账并保留变更记录，避免因结构变化导致历史记录失联。</w:t>
      </w:r>
    </w:p>
    <w:p w14:paraId="2D924674">
      <w:pPr>
        <w:pStyle w:val="105"/>
        <w:spacing w:before="120" w:after="120" w:line="360" w:lineRule="auto"/>
      </w:pPr>
      <w:r>
        <w:rPr>
          <w:rFonts w:hint="eastAsia"/>
        </w:rPr>
        <w:t>版本控制与变更留痕</w:t>
      </w:r>
    </w:p>
    <w:p w14:paraId="7196726E">
      <w:pPr>
        <w:pStyle w:val="56"/>
        <w:spacing w:line="360" w:lineRule="auto"/>
        <w:ind w:firstLine="420"/>
      </w:pPr>
      <w:r>
        <w:rPr>
          <w:rFonts w:hint="eastAsia"/>
        </w:rPr>
        <w:t>风险台账应实施受控管理，明确版本编号生效日期编制人复核人批准人。新增合并拆分升级降级关闭等关键动作应记录原因依据数据来源审批结果和生效时间。对重大风险应保留全过程快照记录，满足结算审计争议解决的证据要求。</w:t>
      </w:r>
    </w:p>
    <w:p w14:paraId="235E17BC">
      <w:pPr>
        <w:pStyle w:val="105"/>
        <w:spacing w:before="120" w:after="120" w:line="360" w:lineRule="auto"/>
      </w:pPr>
      <w:r>
        <w:rPr>
          <w:rFonts w:hint="eastAsia"/>
        </w:rPr>
        <w:t>证据链管理要求</w:t>
      </w:r>
    </w:p>
    <w:p w14:paraId="728D8658">
      <w:pPr>
        <w:pStyle w:val="56"/>
        <w:spacing w:line="360" w:lineRule="auto"/>
        <w:ind w:firstLine="420"/>
      </w:pPr>
      <w:r>
        <w:rPr>
          <w:rFonts w:hint="eastAsia"/>
        </w:rPr>
        <w:t>对所有Ⅱ级及以上风险应建立证据链目录并动态补强，证据链宜包括合同条款及解释文件设计文件及算量依据采购询价与定标资料现场签证与影像资料会议纪要往来函件进度计划与关键线路分析成本数据取数说明支付与回款记录以及第三方意见。证据材料应具备可核验性，关键数据应能追溯到原始记录或系统日志。</w:t>
      </w:r>
    </w:p>
    <w:p w14:paraId="3C2AE219">
      <w:pPr>
        <w:pStyle w:val="105"/>
        <w:spacing w:before="120" w:after="120" w:line="360" w:lineRule="auto"/>
      </w:pPr>
      <w:r>
        <w:rPr>
          <w:rFonts w:hint="eastAsia"/>
        </w:rPr>
        <w:t>交底与沟通机制</w:t>
      </w:r>
    </w:p>
    <w:p w14:paraId="67FCDF8E">
      <w:pPr>
        <w:pStyle w:val="56"/>
        <w:spacing w:line="360" w:lineRule="auto"/>
        <w:ind w:firstLine="420"/>
      </w:pPr>
      <w:r>
        <w:rPr>
          <w:rFonts w:hint="eastAsia"/>
        </w:rPr>
        <w:t>项目应建立风险交底制度。对Ⅱ级及以上风险应开展专项交底，明确风险定义口径控制动作责任边界时效要求证据链要求以及升级条件。风险交底应形成书面记录并纳入台账附件索引。对跨专业跨界面的风险应建立固定沟通机制，确保信息同步与处置一致。</w:t>
      </w:r>
    </w:p>
    <w:p w14:paraId="46ADAF2C">
      <w:pPr>
        <w:pStyle w:val="104"/>
        <w:spacing w:before="240" w:after="240" w:line="360" w:lineRule="auto"/>
      </w:pPr>
      <w:bookmarkStart w:id="56" w:name="_Toc218882944"/>
      <w:r>
        <w:rPr>
          <w:rFonts w:hint="eastAsia"/>
        </w:rPr>
        <w:t>信息化与数据治理要求</w:t>
      </w:r>
      <w:bookmarkEnd w:id="56"/>
    </w:p>
    <w:p w14:paraId="427CAE65">
      <w:pPr>
        <w:pStyle w:val="105"/>
        <w:spacing w:before="120" w:after="120" w:line="360" w:lineRule="auto"/>
      </w:pPr>
      <w:r>
        <w:rPr>
          <w:rFonts w:hint="eastAsia"/>
        </w:rPr>
        <w:t>信息化建设目标</w:t>
      </w:r>
    </w:p>
    <w:p w14:paraId="2C6AAFF6">
      <w:pPr>
        <w:pStyle w:val="56"/>
        <w:spacing w:line="360" w:lineRule="auto"/>
        <w:ind w:firstLine="420"/>
      </w:pPr>
      <w:r>
        <w:rPr>
          <w:rFonts w:hint="eastAsia"/>
        </w:rPr>
        <w:t>宜依托数字化成本管理平台或项目管理平台实现风险台账与成本合同变更采购进度资金等数据的集成联动，提升风险识别效率预警及时性和处置闭环能力。信息化建设应服务于统一口径统一流程统一权限统一留痕的管理目标，避免信息孤岛与重复录入。</w:t>
      </w:r>
    </w:p>
    <w:p w14:paraId="0F61BAA8">
      <w:pPr>
        <w:pStyle w:val="105"/>
        <w:spacing w:before="120" w:after="120" w:line="360" w:lineRule="auto"/>
      </w:pPr>
      <w:r>
        <w:rPr>
          <w:rFonts w:hint="eastAsia"/>
        </w:rPr>
        <w:t>数据口径与主数据管理</w:t>
      </w:r>
    </w:p>
    <w:p w14:paraId="1CCEB23E">
      <w:pPr>
        <w:pStyle w:val="56"/>
        <w:spacing w:line="360" w:lineRule="auto"/>
        <w:ind w:firstLine="420"/>
      </w:pPr>
      <w:r>
        <w:rPr>
          <w:rFonts w:hint="eastAsia"/>
        </w:rPr>
        <w:t>项目应建立成本数据口径管理机制，至少明确以下内容并形成可执行的口径文件：</w:t>
      </w:r>
    </w:p>
    <w:p w14:paraId="4098C406">
      <w:pPr>
        <w:pStyle w:val="56"/>
        <w:spacing w:line="360" w:lineRule="auto"/>
        <w:ind w:firstLine="420"/>
      </w:pPr>
      <w:r>
        <w:rPr>
          <w:rFonts w:hint="eastAsia"/>
        </w:rPr>
        <w:t>a) 成本基线口径和构成边界；</w:t>
      </w:r>
    </w:p>
    <w:p w14:paraId="3FA4E94E">
      <w:pPr>
        <w:pStyle w:val="56"/>
        <w:spacing w:line="360" w:lineRule="auto"/>
        <w:ind w:firstLine="420"/>
      </w:pPr>
      <w:r>
        <w:rPr>
          <w:rFonts w:hint="eastAsia"/>
        </w:rPr>
        <w:t>b) 工程量计算规则和计量计价规则；</w:t>
      </w:r>
    </w:p>
    <w:p w14:paraId="349727FC">
      <w:pPr>
        <w:pStyle w:val="56"/>
        <w:spacing w:line="360" w:lineRule="auto"/>
        <w:ind w:firstLine="420"/>
      </w:pPr>
      <w:r>
        <w:rPr>
          <w:rFonts w:hint="eastAsia"/>
        </w:rPr>
        <w:t>c) 价格数据来源和指数选取规则；</w:t>
      </w:r>
    </w:p>
    <w:p w14:paraId="25E5AF70">
      <w:pPr>
        <w:pStyle w:val="56"/>
        <w:spacing w:line="360" w:lineRule="auto"/>
        <w:ind w:firstLine="420"/>
      </w:pPr>
      <w:r>
        <w:rPr>
          <w:rFonts w:hint="eastAsia"/>
        </w:rPr>
        <w:t>d) 变更估价口径和间接费分摊规则；</w:t>
      </w:r>
    </w:p>
    <w:p w14:paraId="77881AB3">
      <w:pPr>
        <w:pStyle w:val="56"/>
        <w:spacing w:line="360" w:lineRule="auto"/>
        <w:ind w:firstLine="420"/>
      </w:pPr>
      <w:r>
        <w:rPr>
          <w:rFonts w:hint="eastAsia"/>
        </w:rPr>
        <w:t>e) 税费汇率资金占用成本等参数口径。</w:t>
      </w:r>
    </w:p>
    <w:p w14:paraId="17637493">
      <w:pPr>
        <w:pStyle w:val="56"/>
        <w:spacing w:line="360" w:lineRule="auto"/>
        <w:ind w:firstLine="420"/>
      </w:pPr>
      <w:r>
        <w:rPr>
          <w:rFonts w:hint="eastAsia"/>
        </w:rPr>
        <w:t>关键主数据应实行统一维护与变更审批，确保多专业多系统数据一致。</w:t>
      </w:r>
    </w:p>
    <w:p w14:paraId="7472ABC9">
      <w:pPr>
        <w:pStyle w:val="105"/>
        <w:spacing w:before="120" w:after="120" w:line="360" w:lineRule="auto"/>
      </w:pPr>
      <w:r>
        <w:rPr>
          <w:rFonts w:hint="eastAsia"/>
        </w:rPr>
        <w:t>权限控制与日志留存</w:t>
      </w:r>
    </w:p>
    <w:p w14:paraId="0B8423C0">
      <w:pPr>
        <w:pStyle w:val="56"/>
        <w:spacing w:line="360" w:lineRule="auto"/>
        <w:ind w:firstLine="420"/>
      </w:pPr>
      <w:r>
        <w:rPr>
          <w:rFonts w:hint="eastAsia"/>
        </w:rPr>
        <w:t>信息系统应按岗位职责配置访问权限与审批权限，确保风险等级确认处置方案审批变更估价定标评审等关键动作具备权限校验和日志留存。对涉及敏感商业信息的采购价格合同条款索赔策略等内容应设置分级授权与可追踪访问记录。</w:t>
      </w:r>
    </w:p>
    <w:p w14:paraId="581D2272">
      <w:pPr>
        <w:pStyle w:val="105"/>
        <w:spacing w:before="120" w:after="120" w:line="360" w:lineRule="auto"/>
      </w:pPr>
      <w:r>
        <w:rPr>
          <w:rFonts w:hint="eastAsia"/>
        </w:rPr>
        <w:t>预警规则与自动化监测</w:t>
      </w:r>
    </w:p>
    <w:p w14:paraId="7FB2324B">
      <w:pPr>
        <w:pStyle w:val="56"/>
        <w:spacing w:line="360" w:lineRule="auto"/>
        <w:ind w:firstLine="420"/>
      </w:pPr>
      <w:r>
        <w:rPr>
          <w:rFonts w:hint="eastAsia"/>
        </w:rPr>
        <w:t>宜建立可配置的预警规则库，将风险等级与监测频次预警阈值升级条件绑定。预警触发后系统应支持自动生成预警记录推送责任人并形成处置闭环跟踪。关键监测指标宜包括成本偏差工程量偏差主要材料设备价格波动关键设备交付状态变更签证金额和频次关键线路偏差支付回款偏差等。</w:t>
      </w:r>
    </w:p>
    <w:p w14:paraId="7804F647">
      <w:pPr>
        <w:pStyle w:val="105"/>
        <w:spacing w:before="120" w:after="120" w:line="360" w:lineRule="auto"/>
      </w:pPr>
      <w:r>
        <w:rPr>
          <w:rFonts w:hint="eastAsia"/>
        </w:rPr>
        <w:t>输出报表与可视化要求</w:t>
      </w:r>
    </w:p>
    <w:p w14:paraId="285226B2">
      <w:pPr>
        <w:pStyle w:val="56"/>
        <w:spacing w:line="360" w:lineRule="auto"/>
        <w:ind w:firstLine="420"/>
      </w:pPr>
      <w:r>
        <w:rPr>
          <w:rFonts w:hint="eastAsia"/>
        </w:rPr>
        <w:t>信息化平台宜具备标准化输出能力，支持形成周度或月度风险报告重点风险清单风险状态变化记录风险热度分布以及处置闭环完成情况。输出口径应与台账一致，报表应可追溯到明细数据与原始证据索引，满足管理层决策与审计核查需要。</w:t>
      </w:r>
    </w:p>
    <w:p w14:paraId="4D465FAF">
      <w:pPr>
        <w:pStyle w:val="104"/>
        <w:spacing w:before="240" w:after="240" w:line="360" w:lineRule="auto"/>
      </w:pPr>
      <w:bookmarkStart w:id="57" w:name="_Toc218882945"/>
      <w:r>
        <w:rPr>
          <w:rFonts w:hint="eastAsia"/>
        </w:rPr>
        <w:t>监督检查要求</w:t>
      </w:r>
      <w:bookmarkEnd w:id="57"/>
    </w:p>
    <w:p w14:paraId="3BD7926E">
      <w:pPr>
        <w:pStyle w:val="105"/>
        <w:spacing w:before="120" w:after="120" w:line="360" w:lineRule="auto"/>
      </w:pPr>
      <w:r>
        <w:rPr>
          <w:rFonts w:hint="eastAsia"/>
        </w:rPr>
        <w:t>监督检查目标</w:t>
      </w:r>
    </w:p>
    <w:p w14:paraId="626E56C5">
      <w:pPr>
        <w:pStyle w:val="56"/>
        <w:spacing w:line="360" w:lineRule="auto"/>
        <w:ind w:firstLine="420"/>
      </w:pPr>
      <w:r>
        <w:rPr>
          <w:rFonts w:hint="eastAsia"/>
        </w:rPr>
        <w:t>监督检查应以提升造价风险分级管控的制度执行力和过程有效性为目标，重点核查风险识别是否完整，风险评估口径是否统一，风险等级确认是否规范，控制措施是否落地，监测预警是否及时，处置闭环是否完备，资料证据链是否满足结算审计与争议解决需要。监督检查应坚持问题导向与结果导向相结合，推动风险管理从形式化台账向实质性控制转变。</w:t>
      </w:r>
    </w:p>
    <w:p w14:paraId="2E0D75AF">
      <w:pPr>
        <w:pStyle w:val="105"/>
        <w:spacing w:before="120" w:after="120" w:line="360" w:lineRule="auto"/>
      </w:pPr>
      <w:r>
        <w:rPr>
          <w:rFonts w:hint="eastAsia"/>
        </w:rPr>
        <w:t>监督检查组织与职责</w:t>
      </w:r>
    </w:p>
    <w:p w14:paraId="26A5689B">
      <w:pPr>
        <w:pStyle w:val="56"/>
        <w:spacing w:line="360" w:lineRule="auto"/>
        <w:ind w:firstLine="420"/>
      </w:pPr>
      <w:r>
        <w:rPr>
          <w:rFonts w:hint="eastAsia"/>
        </w:rPr>
        <w:t>业主应按合同约定对工程总承包单位造价风险管控实施情况开展监督，重点关注投资控制目标达成趋势重大风险处置合规性以及重大变更事项的决策和审批留痕。工程总承包单位应建立内部监督检查机制，由成本合约管理条线牵头，联合计划进度采购管理设计管理财务资金法务合规等开展过程核查。造价咨询项目管理咨询监理等第三方应在职责范围内提供独立复核支持，并对关键节点形成书面意见。</w:t>
      </w:r>
    </w:p>
    <w:p w14:paraId="5DAD27EB">
      <w:pPr>
        <w:pStyle w:val="105"/>
        <w:spacing w:before="120" w:after="120" w:line="360" w:lineRule="auto"/>
      </w:pPr>
      <w:r>
        <w:rPr>
          <w:rFonts w:hint="eastAsia"/>
        </w:rPr>
        <w:t>监督检查内容</w:t>
      </w:r>
    </w:p>
    <w:p w14:paraId="27AE7F68">
      <w:pPr>
        <w:pStyle w:val="56"/>
        <w:spacing w:line="360" w:lineRule="auto"/>
        <w:ind w:firstLine="420"/>
      </w:pPr>
      <w:r>
        <w:rPr>
          <w:rFonts w:hint="eastAsia"/>
        </w:rPr>
        <w:t>监督检查宜覆盖以下内容并形成记录：</w:t>
      </w:r>
    </w:p>
    <w:p w14:paraId="6C5A8A3A">
      <w:pPr>
        <w:pStyle w:val="56"/>
        <w:spacing w:line="360" w:lineRule="auto"/>
        <w:ind w:firstLine="420"/>
      </w:pPr>
      <w:r>
        <w:rPr>
          <w:rFonts w:hint="eastAsia"/>
        </w:rPr>
        <w:t>a) 制度与策划文件检查，核查风险管理计划分级规则阈值设定授权体系是否完善且已宣贯；</w:t>
      </w:r>
    </w:p>
    <w:p w14:paraId="6875BDEA">
      <w:pPr>
        <w:pStyle w:val="56"/>
        <w:spacing w:line="360" w:lineRule="auto"/>
        <w:ind w:firstLine="420"/>
      </w:pPr>
      <w:r>
        <w:rPr>
          <w:rFonts w:hint="eastAsia"/>
        </w:rPr>
        <w:t>b) 台账与证据链检查，核查风险台账字段完整性版本控制升级降级关闭依据及证据材料可核验性；</w:t>
      </w:r>
    </w:p>
    <w:p w14:paraId="0803BB1D">
      <w:pPr>
        <w:pStyle w:val="56"/>
        <w:spacing w:line="360" w:lineRule="auto"/>
        <w:ind w:firstLine="420"/>
      </w:pPr>
      <w:r>
        <w:rPr>
          <w:rFonts w:hint="eastAsia"/>
        </w:rPr>
        <w:t>c) 评估与分级检查，核查概率影响口径是否统一测算依据是否充分等级确认是否按授权执行；</w:t>
      </w:r>
    </w:p>
    <w:p w14:paraId="122DF9BE">
      <w:pPr>
        <w:pStyle w:val="56"/>
        <w:spacing w:line="360" w:lineRule="auto"/>
        <w:ind w:firstLine="420"/>
      </w:pPr>
      <w:r>
        <w:rPr>
          <w:rFonts w:hint="eastAsia"/>
        </w:rPr>
        <w:t>d) 控制措施检查，核查高等级风险专项方案是否编制并执行关键控制动作是否按节点完成；</w:t>
      </w:r>
    </w:p>
    <w:p w14:paraId="08D295F7">
      <w:pPr>
        <w:pStyle w:val="56"/>
        <w:spacing w:line="360" w:lineRule="auto"/>
        <w:ind w:firstLine="420"/>
      </w:pPr>
      <w:r>
        <w:rPr>
          <w:rFonts w:hint="eastAsia"/>
        </w:rPr>
        <w:t>e) 监测与预警检查，核查指标体系阈值设定预警触发记录处置闭环是否完整；</w:t>
      </w:r>
    </w:p>
    <w:p w14:paraId="11CFD117">
      <w:pPr>
        <w:pStyle w:val="56"/>
        <w:spacing w:line="360" w:lineRule="auto"/>
        <w:ind w:firstLine="420"/>
      </w:pPr>
      <w:r>
        <w:rPr>
          <w:rFonts w:hint="eastAsia"/>
        </w:rPr>
        <w:t>f) 变更与索赔联动检查，核查风险事件是否同步启动变更流程索赔时效管理证据链管理是否到位；</w:t>
      </w:r>
    </w:p>
    <w:p w14:paraId="6C952736">
      <w:pPr>
        <w:pStyle w:val="56"/>
        <w:spacing w:line="360" w:lineRule="auto"/>
        <w:ind w:firstLine="420"/>
      </w:pPr>
      <w:r>
        <w:rPr>
          <w:rFonts w:hint="eastAsia"/>
        </w:rPr>
        <w:t>g) 资金与支付联动检查，核查资金计划偏差支付回款偏差对成本与风险的联动分析是否开展；</w:t>
      </w:r>
    </w:p>
    <w:p w14:paraId="1B7C0206">
      <w:pPr>
        <w:pStyle w:val="56"/>
        <w:spacing w:line="360" w:lineRule="auto"/>
        <w:ind w:firstLine="420"/>
      </w:pPr>
      <w:r>
        <w:rPr>
          <w:rFonts w:hint="eastAsia"/>
        </w:rPr>
        <w:t>h) 结算与审计准备检查，核查资料完整性口径一致性争议点清单与应对策略是否形成。</w:t>
      </w:r>
    </w:p>
    <w:p w14:paraId="138A46DF">
      <w:pPr>
        <w:pStyle w:val="105"/>
        <w:spacing w:before="120" w:after="120" w:line="360" w:lineRule="auto"/>
      </w:pPr>
      <w:r>
        <w:rPr>
          <w:rFonts w:hint="eastAsia"/>
        </w:rPr>
        <w:t>检查频次与方式</w:t>
      </w:r>
    </w:p>
    <w:p w14:paraId="7A542BED">
      <w:pPr>
        <w:pStyle w:val="56"/>
        <w:spacing w:line="360" w:lineRule="auto"/>
        <w:ind w:firstLine="420"/>
      </w:pPr>
      <w:r>
        <w:rPr>
          <w:rFonts w:hint="eastAsia"/>
        </w:rPr>
        <w:t>监督检查应结合项目阶段特点实施。实施策划批准后应开展一次基线检查，设计冻结关键设备定标重要里程碑节点前后应开展专项检查，施工阶段宜按月开展例行检查，重大风险触发或重大偏差出现时应开展即时专项检查。检查方式可采用资料核查会议核查现场核查系统日志核查访谈抽样复核等，形成问题清单整改要求整改时限与复核结论。</w:t>
      </w:r>
    </w:p>
    <w:p w14:paraId="706ABDA7">
      <w:pPr>
        <w:pStyle w:val="105"/>
        <w:spacing w:before="120" w:after="120" w:line="360" w:lineRule="auto"/>
      </w:pPr>
      <w:r>
        <w:rPr>
          <w:rFonts w:hint="eastAsia"/>
        </w:rPr>
        <w:t>整改与跟踪闭环</w:t>
      </w:r>
    </w:p>
    <w:p w14:paraId="41A59AF0">
      <w:pPr>
        <w:pStyle w:val="56"/>
        <w:spacing w:line="360" w:lineRule="auto"/>
        <w:ind w:firstLine="420"/>
      </w:pPr>
      <w:r>
        <w:rPr>
          <w:rFonts w:hint="eastAsia"/>
        </w:rPr>
        <w:t>监督检查发现问题后应形成整改通知或整改任务单，明确问题描述整改措施责任人完成时限与验证方式。对涉及重大风险或可能引发重大争议的问题应升级报告并纳入专项治理。整改完成后应组织复核，复核通过方可关闭问题项，并将整改结论同步更新至风险台账与相关业务台账。</w:t>
      </w:r>
    </w:p>
    <w:p w14:paraId="310460C5">
      <w:pPr>
        <w:pStyle w:val="104"/>
        <w:spacing w:before="240" w:after="240" w:line="360" w:lineRule="auto"/>
      </w:pPr>
      <w:bookmarkStart w:id="58" w:name="_Toc218882946"/>
      <w:r>
        <w:rPr>
          <w:rFonts w:hint="eastAsia"/>
        </w:rPr>
        <w:t>绩效评价要求</w:t>
      </w:r>
      <w:bookmarkEnd w:id="58"/>
    </w:p>
    <w:p w14:paraId="30457AD4">
      <w:pPr>
        <w:pStyle w:val="105"/>
        <w:spacing w:before="120" w:after="120" w:line="360" w:lineRule="auto"/>
      </w:pPr>
      <w:r>
        <w:rPr>
          <w:rFonts w:hint="eastAsia"/>
        </w:rPr>
        <w:t>评价目标与适用范围</w:t>
      </w:r>
    </w:p>
    <w:p w14:paraId="4E7C1580">
      <w:pPr>
        <w:pStyle w:val="56"/>
        <w:spacing w:line="360" w:lineRule="auto"/>
        <w:ind w:firstLine="420"/>
      </w:pPr>
      <w:r>
        <w:rPr>
          <w:rFonts w:hint="eastAsia"/>
        </w:rPr>
        <w:t>绩效评价应以风险管理有效性和造价目标达成度为核心，综合评价风险分级管控体系的执行质量过程控制能力预警响应效率以及资料可追溯水平。绩效评价可用于项目内部管理考核合同履约评价以及经验反馈改进。</w:t>
      </w:r>
    </w:p>
    <w:p w14:paraId="1F7AE204">
      <w:pPr>
        <w:pStyle w:val="105"/>
        <w:spacing w:before="120" w:after="120" w:line="360" w:lineRule="auto"/>
      </w:pPr>
      <w:r>
        <w:rPr>
          <w:rFonts w:hint="eastAsia"/>
        </w:rPr>
        <w:t>评价原则</w:t>
      </w:r>
    </w:p>
    <w:p w14:paraId="7B87D1BE">
      <w:pPr>
        <w:pStyle w:val="56"/>
        <w:spacing w:line="360" w:lineRule="auto"/>
        <w:ind w:firstLine="420"/>
      </w:pPr>
      <w:r>
        <w:rPr>
          <w:rFonts w:hint="eastAsia"/>
        </w:rPr>
        <w:t>绩效评价应坚持客观可量化可核查原则，评价指标应与项目目标成本基线合同条款风险分担机制一致，避免以单一成本结果替代全过程管理能力评价。评价应兼顾过程指标与结果指标，既关注偏差控制结果，也关注风险识别评估处置的及时性与合规性。</w:t>
      </w:r>
    </w:p>
    <w:p w14:paraId="53ECC6BB">
      <w:pPr>
        <w:pStyle w:val="105"/>
        <w:spacing w:before="120" w:after="120" w:line="360" w:lineRule="auto"/>
      </w:pPr>
      <w:r>
        <w:rPr>
          <w:rFonts w:hint="eastAsia"/>
        </w:rPr>
        <w:t>评价指标体系要求</w:t>
      </w:r>
    </w:p>
    <w:p w14:paraId="42AA8D3A">
      <w:pPr>
        <w:pStyle w:val="56"/>
        <w:spacing w:line="360" w:lineRule="auto"/>
        <w:ind w:firstLine="420"/>
      </w:pPr>
      <w:r>
        <w:rPr>
          <w:rFonts w:hint="eastAsia"/>
        </w:rPr>
        <w:t>评价指标宜至少包括以下内容：</w:t>
      </w:r>
    </w:p>
    <w:p w14:paraId="23F8CF60">
      <w:pPr>
        <w:pStyle w:val="56"/>
        <w:spacing w:line="360" w:lineRule="auto"/>
        <w:ind w:firstLine="420"/>
      </w:pPr>
      <w:r>
        <w:rPr>
          <w:rFonts w:hint="eastAsia"/>
        </w:rPr>
        <w:t>a) 体系建设指标，风险管理计划完整性分级规则明确性授权体系匹配性宣贯覆盖率；</w:t>
      </w:r>
    </w:p>
    <w:p w14:paraId="1B385F88">
      <w:pPr>
        <w:pStyle w:val="56"/>
        <w:spacing w:line="360" w:lineRule="auto"/>
        <w:ind w:firstLine="420"/>
      </w:pPr>
      <w:r>
        <w:rPr>
          <w:rFonts w:hint="eastAsia"/>
        </w:rPr>
        <w:t>b) 过程执行指标，风险识别完整率台账更新及时率高等级风险专项方案编制率控制动作按期完成率；</w:t>
      </w:r>
    </w:p>
    <w:p w14:paraId="5CB5AD16">
      <w:pPr>
        <w:pStyle w:val="56"/>
        <w:spacing w:line="360" w:lineRule="auto"/>
        <w:ind w:firstLine="420"/>
      </w:pPr>
      <w:r>
        <w:rPr>
          <w:rFonts w:hint="eastAsia"/>
        </w:rPr>
        <w:t>c) 预警响应指标，预警触发准确率预警响应时效处置闭环完成率升级处置合规率；</w:t>
      </w:r>
    </w:p>
    <w:p w14:paraId="40BE062D">
      <w:pPr>
        <w:pStyle w:val="56"/>
        <w:spacing w:line="360" w:lineRule="auto"/>
        <w:ind w:firstLine="420"/>
      </w:pPr>
      <w:r>
        <w:rPr>
          <w:rFonts w:hint="eastAsia"/>
        </w:rPr>
        <w:t>d) 偏差控制指标，目标成本偏差率主要成本单元偏差率变更签证合规率索赔成功率或争议化解率；</w:t>
      </w:r>
    </w:p>
    <w:p w14:paraId="54FFB660">
      <w:pPr>
        <w:pStyle w:val="56"/>
        <w:spacing w:line="360" w:lineRule="auto"/>
        <w:ind w:firstLine="420"/>
      </w:pPr>
      <w:r>
        <w:rPr>
          <w:rFonts w:hint="eastAsia"/>
        </w:rPr>
        <w:t>e) 数据质量指标，口径一致性证据链完整性资料归档及时率审计问题率；</w:t>
      </w:r>
    </w:p>
    <w:p w14:paraId="75FF6470">
      <w:pPr>
        <w:pStyle w:val="56"/>
        <w:spacing w:line="360" w:lineRule="auto"/>
        <w:ind w:firstLine="420"/>
      </w:pPr>
      <w:r>
        <w:rPr>
          <w:rFonts w:hint="eastAsia"/>
        </w:rPr>
        <w:t>f) 协同管理指标，跨专业协同效率决策时效关键供应商履约稳定性。</w:t>
      </w:r>
    </w:p>
    <w:p w14:paraId="2C106AEC">
      <w:pPr>
        <w:pStyle w:val="105"/>
        <w:spacing w:before="120" w:after="120" w:line="360" w:lineRule="auto"/>
      </w:pPr>
      <w:r>
        <w:rPr>
          <w:rFonts w:hint="eastAsia"/>
        </w:rPr>
        <w:t>评价实施与结果应用</w:t>
      </w:r>
    </w:p>
    <w:p w14:paraId="6FEABA19">
      <w:pPr>
        <w:pStyle w:val="56"/>
        <w:spacing w:line="360" w:lineRule="auto"/>
        <w:ind w:firstLine="420"/>
      </w:pPr>
      <w:r>
        <w:rPr>
          <w:rFonts w:hint="eastAsia"/>
        </w:rPr>
        <w:t>绩效评价宜在关键节点开展，包括设计冻结后关键设备采购完成后主体结构或关键里程碑完成后以及竣工结算阶段。评价应形成书面报告，明确评价结论问题清单改进建议与责任落实。评价结果宜用于优化后续项目投标策略合同条款限额设计指标采购锁价策略分包管理模式以及信息化配置，并纳入组织级风险数据库与经验库。</w:t>
      </w:r>
    </w:p>
    <w:p w14:paraId="386A674F">
      <w:pPr>
        <w:pStyle w:val="104"/>
        <w:spacing w:before="240" w:after="240" w:line="360" w:lineRule="auto"/>
      </w:pPr>
      <w:bookmarkStart w:id="59" w:name="_Toc218882947"/>
      <w:r>
        <w:rPr>
          <w:rFonts w:hint="eastAsia"/>
        </w:rPr>
        <w:t>附则</w:t>
      </w:r>
      <w:bookmarkEnd w:id="59"/>
    </w:p>
    <w:p w14:paraId="5D05909D">
      <w:pPr>
        <w:pStyle w:val="105"/>
        <w:spacing w:before="120" w:after="120" w:line="360" w:lineRule="auto"/>
      </w:pPr>
      <w:r>
        <w:rPr>
          <w:rFonts w:hint="eastAsia"/>
        </w:rPr>
        <w:t>实施要求</w:t>
      </w:r>
    </w:p>
    <w:p w14:paraId="734D67CB">
      <w:pPr>
        <w:pStyle w:val="56"/>
        <w:spacing w:line="360" w:lineRule="auto"/>
        <w:ind w:firstLine="420"/>
      </w:pPr>
      <w:r>
        <w:rPr>
          <w:rFonts w:hint="eastAsia"/>
        </w:rPr>
        <w:t>本文件发布后，项目应结合工程规模合同计价模式组织架构信息化条件等进行适配，形成项目级实施细则并经授权批准后执行。实施细则不得削弱本文件对重大风险分级管控证据链留存和审批留痕的最低要求。</w:t>
      </w:r>
    </w:p>
    <w:p w14:paraId="6F9BF19D">
      <w:pPr>
        <w:pStyle w:val="105"/>
        <w:spacing w:before="120" w:after="120" w:line="360" w:lineRule="auto"/>
      </w:pPr>
      <w:r>
        <w:rPr>
          <w:rFonts w:hint="eastAsia"/>
        </w:rPr>
        <w:t>解释与持续改进</w:t>
      </w:r>
    </w:p>
    <w:p w14:paraId="72BCD12F">
      <w:pPr>
        <w:pStyle w:val="56"/>
        <w:spacing w:line="360" w:lineRule="auto"/>
        <w:ind w:firstLine="420"/>
      </w:pPr>
      <w:r>
        <w:rPr>
          <w:rFonts w:hint="eastAsia"/>
        </w:rPr>
        <w:t>本文件的实施过程中，项目应持续收集风险事件案例与管理数据，定期开展复盘与标准化改进，完善风险清单分级阈值控制动作库和预警规则库，推动组织级造价风险管理能力持续提升。</w:t>
      </w:r>
    </w:p>
    <w:p w14:paraId="53B74E55">
      <w:pPr>
        <w:pStyle w:val="105"/>
        <w:spacing w:before="120" w:after="120" w:line="360" w:lineRule="auto"/>
      </w:pPr>
      <w:r>
        <w:rPr>
          <w:rFonts w:hint="eastAsia"/>
        </w:rPr>
        <w:t>生效</w:t>
      </w:r>
    </w:p>
    <w:p w14:paraId="7389E292">
      <w:pPr>
        <w:pStyle w:val="56"/>
        <w:spacing w:line="360" w:lineRule="auto"/>
        <w:ind w:firstLine="420"/>
      </w:pPr>
      <w:r>
        <w:rPr>
          <w:rFonts w:hint="eastAsia"/>
        </w:rPr>
        <w:t>本文件自发布之日起实施。</w:t>
      </w:r>
    </w:p>
    <w:bookmarkEnd w:id="26"/>
    <w:p w14:paraId="6DAEBC10">
      <w:pPr>
        <w:pStyle w:val="56"/>
        <w:ind w:firstLine="0" w:firstLineChars="0"/>
        <w:jc w:val="center"/>
      </w:pPr>
      <w:bookmarkStart w:id="60" w:name="BookMark8"/>
      <w:r>
        <w:rPr>
          <w:rFonts w:hint="eastAsia"/>
        </w:rPr>
        <w:drawing>
          <wp:inline distT="0" distB="0" distL="0" distR="0">
            <wp:extent cx="1485900" cy="317500"/>
            <wp:effectExtent l="0" t="0" r="0" b="6350"/>
            <wp:docPr id="567737701" name="图片 1"/>
            <wp:cNvGraphicFramePr/>
            <a:graphic xmlns:a="http://schemas.openxmlformats.org/drawingml/2006/main">
              <a:graphicData uri="http://schemas.openxmlformats.org/drawingml/2006/picture">
                <pic:pic xmlns:pic="http://schemas.openxmlformats.org/drawingml/2006/picture">
                  <pic:nvPicPr>
                    <pic:cNvPr id="567737701"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bookmarkStart w:id="61" w:name="_GoBack"/>
      <w:bookmarkEnd w:id="61"/>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67A3">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A845">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F9A0">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E90A">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110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CB0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780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4A95">
    <w:pPr>
      <w:pStyle w:val="61"/>
    </w:pPr>
    <w:r>
      <w:fldChar w:fldCharType="begin"/>
    </w:r>
    <w:r>
      <w:instrText xml:space="preserve"> STYLEREF  标准文件_文件编号  \* MERGEFORMAT </w:instrText>
    </w:r>
    <w:r>
      <w:fldChar w:fldCharType="separate"/>
    </w:r>
    <w:r>
      <w:t>T/XJBX 0171—2026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F82C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0171—2026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0171—2026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EA239">
    <w:pPr>
      <w:pStyle w:val="61"/>
    </w:pPr>
    <w:r>
      <w:fldChar w:fldCharType="begin"/>
    </w:r>
    <w:r>
      <w:instrText xml:space="preserve"> STYLEREF  标准文件_文件编号  \* MERGEFORMAT </w:instrText>
    </w:r>
    <w:r>
      <w:fldChar w:fldCharType="separate"/>
    </w:r>
    <w:r>
      <w:t>T/XJBX 0171—2026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524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0171—2026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17EC">
    <w:pPr>
      <w:pStyle w:val="61"/>
    </w:pPr>
    <w:r>
      <w:fldChar w:fldCharType="begin"/>
    </w:r>
    <w:r>
      <w:instrText xml:space="preserve"> STYLEREF  标准文件_文件编号  \* MERGEFORMAT </w:instrText>
    </w:r>
    <w:r>
      <w:fldChar w:fldCharType="separate"/>
    </w:r>
    <w:r>
      <w:t>T/XJBX 0171—2026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1DA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0171—2026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D00"/>
    <w:rsid w:val="000E4C9E"/>
    <w:rsid w:val="000E6FD7"/>
    <w:rsid w:val="000E7144"/>
    <w:rsid w:val="000F06E1"/>
    <w:rsid w:val="000F0E3C"/>
    <w:rsid w:val="000F19D5"/>
    <w:rsid w:val="000F4050"/>
    <w:rsid w:val="000F4AEA"/>
    <w:rsid w:val="000F67E9"/>
    <w:rsid w:val="00100BEF"/>
    <w:rsid w:val="00104926"/>
    <w:rsid w:val="00113B1E"/>
    <w:rsid w:val="0011711C"/>
    <w:rsid w:val="00124E4F"/>
    <w:rsid w:val="001260B7"/>
    <w:rsid w:val="001265CB"/>
    <w:rsid w:val="001321C6"/>
    <w:rsid w:val="001325C4"/>
    <w:rsid w:val="00133010"/>
    <w:rsid w:val="001338EE"/>
    <w:rsid w:val="00133AAE"/>
    <w:rsid w:val="00135323"/>
    <w:rsid w:val="001356C4"/>
    <w:rsid w:val="00137195"/>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8AC"/>
    <w:rsid w:val="002F7AF6"/>
    <w:rsid w:val="00300E63"/>
    <w:rsid w:val="00302F5F"/>
    <w:rsid w:val="0030441D"/>
    <w:rsid w:val="00306063"/>
    <w:rsid w:val="00313B85"/>
    <w:rsid w:val="00317988"/>
    <w:rsid w:val="003221B4"/>
    <w:rsid w:val="0032258D"/>
    <w:rsid w:val="00322E62"/>
    <w:rsid w:val="00324D13"/>
    <w:rsid w:val="00324EDD"/>
    <w:rsid w:val="0032702F"/>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70F"/>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5F67"/>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45BC"/>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8B3"/>
    <w:rsid w:val="006D6593"/>
    <w:rsid w:val="006D6B95"/>
    <w:rsid w:val="006E4D5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2E1"/>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2C5"/>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AAC"/>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F64"/>
    <w:rsid w:val="00AD4126"/>
    <w:rsid w:val="00AD421C"/>
    <w:rsid w:val="00AD44FA"/>
    <w:rsid w:val="00AE070A"/>
    <w:rsid w:val="00AE101C"/>
    <w:rsid w:val="00AE2A69"/>
    <w:rsid w:val="00AE37E5"/>
    <w:rsid w:val="00AE5EB4"/>
    <w:rsid w:val="00AF0C18"/>
    <w:rsid w:val="00AF4720"/>
    <w:rsid w:val="00AF47C5"/>
    <w:rsid w:val="00AF5398"/>
    <w:rsid w:val="00B049AF"/>
    <w:rsid w:val="00B07242"/>
    <w:rsid w:val="00B10534"/>
    <w:rsid w:val="00B113DB"/>
    <w:rsid w:val="00B11D8A"/>
    <w:rsid w:val="00B12981"/>
    <w:rsid w:val="00B147DD"/>
    <w:rsid w:val="00B156FD"/>
    <w:rsid w:val="00B15C80"/>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DE6"/>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612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1B530AD"/>
    <w:rsid w:val="6FC2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DCC0725">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1E11B40">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F5D1B3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09336E"/>
    <w:rsid w:val="000D7D00"/>
    <w:rsid w:val="000E724B"/>
    <w:rsid w:val="00232C79"/>
    <w:rsid w:val="00525237"/>
    <w:rsid w:val="005E6634"/>
    <w:rsid w:val="006D6B95"/>
    <w:rsid w:val="007146E1"/>
    <w:rsid w:val="008062C5"/>
    <w:rsid w:val="00874EDC"/>
    <w:rsid w:val="008E4568"/>
    <w:rsid w:val="00AE1DC6"/>
    <w:rsid w:val="00C57AB2"/>
    <w:rsid w:val="00E51851"/>
    <w:rsid w:val="00EC65CC"/>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26</Pages>
  <Words>1036</Words>
  <Characters>1178</Characters>
  <Lines>120</Lines>
  <Paragraphs>34</Paragraphs>
  <TotalTime>202</TotalTime>
  <ScaleCrop>false</ScaleCrop>
  <LinksUpToDate>false</LinksUpToDate>
  <CharactersWithSpaces>1247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2026-01-15T02:16:44Z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27D8FB0A0BAA4A6DA1D1AE52288ADA73_12</vt:lpwstr>
  </property>
</Properties>
</file>